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3920" w:right="1420" w:hanging="3894"/>
        <w:spacing w:after="0" w:line="328" w:lineRule="auto"/>
        <w:tabs>
          <w:tab w:leader="none" w:pos="10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66" w:lineRule="exact"/>
        <w:rPr>
          <w:sz w:val="24"/>
          <w:szCs w:val="24"/>
          <w:color w:val="auto"/>
        </w:rPr>
      </w:pPr>
    </w:p>
    <w:p>
      <w:pPr>
        <w:ind w:left="1020" w:hanging="994"/>
        <w:spacing w:after="0"/>
        <w:tabs>
          <w:tab w:leader="none" w:pos="10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331" w:lineRule="exact"/>
        <w:rPr>
          <w:sz w:val="24"/>
          <w:szCs w:val="24"/>
          <w:color w:val="auto"/>
        </w:rPr>
      </w:pPr>
    </w:p>
    <w:p>
      <w:pPr>
        <w:ind w:left="408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001-36112</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MACROGENICS,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w:t>
      </w:r>
    </w:p>
    <w:p>
      <w:pPr>
        <w:sectPr>
          <w:pgSz w:w="11900" w:h="16838" w:orient="portrait"/>
          <w:cols w:equalWidth="0" w:num="1">
            <w:col w:w="11240"/>
          </w:cols>
          <w:pgMar w:left="320" w:top="994" w:right="339" w:bottom="1440" w:gutter="0" w:footer="0" w:header="0"/>
        </w:sectPr>
      </w:pPr>
    </w:p>
    <w:p>
      <w:pPr>
        <w:spacing w:after="0" w:line="250" w:lineRule="exact"/>
        <w:rPr>
          <w:sz w:val="24"/>
          <w:szCs w:val="24"/>
          <w:color w:val="auto"/>
        </w:rPr>
      </w:pPr>
    </w:p>
    <w:p>
      <w:pPr>
        <w:ind w:left="238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860"/>
        <w:spacing w:after="0"/>
        <w:rPr>
          <w:sz w:val="20"/>
          <w:szCs w:val="20"/>
          <w:color w:val="auto"/>
        </w:rPr>
      </w:pPr>
      <w:r>
        <w:rPr>
          <w:rFonts w:ascii="Arial" w:cs="Arial" w:eastAsia="Arial" w:hAnsi="Arial"/>
          <w:sz w:val="16"/>
          <w:szCs w:val="16"/>
          <w:i w:val="1"/>
          <w:iCs w:val="1"/>
          <w:color w:val="auto"/>
        </w:rPr>
        <w:t>(State of organization)</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1280"/>
        <w:spacing w:after="0"/>
        <w:rPr>
          <w:sz w:val="20"/>
          <w:szCs w:val="20"/>
          <w:color w:val="auto"/>
        </w:rPr>
      </w:pPr>
      <w:r>
        <w:rPr>
          <w:rFonts w:ascii="Arial" w:cs="Arial" w:eastAsia="Arial" w:hAnsi="Arial"/>
          <w:sz w:val="18"/>
          <w:szCs w:val="18"/>
          <w:color w:val="auto"/>
        </w:rPr>
        <w:t>06-1591613</w:t>
      </w:r>
    </w:p>
    <w:p>
      <w:pPr>
        <w:spacing w:after="0" w:line="23" w:lineRule="exact"/>
        <w:rPr>
          <w:sz w:val="24"/>
          <w:szCs w:val="24"/>
          <w:color w:val="auto"/>
        </w:rPr>
      </w:pPr>
    </w:p>
    <w:p>
      <w:pPr>
        <w:jc w:val="center"/>
        <w:ind w:right="128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6360" w:space="720"/>
            <w:col w:w="4160"/>
          </w:cols>
          <w:pgMar w:left="320" w:top="994" w:right="339" w:bottom="1440" w:gutter="0" w:footer="0" w:header="0"/>
          <w:type w:val="continuous"/>
        </w:sectPr>
      </w:pP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9704 Medical Center Drive, Rockville, Maryland 20850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301</w:t>
      </w:r>
      <w:r>
        <w:rPr>
          <w:rFonts w:ascii="Arial" w:cs="Arial" w:eastAsia="Arial" w:hAnsi="Arial"/>
          <w:sz w:val="18"/>
          <w:szCs w:val="18"/>
          <w:color w:val="auto"/>
        </w:rPr>
        <w:t xml:space="preserve">) </w:t>
      </w:r>
      <w:r>
        <w:rPr>
          <w:rFonts w:ascii="Arial" w:cs="Arial" w:eastAsia="Arial" w:hAnsi="Arial"/>
          <w:sz w:val="18"/>
          <w:szCs w:val="18"/>
          <w:b w:val="1"/>
          <w:bCs w:val="1"/>
          <w:color w:val="auto"/>
        </w:rPr>
        <w:t>251-5172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230" w:type="dxa"/>
        <w:tblCellMar>
          <w:top w:w="0" w:type="dxa"/>
          <w:left w:w="0" w:type="dxa"/>
          <w:bottom w:w="0" w:type="dxa"/>
          <w:right w:w="0" w:type="dxa"/>
        </w:tblCellMar>
      </w:tblPr>
      <w:tr>
        <w:trPr>
          <w:trHeight w:val="243"/>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MGNX</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222222"/>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Exchange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222222"/>
        </w:rPr>
        <w:t>☑</w:t>
      </w:r>
    </w:p>
    <w:p>
      <w:pPr>
        <w:spacing w:after="0" w:line="21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222222"/>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222222"/>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p>
      <w:pPr>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20"/>
                <w:szCs w:val="20"/>
                <w:color w:val="auto"/>
              </w:rPr>
            </w:pPr>
            <w:r>
              <w:rPr>
                <w:rFonts w:ascii="Arial" w:cs="Arial" w:eastAsia="Arial" w:hAnsi="Arial"/>
                <w:sz w:val="18"/>
                <w:szCs w:val="18"/>
                <w:color w:val="auto"/>
              </w:rPr>
              <w:t>company"</w:t>
            </w:r>
          </w:p>
        </w:tc>
        <w:tc>
          <w:tcPr>
            <w:tcW w:w="520" w:type="dxa"/>
            <w:vAlign w:val="bottom"/>
          </w:tcPr>
          <w:p>
            <w:pPr>
              <w:ind w:left="120"/>
              <w:spacing w:after="0"/>
              <w:rPr>
                <w:sz w:val="20"/>
                <w:szCs w:val="20"/>
                <w:color w:val="auto"/>
              </w:rPr>
            </w:pPr>
            <w:r>
              <w:rPr>
                <w:rFonts w:ascii="Arial" w:cs="Arial" w:eastAsia="Arial" w:hAnsi="Arial"/>
                <w:sz w:val="18"/>
                <w:szCs w:val="18"/>
                <w:color w:val="auto"/>
              </w:rPr>
              <w:t>in</w:t>
            </w:r>
          </w:p>
        </w:tc>
        <w:tc>
          <w:tcPr>
            <w:tcW w:w="1840" w:type="dxa"/>
            <w:vAlign w:val="bottom"/>
          </w:tcPr>
          <w:p>
            <w:pPr>
              <w:ind w:left="920"/>
              <w:spacing w:after="0"/>
              <w:rPr>
                <w:sz w:val="20"/>
                <w:szCs w:val="20"/>
                <w:color w:val="auto"/>
              </w:rPr>
            </w:pPr>
            <w:r>
              <w:rPr>
                <w:rFonts w:ascii="Arial" w:cs="Arial" w:eastAsia="Arial" w:hAnsi="Arial"/>
                <w:sz w:val="18"/>
                <w:szCs w:val="18"/>
                <w:color w:val="auto"/>
              </w:rPr>
              <w:t>Rule</w:t>
            </w:r>
          </w:p>
        </w:tc>
        <w:tc>
          <w:tcPr>
            <w:tcW w:w="1600" w:type="dxa"/>
            <w:vAlign w:val="bottom"/>
          </w:tcPr>
          <w:p>
            <w:pPr>
              <w:ind w:left="600"/>
              <w:spacing w:after="0"/>
              <w:rPr>
                <w:sz w:val="20"/>
                <w:szCs w:val="20"/>
                <w:color w:val="auto"/>
              </w:rPr>
            </w:pPr>
            <w:r>
              <w:rPr>
                <w:rFonts w:ascii="Arial" w:cs="Arial" w:eastAsia="Arial" w:hAnsi="Arial"/>
                <w:sz w:val="18"/>
                <w:szCs w:val="18"/>
                <w:color w:val="auto"/>
              </w:rPr>
              <w:t>12b-2</w:t>
            </w:r>
          </w:p>
        </w:tc>
        <w:tc>
          <w:tcPr>
            <w:tcW w:w="1320" w:type="dxa"/>
            <w:vAlign w:val="bottom"/>
          </w:tcPr>
          <w:p>
            <w:pPr>
              <w:ind w:left="580"/>
              <w:spacing w:after="0"/>
              <w:rPr>
                <w:sz w:val="20"/>
                <w:szCs w:val="20"/>
                <w:color w:val="auto"/>
              </w:rPr>
            </w:pPr>
            <w:r>
              <w:rPr>
                <w:rFonts w:ascii="Arial" w:cs="Arial" w:eastAsia="Arial" w:hAnsi="Arial"/>
                <w:sz w:val="18"/>
                <w:szCs w:val="18"/>
                <w:color w:val="auto"/>
              </w:rPr>
              <w:t>of</w:t>
            </w:r>
          </w:p>
        </w:tc>
        <w:tc>
          <w:tcPr>
            <w:tcW w:w="820" w:type="dxa"/>
            <w:vAlign w:val="bottom"/>
          </w:tcPr>
          <w:p>
            <w:pPr>
              <w:ind w:left="600"/>
              <w:spacing w:after="0"/>
              <w:rPr>
                <w:sz w:val="20"/>
                <w:szCs w:val="20"/>
                <w:color w:val="auto"/>
              </w:rPr>
            </w:pPr>
            <w:r>
              <w:rPr>
                <w:rFonts w:ascii="Arial" w:cs="Arial" w:eastAsia="Arial" w:hAnsi="Arial"/>
                <w:sz w:val="18"/>
                <w:szCs w:val="18"/>
                <w:color w:val="auto"/>
                <w:w w:val="79"/>
              </w:rPr>
              <w:t>the</w:t>
            </w:r>
          </w:p>
        </w:tc>
        <w:tc>
          <w:tcPr>
            <w:tcW w:w="2240" w:type="dxa"/>
            <w:vAlign w:val="bottom"/>
          </w:tcPr>
          <w:p>
            <w:pPr>
              <w:ind w:left="1160"/>
              <w:spacing w:after="0"/>
              <w:rPr>
                <w:sz w:val="20"/>
                <w:szCs w:val="20"/>
                <w:color w:val="auto"/>
              </w:rPr>
            </w:pPr>
            <w:r>
              <w:rPr>
                <w:rFonts w:ascii="Arial" w:cs="Arial" w:eastAsia="Arial" w:hAnsi="Arial"/>
                <w:sz w:val="18"/>
                <w:szCs w:val="18"/>
                <w:color w:val="auto"/>
              </w:rPr>
              <w:t>Exchange</w:t>
            </w:r>
          </w:p>
        </w:tc>
        <w:tc>
          <w:tcPr>
            <w:tcW w:w="1120" w:type="dxa"/>
            <w:vAlign w:val="bottom"/>
          </w:tcPr>
          <w:p>
            <w:pPr>
              <w:ind w:left="820"/>
              <w:spacing w:after="0"/>
              <w:rPr>
                <w:sz w:val="20"/>
                <w:szCs w:val="20"/>
                <w:color w:val="auto"/>
              </w:rPr>
            </w:pPr>
            <w:r>
              <w:rPr>
                <w:rFonts w:ascii="Arial" w:cs="Arial" w:eastAsia="Arial" w:hAnsi="Arial"/>
                <w:sz w:val="18"/>
                <w:szCs w:val="18"/>
                <w:color w:val="auto"/>
                <w:w w:val="90"/>
              </w:rPr>
              <w:t>Act.</w:t>
            </w:r>
          </w:p>
        </w:tc>
      </w:tr>
      <w:tr>
        <w:trPr>
          <w:trHeight w:val="283"/>
        </w:trPr>
        <w:tc>
          <w:tcPr>
            <w:tcW w:w="1780" w:type="dxa"/>
            <w:vAlign w:val="bottom"/>
          </w:tcPr>
          <w:p>
            <w:pPr>
              <w:ind w:left="20"/>
              <w:spacing w:after="0"/>
              <w:rPr>
                <w:sz w:val="20"/>
                <w:szCs w:val="20"/>
                <w:color w:val="auto"/>
              </w:rPr>
            </w:pPr>
            <w:r>
              <w:rPr>
                <w:rFonts w:ascii="Arial" w:cs="Arial" w:eastAsia="Arial" w:hAnsi="Arial"/>
                <w:sz w:val="18"/>
                <w:szCs w:val="18"/>
                <w:color w:val="auto"/>
                <w:w w:val="97"/>
              </w:rPr>
              <w:t>Large accelerated filer</w:t>
            </w:r>
          </w:p>
        </w:tc>
        <w:tc>
          <w:tcPr>
            <w:tcW w:w="520" w:type="dxa"/>
            <w:vAlign w:val="bottom"/>
          </w:tcPr>
          <w:p>
            <w:pPr>
              <w:spacing w:after="0"/>
              <w:rPr>
                <w:sz w:val="24"/>
                <w:szCs w:val="24"/>
                <w:color w:val="auto"/>
              </w:rPr>
            </w:pPr>
          </w:p>
        </w:tc>
        <w:tc>
          <w:tcPr>
            <w:tcW w:w="18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78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520" w:type="dxa"/>
            <w:vAlign w:val="bottom"/>
          </w:tcPr>
          <w:p>
            <w:pPr>
              <w:spacing w:after="0"/>
              <w:rPr>
                <w:sz w:val="24"/>
                <w:szCs w:val="24"/>
                <w:color w:val="auto"/>
              </w:rPr>
            </w:pPr>
          </w:p>
        </w:tc>
        <w:tc>
          <w:tcPr>
            <w:tcW w:w="18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18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38"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222222"/>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222222"/>
        </w:rPr>
        <w: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market value of the registrant's common stock, par value $0.01 per share, held by non-affiliates of the registrant on June 30, 2022, the last business day of the registrant's most recently completed second fiscal quarter, was approximately $181.3 million based on the closing price of the registrant's common stock on the Nasdaq Global Select Market on that date. Exclusion of shares held by any person should not be construed to indicate that such person possesses the power, direct or indirect, to direct or cause the direction of management or policies of the registrant, or that such person is controlled by or under common control with the registrant.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March 10, 2023 was 61,838,565.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MacroGenics, Inc.'s definitive proxy statement for the 2023 annual meeting of stockholders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2"/>
          </w:tcPr>
          <w:p>
            <w:pPr>
              <w:ind w:left="1940"/>
              <w:spacing w:after="0"/>
              <w:rPr>
                <w:sz w:val="20"/>
                <w:szCs w:val="20"/>
                <w:color w:val="auto"/>
              </w:rPr>
            </w:pPr>
            <w:r>
              <w:rPr>
                <w:rFonts w:ascii="Arial" w:cs="Arial" w:eastAsia="Arial" w:hAnsi="Arial"/>
                <w:sz w:val="18"/>
                <w:szCs w:val="18"/>
                <w:b w:val="1"/>
                <w:bCs w:val="1"/>
                <w:color w:val="0000FF"/>
                <w:w w:val="94"/>
              </w:rPr>
              <w:t>PART I</w:t>
            </w: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4"/>
              </w:rPr>
              <w:t>Business</w:t>
            </w:r>
          </w:p>
        </w:tc>
        <w:tc>
          <w:tcPr>
            <w:tcW w:w="3340" w:type="dxa"/>
            <w:vAlign w:val="bottom"/>
            <w:gridSpan w:val="6"/>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1A</w:t>
            </w:r>
          </w:p>
        </w:tc>
        <w:tc>
          <w:tcPr>
            <w:tcW w:w="4560" w:type="dxa"/>
            <w:vAlign w:val="bottom"/>
            <w:gridSpan w:val="8"/>
          </w:tcPr>
          <w:p>
            <w:pPr>
              <w:spacing w:after="0"/>
              <w:rPr>
                <w:sz w:val="20"/>
                <w:szCs w:val="20"/>
                <w:color w:val="auto"/>
              </w:rPr>
            </w:pPr>
            <w:r>
              <w:rPr>
                <w:rFonts w:ascii="Arial" w:cs="Arial" w:eastAsia="Arial" w:hAnsi="Arial"/>
                <w:sz w:val="18"/>
                <w:szCs w:val="18"/>
                <w:color w:val="0000FF"/>
              </w:rPr>
              <w:t>Risk Factors</w:t>
            </w:r>
          </w:p>
        </w:tc>
      </w:tr>
      <w:tr>
        <w:trPr>
          <w:trHeight w:val="20"/>
        </w:trPr>
        <w:tc>
          <w:tcPr>
            <w:tcW w:w="1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1B</w:t>
            </w:r>
          </w:p>
        </w:tc>
        <w:tc>
          <w:tcPr>
            <w:tcW w:w="4560" w:type="dxa"/>
            <w:vAlign w:val="bottom"/>
            <w:gridSpan w:val="8"/>
          </w:tcPr>
          <w:p>
            <w:pPr>
              <w:spacing w:after="0"/>
              <w:rPr>
                <w:sz w:val="20"/>
                <w:szCs w:val="20"/>
                <w:color w:val="auto"/>
              </w:rPr>
            </w:pPr>
            <w:r>
              <w:rPr>
                <w:rFonts w:ascii="Arial" w:cs="Arial" w:eastAsia="Arial" w:hAnsi="Arial"/>
                <w:sz w:val="18"/>
                <w:szCs w:val="18"/>
                <w:color w:val="0000FF"/>
              </w:rPr>
              <w:t>Unresolved Staff Comments</w:t>
            </w: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Properties</w:t>
            </w:r>
          </w:p>
        </w:tc>
        <w:tc>
          <w:tcPr>
            <w:tcW w:w="2520" w:type="dxa"/>
            <w:vAlign w:val="bottom"/>
            <w:gridSpan w:val="2"/>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3</w:t>
            </w:r>
          </w:p>
        </w:tc>
        <w:tc>
          <w:tcPr>
            <w:tcW w:w="4560" w:type="dxa"/>
            <w:vAlign w:val="bottom"/>
            <w:gridSpan w:val="8"/>
          </w:tcPr>
          <w:p>
            <w:pPr>
              <w:spacing w:after="0"/>
              <w:rPr>
                <w:sz w:val="20"/>
                <w:szCs w:val="20"/>
                <w:color w:val="auto"/>
              </w:rPr>
            </w:pPr>
            <w:r>
              <w:rPr>
                <w:rFonts w:ascii="Arial" w:cs="Arial" w:eastAsia="Arial" w:hAnsi="Arial"/>
                <w:sz w:val="18"/>
                <w:szCs w:val="18"/>
                <w:color w:val="0000FF"/>
              </w:rPr>
              <w:t>Legal Proceedings</w:t>
            </w:r>
          </w:p>
        </w:tc>
      </w:tr>
      <w:tr>
        <w:trPr>
          <w:trHeight w:val="20"/>
        </w:trPr>
        <w:tc>
          <w:tcPr>
            <w:tcW w:w="13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4560" w:type="dxa"/>
            <w:vAlign w:val="bottom"/>
            <w:gridSpan w:val="8"/>
          </w:tcPr>
          <w:p>
            <w:pPr>
              <w:spacing w:after="0"/>
              <w:rPr>
                <w:sz w:val="20"/>
                <w:szCs w:val="20"/>
                <w:color w:val="auto"/>
              </w:rPr>
            </w:pPr>
            <w:r>
              <w:rPr>
                <w:rFonts w:ascii="Arial" w:cs="Arial" w:eastAsia="Arial" w:hAnsi="Arial"/>
                <w:sz w:val="18"/>
                <w:szCs w:val="18"/>
                <w:color w:val="0000FF"/>
              </w:rPr>
              <w:t>Mine Safety Disclosures</w:t>
            </w:r>
          </w:p>
        </w:tc>
      </w:tr>
      <w:tr>
        <w:trPr>
          <w:trHeight w:val="20"/>
        </w:trPr>
        <w:tc>
          <w:tcPr>
            <w:tcW w:w="1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3460" w:type="dxa"/>
            <w:vAlign w:val="bottom"/>
            <w:gridSpan w:val="4"/>
          </w:tcPr>
          <w:p>
            <w:pPr>
              <w:spacing w:after="0"/>
              <w:rPr>
                <w:sz w:val="17"/>
                <w:szCs w:val="17"/>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1"/>
          </w:tcPr>
          <w:p>
            <w:pPr>
              <w:spacing w:after="0"/>
              <w:rPr>
                <w:sz w:val="20"/>
                <w:szCs w:val="20"/>
                <w:color w:val="auto"/>
              </w:rPr>
            </w:pPr>
            <w:r>
              <w:rPr>
                <w:rFonts w:ascii="Arial" w:cs="Arial" w:eastAsia="Arial" w:hAnsi="Arial"/>
                <w:sz w:val="18"/>
                <w:szCs w:val="18"/>
                <w:color w:val="0000FF"/>
              </w:rPr>
              <w:t>Reserved</w:t>
            </w:r>
          </w:p>
        </w:tc>
      </w:tr>
      <w:tr>
        <w:trPr>
          <w:trHeight w:val="20"/>
        </w:trPr>
        <w:tc>
          <w:tcPr>
            <w:tcW w:w="1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620" w:type="dxa"/>
            <w:vAlign w:val="bottom"/>
            <w:gridSpan w:val="2"/>
          </w:tcPr>
          <w:p>
            <w:pPr>
              <w:spacing w:after="0"/>
              <w:rPr>
                <w:sz w:val="18"/>
                <w:szCs w:val="18"/>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7A</w:t>
            </w:r>
          </w:p>
        </w:tc>
        <w:tc>
          <w:tcPr>
            <w:tcW w:w="8060" w:type="dxa"/>
            <w:vAlign w:val="bottom"/>
            <w:gridSpan w:val="11"/>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Financial Statements and Supplementary Data</w:t>
            </w:r>
          </w:p>
        </w:tc>
        <w:tc>
          <w:tcPr>
            <w:tcW w:w="3760" w:type="dxa"/>
            <w:vAlign w:val="bottom"/>
            <w:gridSpan w:val="5"/>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1580" w:type="dxa"/>
            <w:vAlign w:val="bottom"/>
          </w:tcPr>
          <w:p>
            <w:pPr>
              <w:spacing w:after="0"/>
              <w:rPr>
                <w:sz w:val="18"/>
                <w:szCs w:val="18"/>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9A</w:t>
            </w:r>
          </w:p>
        </w:tc>
        <w:tc>
          <w:tcPr>
            <w:tcW w:w="8060" w:type="dxa"/>
            <w:vAlign w:val="bottom"/>
            <w:gridSpan w:val="11"/>
          </w:tcPr>
          <w:p>
            <w:pPr>
              <w:spacing w:after="0"/>
              <w:rPr>
                <w:sz w:val="20"/>
                <w:szCs w:val="20"/>
                <w:color w:val="auto"/>
              </w:rPr>
            </w:pPr>
            <w:r>
              <w:rPr>
                <w:rFonts w:ascii="Arial" w:cs="Arial" w:eastAsia="Arial" w:hAnsi="Arial"/>
                <w:sz w:val="18"/>
                <w:szCs w:val="18"/>
                <w:color w:val="0000FF"/>
              </w:rPr>
              <w:t>Controls and Procedures</w:t>
            </w: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Other Information</w:t>
            </w:r>
          </w:p>
        </w:tc>
        <w:tc>
          <w:tcPr>
            <w:tcW w:w="6300" w:type="dxa"/>
            <w:vAlign w:val="bottom"/>
            <w:gridSpan w:val="8"/>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0"/>
              </w:rPr>
              <w:t>Disclosure Regarding Foreign Jurisdictions that Prevent Inspections</w:t>
            </w:r>
          </w:p>
        </w:tc>
        <w:tc>
          <w:tcPr>
            <w:tcW w:w="3160" w:type="dxa"/>
            <w:vAlign w:val="bottom"/>
            <w:gridSpan w:val="3"/>
          </w:tcPr>
          <w:p>
            <w:pPr>
              <w:spacing w:after="0"/>
              <w:rPr>
                <w:sz w:val="18"/>
                <w:szCs w:val="18"/>
                <w:color w:val="auto"/>
              </w:rPr>
            </w:pPr>
          </w:p>
        </w:tc>
      </w:tr>
    </w:tbl>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80" w:type="dxa"/>
            <w:vAlign w:val="bottom"/>
            <w:gridSpan w:val="4"/>
          </w:tcPr>
          <w:p>
            <w:pPr>
              <w:spacing w:after="0"/>
              <w:rPr>
                <w:sz w:val="20"/>
                <w:szCs w:val="20"/>
                <w:color w:val="auto"/>
              </w:rPr>
            </w:pPr>
            <w:r>
              <w:rPr>
                <w:rFonts w:ascii="Arial" w:cs="Arial" w:eastAsia="Arial" w:hAnsi="Arial"/>
                <w:sz w:val="18"/>
                <w:szCs w:val="18"/>
                <w:b w:val="1"/>
                <w:bCs w:val="1"/>
                <w:color w:val="0000FF"/>
              </w:rPr>
              <w:t>PART III</w:t>
            </w:r>
          </w:p>
        </w:tc>
      </w:tr>
      <w:tr>
        <w:trPr>
          <w:trHeight w:val="20"/>
        </w:trPr>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10</w:t>
            </w:r>
          </w:p>
        </w:tc>
        <w:tc>
          <w:tcPr>
            <w:tcW w:w="7280" w:type="dxa"/>
            <w:vAlign w:val="bottom"/>
            <w:gridSpan w:val="7"/>
          </w:tcPr>
          <w:p>
            <w:pPr>
              <w:spacing w:after="0"/>
              <w:rPr>
                <w:sz w:val="20"/>
                <w:szCs w:val="20"/>
                <w:color w:val="auto"/>
              </w:rPr>
            </w:pPr>
            <w:r>
              <w:rPr>
                <w:rFonts w:ascii="Arial" w:cs="Arial" w:eastAsia="Arial" w:hAnsi="Arial"/>
                <w:sz w:val="18"/>
                <w:szCs w:val="18"/>
                <w:color w:val="0000FF"/>
              </w:rPr>
              <w:t>Directors, Executive Officers and Corporate Governance</w:t>
            </w: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9"/>
              </w:rPr>
              <w:t>Executive Compensation</w:t>
            </w:r>
          </w:p>
        </w:tc>
        <w:tc>
          <w:tcPr>
            <w:tcW w:w="2280" w:type="dxa"/>
            <w:vAlign w:val="bottom"/>
            <w:tcBorders>
              <w:top w:val="single" w:sz="8" w:color="0000FF"/>
            </w:tcBorders>
            <w:gridSpan w:val="3"/>
          </w:tcPr>
          <w:p>
            <w:pPr>
              <w:spacing w:after="0"/>
              <w:rPr>
                <w:sz w:val="18"/>
                <w:szCs w:val="18"/>
                <w:color w:val="auto"/>
              </w:rPr>
            </w:pPr>
          </w:p>
        </w:tc>
        <w:tc>
          <w:tcPr>
            <w:tcW w:w="3200" w:type="dxa"/>
            <w:vAlign w:val="bottom"/>
            <w:gridSpan w:val="3"/>
          </w:tcPr>
          <w:p>
            <w:pPr>
              <w:spacing w:after="0"/>
              <w:rPr>
                <w:sz w:val="18"/>
                <w:szCs w:val="18"/>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Item 12</w:t>
            </w:r>
          </w:p>
        </w:tc>
        <w:tc>
          <w:tcPr>
            <w:tcW w:w="72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7"/>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Item 14</w:t>
            </w:r>
          </w:p>
        </w:tc>
        <w:tc>
          <w:tcPr>
            <w:tcW w:w="28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Principal Accountant Fees and Services</w:t>
            </w:r>
          </w:p>
        </w:tc>
        <w:tc>
          <w:tcPr>
            <w:tcW w:w="2580" w:type="dxa"/>
            <w:vAlign w:val="bottom"/>
            <w:tcBorders>
              <w:top w:val="single" w:sz="8" w:color="0000FF"/>
            </w:tcBorders>
            <w:gridSpan w:val="4"/>
          </w:tcPr>
          <w:p>
            <w:pPr>
              <w:spacing w:after="0"/>
              <w:rPr>
                <w:sz w:val="18"/>
                <w:szCs w:val="18"/>
                <w:color w:val="auto"/>
              </w:rPr>
            </w:pPr>
          </w:p>
        </w:tc>
        <w:tc>
          <w:tcPr>
            <w:tcW w:w="1840" w:type="dxa"/>
            <w:vAlign w:val="bottom"/>
          </w:tcPr>
          <w:p>
            <w:pPr>
              <w:spacing w:after="0"/>
              <w:rPr>
                <w:sz w:val="18"/>
                <w:szCs w:val="18"/>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0000FF"/>
              </w:rPr>
              <w:t>PART IV</w:t>
            </w:r>
          </w:p>
        </w:tc>
      </w:tr>
      <w:tr>
        <w:trPr>
          <w:trHeight w:val="210"/>
        </w:trPr>
        <w:tc>
          <w:tcPr>
            <w:tcW w:w="1360" w:type="dxa"/>
            <w:vAlign w:val="bottom"/>
          </w:tcPr>
          <w:p>
            <w:pPr>
              <w:ind w:left="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Exhibits and Financial Statement Schedules</w:t>
            </w:r>
          </w:p>
        </w:tc>
        <w:tc>
          <w:tcPr>
            <w:tcW w:w="74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5260" w:type="dxa"/>
            <w:vAlign w:val="bottom"/>
          </w:tcPr>
          <w:p>
            <w:pPr>
              <w:spacing w:after="0"/>
              <w:rPr>
                <w:sz w:val="18"/>
                <w:szCs w:val="18"/>
                <w:color w:val="auto"/>
              </w:rPr>
            </w:pPr>
          </w:p>
        </w:tc>
      </w:tr>
      <w:tr>
        <w:trPr>
          <w:trHeight w:val="210"/>
        </w:trPr>
        <w:tc>
          <w:tcPr>
            <w:tcW w:w="1360" w:type="dxa"/>
            <w:vAlign w:val="bottom"/>
          </w:tcPr>
          <w:p>
            <w:pPr>
              <w:ind w:left="40"/>
              <w:spacing w:after="0"/>
              <w:rPr>
                <w:sz w:val="20"/>
                <w:szCs w:val="20"/>
                <w:color w:val="auto"/>
              </w:rPr>
            </w:pPr>
            <w:r>
              <w:rPr>
                <w:rFonts w:ascii="Arial" w:cs="Arial" w:eastAsia="Arial" w:hAnsi="Arial"/>
                <w:sz w:val="18"/>
                <w:szCs w:val="18"/>
                <w:color w:val="auto"/>
              </w:rPr>
              <w:t>Item 16</w:t>
            </w:r>
          </w:p>
        </w:tc>
        <w:tc>
          <w:tcPr>
            <w:tcW w:w="9880" w:type="dxa"/>
            <w:vAlign w:val="bottom"/>
            <w:gridSpan w:val="6"/>
          </w:tcPr>
          <w:p>
            <w:pPr>
              <w:spacing w:after="0"/>
              <w:rPr>
                <w:sz w:val="20"/>
                <w:szCs w:val="20"/>
                <w:color w:val="auto"/>
              </w:rPr>
            </w:pPr>
            <w:r>
              <w:rPr>
                <w:rFonts w:ascii="Arial" w:cs="Arial" w:eastAsia="Arial" w:hAnsi="Arial"/>
                <w:sz w:val="18"/>
                <w:szCs w:val="18"/>
                <w:color w:val="0000FF"/>
              </w:rPr>
              <w:t>Form 10-K Summary</w:t>
            </w:r>
          </w:p>
        </w:tc>
      </w:tr>
      <w:tr>
        <w:trPr>
          <w:trHeight w:val="210"/>
        </w:trPr>
        <w:tc>
          <w:tcPr>
            <w:tcW w:w="1360" w:type="dxa"/>
            <w:vAlign w:val="bottom"/>
          </w:tcPr>
          <w:p>
            <w:pPr>
              <w:spacing w:after="0"/>
              <w:rPr>
                <w:sz w:val="18"/>
                <w:szCs w:val="18"/>
                <w:color w:val="auto"/>
              </w:rPr>
            </w:pPr>
          </w:p>
        </w:tc>
        <w:tc>
          <w:tcPr>
            <w:tcW w:w="15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Signatures</w:t>
            </w:r>
          </w:p>
        </w:tc>
        <w:tc>
          <w:tcPr>
            <w:tcW w:w="8340" w:type="dxa"/>
            <w:vAlign w:val="bottom"/>
            <w:gridSpan w:val="4"/>
          </w:tcPr>
          <w:p>
            <w:pPr>
              <w:spacing w:after="0"/>
              <w:rPr>
                <w:sz w:val="18"/>
                <w:szCs w:val="18"/>
                <w:color w:val="auto"/>
              </w:rPr>
            </w:pPr>
          </w:p>
        </w:tc>
      </w:tr>
      <w:tr>
        <w:trPr>
          <w:trHeight w:val="1458"/>
        </w:trPr>
        <w:tc>
          <w:tcPr>
            <w:tcW w:w="136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Annual Report on Form 10-K.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14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"Risk Factors"), could affect future performance and cause actual results to differ materially from those matters expressed in or implied by forward-looking statements:</w:t>
      </w:r>
    </w:p>
    <w:p>
      <w:pPr>
        <w:spacing w:after="0" w:line="122" w:lineRule="exact"/>
        <w:rPr>
          <w:sz w:val="20"/>
          <w:szCs w:val="20"/>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w:t>
      </w:r>
    </w:p>
    <w:p>
      <w:pPr>
        <w:spacing w:after="0" w:line="76" w:lineRule="exact"/>
        <w:rPr>
          <w:rFonts w:ascii="Arial" w:cs="Arial" w:eastAsia="Arial" w:hAnsi="Arial"/>
          <w:sz w:val="18"/>
          <w:szCs w:val="18"/>
          <w:color w:val="auto"/>
        </w:rPr>
      </w:pPr>
    </w:p>
    <w:p>
      <w:pPr>
        <w:ind w:left="520" w:right="78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outcomes of our ongoing and planned clinical trials and the timing of those outcomes, including when clinical trials will be initiated or completed, enrollment of trials, and when data will be reported or regulatory filings will be made;</w:t>
      </w:r>
    </w:p>
    <w:p>
      <w:pPr>
        <w:spacing w:after="0" w:line="35"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product candidates and the labeling for any approved products;</w:t>
      </w:r>
    </w:p>
    <w:p>
      <w:pPr>
        <w:spacing w:after="0" w:line="88" w:lineRule="exact"/>
        <w:rPr>
          <w:rFonts w:ascii="Arial" w:cs="Arial" w:eastAsia="Arial" w:hAnsi="Arial"/>
          <w:sz w:val="17"/>
          <w:szCs w:val="17"/>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76" w:lineRule="exact"/>
        <w:rPr>
          <w:rFonts w:ascii="Arial" w:cs="Arial" w:eastAsia="Arial" w:hAnsi="Arial"/>
          <w:sz w:val="18"/>
          <w:szCs w:val="18"/>
          <w:color w:val="auto"/>
        </w:rPr>
      </w:pPr>
    </w:p>
    <w:p>
      <w:pPr>
        <w:ind w:left="520" w:right="28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through the capital markets or through one or more corporate partnerships, equity offerings, debt financings, collaborations, licensing arrangements or asset sales;</w:t>
      </w:r>
    </w:p>
    <w:p>
      <w:pPr>
        <w:spacing w:after="0" w:line="35"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product candidates currently being developed by our collaborators;</w:t>
      </w:r>
    </w:p>
    <w:p>
      <w:pPr>
        <w:spacing w:after="0" w:line="76" w:lineRule="exact"/>
        <w:rPr>
          <w:rFonts w:ascii="Arial" w:cs="Arial" w:eastAsia="Arial" w:hAnsi="Arial"/>
          <w:sz w:val="18"/>
          <w:szCs w:val="18"/>
          <w:color w:val="auto"/>
        </w:rPr>
      </w:pPr>
    </w:p>
    <w:p>
      <w:pPr>
        <w:ind w:left="520" w:right="34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 or to identify additional products or product candidates with significant commercial potential that are consistent with our commercial objectives;</w:t>
      </w:r>
    </w:p>
    <w:p>
      <w:pPr>
        <w:spacing w:after="0" w:line="21"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future operation of our existing collaborations;</w:t>
      </w:r>
    </w:p>
    <w:p>
      <w:pPr>
        <w:spacing w:after="0" w:line="90"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investment in our manufacturing capabilities;</w:t>
      </w:r>
    </w:p>
    <w:p>
      <w:pPr>
        <w:spacing w:after="0" w:line="76"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76"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0"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76" w:lineRule="exact"/>
        <w:rPr>
          <w:rFonts w:ascii="Arial" w:cs="Arial" w:eastAsia="Arial" w:hAnsi="Arial"/>
          <w:sz w:val="18"/>
          <w:szCs w:val="18"/>
          <w:color w:val="auto"/>
        </w:rPr>
      </w:pPr>
    </w:p>
    <w:p>
      <w:pPr>
        <w:ind w:left="520" w:right="42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litigation and the failure to successfully defend lawsuits and other claims against us and our expectations regarding the outcome of any regulatory or legal proceedings;</w:t>
      </w:r>
    </w:p>
    <w:p>
      <w:pPr>
        <w:spacing w:after="0" w:line="21"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and other risks associated with our international operations;</w:t>
      </w:r>
    </w:p>
    <w:p>
      <w:pPr>
        <w:spacing w:after="0" w:line="90"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research funding and achieve anticipated milestones under our collaborations;</w:t>
      </w:r>
    </w:p>
    <w:p>
      <w:pPr>
        <w:spacing w:after="0" w:line="76"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76"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of compliance and our failure to comply with new and existing governmental regulations including, but not limited to, tax regulations;</w:t>
      </w:r>
    </w:p>
    <w:p>
      <w:pPr>
        <w:spacing w:after="0" w:line="101" w:lineRule="exact"/>
        <w:rPr>
          <w:rFonts w:ascii="Arial" w:cs="Arial" w:eastAsia="Arial" w:hAnsi="Arial"/>
          <w:sz w:val="17"/>
          <w:szCs w:val="17"/>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76"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76"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 and</w:t>
      </w:r>
    </w:p>
    <w:p>
      <w:pPr>
        <w:spacing w:after="0" w:line="90" w:lineRule="exact"/>
        <w:rPr>
          <w:rFonts w:ascii="Arial" w:cs="Arial" w:eastAsia="Arial" w:hAnsi="Arial"/>
          <w:sz w:val="18"/>
          <w:szCs w:val="18"/>
          <w:color w:val="auto"/>
        </w:rPr>
      </w:pPr>
    </w:p>
    <w:p>
      <w:pPr>
        <w:ind w:left="520" w:right="36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severity and duration of the impact of a global pandemic on our business, operations, clinical programs, manufacturing, financial results and other aspects of our business.</w:t>
      </w:r>
    </w:p>
    <w:p>
      <w:pPr>
        <w:spacing w:after="0" w:line="1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left="566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Except as otherwise indicated herein or as the context otherwise requires, references in this annual report on Form 10-K to "MacroGenics," the "company," "we," "us" and "our" refer to MacroGenics, Inc. and its consolidated subsidiaries. </w:t>
      </w:r>
      <w:r>
        <w:rPr>
          <w:rFonts w:ascii="Arial" w:cs="Arial" w:eastAsia="Arial" w:hAnsi="Arial"/>
          <w:sz w:val="17"/>
          <w:szCs w:val="17"/>
          <w:color w:val="auto"/>
        </w:rPr>
        <w:t>“</w:t>
      </w:r>
      <w:r>
        <w:rPr>
          <w:rFonts w:ascii="Arial" w:cs="Arial" w:eastAsia="Arial" w:hAnsi="Arial"/>
          <w:sz w:val="16"/>
          <w:szCs w:val="16"/>
          <w:i w:val="1"/>
          <w:iCs w:val="1"/>
          <w:color w:val="auto"/>
        </w:rPr>
        <w:t>MacroGenics</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the MacroGenics logo, DART</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TRIDENT</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MARGENZA</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and the phrases Breakthrough Biologics, Life-Changing Medicines® and Developing Breakthrough Biologics, Life-Changing Medicines</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are our trademark</w:t>
      </w:r>
      <w:r>
        <w:rPr>
          <w:rFonts w:ascii="Arial" w:cs="Arial" w:eastAsia="Arial" w:hAnsi="Arial"/>
          <w:sz w:val="17"/>
          <w:szCs w:val="17"/>
          <w:color w:val="auto"/>
        </w:rPr>
        <w:t>s.</w:t>
      </w:r>
      <w:r>
        <w:rPr>
          <w:rFonts w:ascii="Arial" w:cs="Arial" w:eastAsia="Arial" w:hAnsi="Arial"/>
          <w:sz w:val="16"/>
          <w:szCs w:val="16"/>
          <w:i w:val="1"/>
          <w:iCs w:val="1"/>
          <w:color w:val="auto"/>
        </w:rPr>
        <w:t xml:space="preserve"> The other trademarks, trade names and service marks appearing in this report are the property of their respective owners.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 biopharmaceutical company focused on developing and commercializing innovative antibody-based therapeutics for the treatment of cancer. We have a pipeline of product candidates being evaluated in clinical trials sponsored by us or our collaborators in addition to several molecules in preclinical development. Our clinical product candidates include multiple oncology programs, many of which were created using our proprietary, antibody-based technology platforms. We believe our product candidates have the potential, if approved for marketing by regulatory authorities, to have a meaningful effect on treating patients' unmet medical needs as monotherapy or, in some cases, in combination with other therapeutic agents. To date, two products originating from MacroGenics’ pipeline of proprietary or partnered product candidates have received U.S. Food and Drug Administration (FDA) approval.</w:t>
      </w:r>
    </w:p>
    <w:p>
      <w:pPr>
        <w:spacing w:after="0" w:line="22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are developing product candidates that target various tumor-associated antigens and immune checkpoint molecules. Our lead pipeline program is vobramitamab duocarmazine (vobra duo) (formerly MGC018), an antibody-drug conjugate (ADC) that targets B7-H3, a molecule in the B7 family of immune regulator proteins that is widely expressed by several different tumor types. We have historically pursued development of other molecules that target B7-H3, including enoblituzumab, an Fc-optimized monoclonal antibody (mAb). We are also developing molecules that target programmed cell death protein 1 (PD-1), a protein that is important in the regulation of the immune system’s response to cancer. Our clinical pipeline includes two product candidates based on our proprietary, bispecific DART technology that co-engage both PD-1 and other checkpoint molecules. These candidates include lorigerlimab, which targets PD-1 and CTLA-4, or cytotoxic T-lymphocyte-associated protein 4, and tebotelimab, which targets PD-1 and LAG-3, or lymphocyte-activation gene 3. In addition, we are developing MGD024, a next-generation bispecific DART molecule that engages CD3 on immune effector cells to kill CD123-expressing cancer cells in certain hematological malignancies, including acute myeloid leukemia (AML).</w:t>
      </w:r>
    </w:p>
    <w:p>
      <w:pPr>
        <w:spacing w:after="0" w:line="19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and our collaboration partners are developing or commercializing product candidates for which we retain certain economic rights. These molecules include IMGC936, a clinical-stage ADC that targets ADAM9, a cell surface protein over-expressed in several solid tumor types; retifanlimab, an anti-PD-1 mAb that we out-licensed and TZIELD™ (teplizumab-mzwv), an anti-CD3 monoclonal antibody that we sold to a partner.</w:t>
      </w:r>
    </w:p>
    <w:p>
      <w:pPr>
        <w:spacing w:after="0" w:line="19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March 2021, we and our commercialization partner commenced U.S. marketing of MARGENZA (margetuximab-cmkb), a human epidermal growth factor receptor 2 (HER2) receptor antagonist mAb we developed that is indicated, in combination with chemotherapy, for the treatment of adult patients with metastatic HER2-positive breast cancer who have received two or more prior anti-HER2 regimens, at least one of which was for metastatic disease.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created our product candidates based on the following antibody-based technologies:</w:t>
      </w:r>
    </w:p>
    <w:p>
      <w:pPr>
        <w:spacing w:after="0" w:line="171" w:lineRule="exact"/>
        <w:rPr>
          <w:sz w:val="20"/>
          <w:szCs w:val="20"/>
          <w:color w:val="auto"/>
        </w:rPr>
      </w:pPr>
    </w:p>
    <w:p>
      <w:pPr>
        <w:ind w:left="1060" w:right="420" w:hanging="323"/>
        <w:spacing w:after="0" w:line="342" w:lineRule="auto"/>
        <w:tabs>
          <w:tab w:leader="none" w:pos="10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ADC platforms, which we have licensed from collaboration partners to leverage third-party proprietary linker payloads, and which link monoclonal antibodies that specifically target cancer cells with cytotoxins that are designed to trigger cell death in the cancer cell;</w:t>
      </w:r>
    </w:p>
    <w:p>
      <w:pPr>
        <w:spacing w:after="0" w:line="15" w:lineRule="exact"/>
        <w:rPr>
          <w:rFonts w:ascii="Arial" w:cs="Arial" w:eastAsia="Arial" w:hAnsi="Arial"/>
          <w:sz w:val="16"/>
          <w:szCs w:val="16"/>
          <w:color w:val="auto"/>
        </w:rPr>
      </w:pPr>
    </w:p>
    <w:p>
      <w:pPr>
        <w:ind w:left="1060" w:right="60" w:hanging="323"/>
        <w:spacing w:after="0" w:line="259" w:lineRule="auto"/>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Multi-specific platforms, which enable us to design antibodies that can bind to two (in the case of our bispecific DART product candidates) or more distinct targets, each with antibody-like specificity, with the goal of creating a more significant biological effect than binding any one of the targets as with an antibody or two or more of them separately as a combination. We have specifically utilized our DART platform to generate product candidates for use in the following modalities:</w:t>
      </w:r>
    </w:p>
    <w:p>
      <w:pPr>
        <w:spacing w:after="0" w:line="78" w:lineRule="exact"/>
        <w:rPr>
          <w:rFonts w:ascii="Arial" w:cs="Arial" w:eastAsia="Arial" w:hAnsi="Arial"/>
          <w:sz w:val="18"/>
          <w:szCs w:val="18"/>
          <w:color w:val="auto"/>
        </w:rPr>
      </w:pPr>
    </w:p>
    <w:p>
      <w:pPr>
        <w:ind w:left="1700" w:right="100" w:hanging="315"/>
        <w:spacing w:after="0" w:line="301" w:lineRule="auto"/>
        <w:tabs>
          <w:tab w:leader="none" w:pos="1696"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Bispecific checkpoints</w:t>
      </w:r>
      <w:r>
        <w:rPr>
          <w:rFonts w:ascii="Arial" w:cs="Arial" w:eastAsia="Arial" w:hAnsi="Arial"/>
          <w:sz w:val="16"/>
          <w:szCs w:val="16"/>
          <w:color w:val="auto"/>
        </w:rPr>
        <w:t>. We leverage our proprietary DART platform to enable simultaneous targeting of multiple co-inhibitory</w:t>
      </w:r>
      <w:r>
        <w:rPr>
          <w:rFonts w:ascii="Arial" w:cs="Arial" w:eastAsia="Arial" w:hAnsi="Arial"/>
          <w:sz w:val="16"/>
          <w:szCs w:val="16"/>
          <w:i w:val="1"/>
          <w:iCs w:val="1"/>
          <w:color w:val="auto"/>
        </w:rPr>
        <w:t xml:space="preserve"> </w:t>
      </w:r>
      <w:r>
        <w:rPr>
          <w:rFonts w:ascii="Arial" w:cs="Arial" w:eastAsia="Arial" w:hAnsi="Arial"/>
          <w:sz w:val="16"/>
          <w:szCs w:val="16"/>
          <w:color w:val="auto"/>
        </w:rPr>
        <w:t>receptors or checkpoints, such as those involved in inhibiting T-cell responses. Targeting two immunoregulatory pathways, such as two checkpoints in a single molecule, affords the clinical benefit of the combination together with the potential for improved efficacy and/or safety, as well as advantages in manufacturing, simplified clinical development and enhanced patient convenience.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 w:name="page6"/>
    <w:bookmarkEnd w:id="5"/>
    <w:p>
      <w:pPr>
        <w:ind w:left="1700" w:right="40" w:hanging="315"/>
        <w:spacing w:after="0" w:line="279" w:lineRule="auto"/>
        <w:tabs>
          <w:tab w:leader="none" w:pos="1696"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Next-Generation T-Cell Engagers. </w:t>
      </w:r>
      <w:r>
        <w:rPr>
          <w:rFonts w:ascii="Arial" w:cs="Arial" w:eastAsia="Arial" w:hAnsi="Arial"/>
          <w:sz w:val="17"/>
          <w:szCs w:val="17"/>
          <w:color w:val="auto"/>
        </w:rPr>
        <w:t>We have extensive experience applying our proprietary multi-specific DART and TRIDENT</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to develop molecules that redirect T-cell activation and killing which: (1) recognize and bind to structures expressed on a cancer cell, (2) recruit all types of cytotoxic, or cell killing, T cells, irrespective of their ability to recognize cancer cells, and (3) trigger T-cell activation, expansion, and cell killing mechanisms to destroy a cancer cell.</w:t>
      </w:r>
    </w:p>
    <w:p>
      <w:pPr>
        <w:spacing w:after="0" w:line="171" w:lineRule="exact"/>
        <w:rPr>
          <w:rFonts w:ascii="Arial" w:cs="Arial" w:eastAsia="Arial" w:hAnsi="Arial"/>
          <w:sz w:val="17"/>
          <w:szCs w:val="17"/>
          <w:color w:val="auto"/>
        </w:rPr>
      </w:pPr>
    </w:p>
    <w:p>
      <w:pPr>
        <w:ind w:left="1700" w:right="60"/>
        <w:spacing w:after="0" w:line="263" w:lineRule="auto"/>
        <w:rPr>
          <w:rFonts w:ascii="Arial" w:cs="Arial" w:eastAsia="Arial" w:hAnsi="Arial"/>
          <w:sz w:val="17"/>
          <w:szCs w:val="17"/>
          <w:color w:val="auto"/>
        </w:rPr>
      </w:pPr>
      <w:r>
        <w:rPr>
          <w:rFonts w:ascii="Arial" w:cs="Arial" w:eastAsia="Arial" w:hAnsi="Arial"/>
          <w:sz w:val="18"/>
          <w:szCs w:val="18"/>
          <w:color w:val="auto"/>
        </w:rPr>
        <w:t>MacroGenics’ next-generation T-cell engagers incorporate a CD3 component that is designed to minimize cytokine-release syndrome (CRS), a potentially life-threatening toxicity, while increasing the magnitude of antitumor activity with a longer half-life to permit intermittent dosing; and</w:t>
      </w:r>
    </w:p>
    <w:p>
      <w:pPr>
        <w:spacing w:after="0" w:line="75" w:lineRule="exact"/>
        <w:rPr>
          <w:rFonts w:ascii="Arial" w:cs="Arial" w:eastAsia="Arial" w:hAnsi="Arial"/>
          <w:sz w:val="17"/>
          <w:szCs w:val="17"/>
          <w:color w:val="auto"/>
        </w:rPr>
      </w:pPr>
    </w:p>
    <w:p>
      <w:pPr>
        <w:ind w:left="1060" w:right="200" w:hanging="323"/>
        <w:spacing w:after="0" w:line="277"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Fc Optimization platform, which introduces certain mutations into the Fc domain of a mAb in order to modulate antibody interaction with immune effector cells to enhance the killing of cancer cells.</w:t>
      </w:r>
    </w:p>
    <w:p>
      <w:pPr>
        <w:spacing w:after="0" w:line="30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goal is to be a fully-integrated biotechnology company leading in the discovery, development, manufacturing and commercialization of breakthrough antibody-based biologics for the treatment of patients with cancer.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of Oncology Clinical Product Candidates for Which We Retain Commercial Rights</w:t>
      </w:r>
    </w:p>
    <w:p>
      <w:pPr>
        <w:spacing w:after="0" w:line="25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table below depicts the status of our oncology product candidates that are in clinical development and for which we retain all or some commercial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863590" cy="2785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359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B7-H3 Programs</w:t>
      </w:r>
    </w:p>
    <w:p>
      <w:pPr>
        <w:spacing w:after="0" w:line="23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two clinical-stage programs, vobra duo and enoblituzumab, that target B7-H3 (CD276), an immune checkpoint molecule that is overexpressed in cancer tissues while showing limited expression in normal tissues. B7-H3 is a member of the B7 family of immune regulator proteins that is widely expressed by different tumor types and may play a key role in regulating the immune response to various cancers. Of the two programs, currently only vobra duo is in active clinical development. There are no currently approved therapeutic agents directed against B7-H3.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Vobramitamab Duocarmazine</w:t>
      </w:r>
    </w:p>
    <w:p>
      <w:pPr>
        <w:spacing w:after="0" w:line="252"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Vobra duo is an investigational ADC with a cleavable peptide linker designed to deliver a DNA-alkylating duocarmycin payload to dividing and non-dividing cells on solid tumors that express B7-H3. The underlying ADC technology was licensed from Byondis B.V. (Byondis). After completing a dose escalation study in 2020, we initiated the Phase 1/2 dose expansion study of vobra duo in patients with metastatic castration-resistant prostate cancer (mCRPC), non-small cell lung cancer (NSCLC), melanoma, squamous cell carcinoma of the head and neck (SCCHN) and triple negative breast cancer (TNBC). The purpose of this fully-enrolled study was to evaluate the safety and tolerability, pharmacokinetics,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6" w:name="page7"/>
    <w:bookmarkEnd w:id="6"/>
    <w:p>
      <w:pPr>
        <w:ind w:right="200"/>
        <w:spacing w:after="0" w:line="263" w:lineRule="auto"/>
        <w:rPr>
          <w:sz w:val="20"/>
          <w:szCs w:val="20"/>
          <w:color w:val="auto"/>
        </w:rPr>
      </w:pPr>
      <w:r>
        <w:rPr>
          <w:rFonts w:ascii="Arial" w:cs="Arial" w:eastAsia="Arial" w:hAnsi="Arial"/>
          <w:sz w:val="18"/>
          <w:szCs w:val="18"/>
          <w:color w:val="auto"/>
        </w:rPr>
        <w:t>pharmacodynamics and preliminary antitumor activity of the molecule. In addition, in early 2022, we initiated a Phase 1/2 dose escalation study of vobra duo in combination with lorigerlimab (formerly MGD019), a bispecific DART molecule designed to block PD-1 and CTLA-4, in patients with solid tumors. This study is ongoing.</w:t>
      </w:r>
    </w:p>
    <w:p>
      <w:pPr>
        <w:spacing w:after="0" w:line="21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late 2022, we initiated the Phase 2 portion of the TAMARACK Phase 2/3 study of vobra duo in patients with mCRPC who have had prior exposure to a taxane and at least one androgen receptor axis-targeted, or ARAT, agent (including abiraterone, enzalutamide or apalutimide), and a PARP (poly adenosine diphosphate-ribose polymerase) inhibitor, if appropriate. This study is designed to evaluate 100 patients across two experimental arms in which they receive vobra duo at either 2.0 mg/kg or 2.7 mg/kg once every four weeks (Q4W). This study initially included a control arm in which patients received a second ARAT agent. The treatment landscape for patients with mCRPC has evolved with declining acceptability regarding the use of a second ARAT agent in patients who progress on earlier therapies and the approval of a radiopharmaceutical medication. Given our objective to enroll TAMARACK and determine an optimal dose expeditiously, as of the first quarter of 2023, we have modified the trial by removing the ARAT control arm and the Phase 3 portion of the study, with regulatory approval for the modified protocol obtained to date in several countries. We believe that removal of the control arm should allow us to provide a clinical update in 2024 potentially in support of a subsequent Phase 3 study in mCRPC.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Dose Escalation Study Results (as of May 2020)</w:t>
      </w:r>
    </w:p>
    <w:p>
      <w:pPr>
        <w:spacing w:after="0" w:line="2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2020, data from the dose escalation study of vobra duo was initially presented. At the May 6, 2020 data cut-off, 23 evaluable patients with advanced solid tumors had been enrolled in four dose escalation cohorts of 0.5 mg/kg to 3 mg/kg given intravenously every three weeks. Treatment was ongoing in an expanded fifth cohort of patients at 4 mg/kg every three weeks at the data cut-off date.</w:t>
      </w:r>
    </w:p>
    <w:p>
      <w:pPr>
        <w:spacing w:after="0" w:line="21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At the May 6, 2020 data cut off, preliminary evidence of anti-tumor activity by vobra duo was observed in the dose escalation portion of the study, particularly in patients with advanced mCRPC. Reductions in prostate-specific antigen (PSA) levels of ≥ 50% (PSA50) were observed in five of seven mCRPC patients treated, including one with substantial regression of bone disease. Six mCRPC patients had bone-only disease, and one patient with measurable peripheral disease had a 29% reduction in target lesions that did not qualify as a response per Response Evaluation Criteria in Solid Tumors</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v1.1 (RECIST). Four PSA responders remained on therapy as of the data cut-off. Patients with mCRPC had received a median of four therapies prior to vobra duo, including taxane chemotherapy (six patients) and next-generation hormonal agents (six patients were treated with both abiraterone and enzalutamide, and one with abiraterone only).</w:t>
      </w:r>
    </w:p>
    <w:p>
      <w:pPr>
        <w:spacing w:after="0" w:line="21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Through dose escalation, the safety profile of vobra duo, which had included hematologic and skin toxicities, was generally manageable as of the data cut-off. At least one treatment-related adverse event (TRAE) occurred in 22 of 23 patients (96%), including Grade ≥ 3 reported in 14 of 23 patients (61%). Three treatment-related serious adverse events occurred in one patient each: pneumonitis in a patient with concurrent bacterial pneumonia; non-infectious gastroenteritis; and stasis dermatitis in a patient with chronic venous insufficiency. One dose-limiting toxicity of Grade 4 neutropenia that resolved to baseline was reported. No febrile neutropenia was observed.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1/2 Dose Expansion Study Results (as of August 2021)</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Preliminary clinical results from the ongoing Phase 1/2 study of vobra duo in patients with solid tumors was presented at the 2021 European Society for Medical Oncology (ESMO) Meeting. As of the August 16, 2021 data cut-off, a total of 86 patients with advanced solid tumors were enrolled in the cohort expansion of vobra duo at the recommended Phase 2 dose (RP2D) of 3.0 mg/kg, administered intravenously every three weeks. The enrollment included 40 patients with mCRPC, 21 patients with NSCLC, 16 patients with TNBC and nine patients with melanoma. In addition, enrollment of patients with SCCHN had been initiated. The safety analysis included all enrolled patients, whereas the efficacy analysis was limited to mCRPC and NSCLC patients; enrollment was ongoing in the other tumor cohorts. In the cohort expansion, tumor response by investigator per RECIST was evaluated every nine weeks for all patients and PSA was assessed every three weeks in mCRPC.</w:t>
      </w:r>
    </w:p>
    <w:p>
      <w:pPr>
        <w:spacing w:after="0" w:line="20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of the August 16, 2021 data cut-off, all 40 patients in the mCRPC cohort expansion had been enrolled. Patients had previously received a median of three prior therapies for advanced disease, with all 40 patients having received both chemotherapy and next-generation hormonal therapy. Based on an immunohistochemistry assessment of patient tumor samples, the median B7-H3 H-score (a combined score of the intensity and the proportion of B7-H3 expression, comprising values between 0 and 300) for all mCRPC patients was 223. A total of 39 mCRPC patients were evaluable for PSA response. Reductions in PSA levels of ≥ 50% (PSA50) were observed in 21 of 39 patients (54%). Twenty-four of the 39 patients (62%) remained on treatment as of the data cut-off. Of the 40 patients in the mCRPC cohort, 16 of the 23 patients with measurable disease were evaluable for tumor response by RECIST as of the data cut-off. Ten of these 16 patients (63%) had reductions in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their target lesion sums from baseline. Four patients (25%) demonstrated a partial response (PR), consisting of two confirmed and two unconfirmed PRs.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Treatment was ongoing in six of 16 patients with evaluable tumor response as of the data cut-off.</w:t>
      </w:r>
    </w:p>
    <w:p>
      <w:pPr>
        <w:spacing w:after="0" w:line="23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of the August 16, 2021 data cut-off, the NSCLC cohort expansion had been fully enrolled with 21 patients. Patients had previously received a median of two prior therapies for advanced disease, with 15 (71%) having previously received anti-PD-1/PD-L1 therapy. The median B7-H3 H-score for these patients was 139. A total of 16 NSCLC patients were evaluable for tumor response by RECIST. Thirteen of 16 (81%) patients had reductions in their target lesion sums from baseline. Four of these 16 patients (25%) experienced unconfirmed partial responses. Another one of these 16 patients experienced a 30% reduction in target lesions; however, the patient’s non-target lesions were not evaluated due to an obstruction of the bronchus and overall response was not evaluable. Treatment was ongoing in seven of 16 patients as of the data cut-off.</w:t>
      </w:r>
    </w:p>
    <w:p>
      <w:pPr>
        <w:spacing w:after="0" w:line="205"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The safety analysis includes all 86 patients enrolled in the cohort expansion as of the August 16, 2021 data cut-off. The median number of doses received by mCRPC patients was 3.5 (range: 1-8); those with NSCLC received 3.0 (range: 1-7). Adverse events for the dose expansion cohorts of 3 mg/kg were generally consistent with those previously reported at ASCO 2021. TRAEs included hematologic and skin toxicities that have been clinically manageable to date. In the cohort expansion study overall, at least one TRAE of any grade was experienced by 78 of 86 patients (91%), with 43 of 86</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patients (50%) experiencing a Grade ≥3 TRAE. There were two Grade 5 fatal events: one from an unknown cause and one due to SARS-CoV-2.</w:t>
      </w:r>
    </w:p>
    <w:p>
      <w:pPr>
        <w:spacing w:after="0" w:line="26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most common TRAEs were fatigue (37% all grades; 1% Grade ≥3), neutropenia (34% all grades; 22% Grade ≥3), palmar plantar erythrodysesthesia syndrome (31% all grades; 4% Grade ≥3), pleural effusion (23% all grades; 1% Grade ≥3), nausea (22% all grades; 1% Grade ≥3), asthenia (20% all grades; 5% Grade ≥3) and thrombocytopenia (14% all grades; 7% Grade ≥3). The overall results demonstrated a manageable safety profile with a low rate of treatment discontinuation due to TRAEs: only six of 86 (7%) patients had discontinued therapy in the cohort expansion as of the data cut-off date due to TRAEs.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Enoblituzumab</w:t>
      </w:r>
    </w:p>
    <w:p>
      <w:pPr>
        <w:spacing w:after="0" w:line="252"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Enoblituzumab is an investigational monoclonal antibody that targets B7-H3 that has been engineered using our Fc Optimization platform. A Phase 2 study evaluating enoblituzumab in combination with either retifanlimab (anti-PD-1 monoclonal antibody) or tebotelimab (PD-1 × LAG-3 bispecific DART molecule) in the first-line treatment of patients with recurrent or metastatic SCCHN was discontinued in July 2022.</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had initiated a Phase 2 study of this agent in the first-line treatment of patients with relapsed or metastatic SCCHN not curable by local therapy in the first quarter of 2021. This trial included enoblituzumab in a chemotherapy-free regimen in combination with either retifanlimab in patients who are programmed death-ligand 1 (PD-L1) positive or with tebotelimab in patients who are PD-L1 negative. In July 2022, we announced the closure of this study based on an internal review of safety data, which included the occurrence of seven fatalities potentially associated with hemorrhagic events in both arms of the study (of 62 total patients treated).</w:t>
      </w:r>
    </w:p>
    <w:p>
      <w:pPr>
        <w:spacing w:after="0" w:line="21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At the 2022 ASCO Annual Meeting, investigators presented data from an investigator-sponsored trial of a single-center, single arm, open-label Phase 2 study evaluating the safety, anti-tumor effect, and immunogenicity of neoadjuvant enoblituzumab given prior to radical prostatectomy in men with intermediate and high-risk localized prostate cancer. In this study, investigators reported that six weeks of treatment with enoblituzumab demonstrated favorable safety and encouraging clinical activity in high-risk prostate cancer patients with local disease prior to prostatectomy. These trial results, combined with demonstrated favorable safety profile observed by the investigators, provide the rationale for further development of enoblituzumab and other B7-H3 targeted agents in prostate cancer.</w:t>
      </w:r>
    </w:p>
    <w:p>
      <w:pPr>
        <w:spacing w:after="0" w:line="21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July 2019, we licensed the right to develop and commercialize enoblituzumab in mainland China, Hong Kong, Macau and Taiwan to I-Mab Biopharma (I-Mab). In August 2022, I-Mab notified us of its intention to terminate the I-Mab License Agreement effective February 25,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Checkpoint Inhibitors</w:t>
      </w:r>
    </w:p>
    <w:p>
      <w:pPr>
        <w:spacing w:after="0" w:line="252"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Checkpoint inhibition has become an important staple of oncology. Our clinical pipeline includes three product candidates in clinical development that target checkpoint molecules for the potential treatment of a broad range of solid tumors. These candidates include two bispecific DART product candidates that co-engage PD-1 and other checkpoint molecules and an anti-PD-1 monoclonal antibody that we have out-licensed to a partner.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Lorigerlimab (formerly MGD019)</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Approved monoclonal antibodies that target the immune checkpoints PD-1 and CTLA-4 have shown enhanced clinical antitumor activity when given in combination in various cancers, including renal cell carcinoma and NSCLC with high tumor mutational burden. Lorigerlimab is an investigational, bispecific tetravalent DART molecule designed to enable simultaneous and/or independent blockade of PD-1 and CTLA-4, with potentially enhanced CTLA-4 blockade on T cells co-expressing these immune checkpoint molecules.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Dose Escalation Study Results (as of July 21, 2020)</w:t>
      </w:r>
    </w:p>
    <w:p>
      <w:pPr>
        <w:spacing w:after="0" w:line="252" w:lineRule="exact"/>
        <w:rPr>
          <w:sz w:val="20"/>
          <w:szCs w:val="20"/>
          <w:color w:val="auto"/>
        </w:rPr>
      </w:pPr>
    </w:p>
    <w:p>
      <w:pPr>
        <w:ind w:right="300" w:firstLine="648"/>
        <w:spacing w:after="0" w:line="287" w:lineRule="auto"/>
        <w:rPr>
          <w:sz w:val="20"/>
          <w:szCs w:val="20"/>
          <w:color w:val="auto"/>
        </w:rPr>
      </w:pPr>
      <w:r>
        <w:rPr>
          <w:rFonts w:ascii="Arial" w:cs="Arial" w:eastAsia="Arial" w:hAnsi="Arial"/>
          <w:sz w:val="16"/>
          <w:szCs w:val="16"/>
          <w:color w:val="auto"/>
        </w:rPr>
        <w:t>We conducted a Phase 1/2 clinical trial of lorigerlimab in patients with advanced solid tumors. The study was designed to enroll patients with histologically proven, unresectable, locally advanced or metastatic solid tumors for whom no approved therapy with demonstrated clinical benefit is available or patients who are intolerant to standard therapy. Forty-three patients were enrolled in the 3+3+3 dose escalation study within a dose range of</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0.03 – 10.0 mg/kg, administered every three weeks initially, in a population of heavily pre-treated patients representing a broad range of different types (23) of solid tumors. A total of 28 patients were treated at doses ≥ 3.0 mg/kg administered every three weeks initially. Of the 18 evaluable patients who received doses ≥ 3.0 mg/kg as of the July 21, 2020 cut-off date, four objective responses were reported, including a confirmed complete response in mCRPC, confirmed PRs in microsatellite stable colorectal cancer (MSS CRC) and metastatic type AB thymoma, and an unconfirmed PR in serous fallopian tube carcinoma. Lorigerlimab was well-tolerated in patients who received less than 10 mg/kg. The most common TRAEs observed were pruritus (23.3%), arthralgia (18.6%), fatigue (18.6%), rash (18.6%), nausea (16.3%) and infusion-related reaction (16.3%) as of the data cut-off. Several Grade 3 adverse events were observed at the 10.0 mg/kg level; however, none were considered dose limiting.</w:t>
      </w:r>
    </w:p>
    <w:p>
      <w:pPr>
        <w:spacing w:after="0" w:line="207"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In this study, full and sustained peripheral PD-1 blockade was evident at doses ≥ 1.0 mg/kg over a 3-week dosing interval. In addition, dose-dependent upregulation of the inducible costimulator (ICOS) molecule was evident in treated patients, including those who responded to lorigerlimab therapy. This is consistent with an observation previously reported in the literature that anti-CTLA-4 therapy increases the frequency of CD4 T cells expressing the ICOS molecule.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Dose Expansion Study Results (as of December 12, 2022)</w:t>
      </w:r>
    </w:p>
    <w:p>
      <w:pPr>
        <w:spacing w:after="0" w:line="25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are evaluating lorigerlimab in an ongoing Phase 1/2 dose expansion study in patients with MSS CRC, mCRPC, melanoma and checkpoint-naive NSCLC, and reported on preliminary data at the ASCO Genitourinary Cancers Symposium in February 2023. As of the December 12, 2022 data cut-off, 118 patients were enrolled at the dose of 6.0 mg/kg, administered intravenously every three weeks (Q3W). Confirmed objective responses were observed across the histology-specific cohorts; preliminary efficacy results for mCRPC were presented in the poster.</w:t>
      </w:r>
    </w:p>
    <w:p>
      <w:pPr>
        <w:spacing w:after="0" w:line="19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Preliminary Safety Results</w:t>
      </w:r>
      <w:r>
        <w:rPr>
          <w:rFonts w:ascii="Arial" w:cs="Arial" w:eastAsia="Arial" w:hAnsi="Arial"/>
          <w:sz w:val="18"/>
          <w:szCs w:val="18"/>
          <w:color w:val="auto"/>
        </w:rPr>
        <w:t>. The safety analysis is based on 127 patients who received lorigerlimab at a dose of 6 mg/kg Q3W, including 118</w:t>
      </w:r>
      <w:r>
        <w:rPr>
          <w:rFonts w:ascii="Arial" w:cs="Arial" w:eastAsia="Arial" w:hAnsi="Arial"/>
          <w:sz w:val="18"/>
          <w:szCs w:val="18"/>
          <w:i w:val="1"/>
          <w:iCs w:val="1"/>
          <w:color w:val="auto"/>
        </w:rPr>
        <w:t xml:space="preserve"> </w:t>
      </w:r>
      <w:r>
        <w:rPr>
          <w:rFonts w:ascii="Arial" w:cs="Arial" w:eastAsia="Arial" w:hAnsi="Arial"/>
          <w:sz w:val="18"/>
          <w:szCs w:val="18"/>
          <w:color w:val="auto"/>
        </w:rPr>
        <w:t>enrolled in the four dose expansion cohorts plus nine patients from dose escalation. Median exposure was 14.4 weeks (range: 1.9 - 100.1 weeks) with a median of four infusions administered per patient. Twenty-four patients remained on lorigerlimab as of the December 12, 2022 data cut-off; 103 discontinued for the following reasons: progressive disease (PD) (n=66), adverse events (AE) (n=31), patient/physician decision (n=5), or death due to PD (n=1).</w:t>
      </w:r>
    </w:p>
    <w:p>
      <w:pPr>
        <w:spacing w:after="0" w:line="21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results demonstrated a manageable overall safety profile. TRAEs occurred in 86.6% of patients, with the most common among them (≥15%) being fatigue, rash, pruritus, hypothyroidism, and pyrexia. Rates of grade ≥3 TRAEs and immune-related AEs were 35.4% and 7.9%, respectively. AEs resulted in treatment discontinuation in 25.2% of patients. There were no fatal AEs related to lorigerlimab.</w:t>
      </w:r>
    </w:p>
    <w:p>
      <w:pPr>
        <w:spacing w:after="0" w:line="21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Preliminary Anti-tumor Activity in mCRPC Cohort</w:t>
      </w:r>
      <w:r>
        <w:rPr>
          <w:rFonts w:ascii="Arial" w:cs="Arial" w:eastAsia="Arial" w:hAnsi="Arial"/>
          <w:sz w:val="18"/>
          <w:szCs w:val="18"/>
          <w:color w:val="auto"/>
        </w:rPr>
        <w:t>. As of the December 12, 2022 data cut-off, 42 patients had been enrolled in the mCRPC</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cohort. Patients had previously received a median of two prior therapies (range: 1 – 9) for advanced disease, with 35 patients (83.3%) having received docetaxel and 34 patients (81.0%) having received androgen receptor antagonist therapy. The median exposure to lorigerlimab was 19.2 weeks (range: 3.3 - 55.1 weeks), with a median of five infusions administered per patient.</w:t>
      </w:r>
    </w:p>
    <w:p>
      <w:pPr>
        <w:spacing w:after="0" w:line="214"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A total of 35 patients with mCRPC had measurable soft tissue disease per RECIST v1.1 at study entry. Nine of the 35 patients (25.7%) achieved confirmed partial responses (cPR). The median duration of response for these nine patients was 4.6 months (range: 2.8 – 8.6+ months), with four patients remaining on lorigerlimab as of data cut-off. Among the other five patients who had achieved cPR, four discontinued due to unrelated adverse events, and one patient discontinued due to physician decision.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right="160" w:firstLine="648"/>
        <w:spacing w:after="0" w:line="308" w:lineRule="auto"/>
        <w:rPr>
          <w:sz w:val="20"/>
          <w:szCs w:val="20"/>
          <w:color w:val="auto"/>
        </w:rPr>
      </w:pPr>
      <w:r>
        <w:rPr>
          <w:rFonts w:ascii="Arial" w:cs="Arial" w:eastAsia="Arial" w:hAnsi="Arial"/>
          <w:sz w:val="17"/>
          <w:szCs w:val="17"/>
          <w:color w:val="auto"/>
        </w:rPr>
        <w:t>Reductions in PSA levels of ≥ 50% were observed in 12 of 42 patients (28.6%), and 9 of the 12 maintained PSA50 response ≥ 3 months. Nine of 42 patients (21.4%), including the nine who achieved cPR, had reductions in their PSA levels of ≥ 90% as of the data cut-off.</w:t>
      </w:r>
    </w:p>
    <w:p>
      <w:pPr>
        <w:spacing w:after="0" w:line="173"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Based on the above data, we plan to initiate a randomized Phase 2 study of lorigerlimab in combination with docetaxel vs. docetaxel in second-line, chemotherapy-naïve mCRPC patients in the second half of 2023. A total of 150 patients are planned to be randomized 2:1. The current study design includes a primary study endpoint of radiographic progression-free survival (rPFS).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Tebotelimab</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Tebotelimab is an investigational, first-in-class bispecific, tetravalent DART molecule targeting PD-1 and LAG-3. We have engineered tebotelimab to concomitantly or independently bind to PD-1 and LAG-3 and disrupt these non-redundant inhibitory pathways to further restore exhausted T-cell function. Tebotelimab was evaluated in a Phase 1/2 dose expansion study in several tumor types and was studied in combination with enoblituzumab in SCCHN.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Dose Expansion Study Results (as of April 25, 2020)</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May 2020, initial data was presented from a Phase 1 monotherapy dose expansion study of tebotelimab in patients with advanced solid and hematologic neoplasms. At the April 25, 2020 data cut-off, 205 patients had been treated with tebotelimab, of which 152 were evaluable for response. Anti-tumor activity of tebotelimab, as assessed by RECIST, was observed in evaluable patients across several of the tumor types in the selected dose expansion cohorts. Response to tebotelimab monotherapy was associated with LAG-3 expression and an IFN-γ gene signature at baseline. The overall safety profile of tebotelimab in the Phase 1 study, including the incidence of immune-mediated adverse events, appeared generally consistent with anti-PD-1 antibody monotherapy with respect to event type and frequency.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Dose Expansion Results in Diffuse Large B-cell Lymphoma (as of October 23, 2020)</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December 2020, data was presented from the tebotelimab Phase 1/2 dose expansion study in patients with relapsed/refractory diffuse large B-cell lymphoma (DLBCL). In this study, 20 DLBCL patients were enrolled, half of whom were chimeric antigen receptor (CAR) T cell therapy experienced. As of the October 23, 2020 data cut-off, there were 13 response-evaluable patients. A preliminary ORR of 53.8% (7 of 13 patients) was observed, including responses in five of seven CAR T cell-naïve patients and in two of six CAR T cell experienced patients, the latter of whom both had complete responses. A preliminary duration of response of up to 168 days was observed, with six of seven ongoing responses as of the cut-off date. In the study, baseline LAG-3 expression appeared to associate with clinical response. Tebotelimab was generally well-tolerated among heavily pre-treated R/R DLBCL patients, with manageable infusion-related reactions and no evidence of tumor lysis syndrome. The most common TRAE was pyrexia, which occurred in three (15%) patients. A single Grade 3 TRAE of anemia was observed.</w:t>
      </w:r>
    </w:p>
    <w:p>
      <w:pPr>
        <w:spacing w:after="0" w:line="111"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As part of our November 2018 license and collaboration agreement with Zai Lab Limited (Zai Lab), we licensed to them the right to develop and commercialize tebotelimab in mainland China, Hong Kong, Macau and Taiwan. Zai Lab has led regional studies evaluating tebotelimab in various indications in its territory. Zai lab discontinued development of tebotelimab for indications they were enrolling in their territory and is evaluating future development plans in other indications.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T-cell Redirected Bispecific DART Molecules</w:t>
      </w:r>
    </w:p>
    <w:p>
      <w:pPr>
        <w:spacing w:after="0" w:line="239"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are developing a bispecific DART molecule that can simultaneously target T-cells and tumor cell surface antigens to engage and promote redirected T-cell killing of cancer cells. CD123, the interleukin-3 receptor alpha chain, is widely overexpressed in various hematologic malignancies, including AML and myelodysplastic syndrome (MDS), making it an attractive therapeutic target. Various drugs have been developed to target CD123, but none have received FDA approval. We have created a bispecific DART molecule that engages CD3 expressed on immune effector cells, such as T cells, to kill CD123-expressing cancer cells for the potential treatment of certain hematologic malignancies, including AML.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MGD024</w:t>
      </w:r>
    </w:p>
    <w:p>
      <w:pPr>
        <w:spacing w:after="0" w:line="23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MGD024 is an investigational, next-generation, bispecific CD123 × CD3 DART molecule designed to minimize cytokine-release syndrome, while maintaining anti-tumor cytolytic activity, and permitting intermittent dosing through a longer half-life. In December 2021, we presented preclinical MGD024 data at the American Society of Hematology (ASH) Annual Meeting that showed the potential for anti-tumor activity from the combination of MGD024 with standard of care agents used to treat AML. We initiated a Phase 1 study of MG024 in patients with CD123-positive hematologic malignancies in July 2022, and this dose escalation study is ongoing.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firstLine="648"/>
        <w:spacing w:after="0" w:line="286" w:lineRule="auto"/>
        <w:rPr>
          <w:sz w:val="20"/>
          <w:szCs w:val="20"/>
          <w:color w:val="auto"/>
        </w:rPr>
      </w:pPr>
      <w:r>
        <w:rPr>
          <w:rFonts w:ascii="Arial" w:cs="Arial" w:eastAsia="Arial" w:hAnsi="Arial"/>
          <w:sz w:val="16"/>
          <w:szCs w:val="16"/>
          <w:color w:val="auto"/>
        </w:rPr>
        <w:t>On October 14, 2022, we and Gilead Sciences, Inc. (Gilead) entered into an exclusive option and collaboration agreement (Gilead Agreement) to develop and commercialize MGD024 and create bispecific cancer antibodies using our DART platform and undertake their early development under a maximum of two separate bispecific cancer target research programs. Under the Gilead Agreement, we will continue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grants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Margetuximab</w:t>
      </w:r>
    </w:p>
    <w:p>
      <w:pPr>
        <w:spacing w:after="0" w:line="25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and our commercial partner, Eversana Life Science Services, LLC (Eversana), are currently marketing MARGENZA (margetuximab-cmkb), in combination with chemotherapy, for the treatment of adult patients with metastatic HER2-positive breast cancer who have received two or more prior anti-HER2 regimens, at least one of which was for metastatic disease. Margetuximab is an Fc-engineered, mAb that targets the HER2 oncoprotein. HER2 is expressed by tumor cells in breast, gastroesophageal and other solid tumors.</w:t>
      </w:r>
    </w:p>
    <w:p>
      <w:pPr>
        <w:spacing w:after="0" w:line="19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part of our November 2018 license and collaboration agreement, Zai Lab has the rights to develop margetuximab in mainland China, Hong Kong, Macau and Taiwan. On January 6, 2022, Zai Lab announced that the China NMPA had accepted the New Drug Application (NDA) for margetuximab for the treatment of adult patients with metastatic HER2-positive breast cancer who have received two or more prior anti-HER2 regimens, at least one of which was for metastatic disease, in combination with chemotherapy.</w:t>
      </w:r>
    </w:p>
    <w:p>
      <w:pPr>
        <w:spacing w:after="0" w:line="21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Adverse reactions occurring in greater than twenty percent of patients with MARGENZA in combination with chemotherapy were fatigue/asthenia (57%), nausea (33%), diarrhea (25%), and vomiting (21%). The MARGENZA U.S. Prescribing Information has a BOXED WARNING for left ventricular dysfunction and embryo-fetal toxicity. In addition, MARGENZA can cause infusion-related reactions (IRRs). IRRs occurred in 13% of patients treated with MARGENZA, with the majority reported as Grade 2 or less. Grade 3 IRRs occurred in 1.5% of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Programs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Retifanlimab</w:t>
      </w:r>
    </w:p>
    <w:p>
      <w:pPr>
        <w:spacing w:after="0" w:line="17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Retifanlimab is an investigational mAb targeting PD-1. Marketed antibodies targeting this checkpoint molecule have shown clinical efficacy in the treatment of various tumors by releasing the "brakes" of the immune system and helping to restore the immune system's ability to detect and kill tumor cells. In 2017, we licensed retifanlimab to Incyte Corporation (Incyte) under a global collaboration and license agreement (Incyte Agreement), although we retain the right to develop the molecule in combination with product candidates from our pipeline.</w:t>
      </w:r>
    </w:p>
    <w:p>
      <w:pPr>
        <w:spacing w:after="0" w:line="198" w:lineRule="exact"/>
        <w:rPr>
          <w:sz w:val="20"/>
          <w:szCs w:val="20"/>
          <w:color w:val="auto"/>
        </w:rPr>
      </w:pPr>
    </w:p>
    <w:p>
      <w:pPr>
        <w:ind w:right="380" w:firstLine="648"/>
        <w:spacing w:after="0" w:line="291" w:lineRule="auto"/>
        <w:rPr>
          <w:sz w:val="20"/>
          <w:szCs w:val="20"/>
          <w:color w:val="auto"/>
        </w:rPr>
      </w:pPr>
      <w:r>
        <w:rPr>
          <w:rFonts w:ascii="Arial" w:cs="Arial" w:eastAsia="Arial" w:hAnsi="Arial"/>
          <w:sz w:val="17"/>
          <w:szCs w:val="17"/>
          <w:color w:val="auto"/>
        </w:rPr>
        <w:t>Under the terms of the Incyte Agreement, we are eligible to receive up to $665 million in remaining development, regulatory and commercial milestones from Incyte. In addition, we are eligible to receive tiered royalties of 15% to 24% on any global net sales of the product.</w:t>
      </w:r>
    </w:p>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Incyte has stated it is pursuing development of retifanlimab in potentially registration-enabling indications, including in patients with Merkel cell carcinoma, squamous carcinoma of the anal canal, microsatellite instability-high, or MSI-high, endometrial cancer and non-small cell lung cancer. Incyte is also pursuing development of retifanlimab in combination with multiple product candidates from its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IMGC936</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IMGC936 </w:t>
      </w:r>
      <w:r>
        <w:rPr>
          <w:rFonts w:ascii="Arial" w:cs="Arial" w:eastAsia="Arial" w:hAnsi="Arial"/>
          <w:sz w:val="18"/>
          <w:szCs w:val="18"/>
          <w:color w:val="auto"/>
        </w:rPr>
        <w:t>is an ADC that targets ADAM9, a cell surface protein over-expressed in several solid tumor types. IMGC936 is being advanced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co-development agreement with ImmunoGen, Inc. (ImmunoGen). Under the 50/50 collaboration, ImmunoGen is leading clinical development and has completed Phase 1 dose escalation and initiated dose expansion in NSCLC and triple negative breast cancer. ImmunoGen has indicated they anticipate sharing initial data in the second quarter of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Teplizumab</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2018, we entered into an asset purchase agreement (Asset Purchase Agreement) with Provention Bio, Inc. (Provention) pursuant to which they acquired our interest in teplizumab, a monoclonal antibody we had been developing for the treatment of type 1 diabetes. Teplizumab has been granted Breakthrough Therapy Designation by the FDA and PRIority MEdicines (PRIME) designation by the European Medicines Agency.</w:t>
      </w:r>
    </w:p>
    <w:p>
      <w:pPr>
        <w:spacing w:after="0" w:line="1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November 17, 2022, the FDA approved TZIELD™ (teplizumab-mzwv) to delay the onset of Stage 3 type 1 diabetes (T1D) in adult and pediatric patients aged 8 years and older with Stage 2 T1D. Under the Asset Purchase Agreement, Provention is obligated to pay us contingent milestone payments totaling $170 million upon the achievement of certain regulatory approval milestones, including $60 million for the approval of a BLA for a first indication in the United States. In addition, Provention is obligated to make contingent milestone payments to us totaling $225 million upon the achievement of certain sales milestones as well as a single-digit royalty on net sales of the product. On November 30, 2022, we and Provention entered into Amendment No. 1 (APA Amendment) to the Asset Purchase Agreement. Pursuant to the APA Amendment, the $60.0 million milestone payment related to the achievement of FDA approval was revised to require the amount to be paid in four equal installments rather than within 90 days of approval. Under the Amendment, Provention paid us $15.0 million on each of November 30, 2022 and March 1, 2023, and is required to pay us $15.0 million on each of June 1, 2023 and September 1, 2023.</w:t>
      </w:r>
    </w:p>
    <w:p>
      <w:pPr>
        <w:spacing w:after="0" w:line="20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March 2023, we sold our royalty interest in TZIELD to a wholly-owned subsidiary of DRI Healthcare Trust (DRI). We retain our other economic interests related to TZIELD, including future potential regulatory and commercial milestones. We received a $100.0 million upfront payment from DRI for the sale of our single-digit royalty on global net sales of TZIELD. We retain the right to receive a 50% share of the royalty on global net sales above a certain annual threshold. In addition, we are eligible to receive up to $50.0 million from DRI upon the occurrence of pre-specified events tied to the advancement of TZIELD for the treatment of newly diagnosed T1D and may also receive an additional $50.0 million if TZIELD achieves a certain level of net sales.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PRV-3279</w:t>
      </w:r>
    </w:p>
    <w:p>
      <w:pPr>
        <w:spacing w:after="0" w:line="25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2018, we also entered into a license agreement with Provention pursuant to which we granted them exclusive global rights for the purpose of developing and commercializing PRV-3279 (formerly MGD010), a CD32B × CD79B DART molecule being developed for the treatment of autoimmune indications. Provention is initially developing PRV-3279 for the interception of systemic lupus erythematosus (SLE), a chronic autoimmune disorder characterized by an abnormal overactivation of B cells and subsequent pathologic production of auto-antibodies. Provention has disclosed that it believes PRV-3279 also has the potential to prevent or reduce the immunogenicity of biotherapeutics, including but not limited to gene therapy vectors and transgenes.</w:t>
      </w:r>
    </w:p>
    <w:p>
      <w:pPr>
        <w:spacing w:after="0" w:line="21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Provention disclosed in the first quarter of 2022 that they had initiated a Phase 2a trial in SLE of PRV-3279. The PREVAIL-2 study is a Phase 2a proof-of-concept (POC) study in moderate-to-severe SLE patients induced into response with a short course of corticosteroids, and then monitored for relapse, after randomization to either PRV-3279 or placebo treatment. Provention has indicated that it expects to report top-line results of the PREVAIL-2 study in the second half of 2024.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HIV DART Molecules</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developing MGD014 and MGD020 under a contract awarded to us in September 2015 by the National Institute of Allergy and Infectious Diseases (NIAID), part of the National Institutes of Health. These bispecific DART molecules are designed to target the viral envelope (Env) protein of human immunodeficiency virus (HIV) infected cells and CD3 on T cells to redirect the immune system's T cells to kill HIV-infected cells. These molecules may become a key part of a strategy to reduce or eliminate latent HIV reservoirs in conjunction with latency-reversing agents. MGD014 and MGD020 target the gp120 and gp41 subunits of HIV Env, respectively. A Phase 1 study of MGD014 in persons with HIV maintained on antiretroviral therapy has been completed and a Phase 1 study of MGD020 alone and combined with MGD014 initiated in 2022.</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Our Therapeutic Area Focus: Cancer</w:t>
      </w:r>
    </w:p>
    <w:p>
      <w:pPr>
        <w:spacing w:after="0" w:line="1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Cancer is a broad group of diseases in which cells divide and grow in an uncontrolled manner, forming malignancies that can invade other parts of the body. In normal tissues, the rates of new cell growth and cell death are tightly regulated and kept in balance. In cancerous tissues, this balance is disrupted as a result of mutations, causing unregulated cell division or proliferation that leads to tumor formation and growth. While tumors can grow slowly or rapidly, the dividing cells will nevertheless accumulate, and the normal organization of the tissue will become disrupted. Cancers subsequently can spread throughout the body by processes known as invasion and metastasis. Once cancer spreads to sites beyond the primary tumor, it generally becomes more difficult to treat and may be incurable. Cancer cells that arise in the lymphatic system and bone marrow are referred to as hematological malignancies. Cancer cells that arise in other tissues or organs are referred to as solid tumors. Cancer can arise in virtually any part of the body, with the most common types arising in the prostate gland, breast, lung, colon and skin. Cancer is the second leading cause of death in the United States, exceeded only by heart disease. An increasing number of people are also living longer with cancer.</w:t>
      </w:r>
    </w:p>
    <w:p>
      <w:pPr>
        <w:spacing w:after="0" w:line="12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believe that our platforms position us very well strategically to actively develop approaches for the treatment of both solid tumors and hematologic malignancies.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Platforms and Technology Expertise</w:t>
      </w:r>
    </w:p>
    <w:p>
      <w:pPr>
        <w:spacing w:after="0" w:line="17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apply our understanding of disease biology, immune-mediated mechanisms and next generation antibody technologies to design specifically targeted antibody-based product candidates based on our DART, Fc Optimization and licensed ADC platforms. Through these platforms we have designed antibody-based product candidates that have the potential to improve on standard treatments by having one or more of the following attributes: (1) multiple specificities; (2) increased abilities to interact with the body's immune system to fight tumors; (3) capacity to bind more avidly to antigen targets: (4) increased potency; (5) reduced immunogenicity or (6) the ability to target and kill cancer cells that are resistant to standard treatments. Moreover, these technology platforms are complementary in certain cases and can be combined to address the complex biology of cancer.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DART and TRIDENT Platforms: Our Proprietary Approach to Engineer Multi-Specific Antibodies</w:t>
      </w:r>
    </w:p>
    <w:p>
      <w:pPr>
        <w:spacing w:after="0" w:line="171"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use our DART platform to create derivatives of antibodies with the ability to bind to two distinct targets instead of a single one found in traditional monoclonal antibodies. DART product candidates are therefore bispecific. An example of a bispecific molecule from our DART platform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91440</wp:posOffset>
            </wp:positionV>
            <wp:extent cx="3994785" cy="1783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9478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Because cancer cells have developed ways to escape the immune system, we have created DART molecules, which are alternative antibody-like structures with more potent immune properties than the parent antibody molecules from which they are derived. The two variable regions of an antibody are mono-specific and are able to target only a single type structural component of an antigen. For many years, researchers have sought to create recombinant molecules that are capable of targeting two antigens or epitopes (i.e., specific part of an antigen bound by the antibody) within the same molecule. The challenges in creating such molecules have been the instability of the resulting bispecific molecules and their inherently short half-lives, as well as the inefficiencies in manufacturing these compounds. We believe our DART platform has overcome these engineering challenges by incorporating proprietary covalent di-sulfide linkages and particular amino acid sequences that efficiently pair the chains of the DART molecule. This is designed to provide a structure with enhanced manufacturability, long-term structural stability and the ability to tailor the half-lives of the DART molecules to their clinical needs. This engineered antibody-like protein has a compact and stable structure and enables the targeting of two different antigens with a single recombinant molecule.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3" w:name="page14"/>
    <w:bookmarkEnd w:id="13"/>
    <w:p>
      <w:pPr>
        <w:ind w:firstLine="648"/>
        <w:spacing w:after="0" w:line="286" w:lineRule="auto"/>
        <w:rPr>
          <w:sz w:val="20"/>
          <w:szCs w:val="20"/>
          <w:color w:val="auto"/>
        </w:rPr>
      </w:pPr>
      <w:r>
        <w:rPr>
          <w:rFonts w:ascii="Arial" w:cs="Arial" w:eastAsia="Arial" w:hAnsi="Arial"/>
          <w:sz w:val="17"/>
          <w:szCs w:val="17"/>
          <w:color w:val="auto"/>
        </w:rPr>
        <w:t>The DART platform has been specifically engineered to accommodate virtually any variable region sequence with predictable expression, folding and antigen recognition. We believe our multi-specific platforms may provide a significant advantage over current biological interventions in cancer, autoimmune disorders and infectious disease by enabling a range of modalities, including those described below.</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DART platform enables us to design multi-specific molecules that seek to exploit different mechanisms of action, including those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82" w:lineRule="exact"/>
        <w:rPr>
          <w:sz w:val="20"/>
          <w:szCs w:val="20"/>
          <w:color w:val="auto"/>
        </w:rPr>
      </w:pPr>
    </w:p>
    <w:p>
      <w:pPr>
        <w:ind w:left="260" w:right="3040" w:hanging="234"/>
        <w:spacing w:after="0" w:line="255"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Redirected T cell activation and killing. </w:t>
      </w:r>
      <w:r>
        <w:rPr>
          <w:rFonts w:ascii="Arial" w:cs="Arial" w:eastAsia="Arial" w:hAnsi="Arial"/>
          <w:sz w:val="17"/>
          <w:szCs w:val="17"/>
          <w:color w:val="auto"/>
        </w:rPr>
        <w:t>In this version of the DART molecule, we are engaging the cancer-fighting properties of the immune effector cells, such as T lymphocytes to: (1) recognize and bind to proteins expressed on a cancer cell, or tumor associated antigens (e.g., CD123), (2) enable the recruitment of all types of cytotoxic, or cell killing, T cells, irrespective of their ability to recognize cancer cells (e.g., CD3, a common component of the T cell antigen receptor) and (3) trigger T cell activation, expansion, and cell killing mechanisms to destroy a cancer cell. The outcome is that any of the body's T cells, in theory, could be recruited to destroy a cancer cell and thus, are not limited to the small numbers of specific T cells that might have been generated in response to cancer to kill tumor cells. Furthermore, given the design of a DART molecule, since any T cell could be recruited for this killing process, relatively small amounts of a DART molecule may be required to trigger this potent immune response. Additionally, the compact structure of the DART protein makes it well suited for maintaining cell-to-cell contact, which we believe contributes to the high level of target cell killing. Our DART molecules that redirect T cells against cancer or other targets, including MGD024, are manufactured using a conventional antibody platform without the complexity of having to genetically modify T cells from individual patients, as would be required by approaches such as CAR T cells. We have continued to evolve our bispecific platform with the introduction of a next-generation CD3-engaging DART technology designed to recruit, engage and activate T cells to kill tumor target cells with reduced release of pro-inflammatory cytokines. This next-generation CD3 DART platform is aimed at addressing cytokine-release syndrome, the most frequent and often dose-limiting adverse event associated with CD3-engaging molecules. We believe the next-generation CD3 DART platform could expand the therapeutic window of CD3-engaing DART molecules and further increase their potential application in oncology.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260" w:right="3060" w:hanging="234"/>
        <w:spacing w:after="0" w:line="274" w:lineRule="auto"/>
        <w:tabs>
          <w:tab w:leader="none" w:pos="282"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Targeting of multiple co-inhibitory receptors or checkpoints, such as those involved in inhibiting T cell responses. </w:t>
      </w:r>
      <w:r>
        <w:rPr>
          <w:rFonts w:ascii="Arial" w:cs="Arial" w:eastAsia="Arial" w:hAnsi="Arial"/>
          <w:sz w:val="16"/>
          <w:szCs w:val="16"/>
          <w:color w:val="auto"/>
        </w:rPr>
        <w:t>The immune system generally prevents the development of autoimmune phenomena by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regulating activated immune cells that have responded to non-self or foreign antigens. This negative feedback loop is triggered by the interactions of co-inhibitory receptors, or checkpoint molecules, expressed on the immune cells with ligands expressed by other cells, such as antigen-presenting cells. This phenomenon is exploited by cancer, whereby tumor cells express checkpoint ligands that block the development of an immune response against the tumor. Antibodies that block the interaction of checkpoint molecules with their ligands have been shown to significantly improve the clinical outcomes of patients with certain advanced cancers. Because of the diversity of immune checkpoint pathways, blockade of a single axis, while clinically significant, as shown in the case of the blockade of the PD-1/PD-L1 axis with pembrolizumab or nivolumab, will not benefit all patients. In fact, combinations of checkpoint inhibitors, such as nivolumab and ipilimumab, a CTLA-4 blocker, have resulted in significantly enhanced benefit compared to ipilimumab or nivolumab alone. We believe that DART molecules targeting two immunoregulatory pathways, such as two checkpoints in a single molecule, could afford the clinical benefit of the combination together with the potential for synergistic activity, as well as significant advantages in manufacturing, simplified clinical development, and enhanced patient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-4914265</wp:posOffset>
            </wp:positionV>
            <wp:extent cx="1568450" cy="5374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8450" cy="537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In addition to the ability to tailor a DART molecule's valency, we have the capacity to modify the strength by which the binding sites attach to their targets and the molecule's half-life in the blood circulation after delivery to a patient. Furthermore, when an Fc domain is coupled with a DART molecule, additional changes can be included that can modulate the DART molecule's engagement with different immune cells.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4" w:name="page15"/>
    <w:bookmarkEnd w:id="14"/>
    <w:p>
      <w:pPr>
        <w:ind w:right="120" w:firstLine="648"/>
        <w:spacing w:after="0" w:line="277" w:lineRule="auto"/>
        <w:rPr>
          <w:sz w:val="20"/>
          <w:szCs w:val="20"/>
          <w:color w:val="auto"/>
        </w:rPr>
      </w:pPr>
      <w:r>
        <w:rPr>
          <w:rFonts w:ascii="Arial" w:cs="Arial" w:eastAsia="Arial" w:hAnsi="Arial"/>
          <w:sz w:val="18"/>
          <w:szCs w:val="18"/>
          <w:color w:val="auto"/>
        </w:rPr>
        <w:t>We are currently developing product candidates using this technology, including lorigerlimab, MGD024, tebotelimab, MGD014 and MGD020 in clinical trials, as well as others in preclinical development.</w:t>
      </w:r>
    </w:p>
    <w:p>
      <w:pPr>
        <w:spacing w:after="0" w:line="116"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We have also advanced beyond our DART platform to establish a TRIDENT platform, which reflects the continuing evolution of our multi-specific antibody-based targeting expertise. Built on the DART module, the trivalent TRIDENT platform incorporates in an Ig-like format an additional domain capable of engaging an independent antigen. With the inclusion of a third targeting arm, TRIDENT molecules enable a broader range of mechanisms of action than bispecific targeting, allowing, for instance, the engagement of multiple antigens on a single or on different cells or enabling enhanced target selectivity by modulating the avidity of one of two antigens. Product candidates using this technology are currently in preclinical development.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Fc Optimization Platform: Our Proprietary Approach to Enhance Immune-Mediated Cancer Cell Killing</w:t>
      </w:r>
    </w:p>
    <w:p>
      <w:pPr>
        <w:spacing w:after="0" w:line="171"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To enhance the body's immune ability, we developed our Fc Optimization platform which introduces certain mutations into the Fc region of an antibody and is able to modulate antibody interaction with immune effector cells. Such interaction enhances the body's immune ability to mediate the killing of cancer cells through antibody-dependent cellular cytotoxicity (ADCC).</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120015</wp:posOffset>
            </wp:positionV>
            <wp:extent cx="1851660" cy="1586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166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Fc region mediates the function of IgG antibodies by binding to different activating and inhibitory receptors, referred to as FcγRs, on immune effector cells found within the innate immune system. By engineering Fc regions to bind with an increased affinity to the activating FcγRs and with a reduced affinity to the inhibitory FcγRs, we have been able to impart a more effective immune response and improve effector functions, such as ADCC. This is another example in which small changes in antibody structure can confer improvements on normal immune processes.</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established a proprietary platform to engineer, screen, identify and test antibodies' Fc regions with customizable activity. In particular, we have licenses to use transgenic mice that express human FcγRs. These mice can be used for in vivo testing of antibodies that incorporate Fc domain variants, including those antibodies intended for cancer therapy.</w:t>
      </w:r>
    </w:p>
    <w:p>
      <w:pPr>
        <w:spacing w:after="0" w:line="130"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To date, we have successfully incorporated our Fc variants in two of our antibody-based molecules, margetuximab and enoblituzumab. In vitro, the modified Fc region of margetuximab increases binding to the activating Fc receptor FCGR3A (CD16A) and decreases binding to the inhibitor Fc receptor FCGR2B (CD32B). These changes lead to greater in vitro ADCC and NK cell activation. The clinical significance of in vitro data is unknown.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ADC Platforms</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licensed ADC platforms from collaboration partners to leverage their past investment in proprietary linker-toxin technology and know-how. While we don’t necessarily believe there is a single best linker-toxin technology capable of addressing all targets and indications, we have selected what we believe are best-in-class technologies for construction of each of our ADC product candidates. For example, to date we have utilized linker-toxin payloads developed by Byondis for vobra duo, by ImmunoGen for IMGC936 and by Synaffix B.V. (Synaffix) for multiple, non-disclosed preclinical molecules. Utilizing Synaffix’s ADC technology, we anticipate submitting an Investigational New Drug (IND) application for an undisclosed ADC product candidate in late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Throughout our company's history, we have entered into collaborations with other biopharmaceutical companies and plan to continue to do so. We enter into collaborations when there is a strategic advantage to us and when we believe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financial terms of the collaboration are favorable for meeting our short-term and long-term strategic objectives. We are not dependent upon any one of these collaborations, but in many cases, we have rights to receive sales royalties and other significant financial payments if the partnered product candidates achieve certain development and sales milestones. We endeavor to establish collaborations that preserve our right to participate in future commercialization, for example by securing co-promotion or profit-sharing rights under certain circumstances.</w:t>
      </w:r>
    </w:p>
    <w:p>
      <w:pPr>
        <w:spacing w:after="0" w:line="13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Each of our collaborations has a unique set of terms and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strive to protect the proprietary technologies that we believe are important to our business, including seeking and maintaining patents intended to protect, for example, the composition of matter of our product candidates, their methods of use, the technology platforms used to generate them, related technologies and/or other aspects of the inventions that are important to our business. We also rely on trade secrets, confidentiality and invention assignment agreements and careful monitoring of our proprietary information to protect aspects of our business that are not amenable to, or that we do not consider appropriate for, patent protection.</w:t>
      </w:r>
    </w:p>
    <w:p>
      <w:pPr>
        <w:spacing w:after="0" w:line="13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In addition, there is cost and risk to our business in defending and enforcing our patents, maintaining our licenses to use intellectual property owned by third parties and preserving the confidentiality of our trade secrets and operating without infringing the valid and enforceable patents and other proprietary rights of third parties. We also rely on know-how, continuing technological innovation and in-licensing opportunities to develop, strengthen and maintain our proprietary positions. We currently use multiple industry-standard patent monitoring systems to monitor new United States Patent and Trademark Office (USPTO) filings for any applications by third parties that may infringe on our patents.</w:t>
      </w:r>
    </w:p>
    <w:p>
      <w:pPr>
        <w:spacing w:after="0" w:line="11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by the courts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narrowed, circumvented or invalidated by third parties.</w:t>
      </w:r>
    </w:p>
    <w:p>
      <w:pPr>
        <w:spacing w:after="0" w:line="13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 third party may hold patents or other intellectual property rights that are important to or necessary for the development of our product candidates or use of our technology platforms. It may be necessary for us to use the patented or proprietary technology of third parties to commercialize our product candidates, in which case we would be required to obtain a license from these third parties on commercially reasonable terms, or our business could be harmed, possibly materially. For example, certain patents held by third parties cover Fc engineering methods and mutations in Fc regions to enhance the binding of Fc regions to Fc receptors on immune cells. Although we believe that these patents are not infringed, invalid, and unenforceable, should a court find that they cover margetuximab or enoblituzumab and we are unable to invalidate them, or if licenses for them are not available on commercially reasonable terms, our business could be harmed, perhaps materially.</w:t>
      </w:r>
    </w:p>
    <w:p>
      <w:pPr>
        <w:spacing w:after="0" w:line="123"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Because patent applications in the United States and certain other jurisdictions can be maintained in secrecy for 18 months or potentially even longer, and because publication of discoveries in the scientific or patent literature often lags behind actual discoveries, we cannot be certain of the priority of inventions covered by pending patent applications. Moreover, we may have to participate in interference proceedings declared by the USPTO to determine priority of invention. In the ordinary course of business we participate in post-grant challenge proceedings, such as oppositions, that challenge the patentability of third party patents. Such proceedings could result in substantial cost, even if the eventual outcome is favorable to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Patent Protection</w:t>
      </w:r>
    </w:p>
    <w:p>
      <w:pPr>
        <w:spacing w:after="0" w:line="17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of December 31, 2022, we held 87 patents in the United States with 45 patent applications pending and 757 patents in other countries of the world with 487 patent applications pending. In addition to patents and patent applications generally providing protection for various aspects of our Fc Optimization, DART, and TRIDENT platforms, we have patent and patent applications for the composition of matter of each of our clinical pipeline product candidates and, in some cases, we also have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other patents and patent application related to various aspects of the technology underlying these product candidates or their methods of use.</w:t>
      </w:r>
    </w:p>
    <w:p>
      <w:pPr>
        <w:spacing w:after="0" w:line="18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Patent terms may be adjusted or extended, as described in greater detail below, in certain circumstances. However, assuming no adjustments or extensions, the primary composition of matter patent for each of our clinical pipeline product candidates is expected to expire in the following timeframes: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shd w:val="clear" w:color="auto" w:fill="D9D9D9"/>
          </w:tcPr>
          <w:p>
            <w:pPr>
              <w:ind w:left="20"/>
              <w:spacing w:after="0"/>
              <w:rPr>
                <w:sz w:val="20"/>
                <w:szCs w:val="20"/>
                <w:color w:val="auto"/>
              </w:rPr>
            </w:pPr>
            <w:r>
              <w:rPr>
                <w:rFonts w:ascii="Arial" w:cs="Arial" w:eastAsia="Arial" w:hAnsi="Arial"/>
                <w:sz w:val="18"/>
                <w:szCs w:val="18"/>
                <w:b w:val="1"/>
                <w:bCs w:val="1"/>
                <w:color w:val="auto"/>
              </w:rPr>
              <w:t>Product or Product Candidate</w:t>
            </w:r>
          </w:p>
        </w:tc>
        <w:tc>
          <w:tcPr>
            <w:tcW w:w="6220" w:type="dxa"/>
            <w:vAlign w:val="bottom"/>
            <w:shd w:val="clear" w:color="auto" w:fill="D9D9D9"/>
          </w:tcPr>
          <w:p>
            <w:pPr>
              <w:ind w:left="2660"/>
              <w:spacing w:after="0"/>
              <w:rPr>
                <w:sz w:val="20"/>
                <w:szCs w:val="20"/>
                <w:color w:val="auto"/>
              </w:rPr>
            </w:pPr>
            <w:r>
              <w:rPr>
                <w:rFonts w:ascii="Arial" w:cs="Arial" w:eastAsia="Arial" w:hAnsi="Arial"/>
                <w:sz w:val="18"/>
                <w:szCs w:val="18"/>
                <w:b w:val="1"/>
                <w:bCs w:val="1"/>
                <w:color w:val="auto"/>
              </w:rPr>
              <w:t>Expiration Date</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margetuximab</w:t>
            </w:r>
          </w:p>
        </w:tc>
        <w:tc>
          <w:tcPr>
            <w:tcW w:w="6220" w:type="dxa"/>
            <w:vAlign w:val="bottom"/>
          </w:tcPr>
          <w:p>
            <w:pPr>
              <w:jc w:val="center"/>
              <w:ind w:left="250"/>
              <w:spacing w:after="0"/>
              <w:rPr>
                <w:sz w:val="20"/>
                <w:szCs w:val="20"/>
                <w:color w:val="auto"/>
              </w:rPr>
            </w:pPr>
            <w:r>
              <w:rPr>
                <w:rFonts w:ascii="Arial" w:cs="Arial" w:eastAsia="Arial" w:hAnsi="Arial"/>
                <w:sz w:val="18"/>
                <w:szCs w:val="18"/>
                <w:color w:val="auto"/>
                <w:w w:val="89"/>
              </w:rPr>
              <w:t>2029</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enoblituzumab</w:t>
            </w:r>
          </w:p>
        </w:tc>
        <w:tc>
          <w:tcPr>
            <w:tcW w:w="6220" w:type="dxa"/>
            <w:vAlign w:val="bottom"/>
          </w:tcPr>
          <w:p>
            <w:pPr>
              <w:jc w:val="center"/>
              <w:ind w:left="250"/>
              <w:spacing w:after="0"/>
              <w:rPr>
                <w:sz w:val="20"/>
                <w:szCs w:val="20"/>
                <w:color w:val="auto"/>
              </w:rPr>
            </w:pPr>
            <w:r>
              <w:rPr>
                <w:rFonts w:ascii="Arial" w:cs="Arial" w:eastAsia="Arial" w:hAnsi="Arial"/>
                <w:sz w:val="18"/>
                <w:szCs w:val="18"/>
                <w:color w:val="auto"/>
                <w:w w:val="89"/>
              </w:rPr>
              <w:t>2031</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retifanlimab</w:t>
            </w:r>
          </w:p>
        </w:tc>
        <w:tc>
          <w:tcPr>
            <w:tcW w:w="6220" w:type="dxa"/>
            <w:vAlign w:val="bottom"/>
          </w:tcPr>
          <w:p>
            <w:pPr>
              <w:jc w:val="center"/>
              <w:ind w:left="250"/>
              <w:spacing w:after="0"/>
              <w:rPr>
                <w:sz w:val="20"/>
                <w:szCs w:val="20"/>
                <w:color w:val="auto"/>
              </w:rPr>
            </w:pPr>
            <w:r>
              <w:rPr>
                <w:rFonts w:ascii="Arial" w:cs="Arial" w:eastAsia="Arial" w:hAnsi="Arial"/>
                <w:sz w:val="18"/>
                <w:szCs w:val="18"/>
                <w:color w:val="auto"/>
                <w:w w:val="89"/>
              </w:rPr>
              <w:t>2036</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tebotelimab</w:t>
            </w:r>
          </w:p>
        </w:tc>
        <w:tc>
          <w:tcPr>
            <w:tcW w:w="6220" w:type="dxa"/>
            <w:vAlign w:val="bottom"/>
          </w:tcPr>
          <w:p>
            <w:pPr>
              <w:jc w:val="center"/>
              <w:ind w:left="250"/>
              <w:spacing w:after="0"/>
              <w:rPr>
                <w:sz w:val="20"/>
                <w:szCs w:val="20"/>
                <w:color w:val="auto"/>
              </w:rPr>
            </w:pPr>
            <w:r>
              <w:rPr>
                <w:rFonts w:ascii="Arial" w:cs="Arial" w:eastAsia="Arial" w:hAnsi="Arial"/>
                <w:sz w:val="18"/>
                <w:szCs w:val="18"/>
                <w:color w:val="auto"/>
                <w:w w:val="93"/>
              </w:rPr>
              <w:t>2036*</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lorigerlimab</w:t>
            </w:r>
          </w:p>
        </w:tc>
        <w:tc>
          <w:tcPr>
            <w:tcW w:w="6220" w:type="dxa"/>
            <w:vAlign w:val="bottom"/>
          </w:tcPr>
          <w:p>
            <w:pPr>
              <w:jc w:val="center"/>
              <w:ind w:left="250"/>
              <w:spacing w:after="0"/>
              <w:rPr>
                <w:sz w:val="20"/>
                <w:szCs w:val="20"/>
                <w:color w:val="auto"/>
              </w:rPr>
            </w:pPr>
            <w:r>
              <w:rPr>
                <w:rFonts w:ascii="Arial" w:cs="Arial" w:eastAsia="Arial" w:hAnsi="Arial"/>
                <w:sz w:val="18"/>
                <w:szCs w:val="18"/>
                <w:color w:val="auto"/>
                <w:w w:val="89"/>
              </w:rPr>
              <w:t>2036</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vobramitamab duocarmazine</w:t>
            </w:r>
          </w:p>
        </w:tc>
        <w:tc>
          <w:tcPr>
            <w:tcW w:w="6220" w:type="dxa"/>
            <w:vAlign w:val="bottom"/>
          </w:tcPr>
          <w:p>
            <w:pPr>
              <w:jc w:val="center"/>
              <w:ind w:left="250"/>
              <w:spacing w:after="0"/>
              <w:rPr>
                <w:sz w:val="20"/>
                <w:szCs w:val="20"/>
                <w:color w:val="auto"/>
              </w:rPr>
            </w:pPr>
            <w:r>
              <w:rPr>
                <w:rFonts w:ascii="Arial" w:cs="Arial" w:eastAsia="Arial" w:hAnsi="Arial"/>
                <w:sz w:val="18"/>
                <w:szCs w:val="18"/>
                <w:color w:val="auto"/>
                <w:w w:val="89"/>
              </w:rPr>
              <w:t>2037</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MGD024</w:t>
            </w:r>
          </w:p>
        </w:tc>
        <w:tc>
          <w:tcPr>
            <w:tcW w:w="6220" w:type="dxa"/>
            <w:vAlign w:val="bottom"/>
          </w:tcPr>
          <w:p>
            <w:pPr>
              <w:jc w:val="center"/>
              <w:ind w:left="250"/>
              <w:spacing w:after="0"/>
              <w:rPr>
                <w:sz w:val="20"/>
                <w:szCs w:val="20"/>
                <w:color w:val="auto"/>
              </w:rPr>
            </w:pPr>
            <w:r>
              <w:rPr>
                <w:rFonts w:ascii="Arial" w:cs="Arial" w:eastAsia="Arial" w:hAnsi="Arial"/>
                <w:sz w:val="18"/>
                <w:szCs w:val="18"/>
                <w:color w:val="auto"/>
                <w:w w:val="93"/>
              </w:rPr>
              <w:t>2039*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pending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Extension and Reference Product Exclusivity</w:t>
      </w:r>
    </w:p>
    <w:p>
      <w:pPr>
        <w:spacing w:after="0" w:line="17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Hatch-Waxman Act permits a patent term extension for FDA-approved drugs, including biological products,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If and when our pharmaceutical product candidates receive FDA approval, we expect to apply, or have applied, for patent term extensions on patents covering those products. We intend to seek, and are seeking, patent term extensions to our issued patents in any jurisdiction where these are available. For example, we have submitted a request to obtain patent term extension of U.S. Patent No. 8,802,093, the primary composition of matter patent for margetuximab. However, there is no guarantee that the applicable authorities, including the FDA in the United States, will agree with our assessment of whether such extensions should be granted, and even if granted, the length of such extensions.</w:t>
      </w:r>
    </w:p>
    <w:p>
      <w:pPr>
        <w:spacing w:after="0" w:line="20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Patient Protection and Affordable Care Act, as amended by the Healthcare and Education Affordability Reconciliation Act (collectively the ACA) created a regulatory scheme authorizing the FDA to approve biosimilars via an abbreviated licensure pathway. In many cases, this allows biosimilars to be brought to market without conducting the full suite of clinical trials typically required of originators. Under the ACA, a manufacturer may submit an application for licensure of a biologic product that is "biosimilar to" or "interchangeable with" a previously approved biological product or "reference product." The "biosimilar" application must include specific information demonstrating biosimilarity based on data derived from: (1) analytical studies, (2) animal studies, and (3) a clinical study or studies that are sufficient to demonstrate safety, purity, and potency in one or more appropriate conditions of use for which the reference product is licensed, except that FDA may waive some of these requirements for a given application. Under this new statutory scheme, an application for a biosimilar product may not be submitted to the FDA until four years after the date of first licensure. The FDA may not approve a biosimilar product until 12 years from the date on which the reference product was first licensed. The law does not change the duration of patents granted on biological products.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There have been persistent proposals to repeal or modify the ACA and it is uncertain how any of those proposals, if in the future approved, would affect these provisions.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right="120"/>
        <w:spacing w:after="0" w:line="254" w:lineRule="auto"/>
        <w:rPr>
          <w:sz w:val="20"/>
          <w:szCs w:val="20"/>
          <w:color w:val="auto"/>
        </w:rPr>
      </w:pPr>
      <w:r>
        <w:rPr>
          <w:rFonts w:ascii="Arial" w:cs="Arial" w:eastAsia="Arial" w:hAnsi="Arial"/>
          <w:sz w:val="18"/>
          <w:szCs w:val="18"/>
          <w:color w:val="auto"/>
        </w:rPr>
        <w:t>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In-Licensed Intellectual Property</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entered into patent and know-how license agreements that grant us the rights to use certain technologies related to biological manufacturing for our commercial and clinical product candidates, such as but not limited to technology related to the conjugation of cytotoxic payloads to our antibody drugs. We anticipate using these technologies for future product candidates. These licensors have businesses dedicated to licensing this type of technology and we anticipate that licenses to use these technologies for our future products will be available. The licenses typically include yearly maintenance payments and sales royalties, and may also include upfront payments or milestone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currently manufacture drug substance for most of our clinical trials at our manufacturing facility located in Rockville, Maryland. We also rely on contract manufacturers, including Byondis, Synaffix and Millipore Sigma, for producing components of our ADC candidates. We have supplemented our drug substance manufacturing capacity through an arrangement with AGC Biologics, Inc. (AGC, formerly CMC Biologics, Inc.), a contract manufacturing organization, and commercially produced initial margetuximab commercial supply and inventory at AGC. In October 2021, the FDA approved the BLA supplement to add our commercial manufacturing site at 9704 Medical Center Drive in Rockville, Maryland as a licensed manufacturing site for margetuximab drug substance. We commercially produce material for MARGENZA as well as intend to commercially produce our and partner’s product candidates when and if approved by the FDA. In addition, we currently rely on and will continue to rely on contract fill-finish service providers, primarily Ajinomoto Bio-Pharma Services and Baxter Healthcare Corporation, to fulfill our fill-finish needs for our current and future product candidates.</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Most of the principal materials we use in our manufacturing operations are available from more than one source. However, we obtain certain raw materials principally from only one source. In the event one of these suppliers was unable to provide the materials or product, we generally seek to maintain sufficient inventory to supply the market until an alternative source of supply can be implemented. However, in the event of an extended failure of a supplier or general national supply chain disruption, it is possible that we could experience an interruption in supply until we established new sources or, in some cases, implemented alternative processes.</w:t>
      </w:r>
    </w:p>
    <w:p>
      <w:pPr>
        <w:spacing w:after="0" w:line="13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Production processes for biological therapeutic products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our own facility, extended failure of a contract supplier or contract manufacturing organization, or extraordinary unplanned increases in demand, we could experience an interruption in supply of certain products or product shortages until production could be resumed or expanded.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MARGENZA is currently our only approved product in the U.S. In November 2020, we partnered with Eversana, a pioneer of next-generation commercial services to the global life sciences industry, to commercialize margetuximab in the U.S. by leveraging their integrated commercial services. Under the terms of the agreement, we maintain ownership of margetuximab, including all manufacturing, regulatory and development responsibilities for the product. Eversana received a co-exclusive right to conduct approved commercialization activities. Eversana utilizes its internal capabilities to support sales and marketing, market access, channel management services, data and analytics, medical affairs, and other patient access related services; we book MARGENZA sales. We and Eversana equally share in funding Eversana’s commercialization expenses. In exchange for co-funding these expenses, Eversana is eligible to earn future revenue share payments which shall be capped at 125% of Eversana’s cumulative service fees. The term of the agreement is five years following the date of FDA approval, subject to predefined termination provisions.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ind w:right="120" w:firstLine="648"/>
        <w:spacing w:after="0" w:line="254" w:lineRule="auto"/>
        <w:rPr>
          <w:sz w:val="20"/>
          <w:szCs w:val="20"/>
          <w:color w:val="auto"/>
        </w:rPr>
      </w:pPr>
      <w:r>
        <w:rPr>
          <w:rFonts w:ascii="Arial" w:cs="Arial" w:eastAsia="Arial" w:hAnsi="Arial"/>
          <w:sz w:val="18"/>
          <w:szCs w:val="18"/>
          <w:color w:val="auto"/>
        </w:rPr>
        <w:t>We cannot market or promote a new product in a country until a marketing application has been approved by the appropriate regulatory authority for that jurisdiction. Subject to receiving marketing authorization in a jurisdiction, we believe we will be able to commercialize in that market through arrangements with third-party commercial partners. Other than through our arrangement with Eversana for MARGENZA, we have not established a sales, marketing or distribution capabilities. If we are unable to enter into third-party commercial arrangements for other product candidates with respect to the United States, we believe that we could potentially put in place an appropriately sized organization to commercialize our approved product or products. Outside the United States, our strategy is to enter into arrangements with third-party commercial partners for any of our product candidates that obtain marketing approval.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There are a large number of companies developing or marketing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 In particular, MARGENZA is directed against HER2 and many companies have cancer therapeutics directed against HER2 that are either currently approved and on the market or may be in development, such as F. Hoffmann-La Roche Ltd and Hoffmann-La Roche Inc. (Roche), particularly through its affiliate, Genentech, Inc., as well as Puma Biotechnology, Inc., Daiichi Sankyo Company, Limited and AstraZeneca plc. (AstraZeneca), Seagen Inc., Zymeworks, Inc., Shanghai Hengrui Pharmaceutical, and Byondis, many of which have significantly greater resources than we do. Market competition has limited the utilization of MARGENZA as a therapeutic, and these competitors as well as biosimilar trastuzumab competition may limit such utilization in the future.</w:t>
      </w:r>
    </w:p>
    <w:p>
      <w:pPr>
        <w:spacing w:after="0" w:line="20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the immuno-oncology field is competitive, with treatments currently approved and, on the market, or in development for various tumor types and patient populations from a variety of different companies such as Merck &amp; Co., Inc. (Merck), The Bristol-Myers Squibb Company (BMS), and Roche, all of which have significantly greater resources than we do. Many of our pipeline programs, if successful, will likely face significant competition both by therapeutics that are already being marketed as well as those that will be approved for marketing before our programs. In particular, we are developing PD-1-directed product candidates, including a monoclonal antibody that we have outlicensed and two DART molecules. Merck, BMS, Roche, AstraZeneca, Pfizer Inc., Merck KGaA, and Regeneron Pharmaceuticals, Inc. all have approved products that target either the PD-1 receptor or its ligand, PD-L1, and there are several other companies that have anti-PD-1 or anti-PD-L1 antibodies in clinical development, all of which would compete with our PD-1-directed programs. In addition, these and other companies are developing product candidates directed against other immuno-oncology targets that we are pursuing through our bispecific approaches.</w:t>
      </w:r>
    </w:p>
    <w:p>
      <w:pPr>
        <w:spacing w:after="0" w:line="12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Further, several companies are also developing therapeutics that work by targeting multiple specificities using a single recombinant molecule. Amgen Inc. has obtained marketing approval for one product that works by targeting antigens both on immune effector cell populations and those expressed on certain cancer cells, and has other product candidates in development that use this mechanism. In addition, other companies are developing new treatments for cancer that utilize multi-specific approaches, including Abbvie Inc., Affimed N.V., Eli Lilly and Company, Genmab A/S, Merus B.V., Regeneron, Roche, AstraZeneca, Xencor, Inc. and Zymeworks, Inc.</w:t>
      </w:r>
    </w:p>
    <w:p>
      <w:pPr>
        <w:spacing w:after="0" w:line="134"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Finally, our competition in the contract development and manufacturing organization (CDMO) market includes a number of full-service contract manufacturers and large pharmaceutical companies offering third-party development and manufacturing services to fill their excess capacity. Large pharmaceutical companies have been seeking to divest portions of their manufacturing capacity, and any such divested businesses may compete with us in the future. In addition, most of our competitors have substantially greater financial, marketing, technical or other resources than we do.</w:t>
      </w:r>
    </w:p>
    <w:p>
      <w:pPr>
        <w:spacing w:after="0" w:line="18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Many of our competitors have significantly greater financial, manufacturing, marketing, drug development, technical and human resources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3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key competitive factors affecting the success of all of our therapeutic product candidates, if approved, are likely to be their efficacy, safety, dosing convenience, price, the effectiveness of companion diagnostics in guiding the use of related therapeutics, the level of generic or biosimilar competition and the availability of reimbursement from government and other third-party payors. In addition, the standard of medical care provided to cancer patients continues to evolve as more scientific and medical information becomes available. These changes in medical care relate to pharmaceutical products, but are also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affected by other factors, and such changes can positively or negatively affect the prospects of our product candidates as well as those of our competitors.</w:t>
      </w:r>
    </w:p>
    <w:p>
      <w:pPr>
        <w:spacing w:after="0" w:line="19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effects, are more convenient or are less expensive than any products that we may develop, or the standards of care for cancer patients change while our clinical trials are ongoing.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Biosimilar products are expected to become available over the coming years. For example, trastuzumab biosimilars have been approved in the U.S. by the FDA.</w:t>
      </w:r>
    </w:p>
    <w:p>
      <w:pPr>
        <w:spacing w:after="0" w:line="1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most common methods of treating patients with cancer are surgery, radiation and drug therapy. There are a variety of available drug therapies marketed for cancer. Many of these approved drugs are well established therapies and are widely accepted by physicians, patients and third-party payors. In many cases, these drugs are administered in combination to enhance efficacy. While our product candidates may compete with many existing drug and other therapies, to the extent an approved drug is ultimately used in combination with or as an adjunct to these therapies, our product candidates will not be competitive with the approved drug.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7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packaging, storage, recordkeeping, labeling, advertising, promotion, distribution, pricing, reimbursement, marketing, import and export of pharmaceutical products such as those we are developing. The processes for obtaining regulatory approvals in the United States and in foreign countries, along with subsequent compliance with applicable statutes and regulations, require the expenditure of substantial time and financial resources.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All of our current product candidates are subject to regulation in the United States by the FDA as biological products (biologics). The FDA subjects biologics to extensive pre- and post-market regulation. The Public Health Service Act,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approve pending BLAs, withdrawal of approvals, clinical holds, warning letters, product recalls, product seizures, total or partial suspension of production or distribution, injunctions, fines, civil penalties, or criminal penalties.</w:t>
      </w:r>
    </w:p>
    <w:p>
      <w:pPr>
        <w:spacing w:after="0" w:line="123"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i w:val="1"/>
          <w:iCs w:val="1"/>
          <w:color w:val="auto"/>
        </w:rPr>
        <w:t>Preclinical Studies</w:t>
      </w:r>
      <w:r>
        <w:rPr>
          <w:rFonts w:ascii="Arial" w:cs="Arial" w:eastAsia="Arial" w:hAnsi="Arial"/>
          <w:sz w:val="18"/>
          <w:szCs w:val="18"/>
          <w:color w:val="auto"/>
        </w:rPr>
        <w:t>. Drug development in our industry is complex, challenging and risky; failure rates are high. Product development cycles are</w:t>
      </w:r>
      <w:r>
        <w:rPr>
          <w:rFonts w:ascii="Arial" w:cs="Arial" w:eastAsia="Arial" w:hAnsi="Arial"/>
          <w:sz w:val="18"/>
          <w:szCs w:val="18"/>
          <w:i w:val="1"/>
          <w:iCs w:val="1"/>
          <w:color w:val="auto"/>
        </w:rPr>
        <w:t xml:space="preserve"> </w:t>
      </w:r>
      <w:r>
        <w:rPr>
          <w:rFonts w:ascii="Arial" w:cs="Arial" w:eastAsia="Arial" w:hAnsi="Arial"/>
          <w:sz w:val="18"/>
          <w:szCs w:val="18"/>
          <w:color w:val="auto"/>
        </w:rPr>
        <w:t>long - approximately 10 to 15 years from discovery to market. A potential new biological product must undergo many years of preclinical and clinical testing to establish it is pure, potent and safe.</w:t>
      </w:r>
    </w:p>
    <w:p>
      <w:pPr>
        <w:spacing w:after="0" w:line="13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Preclinical studies include laboratory evaluation of product chemistry, formulation and toxicity, pharmacology, as well as animal trials to assess the characteristics and potential safety and efficacy of the product. The conduct of the preclinical tests must comply with federal regulations and requirements including the FDA's good laboratory practice (GLP) regulations and the U.S. Department of Agriculture's regulations implementing the Animal Welfare Act. After laboratory analysis and preclinical testing in animals, we file an IND application with the FDA to begin human testing. An IND sponsor must submit the results of the preclinical tests, together with manufacturing information, analytical data, any available clinical data or literature, and a proposed clinical trial protocol, among other things, to the FDA as part of an IND application. Certain preclinical tests, such as animal tests of reproductive toxicity and carcinogenicity, may continue even after the IND application is submitted. An IND application automatically becomes effective 30 days after receipt by the FDA, unless before that time the FDA raises concerns or questions related to one or more proposed clinical trials and places the clinical trial on a clinical hold or agrees on an alternate approach with us. In such a case, the IND sponsor and the FDA must resolve any outstanding concerns before the IND application is cleared and the clinical trial can begin. As a result, submission of an IND application may not result in the FDA allowing clinical trials to commence.</w:t>
      </w:r>
    </w:p>
    <w:p>
      <w:pPr>
        <w:spacing w:after="0" w:line="12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Clinical Development</w:t>
      </w:r>
      <w:r>
        <w:rPr>
          <w:rFonts w:ascii="Arial" w:cs="Arial" w:eastAsia="Arial" w:hAnsi="Arial"/>
          <w:sz w:val="18"/>
          <w:szCs w:val="18"/>
          <w:color w:val="auto"/>
        </w:rPr>
        <w:t>. Clinical trials involve the administration of the investigational drug to human subjects (healthy volunteers or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supervision of a qualified investigator. Clinical trials must be conducted: (i) in compliance with all applicable federal regulations and guidance, including those pertaining to good clinical practice (GCP) standards that are meant to protect the rights, safety, and welfare of human subjects and to define the roles of clinical trial sponsors,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0" w:name="page21"/>
    <w:bookmarkEnd w:id="20"/>
    <w:p>
      <w:pPr>
        <w:spacing w:after="0" w:line="290" w:lineRule="auto"/>
        <w:rPr>
          <w:sz w:val="20"/>
          <w:szCs w:val="20"/>
          <w:color w:val="auto"/>
        </w:rPr>
      </w:pPr>
      <w:r>
        <w:rPr>
          <w:rFonts w:ascii="Arial" w:cs="Arial" w:eastAsia="Arial" w:hAnsi="Arial"/>
          <w:sz w:val="16"/>
          <w:szCs w:val="16"/>
          <w:color w:val="auto"/>
        </w:rPr>
        <w:t>investigators, and monitors; as well as (ii) under protocols detailing, among other things, the objectives of the trial, the parameters to be used in monitoring safety, and the effectiveness criteria to be evaluated. Each protocol involving testing of a new drug in the United States (whether in patients or healthy volunteers) must be included in the IND application submission, and the FDA must be notified of subsequent protocol amendments. In addition, the protocol must be reviewed and approved by an institutional review board (IRB) and all study subjects must provide informed consent prior to participating in the study. Typically, each institution participating in the clinical trial will require review of the protocol before any clinical trial commences at that institution. Information about certain clinical trials must be submitted within specific timeframes to the National Institutes of Health (NIH) for public dissemination on their ClinicalTrials.gov website. Progress reports detailing the results of the clinical trials must be submitted at least annually to the FDA and there are additional, more frequent reporting requirements for suspected unexpected serious adverse events.</w:t>
      </w:r>
    </w:p>
    <w:p>
      <w:pPr>
        <w:spacing w:after="0" w:line="1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 study sponsor might choose to discontinue a clinical trial or a clinical development program for a variety of reasons. The FDA may impose a temporary or permanent clinical hold, or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spacing w:after="0" w:line="11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Clinical trials to support BLAs for marketing approval are typically conducted in three pre-approval phases, but the phases may overlap or be combined, particularly in testing for oncology indications. In Phase 1, testing is conducted in a small group of subjects who may be patients with the target disease or condition or healthy volunteers, to evaluate its safety, determine a safe dosage range, and identify side effects. In Phase 2, the drug is given to a larger group of subjects with the target condition to further evaluate its safety and gather preliminary evidence of efficacy. Phase 3 studies typically last multiple years for oncology indications. In Phase 3, the drug is given to a large group of subjects with the target disease or condition (several hundred to several thousand), often at multiple geographical sites, to confirm its effectiveness, monitor side effects, and collect data to support drug approval. In some cases, the FDA may require post-market studies, known as Phase 4 studies, to be conducted as a condition of approval in order to gather additional information on the drug's effect in various populations and any side effects associated with long-term use. Depending on the risks posed by the drugs, other post-market requirements may be imposed. Only a small percentage of investigational drugs complete all three phases and obtain marketing approval.</w:t>
      </w:r>
    </w:p>
    <w:p>
      <w:pPr>
        <w:spacing w:after="0" w:line="1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Product Approval</w:t>
      </w:r>
      <w:r>
        <w:rPr>
          <w:rFonts w:ascii="Arial" w:cs="Arial" w:eastAsia="Arial" w:hAnsi="Arial"/>
          <w:sz w:val="18"/>
          <w:szCs w:val="18"/>
          <w:color w:val="auto"/>
        </w:rPr>
        <w:t>. After completion of the required clinical testing, a BLA can be prepared and submitted to the FDA. FDA approval of the BLA</w:t>
      </w:r>
      <w:r>
        <w:rPr>
          <w:rFonts w:ascii="Arial" w:cs="Arial" w:eastAsia="Arial" w:hAnsi="Arial"/>
          <w:sz w:val="18"/>
          <w:szCs w:val="18"/>
          <w:i w:val="1"/>
          <w:iCs w:val="1"/>
          <w:color w:val="auto"/>
        </w:rPr>
        <w:t xml:space="preserve"> </w:t>
      </w:r>
      <w:r>
        <w:rPr>
          <w:rFonts w:ascii="Arial" w:cs="Arial" w:eastAsia="Arial" w:hAnsi="Arial"/>
          <w:sz w:val="18"/>
          <w:szCs w:val="18"/>
          <w:color w:val="auto"/>
        </w:rPr>
        <w:t>is required before marketing of the product may begin in the United States. The BLA must include the results of preclinical, clinical and other testing and a compilation of data relating to the product's chemistry, manufacture and controls. The cost of preparing and submitting a BLA is substantial. Under federal law, the submission of most BLAs is additionally subject to a substantial application user fee, and annual program user fees also apply. These fees are typically increased annually.</w:t>
      </w:r>
    </w:p>
    <w:p>
      <w:pPr>
        <w:spacing w:after="0" w:line="13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FDA has 60 days from its receipt of a BLA to determine whether the application will be accepted for filing based on the FDA's threshold determination that it is sufficiently complete to permit substantive review. Once the submission is accepted for filing, the FDA begins a substantive review, and the review period under the PDUFA begins. The standard for reviewing a BLA is whether the product is safe, pure and potent, which has been interpreted to include that the product is safe and effective and has a favorable benefit-risk profile. The FDA's current performance goals call for the FDA to complete review of 90 percent of standard (non-priority) BLAs within 10 months of filing and within six months for priority BLAs, which is 12 months and eight months, respectively, if the 60-day review of the initial application is included in the timeline. In addition, the FDA has developed approaches intended to make certain qualifying products available to patients rapidly - Priority Review, Breakthrough Therapy, Accelerated Approval, and Fast Track. While the timelines for approval under these pathways may be shorter, there are requirements and conditions associated with each pathway, and there can be no assurance that any of our investigational products will be able to meet the conditions or requirements necessary to receive any such designation or be able to receive the review or approval benefits associated with such designations.</w:t>
      </w:r>
    </w:p>
    <w:p>
      <w:pPr>
        <w:spacing w:after="0" w:line="13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FDA may refer applications for novel products or products that present difficult questions of safety or efficacy to an advisory committee, typically a panel that includes outside clinicians and other experts, for review, evaluation and a recommendation as to whether sufficient data exist in the application to support product approval. The FDA is not bound by the recommendation of an advisory committee, but it generally gives significant deference to such recommendations.</w:t>
      </w:r>
    </w:p>
    <w:p>
      <w:pPr>
        <w:spacing w:after="0" w:line="13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Before approving a BLA, the FDA will typically inspect one or more clinical sites and possibly the sponsor itself to assure compliance with GCP. Additionally, the FDA will typically inspect the facility or the facilities at which the drug is manufactured. The FDA will not approve the product unless compliance with current Good Manufacturing Practices (cGMPs) is satisfactory. The FDA also reviews the proposed labeling submitted with the BLA and typically requires changes in the labeling text.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1" w:name="page22"/>
    <w:bookmarkEnd w:id="21"/>
    <w:p>
      <w:pPr>
        <w:ind w:right="320" w:firstLine="648"/>
        <w:spacing w:after="0" w:line="257" w:lineRule="auto"/>
        <w:rPr>
          <w:sz w:val="20"/>
          <w:szCs w:val="20"/>
          <w:color w:val="auto"/>
        </w:rPr>
      </w:pPr>
      <w:r>
        <w:rPr>
          <w:rFonts w:ascii="Arial" w:cs="Arial" w:eastAsia="Arial" w:hAnsi="Arial"/>
          <w:sz w:val="18"/>
          <w:szCs w:val="18"/>
          <w:color w:val="auto"/>
        </w:rPr>
        <w:t>After the FDA evaluates the BLA and the manufacturing and testing facilities, it issues either an approval letter or a complete response letter. Complete response letters generally outline the deficiencies in the submission and delineate the additional testing or information needed in order for the FDA to reconsider the application. If and when deficiencies outlined in a complete response letter have been addressed to the FDA's satisfaction in a resubmission of the BLA, the FDA will issue an approval letter. The FDA has committed to reviewing 90 percent of resubmissions within two or six months from receipt depending on the type of information included.</w:t>
      </w:r>
    </w:p>
    <w:p>
      <w:pPr>
        <w:spacing w:after="0" w:line="13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 approval letter authorizes commercial marketing of the drug for the approved indication or indications and the other conditions of use set out in the approved prescribing information. Once granted, product approvals may be withdrawn if compliance with regulatory standards is not maintained or problems are identified following initial marketing.</w:t>
      </w:r>
    </w:p>
    <w:p>
      <w:pPr>
        <w:spacing w:after="0" w:line="13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As a condition of BLA approval, the FDA may require substantial post-approval testing and surveillance to monitor the drug's safety or efficacy and may impose other conditions, including labeling restrictions that can materially affect the potential market and profitability of the product. As a condition of approval, or after approval, the FDA also may require submission of a risk evaluation and mitigation strategy (REMS) to mitigate any identified or suspected serious risks. The REMS may include medication guides, physician communication plans, assessment plans, and elements to assure safe use, such as restricted distribution methods, patient registries, or other risk minimization tools.</w:t>
      </w:r>
    </w:p>
    <w:p>
      <w:pPr>
        <w:spacing w:after="0" w:line="12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Other U.S. Post-Marketing Regulatory Requirements</w:t>
      </w:r>
      <w:r>
        <w:rPr>
          <w:rFonts w:ascii="Arial" w:cs="Arial" w:eastAsia="Arial" w:hAnsi="Arial"/>
          <w:sz w:val="18"/>
          <w:szCs w:val="18"/>
          <w:color w:val="auto"/>
        </w:rPr>
        <w:t>. Once a BLA is approved, a product will be subject to certain post-approval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those relating to advertising, promotion, adverse event reporting, recordkeeping, and cGMPs, as well as registration, listing, and inspection. There also are continuing, annual program user fee requirements for marketed products, as well as new application fees for supplemental applications with clinical data.</w:t>
      </w:r>
    </w:p>
    <w:p>
      <w:pPr>
        <w:spacing w:after="0" w:line="13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FDA regulates the content and format of prescription drug labeling, advertising, and promotion, including direct-to-consumer advertising and promotional Internet communications. The FDA also establishes parameters for permissible non-promotional communications between industry and the medical community, including industry-supported scientific and educational activities. The FDA and other agencies actively enforce the laws and regulations prohibiting the promotion for uses not consistent with the approved labeling, and a company that is found to have improperly promoted off-label uses or otherwise not to have met applicable promotion rules may be subject to significant liability under both the FDCA and other statutes, including the False Claims Act. See "Other Healthcare Laws and Compliance Requirements" below for more information.</w:t>
      </w:r>
    </w:p>
    <w:p>
      <w:pPr>
        <w:spacing w:after="0" w:line="12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All aspects of pharmaceutical manufacture must conform to cGMPs after approval. Drug manufacturers and certain of their subcontractors are required to register their establishments with the FDA and certain state agencies, and are subject to periodic unannounced inspections by the FDA during which the FDA inspects manufacturing facilities to assess compliance with cGMPs. Changes to the manufacturing process are strictly regulated and often require prior FDA approval before being implemented.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areas of production and quality control to maintain compliance with cGMPs.</w:t>
      </w:r>
    </w:p>
    <w:p>
      <w:pPr>
        <w:spacing w:after="0" w:line="11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Products may be marketed only for the approved indications and in accordance with the provisions of the approved labeling. Changes to some of the conditions established in an approved application, including changes in indications, labeling, product formulation or manufacturing processes or facilities, require submission and FDA approval of a new BLA or BLA supplement, in some cases before the change may be implemented. A BLA supplement for a new indication typically requires clinical data similar to that in the original application, and the FDA uses the same procedures and actions in reviewing BLA supplements as it does in reviewing BLAs.</w:t>
      </w:r>
    </w:p>
    <w:p>
      <w:pPr>
        <w:spacing w:after="0" w:line="13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Manufacturers are subject to requirements for adverse event reporting and submission of periodic reports following FDA approval of a BLA. Later discovery of previously unknown problems with a product, including adverse events of unanticipated severity or frequency, or with manufacturing processes, or failure to comply with regulatory requirements, or failure of Phase 4 studies to meet their specified endpoints, may result in revisions to the approved labeling to add new safety information, the need to conduct additional post-market studies or clinical trials to assess new safety risks, imposition of distribution or other restrictions under a REMS program, or recall of the product and withdrawal of the BLA.</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Noncompliance with post-marketing requirements can result in one or more of the following consequences:</w:t>
      </w:r>
    </w:p>
    <w:p>
      <w:pPr>
        <w:spacing w:after="0" w:line="171"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82" w:lineRule="exact"/>
        <w:rPr>
          <w:rFonts w:ascii="Arial" w:cs="Arial" w:eastAsia="Arial" w:hAnsi="Arial"/>
          <w:sz w:val="17"/>
          <w:szCs w:val="17"/>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Holds on post-approval clinical trials;</w:t>
      </w:r>
    </w:p>
    <w:p>
      <w:pPr>
        <w:spacing w:after="0" w:line="171"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Refusal of the FDA to approve pending BLAs or supplements to approved BLAs, or suspension or revocation of product license approvals;</w:t>
      </w:r>
    </w:p>
    <w:p>
      <w:pPr>
        <w:spacing w:after="0" w:line="194" w:lineRule="exact"/>
        <w:rPr>
          <w:rFonts w:ascii="Arial" w:cs="Arial" w:eastAsia="Arial" w:hAnsi="Arial"/>
          <w:sz w:val="16"/>
          <w:szCs w:val="16"/>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71"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3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Approval of Biosimilars</w:t>
      </w:r>
      <w:r>
        <w:rPr>
          <w:rFonts w:ascii="Arial" w:cs="Arial" w:eastAsia="Arial" w:hAnsi="Arial"/>
          <w:sz w:val="18"/>
          <w:szCs w:val="18"/>
          <w:color w:val="auto"/>
        </w:rPr>
        <w:t>. The ACA authorized the FDA to approve biosimilars via a separate, abbreviated pathway. In many cases, this allows</w:t>
      </w:r>
      <w:r>
        <w:rPr>
          <w:rFonts w:ascii="Arial" w:cs="Arial" w:eastAsia="Arial" w:hAnsi="Arial"/>
          <w:sz w:val="18"/>
          <w:szCs w:val="18"/>
          <w:i w:val="1"/>
          <w:iCs w:val="1"/>
          <w:color w:val="auto"/>
        </w:rPr>
        <w:t xml:space="preserve"> </w:t>
      </w:r>
      <w:r>
        <w:rPr>
          <w:rFonts w:ascii="Arial" w:cs="Arial" w:eastAsia="Arial" w:hAnsi="Arial"/>
          <w:sz w:val="18"/>
          <w:szCs w:val="18"/>
          <w:color w:val="auto"/>
        </w:rPr>
        <w:t>biosimilars to be brought to market without conducting the full suite of clinical trials typically required of originators. The law establishes a period of 12 years of exclusivity for reference products in order to preserve incentives for future innovation, and outlines statutory criteria for science-based biosimilar approval standards that take into account patient safety considerations. Under this framework, exclusivity protects innovator products by prohibiting others, for a period of 12 years, from being granted FDA approval based in part on reliance on or reference to the innovator's data in their application to the FDA. The law does not change the duration of patents granted on biological products. There are regular legislative proposals to rescind or reduce the biologics exclusivity provisions of the ACA and it is uncertain whether or if any of those proposals may be approved, and if approved, how exclusivity for biologics would be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7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are subject to various federal and state laws pertaining to health care “fraud and abuse,” including anti-kickback and false claims laws, as well as laws related to health care transparency and data protection..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not be regulations, guidance or court decisions that apply the laws to particular industry practices. There is therefore a possibility that our practices might be challenged under such anti-kickback laws. False claims laws prohibit anyone from knowingly and willingly presenting, or causing to be presented, any claims for payment for reimbursed drugs or services to third party payers (including Medicare and Medicaid) that are false or fraudulent. Violations of fraud and abuse laws may be punishable by criminal or civil sanctions, including fines and civil monetary penalties, and/or exclusion from federal health care programs (including Medicare and Medicaid).</w:t>
      </w:r>
    </w:p>
    <w:p>
      <w:pPr>
        <w:spacing w:after="0" w:line="11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Laws and regulations enacted by the federal government and various states to regulate the sales and marketing practices of pharmaceutical manufacturers with marketed products generally limit financial interactions between manufacturers and health care providers and/or require disclosure to the government and public of such interactions. State laws may also require disclosure of pharmaceutical pricing information and marketing expenditures. Many of these laws and regulations contain ambiguous requirements or require administrative guidance for implementation. We are subject to federal, state and foreign laws that govern the privacy and security of health information in some circumstances, many of which differ from each other in significant ways, thus complicating compliance efforts. Given the lack of clarity in laws and their implementation, our activities could be subject to the penalty provisions of the pertinent laws and regulations.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to regulations in the United States, we and our collaborators, may be subject to a variety of foreign regulations governing clinical trials, drug registration, commercial sales and distribution of our product candidates outside the United States. These regulations can vary between jurisdictions and can be more onerous than regulations in the United States. Whether or not we obtain FDA approval for a product candidate, we must obtain approval from the comparable regulatory authorities of foreign countries or economic areas, such as the European Union (EU) before we may commence clinical trials or market products in those countries or areas. The approval process and requirements governing the conduct of clinical trials, product licensing, pricing and reimbursement vary greatly from place to place, and the time to approval may be longer or shorter than that required for FDA approval.</w:t>
      </w:r>
    </w:p>
    <w:p>
      <w:pPr>
        <w:spacing w:after="0" w:line="11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Certain countries outside of the United States have a process that requires the submission of a clinical trial application (CTA) much like an IND prior to the commencement of human clinical trials. In Europe, for example, a CTA must be submitted to the competent national health authority and to independent ethics committees in each country in which a company intends to conduct clinical trials. Once the CTA is approved in accordance with a country’s requirements, clinical trial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3" w:name="page24"/>
    <w:bookmarkEnd w:id="23"/>
    <w:p>
      <w:pPr>
        <w:ind w:right="560"/>
        <w:spacing w:after="0" w:line="277" w:lineRule="auto"/>
        <w:rPr>
          <w:sz w:val="20"/>
          <w:szCs w:val="20"/>
          <w:color w:val="auto"/>
        </w:rPr>
      </w:pPr>
      <w:r>
        <w:rPr>
          <w:rFonts w:ascii="Arial" w:cs="Arial" w:eastAsia="Arial" w:hAnsi="Arial"/>
          <w:sz w:val="18"/>
          <w:szCs w:val="18"/>
          <w:color w:val="auto"/>
        </w:rPr>
        <w:t>development may proceed in that country. In all cases, the clinical trials must be conducted in accordance with GCP, and other applicable regulatory requirements. A separate CTA must be submitted for each clinical trial to be conducted.</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for example, to obtain regulatory approval of an investigational medicinal product, we must submit a marketing authorisation application (MAA). The content of the MAA is similar to that of a New Drug Application or BLA filed in the United States, with the exception of, among other things, EU-specific document requirements. Under the EU regulatory system, a company may submit marketing authorisation applications either under a centralised or decentralised procedure. Under the centralised procedure in the EU, a MAA is submitted to the European Medicines Agency (EMA) where it will be evaluated by the Committee for Medicinal Products for Human Use (CHMP). The maximum timeframe for a CHMP evaluation of an MAA that has been validated is 210 days, excluding time taken by an applicant to respond to questions. A favorable opinion on the application by the CHMP will typically result in the granting of the marketing authorisation by the European Commission within 67 days of receipt of the opinion. Generally, the entire review process takes approximately 13-14 months.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time taken by an applicant to respond to questions.</w:t>
      </w:r>
    </w:p>
    <w:p>
      <w:pPr>
        <w:spacing w:after="0" w:line="19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in the United States, we or our collaborators may apply for designation of a product as an orphan drug for the treatment of a specific indication in the EU before the MAA is made. Orphan drugs in Europe enjoy certain benefits, including up to 10 years of exclusivity for the approved indication unless another applicant can show that its product is safer, more effective or otherwise clinically superior to the orphan designated product. The PRIME initiative was established by the EMA to help promote and foster the development of new medicines in the EU that demonstrate potential for a major therapeutic advantage in areas of unmet medical need. Benefits from the PRIME designation include early confirmation of potential for accelerated assessment, early dialogue and increased interaction with relevant regulatory committees to discuss development options, scientific advice at key development milestones, and proactive regulatory support from the EMA.</w:t>
      </w:r>
    </w:p>
    <w:p>
      <w:pPr>
        <w:spacing w:after="0" w:line="204"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If we, or our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BioPharmaceutical Coverage, Pricing, Reimbursement, and Health Care Reform</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the United States and other countries, sales of any products for which we receive regulatory approval for commercial sale will depend in part on the availability of adequate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or optimal for our products. Further,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9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Drug prices have become a subject of increased focus in recent years. Although there are currently no direct government price controls over private sector purchases in the U.S., federal law requires pharmaceutical manufacturers to pay prescribed rebates on certain government or Medicaid-reimbursed drugs to enable them to be eligible for reimbursement under certain public healthcare programs such as Medicaid and Medicare Part B. Various states have adopted further mechanisms that seek to control drug prices, including by disfavoring certain higher priced drugs or by seeking supplemental rebates from manufacturers. Managed care has also become a potent force in the marketplace that increases downward pressure on the prices of pharmaceutical products.</w:t>
      </w:r>
    </w:p>
    <w:p>
      <w:pPr>
        <w:spacing w:after="0" w:line="138"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Public and private healthcare payers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Payers also set other criteria to govern the uses of a drug that will be deemed medically appropriate and therefore reimbursed or otherwise covered.</w:t>
      </w:r>
    </w:p>
    <w:p>
      <w:pPr>
        <w:spacing w:after="0" w:line="13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Moreover, in the U.S., there have been several presidential executive orders, congressional inquiries and proposed and enacted federal and state legislation designed to, among other things, bring more transparency to product pricing, review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relationship between pricing and manufacturer patient programs, and reform government program reimbursement methodologies for products.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As of December 31, 2022, we had 357 full-time employees, 292 of whom were primarily engaged in research, development and manufacturing activities, and 67 of whom had an M.D. and/or Ph.D. Our employees are critically important to the achievement of our company’s mission and goals.</w:t>
      </w:r>
    </w:p>
    <w:p>
      <w:pPr>
        <w:spacing w:after="0" w:line="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senior leadership oversees all human capital management matters and are committed to attracting, developing, engaging and retaining the best people. We strive to offer our employees an intellectually challenging and diverse work environment, opportunities to expand their knowledge and skills, to receive feedback on performance, and for career advancement. We believe management’s relationships with our employees is very positive and they are not subject to a collective bargaining agreement or represented by a trade or labor union.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7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compensation programs are designed to align our employees' interests with our business goals and stockholder returns. We provide employee wages that are competitive within our industry, and we engage a outside compensation and benefits consulting firm to independently evaluate the effectiveness of our compensation and benefit programs and to provide benchmarking against our peers within the industry. We link annual changes in compensation to overall Company performance, as well as each individual’s contribution to the results achieved. The emphasis on overall Company performance is intended to align the employee’s financial interests with the interests of stockholders. MacroGenics is committed to providing our employees with a benefits program that is both comprehensive and competitive. Our benefits program offers health care, dental and vision coverage, along with benefits designed provide increased financial security to our employees and their families.</w:t>
      </w:r>
    </w:p>
    <w:p>
      <w:pPr>
        <w:spacing w:after="0" w:line="20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maintain an Employee Stock Purchase Plan under which employees may purchase Company common stock through payroll deductions at a price equal to 85% of the fair market value of the stock as of the end of the offering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Culture; Diversity Equity and Inclusion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Living Values are the backbone of our culture: </w:t>
      </w:r>
      <w:r>
        <w:rPr>
          <w:rFonts w:ascii="Arial" w:cs="Arial" w:eastAsia="Arial" w:hAnsi="Arial"/>
          <w:sz w:val="18"/>
          <w:szCs w:val="18"/>
          <w:i w:val="1"/>
          <w:iCs w:val="1"/>
          <w:color w:val="auto"/>
        </w:rPr>
        <w:t>Patients First, Do It Right, Innovate, Pitch In, Take Action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Be Inclusive</w:t>
      </w:r>
      <w:r>
        <w:rPr>
          <w:rFonts w:ascii="Arial" w:cs="Arial" w:eastAsia="Arial" w:hAnsi="Arial"/>
          <w:sz w:val="18"/>
          <w:szCs w:val="18"/>
          <w:color w:val="auto"/>
        </w:rPr>
        <w:t>.</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2022, we kicked off a number of initiatives to reinforce the importance of a diverse workforce and culture of belonging to our Company’s success. We added the Living Value</w:t>
      </w:r>
      <w:r>
        <w:rPr>
          <w:rFonts w:ascii="Arial" w:cs="Arial" w:eastAsia="Arial" w:hAnsi="Arial"/>
          <w:sz w:val="18"/>
          <w:szCs w:val="18"/>
          <w:i w:val="1"/>
          <w:iCs w:val="1"/>
          <w:color w:val="auto"/>
        </w:rPr>
        <w:t>, Be Inclusive</w:t>
      </w:r>
      <w:r>
        <w:rPr>
          <w:rFonts w:ascii="Arial" w:cs="Arial" w:eastAsia="Arial" w:hAnsi="Arial"/>
          <w:sz w:val="18"/>
          <w:szCs w:val="18"/>
          <w:color w:val="auto"/>
        </w:rPr>
        <w:t>, and completed company-wide training on Diversity, Equity and Inclusion. To further champion our DEI efforts, we formed a DEI Committee with strong advocacy from our senior leadership team and our board of directors. The Committee focused on raising awareness of DEI in 2022 and held a number of focus groups and company wide events.</w:t>
      </w:r>
    </w:p>
    <w:p>
      <w:pPr>
        <w:spacing w:after="0" w:line="22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All employees are required to observe high standards of business and personal ethics and must adhere to our Code of Business Conduct and Ethics, for which they receive training annually. The Code requires reporting any actual or suspected misconduct, illegal activities or fraud. To that end, we maintain a Speak Up Culture where all employees are encouraged to raise issues, report concerns, and ask questions. We also maintain an anonymous hotline that is available to all of our employees to report any matter of concern. Communications to the hotline (which is facilitated by an independent third party) are routed to our General Counsel (or, if the General Counsel is the subject of the communication, to the Chair of our Audit Committee) for investigation and resolution. We also maintain a policy of no retaliation, where employees who report any misconduct are to be free of any harassment, retaliation or adverse employment consequence.</w:t>
      </w:r>
    </w:p>
    <w:p>
      <w:pPr>
        <w:spacing w:after="0" w:line="191"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periodically conduct employee engagement surveys to understand our employees’ perspectives and endeavor to listen, change and improve on how we work together in response to these perspectives. In 2022, 84% of our workforce participated.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Learning and Development</w:t>
      </w:r>
    </w:p>
    <w:p>
      <w:pPr>
        <w:spacing w:after="0" w:line="23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continue to invest in our employees to achieve their goals and to lead our company through learning and development. We conduct regular performance reviews. We encourage all employees to take advantage of our leadership, management and technical skill trainings and resources. In addition, we provide focused development for managers and emerging leaders who are designated as “key talent” based on performance and leadership potential.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100" w:firstLine="648"/>
        <w:spacing w:after="0" w:line="263" w:lineRule="auto"/>
        <w:rPr>
          <w:sz w:val="20"/>
          <w:szCs w:val="20"/>
          <w:color w:val="auto"/>
        </w:rPr>
      </w:pPr>
      <w:r>
        <w:rPr>
          <w:rFonts w:ascii="Arial" w:cs="Arial" w:eastAsia="Arial" w:hAnsi="Arial"/>
          <w:sz w:val="18"/>
          <w:szCs w:val="18"/>
          <w:color w:val="auto"/>
        </w:rPr>
        <w:t>We believe in giving back and supporting the local communities where we work as well as initiatives consistent with our areas of focus. Employees are encouraged to participate in charitable causes and receive eight hours of voluntary paid time off to participate in local opportunities to give back to the community.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Wellbeing and Safety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committed to the health and safety of our employees by providing a safe work environment.</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empowered a cross-functional team in the early days of the ongoing pandemic to recommend safety protocols, ensure timely communications, and make decisions related to the effect of COVID-19 on our employees and work environment.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website address is www.macrogenics.com. We post links to our website to the following filings as soon as reasonably practicable after they are electronically filed with or furnished to the Securities and Exchange Commission (SEC): annual reports on Form 10-K, quarterly reports on Form 10-Q, current reports on Form 8-K, proxy statements, and any amendments to those reports filed or furnished pursuant to Section 13 or 15(d) of the Securities Exchange Act of 1934, as amended. All such filings are available through our website free of charge. In addition, the SEC makes available at its website (www.sec.gov), free of charge,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6" w:name="page27"/>
    <w:bookmarkEnd w:id="26"/>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The discussion below addresses material factors, of which we are currently aware, that could have a material and adverse effect on our business, results of operations and financial condition. These risk factors and other forward-looking statements that relate to future events, expectations, trends and operating periods involve certain factors that are subject to change, and important risks and uncertainties that could cause actual results to differ materially. These risks and uncertainties should not be considered a complete discussion of all the risks and uncertainties we may face and although the risks are organized by headings and each risk is discussed separately, many are interrelated.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 Affecting Our Business</w:t>
      </w:r>
    </w:p>
    <w:p>
      <w:pPr>
        <w:spacing w:after="0" w:line="17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the “Risk Factors” section of this Annual Report on Form 10-K, which includes a more complete discussion of the risks summarized below as well as a discussion of other risks related to our business and an investment in our common stock, as well as our other SEC filings.</w:t>
      </w:r>
    </w:p>
    <w:p>
      <w:pPr>
        <w:spacing w:after="0" w:line="103" w:lineRule="exact"/>
        <w:rPr>
          <w:sz w:val="20"/>
          <w:szCs w:val="20"/>
          <w:color w:val="auto"/>
        </w:rPr>
      </w:pPr>
    </w:p>
    <w:p>
      <w:pPr>
        <w:ind w:left="980" w:right="46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16" w:lineRule="exact"/>
        <w:rPr>
          <w:rFonts w:ascii="Arial" w:cs="Arial" w:eastAsia="Arial" w:hAnsi="Arial"/>
          <w:sz w:val="18"/>
          <w:szCs w:val="18"/>
          <w:color w:val="auto"/>
        </w:rPr>
      </w:pPr>
    </w:p>
    <w:p>
      <w:pPr>
        <w:jc w:val="both"/>
        <w:ind w:left="980" w:right="120" w:hanging="324"/>
        <w:spacing w:after="0" w:line="30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depend substantially on the success of the clinical development of our products and product candidates, through our own efforts or those of our collaborators, including vobra duo and lorigerlimab. If we are unable to successfully complete clinical development, obtain additional regulatory approvals and commercialize our products and product candidates, or experience significant delays in doing so, our business will be materially harmed and we may not be able to generate sufficient revenues and cash flows to continue our operations.</w:t>
      </w:r>
    </w:p>
    <w:p>
      <w:pPr>
        <w:spacing w:after="0" w:line="103" w:lineRule="exact"/>
        <w:rPr>
          <w:rFonts w:ascii="Arial" w:cs="Arial" w:eastAsia="Arial" w:hAnsi="Arial"/>
          <w:sz w:val="16"/>
          <w:szCs w:val="16"/>
          <w:color w:val="auto"/>
        </w:rPr>
      </w:pPr>
    </w:p>
    <w:p>
      <w:pPr>
        <w:ind w:left="980" w:right="500" w:hanging="324"/>
        <w:spacing w:after="0" w:line="31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Clinical drug development involves a lengthy and expensive process, with a highly uncertain outcome. We expect to incur significant additional costs related to the development of vobra duo, lorigerlimab, and our other product candidates and may experience delays in completing, or ultimately be unable to complete, the development and commercialization of our other products and product candidates.</w:t>
      </w:r>
    </w:p>
    <w:p>
      <w:pPr>
        <w:spacing w:after="0" w:line="94" w:lineRule="exact"/>
        <w:rPr>
          <w:rFonts w:ascii="Arial" w:cs="Arial" w:eastAsia="Arial" w:hAnsi="Arial"/>
          <w:sz w:val="16"/>
          <w:szCs w:val="16"/>
          <w:color w:val="auto"/>
        </w:rPr>
      </w:pPr>
    </w:p>
    <w:p>
      <w:pPr>
        <w:ind w:left="980" w:right="120" w:hanging="324"/>
        <w:spacing w:after="0" w:line="308"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92" w:lineRule="exact"/>
        <w:rPr>
          <w:rFonts w:ascii="Arial" w:cs="Arial" w:eastAsia="Arial" w:hAnsi="Arial"/>
          <w:sz w:val="17"/>
          <w:szCs w:val="17"/>
          <w:color w:val="auto"/>
        </w:rPr>
      </w:pPr>
    </w:p>
    <w:p>
      <w:pPr>
        <w:ind w:left="980" w:right="40" w:hanging="324"/>
        <w:spacing w:after="0" w:line="342"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clinical trials for our product candidates are prolonged, delayed or stopped for any reason, including for safety reasons or lack of efficacy, we may be unable to obtain regulatory approval and commercialize our product candidates on a timely basis, which would require us to incur additional costs and delay our receipt of any product revenue.</w:t>
      </w:r>
    </w:p>
    <w:p>
      <w:pPr>
        <w:spacing w:after="0" w:line="129" w:lineRule="exact"/>
        <w:rPr>
          <w:rFonts w:ascii="Arial" w:cs="Arial" w:eastAsia="Arial" w:hAnsi="Arial"/>
          <w:sz w:val="18"/>
          <w:szCs w:val="18"/>
          <w:color w:val="auto"/>
        </w:rPr>
      </w:pPr>
    </w:p>
    <w:p>
      <w:pPr>
        <w:ind w:left="980" w:right="72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previous clinical trials may not be predictive of future results, and interim or top line data may be subject to change or qualification based the complete analysis of data. In addition, the results of our current or planned clinical trials may not satisfy the requirements of the FDA or non-U.S. regulatory authorities for product approval.</w:t>
      </w:r>
    </w:p>
    <w:p>
      <w:pPr>
        <w:spacing w:after="0" w:line="129" w:lineRule="exact"/>
        <w:rPr>
          <w:rFonts w:ascii="Arial" w:cs="Arial" w:eastAsia="Arial" w:hAnsi="Arial"/>
          <w:sz w:val="18"/>
          <w:szCs w:val="18"/>
          <w:color w:val="auto"/>
        </w:rPr>
      </w:pPr>
    </w:p>
    <w:p>
      <w:pPr>
        <w:ind w:left="980" w:right="22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and anticipate that we will continue to incur losses for the foreseeable future. Our first commercial product, MARGENZA, launched in March 2021 and to date has not resulted in revenues sufficient for us to reach profitability. Accordingly, we may never achieve or sustain profitability.</w:t>
      </w:r>
    </w:p>
    <w:p>
      <w:pPr>
        <w:spacing w:after="0" w:line="129"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use or may use novel technologies in the development of our product candidates and the FDA and other regulatory authorities have not approved or may not approve products that utilize these technologies.</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27" w:name="page28"/>
    <w:bookmarkEnd w:id="27"/>
    <w:p>
      <w:pPr>
        <w:ind w:left="324" w:right="60" w:hanging="324"/>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vobra duo, lorigerlimab, MARGENZA, or any other product candidate that we develop may fail to achieve or maintain market acceptance by physicians, patients, third-party payors and others in the medical community necessary for commercial success.</w:t>
      </w:r>
    </w:p>
    <w:p>
      <w:pPr>
        <w:spacing w:after="0" w:line="116" w:lineRule="exact"/>
        <w:rPr>
          <w:rFonts w:ascii="Arial" w:cs="Arial" w:eastAsia="Arial" w:hAnsi="Arial"/>
          <w:sz w:val="18"/>
          <w:szCs w:val="18"/>
          <w:color w:val="auto"/>
        </w:rPr>
      </w:pPr>
    </w:p>
    <w:p>
      <w:pPr>
        <w:ind w:left="324" w:right="540" w:hanging="324"/>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manufacturing facilities are subject to significant government regulations and approvals, which are often costly and could result in adverse consequences to our business if we fail to comply with the regulations or maintain the approvals.</w:t>
      </w:r>
    </w:p>
    <w:p>
      <w:pPr>
        <w:spacing w:after="0" w:line="116" w:lineRule="exact"/>
        <w:rPr>
          <w:rFonts w:ascii="Arial" w:cs="Arial" w:eastAsia="Arial" w:hAnsi="Arial"/>
          <w:sz w:val="18"/>
          <w:szCs w:val="18"/>
          <w:color w:val="auto"/>
        </w:rPr>
      </w:pPr>
    </w:p>
    <w:p>
      <w:pPr>
        <w:jc w:val="both"/>
        <w:ind w:left="324" w:right="720" w:hanging="324"/>
        <w:spacing w:after="0" w:line="342" w:lineRule="auto"/>
        <w:tabs>
          <w:tab w:leader="none" w:pos="319"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face significant competition and if our competitors continue to develop and market products that are more effective, safer or less expensive than our product and our product candidates, our current or future commercial opportunities may be negatively impacted.</w:t>
      </w:r>
    </w:p>
    <w:p>
      <w:pPr>
        <w:spacing w:after="0" w:line="69" w:lineRule="exact"/>
        <w:rPr>
          <w:rFonts w:ascii="Arial" w:cs="Arial" w:eastAsia="Arial" w:hAnsi="Arial"/>
          <w:sz w:val="16"/>
          <w:szCs w:val="16"/>
          <w:color w:val="auto"/>
        </w:rPr>
      </w:pPr>
    </w:p>
    <w:p>
      <w:pPr>
        <w:ind w:left="324" w:right="140" w:hanging="324"/>
        <w:spacing w:after="0" w:line="25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of vobra duo, lorigerlimab, MARGENZA and our product candidates, for ourselves and our collaborators, is complex, and we may encounter difficulties in production. There can be no assurance that we will be able to effectively manufacture clinical quantities of our product candidates in the future. Further, we have limited experience in large-scale or commercial manufacturing, and there can be no assurance that we will be able to effectively manufacture commercial quantities of MARGENZA, or other products or product candidates, if and when approved.</w:t>
      </w:r>
    </w:p>
    <w:p>
      <w:pPr>
        <w:spacing w:after="0" w:line="133" w:lineRule="exact"/>
        <w:rPr>
          <w:rFonts w:ascii="Arial" w:cs="Arial" w:eastAsia="Arial" w:hAnsi="Arial"/>
          <w:sz w:val="18"/>
          <w:szCs w:val="18"/>
          <w:color w:val="auto"/>
        </w:rPr>
      </w:pPr>
    </w:p>
    <w:p>
      <w:pPr>
        <w:ind w:left="324" w:right="280" w:hanging="324"/>
        <w:spacing w:after="0" w:line="308" w:lineRule="auto"/>
        <w:tabs>
          <w:tab w:leader="none" w:pos="319"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COVID-19 (or any variant thereof) may have a negative impact on our clinical trials, nonclinical studies, development, manufacturing and commercialization of our product and product candidates and other aspects of our business, staff, and operations.</w:t>
      </w:r>
    </w:p>
    <w:p>
      <w:pPr>
        <w:spacing w:after="0" w:line="92" w:lineRule="exact"/>
        <w:rPr>
          <w:rFonts w:ascii="Arial" w:cs="Arial" w:eastAsia="Arial" w:hAnsi="Arial"/>
          <w:sz w:val="17"/>
          <w:szCs w:val="17"/>
          <w:color w:val="auto"/>
        </w:rPr>
      </w:pPr>
    </w:p>
    <w:p>
      <w:pPr>
        <w:ind w:left="324" w:right="100" w:hanging="324"/>
        <w:spacing w:after="0" w:line="263"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limited experience in launching and marketing our internally developed products. If we are unable to further develop marketing and sales capabilities or enter into agreements with third parties to market and sell our products, or our existing arrangements are not successful, we may not be able to generate substantial product sales revenue.</w:t>
      </w:r>
    </w:p>
    <w:p>
      <w:pPr>
        <w:spacing w:after="0" w:line="129"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to attract, retain and motivate qualified personnel.</w:t>
      </w:r>
    </w:p>
    <w:p>
      <w:pPr>
        <w:spacing w:after="0" w:line="211" w:lineRule="exact"/>
        <w:rPr>
          <w:rFonts w:ascii="Arial" w:cs="Arial" w:eastAsia="Arial" w:hAnsi="Arial"/>
          <w:sz w:val="18"/>
          <w:szCs w:val="18"/>
          <w:color w:val="auto"/>
        </w:rPr>
      </w:pPr>
    </w:p>
    <w:p>
      <w:pPr>
        <w:ind w:left="324" w:right="120" w:hanging="324"/>
        <w:spacing w:after="0" w:line="232" w:lineRule="auto"/>
        <w:tabs>
          <w:tab w:leader="none" w:pos="319" w:val="left"/>
        </w:tabs>
        <w:numPr>
          <w:ilvl w:val="0"/>
          <w:numId w:val="10"/>
        </w:numPr>
        <w:rPr>
          <w:rFonts w:ascii="Arial" w:cs="Arial" w:eastAsia="Arial" w:hAnsi="Arial"/>
          <w:sz w:val="22"/>
          <w:szCs w:val="22"/>
          <w:color w:val="auto"/>
        </w:rPr>
      </w:pPr>
      <w:r>
        <w:rPr>
          <w:rFonts w:ascii="Arial" w:cs="Arial" w:eastAsia="Arial" w:hAnsi="Arial"/>
          <w:sz w:val="18"/>
          <w:szCs w:val="18"/>
          <w:color w:val="auto"/>
        </w:rPr>
        <w:t>Actual or anticipated changes to the laws and regulations governing the health care system may have a negative impact on cost and access to health insurance coverage and reimbursement of health care items and services.</w:t>
      </w:r>
    </w:p>
    <w:p>
      <w:pPr>
        <w:spacing w:after="0" w:line="149" w:lineRule="exact"/>
        <w:rPr>
          <w:rFonts w:ascii="Arial" w:cs="Arial" w:eastAsia="Arial" w:hAnsi="Arial"/>
          <w:sz w:val="22"/>
          <w:szCs w:val="22"/>
          <w:color w:val="auto"/>
        </w:rPr>
      </w:pPr>
    </w:p>
    <w:p>
      <w:pPr>
        <w:ind w:left="324" w:hanging="324"/>
        <w:spacing w:after="0"/>
        <w:tabs>
          <w:tab w:leader="none" w:pos="3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Reimbursement decisions by third-party payors, including government payors, may have an adverse effect on pricing and market acceptance.</w:t>
      </w:r>
    </w:p>
    <w:p>
      <w:pPr>
        <w:spacing w:after="0" w:line="194" w:lineRule="exact"/>
        <w:rPr>
          <w:rFonts w:ascii="Arial" w:cs="Arial" w:eastAsia="Arial" w:hAnsi="Arial"/>
          <w:sz w:val="16"/>
          <w:szCs w:val="16"/>
          <w:color w:val="auto"/>
        </w:rPr>
      </w:pPr>
    </w:p>
    <w:p>
      <w:pPr>
        <w:ind w:left="324" w:hanging="324"/>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any product liability lawsuits are successfully brought against us or any of our collaborators, we may incur substantial liabilities and may be required to limit commercialization of our product candidates.</w:t>
      </w:r>
    </w:p>
    <w:p>
      <w:pPr>
        <w:spacing w:after="0" w:line="116"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Raising additional capital may cause dilution to our stockholders, restrict our operations or require us to relinquish substantial rights.</w:t>
      </w:r>
    </w:p>
    <w:p>
      <w:pPr>
        <w:spacing w:after="0" w:line="182" w:lineRule="exact"/>
        <w:rPr>
          <w:rFonts w:ascii="Arial" w:cs="Arial" w:eastAsia="Arial" w:hAnsi="Arial"/>
          <w:sz w:val="17"/>
          <w:szCs w:val="17"/>
          <w:color w:val="auto"/>
        </w:rPr>
      </w:pPr>
    </w:p>
    <w:p>
      <w:pPr>
        <w:ind w:left="324" w:right="100" w:hanging="324"/>
        <w:spacing w:after="0" w:line="263"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contract with, and may in the future contract with, third parties for the distribution and commercialization of MARGENZA and our other product candidates. Failure of third-party contractors to successfully perform their obligations for commercialization, distribution, or other services could harm out ability to commercialize our product or product candidates.</w:t>
      </w:r>
    </w:p>
    <w:p>
      <w:pPr>
        <w:spacing w:after="0" w:line="129"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success depends significantly on our ability to operate without infringing the valid patents and other proprietary rights of third parties.</w:t>
      </w:r>
    </w:p>
    <w:p>
      <w:pPr>
        <w:spacing w:after="0" w:line="194" w:lineRule="exact"/>
        <w:rPr>
          <w:rFonts w:ascii="Arial" w:cs="Arial" w:eastAsia="Arial" w:hAnsi="Arial"/>
          <w:sz w:val="16"/>
          <w:szCs w:val="16"/>
          <w:color w:val="auto"/>
        </w:rPr>
      </w:pPr>
    </w:p>
    <w:p>
      <w:pPr>
        <w:ind w:left="324" w:right="400" w:hanging="324"/>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obtain and enforce patent protection for our products and our product candidates and related technology, our business could be materially harmed.</w:t>
      </w:r>
    </w:p>
    <w:p>
      <w:pPr>
        <w:spacing w:after="0" w:line="116" w:lineRule="exact"/>
        <w:rPr>
          <w:rFonts w:ascii="Arial" w:cs="Arial" w:eastAsia="Arial" w:hAnsi="Arial"/>
          <w:sz w:val="18"/>
          <w:szCs w:val="18"/>
          <w:color w:val="auto"/>
        </w:rPr>
      </w:pPr>
    </w:p>
    <w:p>
      <w:pPr>
        <w:ind w:left="324" w:right="320" w:hanging="324"/>
        <w:spacing w:after="0" w:line="263"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the U.S. Foreign Corrupt Practices Act and other anti-corruption laws. If we fail to comply with these laws, we could be subject to civil or criminal penalties, other remedial measures, and legal expenses, which could adversely affect our business, results of operations and financial condition.</w:t>
      </w:r>
    </w:p>
    <w:p>
      <w:pPr>
        <w:spacing w:after="0" w:line="129"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subject to securities litigation, which is expensive and could divert management attention and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4"/>
          </w:cols>
          <w:pgMar w:left="976" w:top="949" w:right="359" w:bottom="1440" w:gutter="0" w:footer="0" w:header="0"/>
        </w:sectPr>
      </w:pPr>
    </w:p>
    <w:bookmarkStart w:id="28" w:name="page29"/>
    <w:bookmarkEnd w:id="28"/>
    <w:p>
      <w:pPr>
        <w:ind w:left="980" w:right="2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companion diagnostics with third party contractors for use with our product candidates could harm our ability to commercialize our product candidates.</w:t>
      </w:r>
    </w:p>
    <w:p>
      <w:pPr>
        <w:spacing w:after="0" w:line="116"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do not comply with laws regulating the protection of the environment and health and human safety, our business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and Commercialization of Our Products and Product Candidates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We depend substantially on the success of the clinical development of our products and product candidates, through our own efforts or those of our collaborators, including vobra duo and lorigerlimab. If we are unable to successfully complete clinical development, obtain additional regulatory approvals and commercialize our products and product candidates, or experience significant delays in doing so, our business will be materially harmed and we may not be able to generate sufficient revenues and cash flows to continue our operations.</w:t>
      </w:r>
    </w:p>
    <w:p>
      <w:pPr>
        <w:spacing w:after="0" w:line="117" w:lineRule="exact"/>
        <w:rPr>
          <w:sz w:val="20"/>
          <w:szCs w:val="20"/>
          <w:color w:val="auto"/>
        </w:rPr>
      </w:pPr>
    </w:p>
    <w:p>
      <w:pPr>
        <w:jc w:val="both"/>
        <w:ind w:right="500" w:firstLine="648"/>
        <w:spacing w:after="0" w:line="259" w:lineRule="auto"/>
        <w:rPr>
          <w:sz w:val="20"/>
          <w:szCs w:val="20"/>
          <w:color w:val="auto"/>
        </w:rPr>
      </w:pPr>
      <w:r>
        <w:rPr>
          <w:rFonts w:ascii="Arial" w:cs="Arial" w:eastAsia="Arial" w:hAnsi="Arial"/>
          <w:sz w:val="18"/>
          <w:szCs w:val="18"/>
          <w:color w:val="auto"/>
        </w:rPr>
        <w:t>Our business depends on the successful development, regulatory approval and commercialization of our products and product candidates, including vobra duo and lorigerlimab. We have invested and will continue to invest a significant portion of our efforts and financial resources in the development of our product candidates, including vobra duo and lorigerlimab. The success of our products and product candidates depends on many factors, including but not limited to:</w:t>
      </w:r>
    </w:p>
    <w:p>
      <w:pPr>
        <w:spacing w:after="0" w:line="13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as well as completion of nonclinical studies;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and favorable efficacy and acceptable safety data from our clinical trials and other studies;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sufficiency of our financial resources and ability to obtain additional funding for the development of our products and product candidates;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regulatory approvals;</w:t>
      </w:r>
    </w:p>
    <w:p>
      <w:pPr>
        <w:spacing w:after="0" w:line="171"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by clinical research organizations (CROs) or other third parties we may retain of their duties to us in a manner that complies with our protocols and applicable laws and that protects the integrity of the resulting data;</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trade secret and other intellectual property protection and regulatory exclusivity;</w:t>
      </w:r>
    </w:p>
    <w:p>
      <w:pPr>
        <w:spacing w:after="0" w:line="171"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ensuring we do not infringe, misappropriate or otherwise violate the valid patent, trade secret or other intellectual property rights of third parties;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launching our product candidates, including vobra duo or lorigerlimab, if and when approved;</w:t>
      </w:r>
    </w:p>
    <w:p>
      <w:pPr>
        <w:spacing w:after="0" w:line="171"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commercial manufacturing capabilities, either by utilizing our current manufacturing facilities or making arrangements with third-party manufacturers;</w:t>
      </w:r>
    </w:p>
    <w:p>
      <w:pPr>
        <w:spacing w:after="0" w:line="116"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or obtaining sufficient supplies of our products and product candidates that may be necessary for use in clinical trials for evaluation of our product candidates and commercialization of our products;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favorable reimbursement from third-party payors for products and product candidates;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with other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post-marketing commitments to regulatory agencies following regulatory approval;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acceptable safety profile following regulatory approval.</w:t>
      </w:r>
    </w:p>
    <w:p>
      <w:pPr>
        <w:spacing w:after="0" w:line="17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 highly uncertain outcome. We expect to incur significant additional costs related to the development of vobra duo, lorigerlimab, and our other product candidates and may experience delays in completing, or ultimately be unable to complete, the development and commercialization of our other products and product candidates.</w:t>
      </w:r>
    </w:p>
    <w:p>
      <w:pPr>
        <w:spacing w:after="0" w:line="1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research, testing, manufacturing, labeling, approval, selling, marketing and distribution of drug products are subject to extensive regulation by the FDA and non-U.S. regulatory authorities, which regulations differ from country to country. We are not permitted to market our product candidates in the United States or in other countries until we receive approval of a Biologics License Application (BLA) from the FDA or marketing approval from applicable regulatory authorities outside the United States. Our product candidates are in various stages of development and are subject to the risks of failure</w:t>
      </w:r>
    </w:p>
    <w:p>
      <w:pPr>
        <w:sectPr>
          <w:pgSz w:w="11900" w:h="16838" w:orient="portrait"/>
          <w:cols w:equalWidth="0" w:num="1">
            <w:col w:w="11200"/>
          </w:cols>
          <w:pgMar w:left="320" w:top="94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type w:val="continuous"/>
        </w:sectPr>
      </w:pPr>
    </w:p>
    <w:bookmarkStart w:id="29" w:name="page30"/>
    <w:bookmarkEnd w:id="29"/>
    <w:p>
      <w:pPr>
        <w:ind w:right="20"/>
        <w:spacing w:after="0" w:line="257" w:lineRule="auto"/>
        <w:rPr>
          <w:sz w:val="20"/>
          <w:szCs w:val="20"/>
          <w:color w:val="auto"/>
        </w:rPr>
      </w:pPr>
      <w:r>
        <w:rPr>
          <w:rFonts w:ascii="Arial" w:cs="Arial" w:eastAsia="Arial" w:hAnsi="Arial"/>
          <w:sz w:val="18"/>
          <w:szCs w:val="18"/>
          <w:color w:val="auto"/>
        </w:rPr>
        <w:t>inherent in drug development. For example, in July 2022 we announced the closure of our Phase 2 study evaluating the investigational regimen of enoblituzumab in combination with either retifanlimab or tebotelimab in the first-line treatment of patients with recurrent or metastatic SCCHN. The decision to discontinue the study was based on an internal review of safety data. The approval of a BLA can be a lengthy, expensive and uncertain process. In addition, failure to comply with FDA and non-U.S. regulatory requirements may, either before or after product approval, subject our company or our collaborators to administrative or judicially imposed sanctions, including:</w:t>
      </w:r>
    </w:p>
    <w:p>
      <w:pPr>
        <w:spacing w:after="0" w:line="13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products, manufacturers, manufacturing facilities or manufacturing process;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refusal to approve pending BLAs or supplements to approved BLAs or analogous marketing approvals outside the United States.</w:t>
      </w:r>
    </w:p>
    <w:p>
      <w:pPr>
        <w:spacing w:after="0" w:line="18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FDA and foreign regulatory authorities also have substantial discretion in the drug approval process. The number of nonclinical studies and clinical trials that will be required for regulatory approval varies depending on the product candidate, the disease or condition that the product candidate is designed to address, and the regulations applicable to any particular drug candidate. Regulatory agencies can delay, limit or deny approval of a product candidate for many reasons, including:</w:t>
      </w:r>
    </w:p>
    <w:p>
      <w:pPr>
        <w:spacing w:after="0" w:line="13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product candidate may not be deemed safe or effective;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may not confirm the positive results from earlier nonclinical studies or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agencies may not find the data from nonclinical studies and clinical trials sufficient or meaningful;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agencies might not approve or might require changes to our manufacturing processes or facilities; 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agencies may change their approval policies or adopt new regulations.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to generate revenue from the particular product candidate, which likely would result in significant harm to our financial position and adversely impact our stock price. Furthermore, any regulatory approval to market a product may be subject to limitations on the indicated uses for which we may market the product. These limitations may limit the size of the potential market for a product candidate, if approved.</w:t>
      </w:r>
    </w:p>
    <w:p>
      <w:pPr>
        <w:spacing w:after="0" w:line="133"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clinical trials for our product candidates are prolonged, delayed or stopped, for any reason, we may be unable to obtain regulatory approval and commercialize our product candidates on a timely basis, which would require us to incur additional costs and delay our receipt of any product revenue.</w:t>
      </w:r>
    </w:p>
    <w:p>
      <w:pPr>
        <w:spacing w:after="0" w:line="4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or our collaborators, are either currently enrolling patients in clinical trials or anticipate initiating, continuing, or designing, or supporting clinical trials for molecules that include vobra duo, lorigerlimab, retifanlimab, teplizumab, IMGC936 and MGD024 as monotherapies or in combination with other product candidates. For example, we have decided to modify the trial design for our TAMARACK study and it is unclear what impact this will have on costs. In addition, Incyte is currently enrolling patients in clinical trials for retifanlimab, and other collaborators outside the United States are developing our product candidates. We anticipate in the future collaborators will initiate or continue clinical trials of one or more our product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bookmarkStart w:id="30" w:name="page31"/>
    <w:bookmarkEnd w:id="30"/>
    <w:p>
      <w:pPr>
        <w:ind w:right="380"/>
        <w:spacing w:after="0" w:line="277" w:lineRule="auto"/>
        <w:rPr>
          <w:sz w:val="20"/>
          <w:szCs w:val="20"/>
          <w:color w:val="auto"/>
        </w:rPr>
      </w:pPr>
      <w:r>
        <w:rPr>
          <w:rFonts w:ascii="Arial" w:cs="Arial" w:eastAsia="Arial" w:hAnsi="Arial"/>
          <w:sz w:val="18"/>
          <w:szCs w:val="18"/>
          <w:color w:val="auto"/>
        </w:rPr>
        <w:t>candidates. The continuation, modification, or commencement of existing or new clinical trials could be substantially delayed or prevented by several factors, including:</w:t>
      </w:r>
    </w:p>
    <w:p>
      <w:pPr>
        <w:spacing w:after="0" w:line="11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discussions with the FDA or other regulatory agencies regarding the scope or design of our clinical trials;</w:t>
      </w:r>
    </w:p>
    <w:p>
      <w:pPr>
        <w:spacing w:after="0" w:line="171"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limited number of, and competition for, suitable sites to conduct our clinical trials, many of which may already be engaged in other clinical trial programs, including some that may be for the same indication as our product candidates;</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 or failure in patient recruitment or enrollment in our or our collaborators’ trials for any reason, including as a result of public health crises;</w:t>
      </w:r>
    </w:p>
    <w:p>
      <w:pPr>
        <w:spacing w:after="0" w:line="116" w:lineRule="exact"/>
        <w:rPr>
          <w:rFonts w:ascii="Arial" w:cs="Arial" w:eastAsia="Arial" w:hAnsi="Arial"/>
          <w:sz w:val="18"/>
          <w:szCs w:val="18"/>
          <w:color w:val="auto"/>
        </w:rPr>
      </w:pPr>
    </w:p>
    <w:p>
      <w:pPr>
        <w:ind w:left="980" w:right="460" w:hanging="32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 or failure to obtain regulatory approval or agreement to commence a clinical trial in any of the countries where enrollment is planned;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obtain sufficient funds required for a clinical trial;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holds on, or other regulatory objections to, a new or ongoing clinical trial;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manufacture sufficient supplies of the product candidate for our clinical trials;</w:t>
      </w:r>
    </w:p>
    <w:p>
      <w:pPr>
        <w:spacing w:after="0" w:line="171"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reach agreement on acceptable clinical trial terms or clinical trial protocols with prospective sites or CROs the terms of which can be subject to extensive negotiation and may vary significantly among different sites or CROs;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obtain IRB approval to conduct a clinical trial at a prospective site;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competition of product candidates that are expected to be more effective or have a more favorable safety profile;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of potential therapies by competitors.</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progress or completion of our, or our collaborators', clinical trials have been and could also be substantially delayed or prevented by many factors, including:</w:t>
      </w:r>
    </w:p>
    <w:p>
      <w:pPr>
        <w:spacing w:after="0" w:line="116" w:lineRule="exact"/>
        <w:rPr>
          <w:sz w:val="20"/>
          <w:szCs w:val="20"/>
          <w:color w:val="auto"/>
        </w:rPr>
      </w:pPr>
    </w:p>
    <w:p>
      <w:pPr>
        <w:ind w:left="980" w:right="1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 including severe or unexpected drug-related adverse effects experienced by patients, including actual and possible deaths;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expected site initiation, patient recruitment and enrollment, for any reason;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patients to complete the clinical trial;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efficacy during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termination of our clinical trials by one or more clinical trial sites;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or unwillingness of patients or clinical investigators to follow our clinical trial protocols;</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and political instability in countries where our trial sites are located, including terrorist attacks, civil unrest and actual or threatened armed conflict;</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by us, our collaboration partners and/or our CROs;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need to repeat or terminate clinical trials as a result of inconclusive or negative results or unforeseen complications in testing.</w:t>
      </w:r>
    </w:p>
    <w:p>
      <w:pPr>
        <w:spacing w:after="0" w:line="1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Changes in regulatory requirements and guidance may also occur and we may need to significantly amend clinical trial protocols to reflect these changes with appropriate regulatory authorities. Amendments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 due to a number of factors, including:</w:t>
      </w:r>
    </w:p>
    <w:p>
      <w:pPr>
        <w:spacing w:after="0" w:line="13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31" w:name="page32"/>
    <w:bookmarkEnd w:id="31"/>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clinical trial presents unacceptable health risks;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due to unforeseen costs or other business decisions; and</w:t>
      </w:r>
    </w:p>
    <w:p>
      <w:pPr>
        <w:spacing w:after="0" w:line="171" w:lineRule="exact"/>
        <w:rPr>
          <w:rFonts w:ascii="Arial" w:cs="Arial" w:eastAsia="Arial" w:hAnsi="Arial"/>
          <w:sz w:val="18"/>
          <w:szCs w:val="18"/>
          <w:color w:val="auto"/>
        </w:rPr>
      </w:pPr>
    </w:p>
    <w:p>
      <w:pPr>
        <w:ind w:left="980" w:right="9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11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Clinical trials of our product candidates are subject to partial or full clinical holds from time to time. A clinical hold received in the midst of conducting a trial may delay the progress of a clinical trial, or may require us to modify or discontinue such trial. Any failure or significant delay in completing clinical trials for our product candidates would adversely affect our ability to obtain regulatory approval and our commercial prospects and ability to generate product revenue will be diminished.</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results of previous clinical trials may not be predictive of future results, and interim or top line data may be subject to change or qualification, based on several factors, including a complete analysis of data, or in the case of interim analysis, the continued or ongoing accrual of data. In addition, the results of our current and planned clinical trials may not satisfy the requirements of the FDA or non-U.S. regulatory authorities for product approval.</w:t>
      </w:r>
    </w:p>
    <w:p>
      <w:pPr>
        <w:spacing w:after="0" w:line="13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Clinical failure can occur at any stage of clinical development. Clinical trials may produce negative or inconclusive results, and we or any of our current and future collaborators may decide, or regulators may require us, to conduct additional clinical or nonclinical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or continued progress of the study or trial. The top line or interim results that we report may differ from future results of the same studies, or different conclusions or considerations may qualify such results, once additional data have been received and fully evaluated.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which may have an adverse effect on our ability to obtain or retain additional regulatory approval of products or product candidates in the U.S. or in other jurisdictions.</w:t>
      </w:r>
    </w:p>
    <w:p>
      <w:pPr>
        <w:spacing w:after="0" w:line="1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use or may use novel technologies in the development of our product candidates and the FDA and other regulatory authorities have not approved products that utilize these technologies.</w:t>
      </w:r>
    </w:p>
    <w:p>
      <w:pPr>
        <w:spacing w:after="0" w:line="11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products in development are based on our technology platforms, including Fc Optimization, DART and TRIDENT technologies. Given the novelty of these technologies, we intend to work closely with the FDA and other regulatory authorities to perform the requisite scientific analyses and evaluation of our methods to obtain regulatory approval for our product candidates. Even though MARGENZA, which incorporates an Fc variation created using our Fc Optimization platform, was approved by the FDA, there is no assurance that the FDA will approve future product candidates using such technology. The validation process takes time and resources, may require independent third-party analyses, and may not be accepted by the FDA and other regulatory authorities. For some of our product candidates that are based on these technology platforms, the regulatory approval path and requirements may not be clear or evolve as more data becomes available for this product candidates, which could add significant delay and expense. Delays or failure to obtain regulatory approval of any of the product candidates that we develop would adversely affect our business.</w:t>
      </w:r>
    </w:p>
    <w:p>
      <w:pPr>
        <w:spacing w:after="0" w:line="1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13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key element of our strategy is to use and expand our technology platforms to continue to build a pipeline of product candidates and progress several of these product candidates through clinical development for the treatment of a variety of different types of diseases. Although our research and development efforts to date have resulted in a pipeline of product candidates directed at various cancers, as well as autoimmune disorders and infectious diseases, we may not be able to develop product candidates that are safe and effective. Even if we are successful in continuing to build our pipeline, the potential product candidates that we identify may not be suitable for initial or continued clinical development, including as a result of being shown to have harmful side effects or other characteristics that indicate that they are unlikely to be products that will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2" w:name="page33"/>
    <w:bookmarkEnd w:id="32"/>
    <w:p>
      <w:pPr>
        <w:jc w:val="both"/>
        <w:ind w:right="80"/>
        <w:spacing w:after="0" w:line="263" w:lineRule="auto"/>
        <w:rPr>
          <w:sz w:val="20"/>
          <w:szCs w:val="20"/>
          <w:color w:val="auto"/>
        </w:rPr>
      </w:pPr>
      <w:r>
        <w:rPr>
          <w:rFonts w:ascii="Arial" w:cs="Arial" w:eastAsia="Arial" w:hAnsi="Arial"/>
          <w:sz w:val="18"/>
          <w:szCs w:val="18"/>
          <w:color w:val="auto"/>
        </w:rPr>
        <w:t>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our stock price.</w:t>
      </w:r>
    </w:p>
    <w:p>
      <w:pPr>
        <w:spacing w:after="0" w:line="13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23"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Vobra duo, lorigerlimab, MARGENZA, or any other product candidate that we develop may fail to achieve or maintain market acceptance by physicians, patients, third-party payors and others in the medical community necessary for commercial success.</w:t>
      </w:r>
    </w:p>
    <w:p>
      <w:pPr>
        <w:spacing w:after="0" w:line="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Vobra duo, lorigerlimab, MARGENZA, or any other product candidate that we develop may fail to achieve or maintain market acceptance by physicians, patients, third-party payors and others in the medical community necessary for commercial success. For example, revenues from MARGENZA are not anticipated to enable us to reach profitability.</w:t>
      </w:r>
    </w:p>
    <w:p>
      <w:pPr>
        <w:spacing w:after="0" w:line="13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If product candidates that we develop do not achieve an adequate level of acceptance, we may not generate significant product revenues and we may not become profitable. The degree of market acceptance of any product candidates that we develop will depend on a number of factors, including but not limited to:</w:t>
      </w:r>
    </w:p>
    <w:p>
      <w:pPr>
        <w:spacing w:after="0" w:line="13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71"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any safety events that may have occurred in connection with the development of the product candidate;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71"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physicians to prescribe the product or other new therapies, and of the patient population to try the product or these therapies;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7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 product’s market acceptance depends significantly on the medical community’s determination of clinical benefit and safety compared to alternative therapies available both now and in the future. For example, several new therapies for the treatment of HER2-positive breast cancer were approved and certain of these therapies have or may be perceived to have greater efficacy benefits than MARGENZA in clinical trials. Competition from these and other approved therapies has and may adversely impact the market acceptance of MARGENZA. In particular, final overall survival (OS) endpoint data from the SOPHIA trial analysis did not demonstrate a statistically significant advantage for MARGENZA over trastuzumab. This OS data may have adversely affected, or may continue to adversely affect, the market acceptance of MARGENZA</w:t>
      </w:r>
    </w:p>
    <w:p>
      <w:pPr>
        <w:spacing w:after="0" w:line="12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addition, the potential market opportunities for our product candidates are difficult to precisely estimate. Our internal estimates of the potential market opportunities for vobra duo, lorigerlimab, and our other product candidates include several key assumptions based on a variety of factors, which may include our industry knowledge, industry publications, third-party research reports, assessment of competition, and other surveys. While we believe that our internal assumptions are reasonable, no independent source has verified such assumptions. If any of these assumptions proves to be inaccurate, then the actual market for vobra duo, lorigerlimab, or our other product candidates could be smaller than our estimates of our potential market opportunity.</w:t>
      </w:r>
    </w:p>
    <w:p>
      <w:pPr>
        <w:spacing w:after="0" w:line="10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 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bookmarkStart w:id="33" w:name="page34"/>
    <w:bookmarkEnd w:id="33"/>
    <w:p>
      <w:pPr>
        <w:ind w:right="20" w:firstLine="648"/>
        <w:spacing w:after="0" w:line="271" w:lineRule="auto"/>
        <w:rPr>
          <w:sz w:val="20"/>
          <w:szCs w:val="20"/>
          <w:color w:val="auto"/>
        </w:rPr>
      </w:pPr>
      <w:r>
        <w:rPr>
          <w:rFonts w:ascii="Arial" w:cs="Arial" w:eastAsia="Arial" w:hAnsi="Arial"/>
          <w:sz w:val="17"/>
          <w:szCs w:val="17"/>
          <w:color w:val="auto"/>
        </w:rPr>
        <w:t>Although all of our product candidates have undergone or will undergo safety testing, not all adverse effects of drugs can be predicted or anticipated. Unforeseen side effects from any of our product candidates could arise either during clinical development or after the approved product has been marketed. Ongoing or future trials of our product candidates may not support the conclusion that one or more of these product candidates have acceptable safety profiles. The results of future clinical or nonclinical trials may show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risk management measures, or potential product liability claims. For example, in July 2022 we announced the discontinuation of our Phase 2 trial of enoblituzumab in combination with either retifanlimab or tebotelimab in the treatment of patients with recurrent or metastatic SCCHN, based on an internal review of safety data.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or others later identify undesirable or unacceptable side effects potentially caused by such products:</w:t>
      </w:r>
    </w:p>
    <w:p>
      <w:pPr>
        <w:spacing w:after="0" w:line="17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71"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16"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impose other risk-management measures, conduct additional clinical trials or change the labeling of the product;</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example, the prescribing information for MARGENZA include warnings and precautions for infusion-related reactions, as well as a boxed warning related to left ventricular dysfunction and embryo-fetal toxicity. Further, based on the identification of future adverse events, we may be required to further revise the prescribing information, including MARGENZA’s boxed warning, which could negatively impact sales of MARGENZA or adversely affect MARGENZA’s acceptance in the market.</w:t>
      </w:r>
    </w:p>
    <w:p>
      <w:pPr>
        <w:spacing w:after="0" w:line="13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manufacturing facilities are subject to significant government regulations and approvals, which are often costly and could result in adverse consequences to our business if we fail to comply with the regulations or maintain the approvals.</w:t>
      </w:r>
    </w:p>
    <w:p>
      <w:pPr>
        <w:spacing w:after="0" w:line="11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have a limited operating history conducting commercial activities as a CDMO and our contract manufacturing business materially depends upon the regulatory approval of the product candidates we manufacture. We must comply with the FDA’s cGMP requirements, as set out in statute, regulations and interpreted through guidance.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See “Other U.S. Post-Marketing Regulatory Requirements” above for additional information. Any failure to follow cGMP or other regulatory requirements or delay, interruption or other issues that arise in the manufacture, fill-finish, packaging, or storage of our product or product candidates as a result of a failure of our facilities or the facilities or operations of third parties to comply with regulatory requirements or pass any regulatory authority inspection could significantly impair our ability to develop and commercialize our product or product candidates, including leading to significant delays in the availability of drug product for sale and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or negatively impact a product’s commercial success. If we are not able to maintain regulatory compliance, we may not be permitted to market our product candidates and/or may be subject to product recalls, seizures, injunctions, or criminal prosecution. Additionally, if the FDA or a comparable foreign regulatory authority does not approve of our facilities for the manufacture of a customer product or if it withdraws such approval in the future, our customers may choose to identify alternative manufacturing facilities and/or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relationships, which could significantly impact our ability to expand our CDMO capacity and capabilities and achieve profitability.</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face significant competition and if our competitors continue to develop and market products that are more effective, safer or less expensive than our product and our product candidates, our current or future commercial opportunities may be negatively impacted.</w:t>
      </w:r>
    </w:p>
    <w:p>
      <w:pPr>
        <w:spacing w:after="0" w:line="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life sciences industry is highly competitive and subject to rapid and significant technological change. We are currently developing therapeutics that will compete with other drugs and therapies that currently exist or are being developed. Products we may develop in the future are also likely to face competition from other drugs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all of these factors, our competitors may succeed, or may have succeeded, in obtaining patent protection and/or FDA approval or discovering, developing and commercializing products in our field before we do.</w:t>
      </w:r>
    </w:p>
    <w:p>
      <w:pPr>
        <w:spacing w:after="0" w:line="1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Specifically, there are a large number of companies developing or marketing potential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 In addition, several companies are developing therapeutics that work by targeting multiple specificities using a single recombinant molecule. See “Competition” above for additional information.</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commercial opportunity for MARGENZA is very limited, and the commercial opportunity for future product candidates including vobra duo or lorigerlimab may be reduced or limited if our competitors develop and commercialize products that are safer, more effective, have fewer or less severe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biosimilar products.</w:t>
      </w:r>
    </w:p>
    <w:p>
      <w:pPr>
        <w:spacing w:after="0" w:line="13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products or product candidates obsolete, less competitive or not economical.</w:t>
      </w:r>
    </w:p>
    <w:p>
      <w:pPr>
        <w:spacing w:after="0" w:line="124"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The manufacture of vobra duo, lorigerlimab, MARGENZA and our other product candidates, for ourselves and our collaborators, is complex, and we may encounter difficulties in production. There can be no assurance that we will be able to effectively manufacture clinical quantities of our product candidates in the future. Further, we have limited experience in large-scale or commercial manufacturing, and there can be no assurance that we will be able to effectively manufacture commercial quantities of MARGENZA, or other products or product candidates, if and when approved.</w:t>
      </w:r>
    </w:p>
    <w:p>
      <w:pPr>
        <w:spacing w:after="0" w:line="22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currently manufacture product and product candidates for ourselves and our collaborators in our in-house manufacturing facility, and we anticipate manufacturing both commercial product as well as product candidates in the future, including for example commercial manufacturing of MARGENZA. We have limited experience in manufacturing at commercial scale. The process of commercial or clinical biotechnology manufacturing for ourselves and our collaborators is highly susceptible to delays or product loss due to a variety of factors, including but not limited to contamination, equipment failure, improper installation or operation of equipment, vendor or operator error, inconsistency in yields, variability in product characteristics, difficulties in scaling the production process, and vendor supply chain disruptions or fluctuations. Even minor deviations from manufacturing processes could result in reduced production yields, product defects and other supply disruptions. If microbial, viral or other contaminations are discovered in MARGENZA and our product candidates or in the manufacturing facilities in which MARGENZA and our product candidates are made, such manufacturing facilities may need to be closed for an extended period of time to investigate and remedy the contamination. Any adverse developments affecting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5" w:name="page36"/>
    <w:bookmarkEnd w:id="35"/>
    <w:p>
      <w:pPr>
        <w:ind w:right="140"/>
        <w:spacing w:after="0" w:line="257" w:lineRule="auto"/>
        <w:rPr>
          <w:sz w:val="20"/>
          <w:szCs w:val="20"/>
          <w:color w:val="auto"/>
        </w:rPr>
      </w:pPr>
      <w:r>
        <w:rPr>
          <w:rFonts w:ascii="Arial" w:cs="Arial" w:eastAsia="Arial" w:hAnsi="Arial"/>
          <w:sz w:val="18"/>
          <w:szCs w:val="18"/>
          <w:color w:val="auto"/>
        </w:rPr>
        <w:t>manufacturing operations for MARGENZA and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In addition, if we fail to supply required quantities of MARGENZA or a product candidate for one of our collaborators, our collaborator may terminate our agreement.</w:t>
      </w:r>
    </w:p>
    <w:p>
      <w:pPr>
        <w:spacing w:after="0" w:line="13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Although we currently maintain insurance coverage against damage to our property and to cover business interruption and research and development restoration expenses, our insurance coverage may not reimburse us, or may not be sufficient to reimburse us, for any expenses or losses we may suffer. If there were to be a catastrophic event or failure of our manufacturing facilities or processes, we may be unable to meet our requirements for supply of MARGENZA and our product candidates.</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COVID-19 (or any variant thereof) may have a significant negative impact on our clinical trials, nonclinical studies, development, manufacturing and commercialization of our product candidates and other aspects of our business, staff, and operations.</w:t>
      </w:r>
    </w:p>
    <w:p>
      <w:pPr>
        <w:spacing w:after="0" w:line="11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Public health crises such as pandemics or similar outbreaks may have a material impact our business. For instance, the COVID-19 pandemic impaired our ability to enroll patients in clinical trials, continue ongoing clinical trials or activate clinical trial sites, and MARGENZA commercialization, due to, for example, heightened exposure to COVID-19 if an outbreak occurs in a specific geography, the shifting of healthcare resources toward the pandemic or the closing of or limiting of access to clinical facilities, and reduced or eliminated in-person access to physicians and health care centers. Furthermore, patients may be unable or unwilling to enroll in our clinical trials or be unable to comply with clinical trial protocols if COVID-19 related restrictions impede patient movement or interrupt healthcare services. Public health crises may also negatively affect the operations of third-party CROs that we rely upon to carry out our clinical trials, or the operations of other service providers, which could result in delays or disruptions in the supply of our product candidates or other aspects of our business or that of our collaborators. Any negative impact public health crises could have, on patient enrollment or treatment or the timing and execution of our clinical trials could cause delays to our clinical trial activities, which could adversely affect our ability to seek and obtain regulatory approval for and to commercialize any approved product candidates, increase our operating expenses and have a material adverse effect on our business and financial results.</w:t>
      </w:r>
    </w:p>
    <w:p>
      <w:pPr>
        <w:spacing w:after="0" w:line="12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To date, we have seen limited business impact from COVID-19 related absences for our employees, but there can be no assurance that there will not be negative business impact in the future. We expect many employees to continue to work remotely or a hybrid of in-person and remote work, which presents risks, uncertainties and costs that could affect our performance, including operational and workplace culture challenges and uncertainty regarding office space needs.</w:t>
      </w:r>
    </w:p>
    <w:p>
      <w:pPr>
        <w:spacing w:after="0" w:line="26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may also face increased cybersecurity risks due to the shifting of a majority of our corporate functions operating remotely in regions impacted the virus. Increased levels of remote access may create additional opportunities for cybercriminals to attempt to exploit vulnerabilities, and our employees may be more susceptible to phishing and social engineering attempts.</w:t>
      </w:r>
    </w:p>
    <w:p>
      <w:pPr>
        <w:spacing w:after="0" w:line="13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We have limited experience in launching and marketing products. If we are unable to further develop marketing and sales capabilities or enter into agreements with third parties to market and sell our products, or our existing arrangements are not successful, we may not be able to generate substantial product sales revenue.</w:t>
      </w:r>
    </w:p>
    <w:p>
      <w:pPr>
        <w:spacing w:after="0" w:line="13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December 2020, the FDA approved MARGENZA, in combination with chemotherapy, for the treatment of adult patients with metastatic HER2-positive breast cancer who have received two or more prior anti-HER2 regimens, at least one of which was for metastatic disease. We launched MARGENZA in March 2021. In conjunction with Eversana, we continue to build commercialization support in United States to commercialize MARGENZA in a manner we believe to be appropriate in light of the modest size of the market opportunity. We have limited internal commercialization capabilities, and any additional products or product candidates that we may develop or in-license, will require significant capital expenditures, management resources and time.</w:t>
      </w:r>
    </w:p>
    <w:p>
      <w:pPr>
        <w:spacing w:after="0" w:line="13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have limited experience in commercializing our products. For example, we have limited experience in building and managing a commercial team, conducting a comprehensive market analysis, and reimbursement, or managing distributors and a field force for our products. We compete with many companies that currently have extensive and well-funded sales and marketing operations.</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commercialization of any or all of our product candidates, we will have to compete with other pharmaceutical and biotechnology companies to recruit, hire, train and retain marketing and sales personnel. If we are unable to, or decide not to, further develop internal sales, marketing, and commercial distribution capabilities for any or all of our products, we will likely pursue additional collaborative arrangements regarding the sales and marketing of our products. However, there can be no assurance that we will be able to establish or maintain such collaborative arrangements, or if we are able to do so, that they will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6" w:name="page37"/>
    <w:bookmarkEnd w:id="36"/>
    <w:p>
      <w:pPr>
        <w:spacing w:after="0" w:line="263" w:lineRule="auto"/>
        <w:rPr>
          <w:sz w:val="20"/>
          <w:szCs w:val="20"/>
          <w:color w:val="auto"/>
        </w:rPr>
      </w:pPr>
      <w:r>
        <w:rPr>
          <w:rFonts w:ascii="Arial" w:cs="Arial" w:eastAsia="Arial" w:hAnsi="Arial"/>
          <w:sz w:val="18"/>
          <w:szCs w:val="18"/>
          <w:color w:val="auto"/>
        </w:rPr>
        <w:t>have effective sales forces. Any revenue we receive will depend upon the efforts of such third parties. We would have little or no control over the marketing and sales efforts of such third parties, and our revenue from product sales may be lower than if we had commercialized our products ourselves. We also face competition in our search for third parties to assist us with the sales and marketing efforts for our products.</w:t>
      </w:r>
    </w:p>
    <w:p>
      <w:pPr>
        <w:spacing w:after="0" w:line="116"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There can be no assurance that we will be able to further develop or successfully maintain internal sales and commercial capabilities or establish or maintain relationships with third-party collaborators to successfully commercialize any product, and as a result, we may not be able to generate substantial product sales revenue.</w:t>
      </w:r>
    </w:p>
    <w:p>
      <w:pPr>
        <w:spacing w:after="0" w:line="2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Actual or anticipated changes to the laws and regulations governing the health care system may have a negative impact on cost and access to health insurance coverage and reimbursement of healthcare items and services.</w:t>
      </w:r>
    </w:p>
    <w:p>
      <w:pPr>
        <w:spacing w:after="0" w:line="11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United States and several foreign jurisdictions are considering, or have already enacted, a number of legislative and regulatory proposals to change the healthcare system in ways that could affect our ability to sell any of our future approved products profitably. Among policy makers and payors in the United States and elsewhere, there is significant interest in promoting changes in healthcare systems with the stated goals of containing healthcare costs through lowering prescription drug prices, improving quality and/or expanding access to healthcare. In the United States, the pharmaceutical industry has been a particular focus of these efforts and has been significantly affected by major legislative initiatives, including the ACA, which became law in 2010. While it is difficult to assess the impact of the ACA in isolation, either in general or on our business specifically, it is widely thought that the ACA increases the likelihood of downward pressure on pharmaceutical reimbursement, which could negatively affect market acceptance of, and the price we may charge for, any products we develop that receive regulatory approval. Further, the United State and foreign governments regularly consider additional reform measures that affect healthcare coverage and costs. Such reforms may include changes to the coverage and reimbursement of healthcare services and products. In particular, there have been executive, judicial and Congressional challenges to the ACA, which could have an impact on coverage and reimbursement for healthcare services covered by plans authorized by the ACA.</w:t>
      </w:r>
    </w:p>
    <w:p>
      <w:pPr>
        <w:spacing w:after="0" w:line="11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While Congress has not passed comprehensive repeal legislation, several bills affecting the implementation of certain taxes under the ACA have been signed into law. The Tax Cuts and Jobs Act of 2017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such challenges and any healthcare reform measures of the Biden administration will impact the ACA and our business.</w:t>
      </w:r>
    </w:p>
    <w:p>
      <w:pPr>
        <w:spacing w:after="0" w:line="117"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implemented but is likely to have 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7" w:name="page38"/>
    <w:bookmarkEnd w:id="37"/>
    <w:p>
      <w:pPr>
        <w:jc w:val="both"/>
        <w:ind w:right="140"/>
        <w:spacing w:after="0" w:line="259" w:lineRule="auto"/>
        <w:rPr>
          <w:sz w:val="20"/>
          <w:szCs w:val="20"/>
          <w:color w:val="auto"/>
        </w:rPr>
      </w:pPr>
      <w:r>
        <w:rPr>
          <w:rFonts w:ascii="Arial" w:cs="Arial" w:eastAsia="Arial" w:hAnsi="Arial"/>
          <w:sz w:val="18"/>
          <w:szCs w:val="18"/>
          <w:color w:val="auto"/>
        </w:rPr>
        <w:t>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However, it is unclear whether these or similar policy initiatives will be implemented in the future.</w:t>
      </w:r>
    </w:p>
    <w:p>
      <w:pPr>
        <w:spacing w:after="0" w:line="133"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We cannot predict what healthcare initiatives, if any, will be implemented at the federal or state level, however, government and other regulatory oversight and future regulatory and government interference with the healthcare systems could adversely impact our business and results of operations.</w:t>
      </w:r>
    </w:p>
    <w:p>
      <w:pPr>
        <w:spacing w:after="0" w:line="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We expect to experience pricing pressures in connection with the sale of any products that we develop, due to the trend toward managed healthcare, the increasing influence of various and evolving payor models and additional legislative proposals.</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1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Market acceptance and sales of our products and product candidates, if approved for sale by the appropriate regulatory authorities, may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our products or any products that we develop. Also, we cannot be certain that reimbursement policies will not reduce the demand for, or the price paid for, our products. Our ability to commercialize our products may depend, in part, on the extent to which reimbursement for the products will be available from government authorities and third-party payors. If reimbursement for our products is not available or is available on a limited basis, or if the reimbursement amount for our products is inadequate to support a product’s price, we may not be able to successfully commercialize any of our approved products.</w:t>
      </w:r>
    </w:p>
    <w:p>
      <w:pPr>
        <w:spacing w:after="0" w:line="111"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There is uncertainty related to third-party payor coverage and reimbursement of newly approved products. In the United States, for example, principal decisions about reimbursement for new products are typically made by CMS, an agency within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and reimbursement determination process is often time-consuming and costly. This process may require us to provide scientific and clinical information to support the coverage or reimbursement of our products to each third-party payor separately, with no assurance that coverage and adequate reimbursement will be applied consistently or obtained in the first instance.</w:t>
      </w:r>
    </w:p>
    <w:p>
      <w:pPr>
        <w:spacing w:after="0" w:line="14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federal and state governments implement additional health care cost containment measures, including measures to lower prescription drug pricing, we cannot be sure that MARGENZA and our product candidates, if approved, will be covered, or remain covered, by private or public payors, and if covered, whether the reimbursement will be perceived by product purchasers as adequate. Health reform actions by federal and state governments and health plans may put additional downward pressure on pharmaceutical pricing and health care costs, which could negatively impact coverage and reimbursement for MARGENZA and our product candidates, if approved, our revenue, and our ability to compete with other marketed products and to recoup the costs of our research and development.</w:t>
      </w:r>
    </w:p>
    <w:p>
      <w:pPr>
        <w:spacing w:after="0" w:line="13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Increasingly, third-party payors are requiring that biopharmaceutical manufacturers provide them with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drugs. Third-party payors may limit coverage to specific products and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products may not be considered medically necessary or cost effective. We cannot be sure that coverage and reimbursement will be available for any approved product that we commercialize and, if reimbursement is available, what the level of reimbursement will be. Further, coverage policies and third-party payor reimbursement rates may change at any time. Even if favorable coverage and reimbursement status is attained, less favorable coverage policies and reimbursement rates may be implemented in the future. Additionally, we or our collaborators may develop companion diagnostic tests for use with our product candidates where appropriate. We or our collaborators will be required to obtain coverage and reimbursement for these tests separate and apart from the coverage and reimbursement we may seek for our product candidates. While we have not yet developed any companion diagnostic tests for our product candidates, if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ind w:right="100"/>
        <w:spacing w:after="0" w:line="277" w:lineRule="auto"/>
        <w:rPr>
          <w:sz w:val="20"/>
          <w:szCs w:val="20"/>
          <w:color w:val="auto"/>
        </w:rPr>
      </w:pPr>
      <w:r>
        <w:rPr>
          <w:rFonts w:ascii="Arial" w:cs="Arial" w:eastAsia="Arial" w:hAnsi="Arial"/>
          <w:sz w:val="18"/>
          <w:szCs w:val="18"/>
          <w:color w:val="auto"/>
        </w:rPr>
        <w:t>we do, there is significant uncertainty regarding our ability to obtain coverage and adequate reimbursement for the same reasons applicable to our product candidates.</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any product liability lawsuits are successfully brought against us or any of our collaborators, we may incur substantial liabilities and may be required to limit commercialization of our products or product candidates.</w:t>
      </w:r>
    </w:p>
    <w:p>
      <w:pPr>
        <w:spacing w:after="0" w:line="116"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We face an inherent risk of product liability lawsuits related to the sale of our products to, use of our products by, and testing of our product candidates in, seriously ill patients. Product liability claims may be brought against us or our collaborators by participants enrolled in our clinical trials, patients, health care providers or others using, administering or selling any of our approved products. If we cannot successfully defend ourselves against any such claims, we may incur substantial liabilities. Regardless of their merit or eventual outcome, liability claims may result in:</w:t>
      </w:r>
    </w:p>
    <w:p>
      <w:pPr>
        <w:spacing w:after="0" w:line="10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future approved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regulatory scrutiny;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 with patients or other claimants;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they may be used;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respect to vobra duo, lorigerlimab, MARGENZA and any of our other product candidates that are approved for commercial sale, we are, and will be, highly dependent upon physician and patient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Because of our dependence upon consumer perceptions, any adverse publicity associated with illness or other adverse effects resulting from patients’ use or misuse of our products or any similar products distributed by other companies could have a material adverse impact on our financial condition or results of operations.</w:t>
      </w:r>
    </w:p>
    <w:p>
      <w:pPr>
        <w:spacing w:after="0" w:line="13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of December 31, 2022, we hold $20 million in product liability insurance coverage in the aggregate, with a per incident limit of $20 million, which may not be adequate to cover all liabilities that we may incur. We may need to increase our insurance coverage when we begin the commercialization of additional product candidates. Insurance coverage is becoming increasingly expensive. As a result,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w:t>
      </w:r>
    </w:p>
    <w:p>
      <w:pPr>
        <w:spacing w:after="0" w:line="124" w:lineRule="exact"/>
        <w:rPr>
          <w:sz w:val="20"/>
          <w:szCs w:val="20"/>
          <w:color w:val="auto"/>
        </w:rPr>
      </w:pPr>
    </w:p>
    <w:p>
      <w:pPr>
        <w:ind w:right="200"/>
        <w:spacing w:after="0" w:line="340" w:lineRule="auto"/>
        <w:rPr>
          <w:sz w:val="20"/>
          <w:szCs w:val="20"/>
          <w:color w:val="auto"/>
        </w:rPr>
      </w:pPr>
      <w:r>
        <w:rPr>
          <w:rFonts w:ascii="Arial" w:cs="Arial" w:eastAsia="Arial" w:hAnsi="Arial"/>
          <w:sz w:val="15"/>
          <w:szCs w:val="15"/>
          <w:b w:val="1"/>
          <w:bCs w:val="1"/>
          <w:i w:val="1"/>
          <w:iCs w:val="1"/>
          <w:color w:val="auto"/>
        </w:rPr>
        <w:t>Even if we and our collaborators obtain regulatory approvals to market our current and any future approved products, we and our collaborators will remain subject to extensive ongoing regulatory obligations and oversight, including post-approval requirements, that could result in significant additional expense and could negatively impact our and our collaborators' ability to commercialize our current and any future approved products.</w:t>
      </w:r>
    </w:p>
    <w:p>
      <w:pPr>
        <w:spacing w:after="0" w:line="7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and our collaborators are subject to extensive ongoing obligations and continued regulatory review from applicable regulatory agencies with respect to any product obtaining regulatory approval, including vobra duo, lorigerlimab, and MARGENZA, such as continued adverse event reporting requirements and post-marketing commitments, all of which may result in significant expense and limit our and our collaborators' ability to commercialize our current and any future approved products. For example, the FDA's approval of MARGENZA included a requirement that we provide to the FDA the data from the final overall survival endpoint from our SOPHIA study, which we reported in September 2021. Moreover, in connection with MARGENZA’s approval, the labeling and advertising and promotion of MARGENZA are subject to additional regulatory requirements, which could entail significant expense and could negatively impact the potential commercialization of</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9" w:name="page40"/>
    <w:bookmarkEnd w:id="39"/>
    <w:p>
      <w:pPr>
        <w:ind w:right="120"/>
        <w:spacing w:after="0" w:line="277" w:lineRule="auto"/>
        <w:rPr>
          <w:sz w:val="20"/>
          <w:szCs w:val="20"/>
          <w:color w:val="auto"/>
        </w:rPr>
      </w:pPr>
      <w:r>
        <w:rPr>
          <w:rFonts w:ascii="Arial" w:cs="Arial" w:eastAsia="Arial" w:hAnsi="Arial"/>
          <w:sz w:val="18"/>
          <w:szCs w:val="18"/>
          <w:color w:val="auto"/>
        </w:rPr>
        <w:t>MARGENZA. To the extent other product candidates or those of our partners are approved by the FDA, we or our collaborators may be subject to similar post-marketing obligations.</w:t>
      </w:r>
    </w:p>
    <w:p>
      <w:pPr>
        <w:spacing w:after="0" w:line="11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and the manufacturers of our current and any future approved products are also required, or will be required, to comply with cGMP regulations, which include requirements relating to quality control and quality assurance as well as the corresponding maintenance of records and documentation. Further, regulatory agencies must approve these manufacturing facilities before they can be used to manufacture our products and product candidates, and these facilities are subject to ongoing regulatory inspections. In addition, regulatory agencies subject an approved product, its manufacturer and the manufacturer’s facilities to continual review and inspections, including periodic unannounced inspections. The subsequent discovery of previously unknown problems with our current or any future approved products, including adverse events of unanticipated severity or frequency, or problems with the facilities where our current or any future approved products are manufactured, may result in restrictions on the marketing of our current or any such future approved products, up to and including withdrawal of the affected product from the market. If our manufacturing facilities, our collaborators' manufacturing facilities, or those of our respective suppliers, fail to comply with applicable regulatory requirements, such noncompliance could result in regulatory action and additional costs to us.</w:t>
      </w:r>
    </w:p>
    <w:p>
      <w:pPr>
        <w:spacing w:after="0" w:line="13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Failure to comply with applicable FDA and other regulatory requirements may subject us to administrative or judicially imposed sanctions, including:</w:t>
      </w:r>
    </w:p>
    <w:p>
      <w:pPr>
        <w:spacing w:after="0" w:line="11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Form FDA 483 notices or Warning Letters by the FDA or other regulatory agencies;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fines and other civil penalties;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suspensions or revocations of regulatory approvals;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or partial suspension of manufacturing;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commercialization;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refusals to permit drugs to be imported into or exported from the United States;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or seizures.</w:t>
      </w:r>
    </w:p>
    <w:p>
      <w:pPr>
        <w:spacing w:after="0" w:line="17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policies of the FDA and other regulatory agencies may change and additional government regulations may be enacted that could prevent or delay regulatory approval of vobra duo, our other product candidates or of MARGENZA in any additional indications or territories, or further restrict or regulate post-approval activities. We cannot predict the likelihood, nature or extent of adverse government regulation that may arise from future legislation or administrative action, either in the United States or abroad. If we are not able to maintain regulatory compliance, we or our collaborators might not be permitted to market our current or any future approved products and our business would suffer.</w:t>
      </w:r>
    </w:p>
    <w:p>
      <w:pPr>
        <w:spacing w:after="0" w:line="12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and/or our collaboration partners may never obtain approval or commercialize our products outside of the United States, which would limit our ability to realize their full market potential.</w:t>
      </w:r>
    </w:p>
    <w:p>
      <w:pPr>
        <w:spacing w:after="0" w:line="11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order to market any products outside of the United States, we and our current and potential collaboration partners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may require additional nonclinical studies or clinical trials or additional administrative review periods, which could result in significant delays, difficulties and costs for us. In addition, our failure to obtain regulatory approval in any country may delay or have negative effects on the process for regulatory approval in other countries. Although we obtained FDA approval of MARGENZA in December 2020, we do not have any product candidates approved for sale in any international market. If we fail to comply with regulatory requirements in international markets or to obtain and maintain required approvals, our target market will be reduced and our ability to realize the full market potential of our products will be harmed.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40" w:name="page41"/>
    <w:bookmarkEnd w:id="40"/>
    <w:p>
      <w:pPr>
        <w:ind w:right="240"/>
        <w:spacing w:after="0" w:line="311"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5"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03"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pause or stop critical activities. If a prolonged government shutdown occurs, it could significantly impact the ability of the FDA to timely review and process our regulatory submissions, which could have a material adverse effect on our business.</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contract with the National Institute of Allergy and Infectious Diseases (NIAID) makes us a government contractor. Laws and regulations affecting government contracts may make it more costly and difficult for us to successfully conduct our business. </w:t>
      </w:r>
    </w:p>
    <w:p>
      <w:pPr>
        <w:spacing w:after="0" w:line="11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must comply with numerous laws and regulations relating to the procurement, formation, administration and performance of government contracts. Failure to comply with these laws could result in significant civil and criminal penalties. Among the most significant government contracting regulations that may affect our business are: the Federal Acquisition Regulation (FAR) and NIH-NIAID-specific regulations supplemental to the FAR, which comprehensively regulate the procurement, formation, administration and performance of government contracts; 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and the False Claims Act; export and import control laws and regulations; and laws, regulations and executive orders restricting the use and dissemination of sensitive information we may receive pursuant to our performance of the government contract. U.S. government agencies routinely audit and investigate government contractors for compliance with applicable laws and standards. If we are audited, such audit could result in disallowance of expected cost reimbursement, or if such audit were to uncover improper or illegal activities, we could be subject to civil and criminal penalties, administrative sanctions, including suspension or debarment from government contracting and significant reputational harm.</w:t>
      </w:r>
    </w:p>
    <w:p>
      <w:pPr>
        <w:spacing w:after="0" w:line="12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Changes in U.S. tax law may have a material adverse effect on our business, financial condition and results of operations, and changes in international trade relations may have a material adverse effect on the commercialization of some or all of our product candidates.</w:t>
      </w:r>
    </w:p>
    <w:p>
      <w:pPr>
        <w:spacing w:after="0" w:line="9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Changes in laws and policy relating to taxes may have an adverse effect on our business, financial condition and results of operations. Recent tax reforms in the United States have resulted in significant changes to preexisting U.S. tax rules and regulations. These changes may trigger an adverse effect on our business, financial conditions and results of operations.</w:t>
      </w:r>
    </w:p>
    <w:p>
      <w:pPr>
        <w:spacing w:after="0" w:line="13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Additionally, the U.S. government may seek to implement more protective trade measures with countries in which we plan to conduct business in, with great deal of uncertainty regarding trade policies, tariffs and government regulations, which if altered could have the potential to create a significant adverse effect on trade between the United States and other countries. Overall, changes in international trade relations, such as the imposition of or increase in tariffs or other trade barriers, could materially and adversely impact our costs, the ability to make sales of our product candidates to any of our significant customers in other countries, and reduce the competitiveness of our product candidates.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advancing our product candidates through clinical development and have commercialized MARGENZA in collaboration with Eversana. Developing and commercializing pharmaceutical products, including conducting nonclinical studies and clinical trials, is expensive. In order to obtain such regulatory approval of product candidates, we will be required to conduct clinical trials for each indication for each of our product candidates. We will continue to require additional funding beyond what was raised in our public offerings and through our collaborations and license agreements to complete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1" w:name="page42"/>
    <w:bookmarkEnd w:id="41"/>
    <w:p>
      <w:pPr>
        <w:ind w:right="100"/>
        <w:spacing w:after="0" w:line="270" w:lineRule="auto"/>
        <w:rPr>
          <w:sz w:val="20"/>
          <w:szCs w:val="20"/>
          <w:color w:val="auto"/>
        </w:rPr>
      </w:pPr>
      <w:r>
        <w:rPr>
          <w:rFonts w:ascii="Arial" w:cs="Arial" w:eastAsia="Arial" w:hAnsi="Arial"/>
          <w:sz w:val="17"/>
          <w:szCs w:val="17"/>
          <w:color w:val="auto"/>
        </w:rPr>
        <w:t>development and commercialization of our product candidates and to continue to advance the development of our other product candidates. Due to worsening global economic conditions, including decades-high inflation and concerns of a recession in the United States or other major markets, and the recent disruptions to and volatility in the credit and financial markets in the United States and worldwide, including resulting from the ongoing COVID-19 pandemic, such funding may not be available on acceptable terms or at all. Although it is difficult to predict our funding requirements, based upon our current operating plan, we anticipate that our cash, cash equivalents and marketable securities as of December 31, 2022, combined with anticipated and potential collaboration payments and product revenues, will enable us to fund our operations through 2025. Such guidance does not reflect anticipated expenditures related to the potential late-stage development of vobra duo in mCRPC or further expansion of studies currently ongoing. Because development of our product candidates is uncertain, we are unable to estimate accurately the actual funds we will require to complete research, development and clinical testing to commercialize our product candidates.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and indications that we pursue;</w:t>
      </w:r>
    </w:p>
    <w:p>
      <w:pPr>
        <w:spacing w:after="0" w:line="171"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timing, cost and results of research, nonclinical development, and clinical trials, in particular, our planned potential registrational path trial for MCG018;</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and outcome of seeking and obtaining FDA and non-U.S. regulatory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establishing sales, marketing, and distribution capabilities;</w:t>
      </w:r>
    </w:p>
    <w:p>
      <w:pPr>
        <w:spacing w:after="0" w:line="171"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71" w:lineRule="exact"/>
        <w:rPr>
          <w:rFonts w:ascii="Arial" w:cs="Arial" w:eastAsia="Arial" w:hAnsi="Arial"/>
          <w:sz w:val="18"/>
          <w:szCs w:val="18"/>
          <w:color w:val="auto"/>
        </w:rPr>
      </w:pPr>
    </w:p>
    <w:p>
      <w:pPr>
        <w:ind w:left="660" w:right="28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economic and other terms, timing of and success of our existing collaborations, and any collaboration, licensing, or other arrangements into which we may enter in the future, including the timing of receipt of any milestone or royalty payments under these agreements.</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funds on acceptable terms are not available when needed, or at all, we could be forced to significantly reduce operating expenses and delay, scale back or eliminate one or more of our development programs or our business operations.</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losses for the foreseeable future. Our first commercial product, MARGENZA, launched in March 2021 and to date has not resulted in revenues sufficient for us to reach profitability. Accordingly, we may never achieve or sustain profitability.</w:t>
      </w:r>
    </w:p>
    <w:p>
      <w:pPr>
        <w:spacing w:after="0" w:line="130" w:lineRule="exact"/>
        <w:rPr>
          <w:sz w:val="20"/>
          <w:szCs w:val="20"/>
          <w:color w:val="auto"/>
        </w:rPr>
      </w:pPr>
    </w:p>
    <w:p>
      <w:pPr>
        <w:jc w:val="both"/>
        <w:ind w:right="160" w:firstLine="648"/>
        <w:spacing w:after="0" w:line="254" w:lineRule="auto"/>
        <w:rPr>
          <w:sz w:val="20"/>
          <w:szCs w:val="20"/>
          <w:color w:val="auto"/>
        </w:rPr>
      </w:pPr>
      <w:r>
        <w:rPr>
          <w:rFonts w:ascii="Arial" w:cs="Arial" w:eastAsia="Arial" w:hAnsi="Arial"/>
          <w:sz w:val="18"/>
          <w:szCs w:val="18"/>
          <w:color w:val="auto"/>
        </w:rPr>
        <w:t>We have incurred significant losses since our inception. As of December 31, 2022, our accumulated deficit was approximately $1.1 billion. We expect to continue to incur losses for the foreseeable future, and we expect these losses to increase as we continue our research and development of, and seek regulatory approvals for, our product candidates, manufacture product and product candidate inventory, prepare for and begin to commercialize any future approved products, and add infrastructure and personnel if needed to support our product development efforts and operations as a public company. The net losses and negative cash flows incurred to date, together with expected future losses, have had, and likely will continue to have, an adverse effect on our stockholders' deficit and working capital. The amount of future net losses will depend, in part, on the rate of future growth of our expenses and our ability to generate revenue.</w:t>
      </w:r>
    </w:p>
    <w:p>
      <w:pPr>
        <w:spacing w:after="0" w:line="14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and commercialization, we are unable to accurately predict the timing or amount of increased expenses or when, or if, we will be able to achieve profitability. For example, our expenses could increase if we are required by the FDA to perform trials in addition to those that we currently expect to perform, or if there are any delays in completing our currently planned clinical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ind w:right="200"/>
        <w:spacing w:after="0" w:line="277" w:lineRule="auto"/>
        <w:rPr>
          <w:sz w:val="20"/>
          <w:szCs w:val="20"/>
          <w:color w:val="auto"/>
        </w:rPr>
      </w:pPr>
      <w:r>
        <w:rPr>
          <w:rFonts w:ascii="Arial" w:cs="Arial" w:eastAsia="Arial" w:hAnsi="Arial"/>
          <w:sz w:val="18"/>
          <w:szCs w:val="18"/>
          <w:color w:val="auto"/>
        </w:rPr>
        <w:t>trials or in the development of any of our product candidates. Our expenses would significantly increase to the extent we build out a sales force and other commercially relevant functions to support the commercialization of any of our product candidates.</w:t>
      </w:r>
    </w:p>
    <w:p>
      <w:pPr>
        <w:spacing w:after="0" w:line="116"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To become and remain profitable, we must succeed in developing and commercializing products with significant market potential. For example, revenues from MARGENZA are unlikely to be sufficient to enable us to reach profitability. In order to commercialize any additional product candidates, we will need to be successful in a range of challenging activities for which we are only in the preliminary stages, including developing product candidates, obtaining regulatory approval for them, and manufacturing, marketing and selling approved products and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1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Our business could be adversely affected by economic downturns, inflation, increases in interest rates, natural disasters, public health crises, political crises, geopolitical events, such as the ongoing military conflict in Ukraine, or other macroeconomic conditions, which have in the past and may in the future negatively impact our business and financial performance.</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The Federal Reserve recently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adversely affect our business or the third parties on whom we rely. If the equity and credit markets deteriorate, including as a result of political unrest or war, it may make any necessary debt or equity financing more costly or more dilutive or more difficult to obtain in a timely manner or on favorable terms, if at all. Increased inflation rates can adversely affect us by increasing our costs, including labor and employee benefit costs.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8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at all,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MARGENZA,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MARGENZA or product candidates that we would otherwise prefer to develop and market ourselves.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ability to utilize our federal net operating losses (NOLs) and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increase their aggregate ownership by more than 50 percentage points over their lowest ownership percentage in a testing period, which is typically three years or since the last ownership change. We are already subject to Section 382 limitations due to acquisitions we made in 2002 and 2008. As of December 31, 2022, we had federal and state NOL carryforwards of approximately $777 million and federal research and development tax credits of approximately $94 million available. Future changes in stock ownership may also trigger an ownership change and, consequently, another Section 382 limitation. Any limitation may result in expiration of a portion of the net operating loss or tax credit carryforwards before utilization which would reduce our gross deferred income tax assets and corresponding valuation allowance. As a result, if we earn net taxable income, our ability to use our pre-change NOL carryforwards and tax credit carryforwards to reduce United States federal income tax may be subject to limitations, which could potentially result in increased future cash tax liability to us.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7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7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have limited capabilities for drug development and have little to no internal capability for sales, marketing or distribution. We have entered into collaborations with other companies that we believe can provide such capabilities, including our agreements with, for example, Gilead Sciences, Inc., Incyte Corporation, Zai Lab Limited and Janssen Biotech, Inc. These current collaborations also have provided us with important funding for our development programs and technology platforms and we expect to receive additional funding under these collaborations in the future. Our existing therapeutic collaborations, and any future collaborations we enter into, may pose a number of risks, including the following:</w:t>
      </w:r>
    </w:p>
    <w:p>
      <w:pPr>
        <w:spacing w:after="0" w:line="122"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71" w:lineRule="exact"/>
        <w:rPr>
          <w:rFonts w:ascii="Arial" w:cs="Arial" w:eastAsia="Arial" w:hAnsi="Arial"/>
          <w:sz w:val="18"/>
          <w:szCs w:val="18"/>
          <w:color w:val="auto"/>
        </w:rPr>
      </w:pPr>
    </w:p>
    <w:p>
      <w:pPr>
        <w:ind w:left="980" w:hanging="324"/>
        <w:spacing w:after="0" w:line="286"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11" w:lineRule="exact"/>
        <w:rPr>
          <w:rFonts w:ascii="Arial" w:cs="Arial" w:eastAsia="Arial" w:hAnsi="Arial"/>
          <w:sz w:val="17"/>
          <w:szCs w:val="17"/>
          <w:color w:val="auto"/>
        </w:rPr>
      </w:pPr>
    </w:p>
    <w:p>
      <w:pPr>
        <w:ind w:left="980" w:right="480" w:hanging="324"/>
        <w:spacing w:after="0" w:line="308"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2" w:lineRule="exact"/>
        <w:rPr>
          <w:rFonts w:ascii="Arial" w:cs="Arial" w:eastAsia="Arial" w:hAnsi="Arial"/>
          <w:sz w:val="17"/>
          <w:szCs w:val="17"/>
          <w:color w:val="auto"/>
        </w:rPr>
      </w:pPr>
    </w:p>
    <w:p>
      <w:pPr>
        <w:ind w:left="980" w:right="320" w:hanging="324"/>
        <w:spacing w:after="0" w:line="26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29" w:lineRule="exact"/>
        <w:rPr>
          <w:rFonts w:ascii="Arial" w:cs="Arial" w:eastAsia="Arial" w:hAnsi="Arial"/>
          <w:sz w:val="18"/>
          <w:szCs w:val="18"/>
          <w:color w:val="auto"/>
        </w:rPr>
      </w:pPr>
    </w:p>
    <w:p>
      <w:pPr>
        <w:ind w:left="980" w:right="80" w:hanging="324"/>
        <w:spacing w:after="0" w:line="342" w:lineRule="auto"/>
        <w:tabs>
          <w:tab w:leader="none" w:pos="9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16" w:lineRule="exact"/>
        <w:rPr>
          <w:rFonts w:ascii="Arial" w:cs="Arial" w:eastAsia="Arial" w:hAnsi="Arial"/>
          <w:sz w:val="18"/>
          <w:szCs w:val="18"/>
          <w:color w:val="auto"/>
        </w:rPr>
      </w:pPr>
    </w:p>
    <w:p>
      <w:pPr>
        <w:ind w:left="980" w:right="300" w:hanging="324"/>
        <w:spacing w:after="0" w:line="279"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in payment, or non-payment, of royalties, milestones or other monies owed,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17" w:lineRule="exact"/>
        <w:rPr>
          <w:rFonts w:ascii="Arial" w:cs="Arial" w:eastAsia="Arial" w:hAnsi="Arial"/>
          <w:sz w:val="17"/>
          <w:szCs w:val="17"/>
          <w:color w:val="auto"/>
        </w:rPr>
      </w:pPr>
    </w:p>
    <w:p>
      <w:pPr>
        <w:ind w:left="980" w:right="100" w:hanging="324"/>
        <w:spacing w:after="0" w:line="342" w:lineRule="auto"/>
        <w:tabs>
          <w:tab w:leader="none" w:pos="9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82" w:lineRule="exact"/>
        <w:rPr>
          <w:rFonts w:ascii="Arial" w:cs="Arial" w:eastAsia="Arial" w:hAnsi="Arial"/>
          <w:sz w:val="17"/>
          <w:szCs w:val="17"/>
          <w:color w:val="auto"/>
        </w:rPr>
      </w:pPr>
    </w:p>
    <w:p>
      <w:pPr>
        <w:ind w:left="980" w:right="20" w:hanging="324"/>
        <w:spacing w:after="0" w:line="286"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collaborations may be terminated for the convenience of the collaborator and, if terminated, we could be required to raise additional capital to pursue further development or commercialization of the applicable product candidates. For example, each of our collaboration and license agreements may be terminated for convenience upon the completion of a specified notice period.</w:t>
      </w:r>
    </w:p>
    <w:p>
      <w:pPr>
        <w:spacing w:after="0" w:line="1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our therapeutic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Annual Report on Form 10-K also apply to the activities of our program collaborators.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5" w:right="379" w:bottom="1440" w:gutter="0" w:footer="0" w:header="0"/>
        </w:sectPr>
      </w:pPr>
    </w:p>
    <w:bookmarkStart w:id="44" w:name="page45"/>
    <w:bookmarkEnd w:id="44"/>
    <w:p>
      <w:pPr>
        <w:ind w:right="20" w:firstLine="648"/>
        <w:spacing w:after="0" w:line="263" w:lineRule="auto"/>
        <w:rPr>
          <w:sz w:val="20"/>
          <w:szCs w:val="20"/>
          <w:color w:val="auto"/>
        </w:rPr>
      </w:pPr>
      <w:r>
        <w:rPr>
          <w:rFonts w:ascii="Arial" w:cs="Arial" w:eastAsia="Arial" w:hAnsi="Arial"/>
          <w:sz w:val="18"/>
          <w:szCs w:val="18"/>
          <w:color w:val="auto"/>
        </w:rPr>
        <w:t>Additionally, subject to its contractual obligations to us, if one of our collaborators is involved in a business combination, the collaborator might de-emphasize or terminate the development or commercialization of MARGENZA or any product candidate licensed to it by us. If one of our collaborators terminates its agreement with us, we may find it more difficult to attract new collaborators.</w:t>
      </w:r>
    </w:p>
    <w:p>
      <w:pPr>
        <w:spacing w:after="0" w:line="13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vobra duo, lorigerlimab, and our other product candidates, we may in the future determine to collaborate with additional pharmaceutical and biotechnology companies for development and potential commercialization.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products, product candidates or technologies for similar indications that may be available to collaborate on and whether such a collaboration could be more attractive than the one with us for our product candidate.</w:t>
      </w:r>
    </w:p>
    <w:p>
      <w:pPr>
        <w:spacing w:after="0" w:line="13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Collaborations are complex and time-consuming to negotiate and document. In addition, there have been a significant number of business combinations among large pharmaceutical companies that have resulted in a reduced number of potential future collaborators. If we are unable to reach agreements with suitable collaborators on a timely basis, on acceptable terms, or at all, we may have to curtail the development of vobra duo, lorigerlimab, or our other product candidates, reduce or delay one or more of our other development programs, delay the commercialization of a product candidate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vobra duo, lorigerlimab, or our other product candidates or bring them to market or continue to develop our technology platforms and our business may be materially and adversely affected.</w:t>
      </w:r>
    </w:p>
    <w:p>
      <w:pPr>
        <w:spacing w:after="0" w:line="13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may also be restricted under collaboration agreements from entering into additional agreements on certain terms with potential collaborators. Most of our existing therapeutic collaborations contain a restriction on our engaging in activities that are the subject of the collaboration with third parties for specified periods of time.</w:t>
      </w:r>
    </w:p>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contract with, and may in the future contract with, third parties for components of the manufacturing of MARGENZA and our other product candidates. Failure of third-party contractors to successfully perform their obligations could harm our ability to develop or commercialize our product or product candidates.</w:t>
      </w:r>
    </w:p>
    <w:p>
      <w:pPr>
        <w:spacing w:after="0" w:line="21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currently have one cGMP manufacturing facility located in Rockville, Maryland in compliance with cGMP to support future clinical and commercial production of our and our collaborators’ product candidates. We manufacture drug substance lots at this facility that we use for clinical trials of our and our collaborators’ product candidates. We also have the capability to manufacture commercial supply of MARGENZA. Although we believe we currently have capacity to produce most of the material required for our and our collaborators’ clinical trials and for the commercial supply of MARGENZA, we may not be able to do so in the future, and may continue to rely on arrangements with third parties. We will continue to rely on third parties for bioconjugation to produce ADCs and for fill finish activities, neither of which our cGMP manufacturing facility can currently accommodate.</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entered into agreements with contract manufacturing organizations in the past to supplement our clinical supply and internal capacity as</w:t>
      </w:r>
    </w:p>
    <w:p>
      <w:pPr>
        <w:spacing w:after="0" w:line="7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commercialize MARGENZA and advance vobra duo, lorigerlimab and other product candidates in our pipeline. In addition, in the future, we may use third parties for the manufacture of some or all components of our product candidates for clinical testing, including anti-body drug conjugates, as well as for commercial manufacture of some of our product candidates that receive marketing approval and that are not manufactured by us or one of our third party collaborators. We may be unable to reach agreement with any of these contract manufacturers, or to identify and reach arrangements on satisfactory terms with other contract manufacturers, to manufacture any of our product candidates. Additionally, the facilities used by any contract manufacturer to manufacture any of our product candidates must be the subject of a satisfactory inspection before the FDA and other regulatory authorities approve a BLA or marketing authorization for the product candidate manufactured at that facility. We will depend on these third-party manufacturing partners for compliance with the FDA’s requirements for the manufacture of our finished products. If our manufacturers cannot successfully manufacture material that conforms to our specifications and the FDA and other regulatory authorities’ cGMP requirements, our product candidates will not be approved or, if already approved, may be subject to recalls.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45" w:name="page46"/>
    <w:bookmarkEnd w:id="45"/>
    <w:p>
      <w:pPr>
        <w:ind w:right="100" w:firstLine="648"/>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MARGENZA or the product candidates ourselves, including:</w:t>
      </w:r>
    </w:p>
    <w:p>
      <w:pPr>
        <w:spacing w:after="0" w:line="13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possibility of a breach of the manufacturing agreements by the third parties because of factors beyond our control;</w:t>
      </w:r>
    </w:p>
    <w:p>
      <w:pPr>
        <w:spacing w:after="0" w:line="188" w:lineRule="exact"/>
        <w:rPr>
          <w:rFonts w:ascii="Arial" w:cs="Arial" w:eastAsia="Arial" w:hAnsi="Arial"/>
          <w:sz w:val="22"/>
          <w:szCs w:val="22"/>
          <w:color w:val="auto"/>
        </w:rPr>
      </w:pPr>
    </w:p>
    <w:p>
      <w:pPr>
        <w:ind w:left="660" w:right="12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possibility of termination or nonrenewal of the agreements by the third parties before we are able to arrange for a qualified replacement third-party manufacturer; and</w:t>
      </w:r>
    </w:p>
    <w:p>
      <w:pPr>
        <w:spacing w:after="0" w:line="189"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possibility that we may not be able to secure a manufacturer or manufacturing capacity in a timely manner and on satisfactory terms in order to meet our manufacturing needs.</w:t>
      </w:r>
    </w:p>
    <w:p>
      <w:pPr>
        <w:spacing w:after="0" w:line="14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Any of these factors could adversely impact the commercialization of MARGENZA and the delay of approval or commercialization of our product candidates, cause us to incur higher costs or prevent us from commercializing our product candidates successfully. Furthermore, if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MARGENZA or our product candidates and to have any such new source approved by the FDA or any other relevant regulatory authorities.</w:t>
      </w:r>
    </w:p>
    <w:p>
      <w:pPr>
        <w:spacing w:after="0" w:line="1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successfully develop and commercialize companion diagnostics with third party contractors for use with our product candidates could harm our ability to commercialize our product candidates.</w:t>
      </w:r>
    </w:p>
    <w:p>
      <w:pPr>
        <w:spacing w:after="0" w:line="11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plan to develop, or engage third parties to develop, companion diagnostics for our product candidates where appropriate. At least in some cases, the FDA and similar regulatory authorities outside the United States may request or require the development and regulatory approval of a companion diagnostic as a condition to approving one or more of our product candidates. We do not have experience or capabilities in developing or commercializing diagnostics and are relying, and in the future plan to continue to rely, in large part on third parties to perform these functions.</w:t>
      </w:r>
    </w:p>
    <w:p>
      <w:pPr>
        <w:spacing w:after="0" w:line="117"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In most cases, we will likely outsource the development, production and commercialization of companion diagnostics to third parties. By outsourcing these companion diagnostics to third parties, we become dependent on the efforts of our third party contractors to successfully develop and commercialize these companion diagnostics. Our contractors:</w:t>
      </w:r>
    </w:p>
    <w:p>
      <w:pPr>
        <w:spacing w:after="0" w:line="13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perform their obligations as expected;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in the clinical community;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such product;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7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any companion diagnostic for use with one of our product candidates fails to gain market acceptance, our ability to derive revenues from sales of such product candidate could be harmed. If our third party contractors fail to commercialize such companion diagnostic, we may not be able to enter into arrangements with another diagnostic company to obtain supplies of an alternative diagnostic test for use in connection with such product candidate or do so on commercially reasonable terms, which could adversely affect and delay the development or commercialization of such product candidate.</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Independent clinical investigators and CROs that we engage to conduct our clinical trials may not devote sufficient time or attention to our clinical trials or be able to repeat their past success.</w:t>
      </w:r>
    </w:p>
    <w:p>
      <w:pPr>
        <w:spacing w:after="0" w:line="1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expect to continue to depend on independent clinical investigators and CROs to conduct our clinical trials, including future trials for vobra duo, lorigerlimab and other product candidates.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6" w:name="page47"/>
    <w:bookmarkEnd w:id="46"/>
    <w:p>
      <w:pPr>
        <w:spacing w:after="0" w:line="257" w:lineRule="auto"/>
        <w:rPr>
          <w:sz w:val="20"/>
          <w:szCs w:val="20"/>
          <w:color w:val="auto"/>
        </w:rPr>
      </w:pPr>
      <w:r>
        <w:rPr>
          <w:rFonts w:ascii="Arial" w:cs="Arial" w:eastAsia="Arial" w:hAnsi="Arial"/>
          <w:sz w:val="18"/>
          <w:szCs w:val="18"/>
          <w:color w:val="auto"/>
        </w:rPr>
        <w:t>requires us to disclose our proprietary information to these parties, which could increase the risk that this information will be misappropriated. Further, the FDA requires that we comply with standards, commonly referred to as current Good Clinical Practice (GCP) for conducting, recording and reporting clinical trials to assure that data and reported results are credible and accurate and that the rights, integrity and confidentiality of trial subjects are protected. Failure of clinical investigators or CROs to meet their obligations to us or comply with GCP procedures could adversely affect the clinical development of our product candidates and harm our business.</w:t>
      </w:r>
    </w:p>
    <w:p>
      <w:pPr>
        <w:spacing w:after="0" w:line="134"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Commercialization collaborations will be important to our business. If we are unable to maintain commercialization collaborations, or if commercialization collaborations are not successful, our business could be adversely affected.</w:t>
      </w:r>
    </w:p>
    <w:p>
      <w:pPr>
        <w:spacing w:after="0" w:line="11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have limited capabilities for drug commercialization, with little to no internal capability for sales, marketing or distribution. For example, we have entered into a collaboration with Eversana for the commercialization of MARGENZA in the United States that we believe can provide such capabilities, and may enter into commercial collaborations in the future for MARGENZA or our product candidates. Our existing commercialization collaboration, and any future commercialization collaborations we enter into, may pose a number of risks, including the following:</w:t>
      </w:r>
    </w:p>
    <w:p>
      <w:pPr>
        <w:spacing w:after="0" w:line="117"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71" w:lineRule="exact"/>
        <w:rPr>
          <w:rFonts w:ascii="Arial" w:cs="Arial" w:eastAsia="Arial" w:hAnsi="Arial"/>
          <w:sz w:val="18"/>
          <w:szCs w:val="18"/>
          <w:color w:val="auto"/>
        </w:rPr>
      </w:pPr>
    </w:p>
    <w:p>
      <w:pPr>
        <w:jc w:val="both"/>
        <w:ind w:left="980" w:right="20" w:hanging="324"/>
        <w:spacing w:after="0" w:line="263"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pursue commercialization of MARGENZA or any product candidates that achieve regulatory approval or may elect not to continue commercialization based on clinical trial results, changes in the collaborators' strategic focus or other factors that divert resources or create competing priorities;</w:t>
      </w:r>
    </w:p>
    <w:p>
      <w:pPr>
        <w:spacing w:after="0" w:line="129" w:lineRule="exact"/>
        <w:rPr>
          <w:rFonts w:ascii="Arial" w:cs="Arial" w:eastAsia="Arial" w:hAnsi="Arial"/>
          <w:sz w:val="18"/>
          <w:szCs w:val="18"/>
          <w:color w:val="auto"/>
        </w:rPr>
      </w:pPr>
    </w:p>
    <w:p>
      <w:pPr>
        <w:ind w:left="980" w:right="180" w:hanging="324"/>
        <w:spacing w:after="0" w:line="263"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commercialize products that compete directly or indirectly with our products or product candidates if the collaborators believe that competitive products are more likely to be successfully commercialized under terms that are more economically attractive than ours;</w:t>
      </w:r>
    </w:p>
    <w:p>
      <w:pPr>
        <w:spacing w:after="0" w:line="129"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MARGENZA or our product candidates that achieve regulatory approval may not commit sufficient resources to the marketing and distribution of such product or products;</w:t>
      </w:r>
    </w:p>
    <w:p>
      <w:pPr>
        <w:spacing w:after="0" w:line="116" w:lineRule="exact"/>
        <w:rPr>
          <w:rFonts w:ascii="Arial" w:cs="Arial" w:eastAsia="Arial" w:hAnsi="Arial"/>
          <w:sz w:val="18"/>
          <w:szCs w:val="18"/>
          <w:color w:val="auto"/>
        </w:rPr>
      </w:pPr>
    </w:p>
    <w:p>
      <w:pPr>
        <w:ind w:left="980" w:right="240" w:hanging="324"/>
        <w:spacing w:after="0" w:line="259"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on contract interpretation, commercialization strategy or tactics, might cause delays or termination of the commercialization of MARGENZA or product candidates, might lead to additional responsibilities for us with respect to MARGENZA or product candidates, or might result in litigation or arbitration, any of which would be time-consuming and expensive;</w:t>
      </w:r>
    </w:p>
    <w:p>
      <w:pPr>
        <w:spacing w:after="0" w:line="132" w:lineRule="exact"/>
        <w:rPr>
          <w:rFonts w:ascii="Arial" w:cs="Arial" w:eastAsia="Arial" w:hAnsi="Arial"/>
          <w:sz w:val="18"/>
          <w:szCs w:val="18"/>
          <w:color w:val="auto"/>
        </w:rPr>
      </w:pPr>
    </w:p>
    <w:p>
      <w:pPr>
        <w:ind w:left="980" w:right="540" w:hanging="324"/>
        <w:spacing w:after="0" w:line="342" w:lineRule="auto"/>
        <w:tabs>
          <w:tab w:leader="none" w:pos="9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may not properly utilize our intellectual property rights or may use our proprietary information in such a way as to invite litigation that could jeopardize or invalidate our intellectual property or proprietary information or expose us to potential litigation;</w:t>
      </w:r>
    </w:p>
    <w:p>
      <w:pPr>
        <w:spacing w:after="0" w:line="69" w:lineRule="exact"/>
        <w:rPr>
          <w:rFonts w:ascii="Arial" w:cs="Arial" w:eastAsia="Arial" w:hAnsi="Arial"/>
          <w:sz w:val="16"/>
          <w:szCs w:val="16"/>
          <w:color w:val="auto"/>
        </w:rPr>
      </w:pPr>
    </w:p>
    <w:p>
      <w:pPr>
        <w:ind w:left="980" w:right="28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violate, or be investigated for potentially violating, health care compliance and related laws and regulations, which may expose us to litigation, enforcement actions or inquiries, or other potential liability; and</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commercialization of MARGNEZA or applicable product candidates.</w:t>
      </w:r>
    </w:p>
    <w:p>
      <w:pPr>
        <w:spacing w:after="0" w:line="11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of the risks relating to commercialization, and health care legal compliance described in this Annual Report on Form 10-K also apply to the commercialization activities of our collaborators.</w:t>
      </w:r>
    </w:p>
    <w:p>
      <w:pPr>
        <w:spacing w:after="0" w:line="1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Additionally, subject to its contractual obligations to us, if one of our collaborators is involved in a business combination, the collaborator might de-emphasize or terminate the development or commercialization of MARGENZA or any product candidate licensed to it by us. If one of our collaborators terminates its agreement with us, we may find it more difficult to attract new collaborators. We may also be restricted under commercialization collaboration agreements from entering into future agreements on certain terms with potential collaborators. For example, our collaboration with Eversana contains a restriction on our engaging in activities that are the subject of the collaboration with third parties for specified periods of time among other conditions.</w:t>
      </w:r>
    </w:p>
    <w:p>
      <w:pPr>
        <w:spacing w:after="0" w:line="13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Commercialization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reach agreements with suitable collaborators on a timely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47" w:name="page48"/>
    <w:bookmarkEnd w:id="47"/>
    <w:p>
      <w:pPr>
        <w:ind w:right="20"/>
        <w:spacing w:after="0" w:line="255" w:lineRule="auto"/>
        <w:rPr>
          <w:sz w:val="20"/>
          <w:szCs w:val="20"/>
          <w:color w:val="auto"/>
        </w:rPr>
      </w:pPr>
      <w:r>
        <w:rPr>
          <w:rFonts w:ascii="Arial" w:cs="Arial" w:eastAsia="Arial" w:hAnsi="Arial"/>
          <w:sz w:val="18"/>
          <w:szCs w:val="18"/>
          <w:color w:val="auto"/>
        </w:rPr>
        <w:t>basis, on acceptable terms, or at all, we may have to curtail the commercialization of MARGENZA or a product candidate, reduce the scope of any sales or marketing activities, or increase our expenditures and undertake or commercialization activities at our own expense. If in the future we elect to fund and undertake commercialization activities on our own, we may need to obtain additional expertise and additional capital, which may not be available to us on acceptable terms or at all. If we fail to enter into collaborations to commercialize our product candidates and do not have sufficient funds or expertise to undertake the necessary commercialization activities, we may not be able to commercialize our product candidates or bring them to market or continue and our business may be materially and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 disruption in our computer networks, including those related to cybersecurity, could adversely affect our financial performance as well as our research, development and commercialization efforts.</w:t>
      </w:r>
    </w:p>
    <w:p>
      <w:pPr>
        <w:spacing w:after="0" w:line="11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Security breaches, including physical or electronic break-ins, computer viruses, attacks by hackers and similar breaches continue to increase generally and can create system disruptions or shutdowns or the unauthorized disclosure of confidential information. In addition, due to the COVID-19 pandemic a portion of our employees have been working remotely, either from home or elsewhere. If personal information or protected health information is improperly accessed, tampered with or disclosed as a result of a security breach, we may incur significant costs to notify and mitigate potential harm to the affected individuals, and we may be subject to sanctions and civil or criminal penalties if we are found to be in violation of federal, state, or other laws protecting confidential personal information. In addition, a cybersecurity breach could hurt our reputation, subject us to liability claims or regulatory penalties for compromised personal information and could have a material adverse effect on our business, financial condition and results of operations. In order to reduce such risks, our information security program employs a policy-driven information systems security architecture based on National Institute of Standards and Technology (NIST) Cybersecurity Framework and references the NIST 800-53 guidelines for risk-based assessments and implementation of information security controls, which are assessed annually by independent third party auditors. An information security training program is also in place to educate employees and contractors on information security and data protection measures. The cybersecurity program is managed by dedicated Information Security personnel with the primary mission to implement, maintain, and improve the capabilities and practices to ensure the confidentiality, integrity, and availability of the sensitive information it maintains.  </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significantly on our ability to operate without infringing the valid patents and other proprietary rights of third parties.</w:t>
      </w:r>
    </w:p>
    <w:p>
      <w:pPr>
        <w:spacing w:after="0" w:line="19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Third parties may have or obtain patents or proprietary rights that could limit our ability to make, use, sell, offer for sale or import our future approved products or impair our competitive position. For example, certain patents held by third parties cover Fc engineering methods and mutations in Fc regions to enhance the binding of Fc regions to Fc receptors on immune cells. Although we believe that these patents are not infringed, and/or are invalid and/or unenforceable, if a court should find that they cover our products, such as MARGENZA or enoblituzumab, and we are unable to invalidate such patents, or if licenses for them are not available on commercially reasonable terms, our business could be harmed, perhaps materially.</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 parties could possess patents that we may ultimately be found to infringe, or such third party patents could issue in the future. Third parties may have or obtain valid and enforceable patents or proprietary rights that could block us from developing product candidates using our technology. Our failure to obtain a license to any technology that we require may materially harm our business, financial condition and results of operations. Moreover, our failure to maintain a license to any technology that we require may also materially harm our business, financial condition, and results of operations. Furthermore, we would be exposed to a threat of litigation.</w:t>
      </w:r>
    </w:p>
    <w:p>
      <w:pPr>
        <w:spacing w:after="0" w:line="13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the pharmaceutical industry, significant litigation and other proceedings regarding patents, patent applications, trademarks and other intellectual property rights have become commonplace. The types of situations in which we may become a party to such litigation or proceedings include:</w:t>
      </w:r>
    </w:p>
    <w:p>
      <w:pPr>
        <w:spacing w:after="0" w:line="70" w:lineRule="exact"/>
        <w:rPr>
          <w:sz w:val="20"/>
          <w:szCs w:val="20"/>
          <w:color w:val="auto"/>
        </w:rPr>
      </w:pPr>
    </w:p>
    <w:p>
      <w:pPr>
        <w:ind w:left="980" w:right="22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116"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or our licensors, we or our licensors may be required to participate in interference, opposition or other proceedings to determine the priority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48" w:name="page49"/>
    <w:bookmarkEnd w:id="48"/>
    <w:p>
      <w:pPr>
        <w:ind w:left="980"/>
        <w:spacing w:after="0"/>
        <w:rPr>
          <w:sz w:val="20"/>
          <w:szCs w:val="20"/>
          <w:color w:val="auto"/>
        </w:rPr>
      </w:pPr>
      <w:r>
        <w:rPr>
          <w:rFonts w:ascii="Arial" w:cs="Arial" w:eastAsia="Arial" w:hAnsi="Arial"/>
          <w:sz w:val="18"/>
          <w:szCs w:val="18"/>
          <w:color w:val="auto"/>
        </w:rPr>
        <w:t>of invention, which could jeopardize our patent rights and potentially provide a third party with a dominant patent position;</w:t>
      </w:r>
    </w:p>
    <w:p>
      <w:pPr>
        <w:spacing w:after="0" w:line="171" w:lineRule="exact"/>
        <w:rPr>
          <w:sz w:val="20"/>
          <w:szCs w:val="20"/>
          <w:color w:val="auto"/>
        </w:rPr>
      </w:pPr>
    </w:p>
    <w:p>
      <w:pPr>
        <w:ind w:left="980" w:right="18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processes or products infringe their patent or other intellectual property rights, we and our collaborators will need to defend against such proceedings; and</w:t>
      </w:r>
    </w:p>
    <w:p>
      <w:pPr>
        <w:spacing w:after="0" w:line="116" w:lineRule="exact"/>
        <w:rPr>
          <w:rFonts w:ascii="Arial" w:cs="Arial" w:eastAsia="Arial" w:hAnsi="Arial"/>
          <w:sz w:val="18"/>
          <w:szCs w:val="18"/>
          <w:color w:val="auto"/>
        </w:rPr>
      </w:pPr>
    </w:p>
    <w:p>
      <w:pPr>
        <w:ind w:left="980" w:right="160" w:hanging="324"/>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w:t>
      </w:r>
    </w:p>
    <w:p>
      <w:pPr>
        <w:spacing w:after="0" w:line="13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These lawsuits would be costly and could affect our results of operations and divert the attention of our management and scientific personnel. There is a risk that a court would decide that we or our collaborators are infringing the third party’s patents and would order us or our collaborators to stop the activities covered by the patents. In that event, we or our collaborators may not have a viable alternative to the technology protected by the patent and may need to halt work on the affected product candidate or cease commercialization of an approved product. In addition, there is a risk that a court will order us or our collaborators to pay the other party damages. An adverse outcome in any litigation or other proceeding could subject us to significant liabilities to third parties and require us to cease using the technology that is at issue or to license the technology from third parties. We may not be able to obtain any required licenses on commercially acceptable terms or at all. Any of these outcomes could have a material adverse effect on our business.</w:t>
      </w:r>
    </w:p>
    <w:p>
      <w:pPr>
        <w:spacing w:after="0" w:line="11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pharmaceutical and biotechnology industries have produced a significant number of patents, and it may not always be clear to industry participants, including us, which patents cover various types of products, methods of use, or processes. The coverage of patents is subject to interpretation by the courts, and the interpretation is not always uniform or predictable. If we are sued for patent infringement, we would need to demonstrate that our products, methods, or processes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obtain and enforce patent protection for our products and our product candidates and related technology, our business could be materially harmed.</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Issued patents may be challenged, narrowed, invalidated or circumvented. In addition, court decisions may introduce uncertainty in the enforceability or scope of patents owned by biotechnology companies.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12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strategy depends on our ability to identify and seek patent protection for our discoveries. This process is expensive and time consuming, and we may not be able to file and prosecute all necessary or desirable patent applications at a reasonable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49" w:name="page50"/>
    <w:bookmarkEnd w:id="49"/>
    <w:p>
      <w:pPr>
        <w:ind w:right="80"/>
        <w:spacing w:after="0" w:line="277" w:lineRule="auto"/>
        <w:rPr>
          <w:sz w:val="20"/>
          <w:szCs w:val="20"/>
          <w:color w:val="auto"/>
        </w:rPr>
      </w:pPr>
      <w:r>
        <w:rPr>
          <w:rFonts w:ascii="Arial" w:cs="Arial" w:eastAsia="Arial" w:hAnsi="Arial"/>
          <w:sz w:val="18"/>
          <w:szCs w:val="18"/>
          <w:color w:val="auto"/>
        </w:rPr>
        <w:t>cost or in a timely manner or in all jurisdictions where protection may be commercially advantageous. Despite our efforts to protect our proprietary rights, unauthorized parties may be able to obtain and use information that we regard as proprietary.</w:t>
      </w:r>
    </w:p>
    <w:p>
      <w:pPr>
        <w:spacing w:after="0" w:line="1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issuance of a patent does not ensure that a court or agency finds or will find the patent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own patented product and practicing our own patented technology. Third parties may also seek to market biosimilar versions of any approved products. Alternatively,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w:t>
      </w:r>
    </w:p>
    <w:p>
      <w:pPr>
        <w:spacing w:after="0" w:line="13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patent position of pharmaceutical or biotechnology companies, including ours, is generally uncertain and involves complex legal and factual considerations. The standards which the United States Patent and Trademark Office (USPTO) and its foreign counterparts use to grant patents are not always applied predictably or uniformly and can change. There is also no uniform, worldwide policy regarding the subject matter and scope of claims granted or allowable in pharmaceutical or biotechnology patents. The laws of some foreign countries do not protect proprietary information to the same extent as the laws of the United States, and many companies have encountered significant problems and costs in protecting their proprietary information in these foreign countries. Outside the United States, patent protection must be sought in individual jurisdictions, further adding to the cost and uncertainty of obtaining adequate patent protection outside of the United States. Accordingly, we cannot predict whether additional patents protecting our technology will issue in the United States or in foreign jurisdictions, or whether any patents that do issue will have claims of adequate scope to provide competitive advantage. Moreover, we cannot predict whether third parties will be able to successfully obtain claims or the breadth of such claims. The allowance of broader claims may increase the incidence and cost of patent interference proceedings, opposition proceedings, and/or reexamination proceedings, the risk of infringement litigation, and the vulnerability of the claims to challenge. On the other hand, the allowance of narrower claims does not eliminate the potential for adversarial proceedings, and may fail to provide a competitive advantage. Our issued patents may not contain claims sufficiently broad to protect us against third parties with similar technologies or products, or provide us with any competitive advantage.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involved in lawsuits to protect or enforce our patents, which could be expensive, time consuming and unsuccessful.</w:t>
      </w:r>
    </w:p>
    <w:p>
      <w:pPr>
        <w:spacing w:after="0" w:line="1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after they have been issued, our patents and any patents which we license may be challenged, narrowed, invalidated or circumvented. If our patents are invalidated or otherwise limited or will expire prior to the commercialization of our approved products and product candidates, other companies may be better able to develop products that compete with ours, which could adversely affect our competitive business position, business prospects and financial condition.</w:t>
      </w:r>
    </w:p>
    <w:p>
      <w:pPr>
        <w:spacing w:after="0" w:line="13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116"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collaborators may initiate litigation or other proceedings against third parties to enforce our patent rights;</w:t>
      </w:r>
    </w:p>
    <w:p>
      <w:pPr>
        <w:spacing w:after="0" w:line="171"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116"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third parties may initiate opposition, reexamination or inter partes review proceedings challenging the validity or scope of our patent rights, requiring us or our collaborators and/or licensors to participate in such proceedings to defend the validity and scope of our patents;</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there may be a challenge or dispute regarding inventorship or ownership of patents currently identified as being owned by or licensed to us;</w:t>
      </w:r>
    </w:p>
    <w:p>
      <w:pPr>
        <w:spacing w:after="0" w:line="194" w:lineRule="exact"/>
        <w:rPr>
          <w:rFonts w:ascii="Arial" w:cs="Arial" w:eastAsia="Arial" w:hAnsi="Arial"/>
          <w:sz w:val="16"/>
          <w:szCs w:val="16"/>
          <w:color w:val="auto"/>
        </w:rPr>
      </w:pPr>
    </w:p>
    <w:p>
      <w:pPr>
        <w:ind w:left="980" w:right="320" w:hanging="324"/>
        <w:spacing w:after="0" w:line="263"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USPTO may initiate an interference between patents or patent applications owned by or licensed to us and those of our competitors, requiring us or our collaborators and/or licensors to participate in an interference proceeding to determine the priority of invention, which could jeopardize our patent rights; 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50" w:name="page51"/>
    <w:bookmarkEnd w:id="50"/>
    <w:p>
      <w:pPr>
        <w:ind w:left="980" w:right="4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11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These lawsuits and proceedings would be costly and could affect our results of operations and divert the attention of our managerial and scientific personnel. There is a risk that a court or administrative body would decide that our patents are invalid or not infringed by a third party’s activities, or that the scope of certain issued claims must be further limited. An adverse outcome in a litigation or proceeding involving our own patents could limit our ability to assert our patents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16"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others may be able to develop a platform that is similar to, or better than, ours in a way that is not covered by the claims of our patents;</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others may be able to make compounds that are similar to our product candidates but that are not covered by the claims of our patents;</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patents or pending patent applications;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patents that we obtain may not provide us with any competitive advantages or may ultimately be found invalid or unenforceable; or</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intellectual property licenses with third parties, we could lose license rights that are important to our business.</w:t>
      </w:r>
    </w:p>
    <w:p>
      <w:pPr>
        <w:spacing w:after="0" w:line="11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are currently party to various intellectual property license agreements. These license agreements impose, and we expect that future license agreements may impose, various diligence, milestone payment, royalty, insurance and other obligations on us. For example, we have entered into patent and know-how license agreements that grant us the right to use certain technologies related to biological manufacturing to manufacture our clinical product candidates. These licenses typically include an obligation to pay yearly maintenance payments and royalties on sales, and may also include upfront and milestone payments. If we fail to comply with our obligations under the licenses, the licensors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proprietary information, the value of our technology and products could be adversely affected.</w:t>
      </w:r>
    </w:p>
    <w:p>
      <w:pPr>
        <w:spacing w:after="0" w:line="19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Thus,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1" w:name="page52"/>
    <w:bookmarkEnd w:id="51"/>
    <w:p>
      <w:pPr>
        <w:ind w:right="80"/>
        <w:spacing w:after="0" w:line="277" w:lineRule="auto"/>
        <w:rPr>
          <w:sz w:val="20"/>
          <w:szCs w:val="20"/>
          <w:color w:val="auto"/>
        </w:rPr>
      </w:pPr>
      <w:r>
        <w:rPr>
          <w:rFonts w:ascii="Arial" w:cs="Arial" w:eastAsia="Arial" w:hAnsi="Arial"/>
          <w:sz w:val="18"/>
          <w:szCs w:val="18"/>
          <w:color w:val="auto"/>
        </w:rPr>
        <w:t>from that individual, or a third party or from that individual’s assignee. Such assignment or license may not be available on commercially reasonable terms or at all.</w:t>
      </w:r>
    </w:p>
    <w:p>
      <w:pPr>
        <w:spacing w:after="0" w:line="116"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 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w:t>
      </w:r>
    </w:p>
    <w:p>
      <w:pPr>
        <w:spacing w:after="0" w:line="122"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costs and be a distraction to management.</w:t>
      </w:r>
    </w:p>
    <w:p>
      <w:pPr>
        <w:spacing w:after="0" w:line="110"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our outside counsel or our agents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In addition, we may be responsible for the payment of patent fees for patent rights that we license from other parties. If any licensor of these patents does not itself elect to make these payments, and we fail to do so, we may be liable to the licensor for any costs and consequences of any resulting loss of patent rights.</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materially harmed.</w:t>
      </w:r>
    </w:p>
    <w:p>
      <w:pPr>
        <w:spacing w:after="0" w:line="116"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Compliance Matters</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are subject to the U.S. Foreign Corrupt Practices Act and other anti-corruption laws. If we fail to comply with these laws, we could be subject to civil or criminal penalties, other remedial measures, and legal expenses, which could adversely affect our business, results of operations and financial condition.</w:t>
      </w:r>
    </w:p>
    <w:p>
      <w:pPr>
        <w:spacing w:after="0" w:line="13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operations are subject to anti-corruption laws, including the U.S.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and our commercial partners operate in a number of jurisdictions that pose a risk of potential FCPA violations, and we participate in collaborations and relationships with third parties whose actions could potentially subject us to liability under the FCPA or other anti-corruption laws. There is no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2" w:name="page53"/>
    <w:bookmarkEnd w:id="52"/>
    <w:p>
      <w:pPr>
        <w:ind w:right="40"/>
        <w:spacing w:after="0" w:line="259" w:lineRule="auto"/>
        <w:rPr>
          <w:sz w:val="20"/>
          <w:szCs w:val="20"/>
          <w:color w:val="auto"/>
        </w:rPr>
      </w:pPr>
      <w:r>
        <w:rPr>
          <w:rFonts w:ascii="Arial" w:cs="Arial" w:eastAsia="Arial" w:hAnsi="Arial"/>
          <w:sz w:val="18"/>
          <w:szCs w:val="18"/>
          <w:color w:val="auto"/>
        </w:rPr>
        <w:t>assurance that we will be completely effective in ensuring our compliance with all applicable anti-corruption laws. If we violate provisions of the FCPA or other anti-corruption laws or are subject to an investigation or audit pursuant to these laws, we may be subject to criminal and civil penalties, disgorgement and other sanctions and remedial measures and legal expenses, which could have an adverse impact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9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States of Maryland and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and our collaborators are subject to various healthcare laws, and our failure, or the failure of our collaborators, to comply with those laws could result in significant penalties and adversely affect our business, operations and financial condition.</w:t>
      </w:r>
    </w:p>
    <w:p>
      <w:pPr>
        <w:spacing w:after="0" w:line="11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the United States, our operations, and those of our collaborators, are subject to regulation by various local, state, federal authorities in addition to the FDA, including but not limited to, CMS, other divisions of HHS (such as the Office of Inspector General, Office for Civil Rights and the Health Resources and Service Administration), the U.S. Department of Justice (DOJ) and individual U.S. Attorney offices within the DOJ, and state and local governments. We and our collaborators are or may be subject to broadly applicable “fraud and abuse” laws, such as false claims, anti-kickback laws, transparency laws, and privacy and security laws. Federal false claims laws, including the federal civil False Claims Act, prohibit, among other things, any person or entity from knowingly presenting, or causing to be presented, a false claim for payment to the federal government or knowingly making, or causing to be made, a false statement to get a claim paid.</w:t>
      </w:r>
    </w:p>
    <w:p>
      <w:pPr>
        <w:spacing w:after="0" w:line="14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or those of our collaborators, may not in all cases meet all of the criteria for protection under a statutory exception or regulatory safe harbor.</w:t>
      </w:r>
    </w:p>
    <w:p>
      <w:pPr>
        <w:spacing w:after="0" w:line="131"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Additionally, the intent standard under the federal anti-kickback statute and the criminal healthcare fraud statutes (discussed below)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w:t>
      </w:r>
    </w:p>
    <w:p>
      <w:pPr>
        <w:spacing w:after="0" w:line="11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federal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53" w:name="page54"/>
    <w:bookmarkEnd w:id="53"/>
    <w:p>
      <w:pPr>
        <w:ind w:right="580"/>
        <w:spacing w:after="0" w:line="277" w:lineRule="auto"/>
        <w:rPr>
          <w:sz w:val="20"/>
          <w:szCs w:val="20"/>
          <w:color w:val="auto"/>
        </w:rPr>
      </w:pPr>
      <w:r>
        <w:rPr>
          <w:rFonts w:ascii="Arial" w:cs="Arial" w:eastAsia="Arial" w:hAnsi="Arial"/>
          <w:sz w:val="18"/>
          <w:szCs w:val="18"/>
          <w:color w:val="auto"/>
        </w:rPr>
        <w:t>kickback statute, a person or entity does not need to have actual knowledge of the statute or specific intent to violate it in order to have committed a violation.</w:t>
      </w:r>
    </w:p>
    <w:p>
      <w:pPr>
        <w:spacing w:after="0" w:line="116"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under the Sunshine Act provisions of the ACA, covered manufacturers of drugs, devices, biological and medical supplies for which payment is available under a federal health care program (with certain exceptions) are subject to annual federal reporting and disclosure requirements with regard to payments or other transfers of value made to physicians defined to include doctors, dentists, optometrists, podiatrists and chiropractors), other healthcare professionals (such as physician assistants and nurse practitioners), and teaching hospitals as well as information regarding certain ownership and investment interests held by physicians and their immediate family members.</w:t>
      </w:r>
    </w:p>
    <w:p>
      <w:pPr>
        <w:spacing w:after="0" w:line="122"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Most states also have statutes or regulations similar to the federal anti-kickback law and federal false claims laws, which may apply to items such as pharmaceutical products and services reimbursed by private insurers. Some state laws also prohibit certain gifts to healthcare providers, require pharmaceutical companies to report payments to healthcare professionals, and/or require companies to adopt compliance programs or codes of conduct.</w:t>
      </w:r>
    </w:p>
    <w:p>
      <w:pPr>
        <w:spacing w:after="0" w:line="9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Over the past few years, a number of pharmaceutical and other healthcare companies have been prosecuted under these laws for a variety of promotional and marketing activities, such as: providing free trips, free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At such time as we or our collaborators market MARGENZA or any of our future approved products and these products are paid for by governmental programs, it is possible that some of our business activities could also be subject to challenge under one or more of these “fraud and abuse” laws.</w:t>
      </w:r>
    </w:p>
    <w:p>
      <w:pPr>
        <w:spacing w:after="0" w:line="110"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We and our collaborators may also be subject to data privacy and security regulations by both the federal government and the states in which we conduct our business, as well as foreign jurisdictions. In the United States, HIPAA, as amended by the Health Information Technology for Economic and Clinical Health Act (HITECH) and its implementing regulations, impose requirements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relating to the privacy, security and transmission of individually identifiable health information. We are subject to other state and foreign laws that govern the privacy and security of health information in some circumstances, many of which differ from each other in significant ways and often are not preempted by HIPAA, thus complicating compliance efforts. For example, the General Data Protection Regulation (EU) 2016/679 (GDPR) which went into effect on May 25, 2018, imposes privacy and security obligations on any entity that collects and/or processes health data from individuals located in the European Union. Under the GDPR, fines of up to</w:t>
      </w:r>
    </w:p>
    <w:p>
      <w:pPr>
        <w:spacing w:after="0" w:line="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20 million Euros or up to 4% of the annual global turnover of the infringer, whichever is greater, could be imposed for significant non-compliance. In addition, on June 28, 2018, California enacted the California Consumer Privacy Act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Some observers have noted that the CCPA could mark the beginning of a trend toward more stringent state privacy legislation in the United States, which could increase our potential liability and adversely affect our business. As well as complicating our compliance efforts, non-compliance with these laws could result in penalties or significant legal liability.</w:t>
      </w:r>
    </w:p>
    <w:p>
      <w:pPr>
        <w:spacing w:after="0" w:line="11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Further, in order to distribute products commercially in the United States, we or our collaborators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w:t>
      </w:r>
    </w:p>
    <w:p>
      <w:pPr>
        <w:spacing w:after="0" w:line="11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If our operations, or those of our collaborators marketing, distributing or commercializing any of our products on our behalf, are found to be in violation of any of the federal and state healthcare laws described above or any other governmental regulations that apply to us, we may be subject to penalties, including without limitation, significant civil, criminal and/or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54" w:name="page55"/>
    <w:bookmarkEnd w:id="54"/>
    <w:p>
      <w:pPr>
        <w:ind w:right="20"/>
        <w:spacing w:after="0" w:line="279" w:lineRule="auto"/>
        <w:rPr>
          <w:sz w:val="20"/>
          <w:szCs w:val="20"/>
          <w:color w:val="auto"/>
        </w:rPr>
      </w:pPr>
      <w:r>
        <w:rPr>
          <w:rFonts w:ascii="Arial" w:cs="Arial" w:eastAsia="Arial" w:hAnsi="Arial"/>
          <w:sz w:val="17"/>
          <w:szCs w:val="17"/>
          <w:color w:val="auto"/>
        </w:rPr>
        <w:t>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operations and those of our collaborators may be subject to analogous foreign health care laws in the jurisdictions in which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operate.</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or other agencies,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Human Capital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highly dependent on the research and development, clinical and business development expertise of Scott Koenig, M.D., Ph.D., our President and Chief Executive Officer, as well as the other members of our senior management team. Although we have entered into employment agreements with our executive officers, each of them may terminate their employment with us at any time. The loss of the services of our executive officers or other key employees could impede the achievement of our research, development, manufacturing and commercialization objectives and seriously harm our ability to successfully implement our business strategy.</w:t>
      </w:r>
    </w:p>
    <w:p>
      <w:pPr>
        <w:spacing w:after="0" w:line="13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Recruiting and retaining qualified scientific, clinical, manufacturing and other personnel will also be critical to our success. For example, we have experienced increased employee turnover, consistent with high numbers of employee resignations across the broader American economy, and we may continue to experience employee turnover in the future that may have an adverse effect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Such competition may increase due to the recent move by companies to offer a remote or hybrid work environment.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motivate existing employees, or maintain our corporate culture in a hybrid or remote work environment and in the midst of higher turnover, our ability to pursue our growth strategy will be limited.</w:t>
      </w:r>
    </w:p>
    <w:p>
      <w:pPr>
        <w:spacing w:after="0" w:line="12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Additionally, in January 2023, the U.S. Federal Trade Commission published a proposed rule that would generally prohibit post-employment non-compete clauses (or other clauses with comparable effect) in agreements between employers and their employees. If this rule goes into effect, or if we fail to adequately address any of the issues referred to above, it could adversely impact our ability to recruit and retain our skilled employees which may result in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55" w:name="page56"/>
    <w:bookmarkEnd w:id="55"/>
    <w:p>
      <w:pPr>
        <w:ind w:right="260"/>
        <w:spacing w:after="0" w:line="277" w:lineRule="auto"/>
        <w:rPr>
          <w:sz w:val="20"/>
          <w:szCs w:val="20"/>
          <w:color w:val="auto"/>
        </w:rPr>
      </w:pPr>
      <w:r>
        <w:rPr>
          <w:rFonts w:ascii="Arial" w:cs="Arial" w:eastAsia="Arial" w:hAnsi="Arial"/>
          <w:sz w:val="18"/>
          <w:szCs w:val="18"/>
          <w:b w:val="1"/>
          <w:bCs w:val="1"/>
          <w:i w:val="1"/>
          <w:iCs w:val="1"/>
          <w:color w:val="auto"/>
        </w:rPr>
        <w:t>Our restructuring and the associated workforce reduction announced in August 2022 may not result in anticipated cost savings, could result in total costs and expenses that are greater than expected and could disrupt our business.</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August 2022, we announced a reduction in workforce by approximately 15% in connection with the restructuring of our business to prioritize and focus on our lead assets. We may not realize, in full or in part, the anticipated benefits, savings and improvements in our operating structure from our restructuring efforts due to unforeseen difficulties, delays or unexpected costs. If we are unable to realize the expected operational efficiencies and cost savings from the restructuring, our results of operation and financial condition would be adversely affected. We expect to incur additional costs as we recognize one-time employee termination-related charges. We also cannot guarantee that we will not have to undertake additional workforce reductions or restructuring activities in the future. Furthermore, our strategic restructuring plan may be disruptive to our operations. For example, our workforce reductions could yield unanticipated consequences, such as attrition beyond planned staff reductions, increased difficulties in our day-to-day operations and reduced employee morale. If employees who were not affected by the reduction in force seek alternate employment, this could result in us seeking contract support which may result in unplanned additional expense or harm our productivity. Our workforce reductions could also harm our ability to attract and retain qualified management, scientific, clinical, and manufacturing personnel who are critical to our business. Any failure to attract or retain qualified personnel could prevent us from successfully developing our product candidates in the future.</w:t>
      </w:r>
    </w:p>
    <w:p>
      <w:pPr>
        <w:spacing w:after="0" w:line="1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provide meaningful equity incentives to our key employees, it could adversely affect our ability to retain these key employees, which in turn could affect our ability to implement our business strategies.</w:t>
      </w:r>
    </w:p>
    <w:p>
      <w:pPr>
        <w:spacing w:after="0" w:line="116"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are dependent upon the members of our senior management team and other key employees. In our industry, it is common to attract and retain executive and other key employees with compensation packages that include a significant equity component. As a result, we may have difficulty retaining key personnel, which would have a material adverse effect on our ability to execute our business strategy.</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need to grow or contract our organization, and we may experience difficulties in managing this growth or contraction, which could disrupt our operations.</w:t>
      </w:r>
    </w:p>
    <w:p>
      <w:pPr>
        <w:spacing w:after="0" w:line="11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of December 31, 2022, we had 357 full-time employees, with the announced intention of a workforce reduction totaling 15% from August 2022. In addition to the risks associated with a reduction in force, as our finances, development and commercialization plans and strategies evolve, we may choose to expand or contract our employee base for managerial, operational, manufacturing, financial and other resources. Future growth or additional contraction would impose significant added responsibilities on members of management, including the need to identify, recruit, maintain, motivate and integrate additional employees. Also, our management may need to divert a disproportionate amount of their attention away from our day-to-day activities and devote a substantial amount of time to managing either growth or contraction activities. We may not be able to effectively manage our operations which may result in weaknesses in our infrastructure, give rise to operational errors, loss of business opportunities, loss of employees and reduced productivity among remaining employees.</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Growth could require significant capital expenditures and may divert financial resources from other projects, such as the development of existing and additional product candidates. If our management is unable to effectively manage such growth, our expenses may increase more than expected, our ability to generate and/or grow revenue could be reduced and we may not be able to implement our business strategy. Our future financial performance and our ability to commercialize MARGENZA, our product candidates and compete effectively with others in our industry will depend, in part, on our ability to effectively manage any such growth.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securities litigation, which is expensive and could divert management attention and adversely impact our business.</w:t>
      </w:r>
    </w:p>
    <w:p>
      <w:pPr>
        <w:spacing w:after="0" w:line="183"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market price of our common stock has been and may continue to be volatile. Companies that have experienced volatility in the market price of their common stock are often subject to securities class action litigation. For example, on September 13, 2019, a securities class action complaint was filed against us, and certain of our officers and/or directors in the U.S. District Court for the District of Maryland. On September 29, 2021, the District Court issued an Order dismissing the case, with prejudice, and on March 2, 2023 the Fourth Circuit affirmed the District Court’s dismissal.</w:t>
      </w:r>
    </w:p>
    <w:p>
      <w:pPr>
        <w:spacing w:after="0" w:line="10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This or any future securities litigation brought by private parties or government enforcement agencies could result in substantial costs and diversion of management’s attention and resources, which could adversely impact our business.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6" w:name="page57"/>
    <w:bookmarkEnd w:id="56"/>
    <w:p>
      <w:pPr>
        <w:ind w:firstLine="648"/>
        <w:spacing w:after="0" w:line="279" w:lineRule="auto"/>
        <w:rPr>
          <w:sz w:val="20"/>
          <w:szCs w:val="20"/>
          <w:color w:val="auto"/>
        </w:rPr>
      </w:pPr>
      <w:r>
        <w:rPr>
          <w:rFonts w:ascii="Arial" w:cs="Arial" w:eastAsia="Arial" w:hAnsi="Arial"/>
          <w:sz w:val="17"/>
          <w:szCs w:val="17"/>
          <w:color w:val="auto"/>
        </w:rPr>
        <w:t>The market price of our stock may fluctuate unpredictably in response to factors unrelated to our operating performance.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Some of the factors that may cause the market price of our common stock to fluctuate include:</w:t>
      </w:r>
    </w:p>
    <w:p>
      <w:pPr>
        <w:spacing w:after="0" w:line="11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and timing of our clinical trials and clinical trials of our competitors’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future approved products;</w:t>
      </w:r>
    </w:p>
    <w:p>
      <w:pPr>
        <w:spacing w:after="0" w:line="171"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 of technological innovations or new commercial products by us or our competitors;</w:t>
      </w:r>
    </w:p>
    <w:p>
      <w:pPr>
        <w:spacing w:after="0" w:line="171"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cover our common stock;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or anticipated sales of our common stock;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any of MARGENZA or our product candidates, if approved, to achieve commercial success;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and other external factors or other disasters or crises;</w:t>
      </w:r>
    </w:p>
    <w:p>
      <w:pPr>
        <w:spacing w:after="0" w:line="171"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receipt of any milestone or other payments under commercialization or licensing agreements;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market conditions and market conditions for biopharmaceutical stocks;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fluctuations in U.S. equity markets.</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in the past, when the market price of a stock has been volatile, holders of that stock have sometimes instituted securities class action litigation against the company that issued the stock. For example, one such securities class action lawsuit was brought against us. We could incur substantial costs defending this or similar lawsuits, as well as diversion of the time and attention of our management, any or all of which could seriously harm our business.</w:t>
      </w:r>
    </w:p>
    <w:p>
      <w:pPr>
        <w:spacing w:after="0" w:line="1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third-party agreements and Delaware law may make an acquisition of us or a change in our management more difficult.</w:t>
      </w:r>
    </w:p>
    <w:p>
      <w:pPr>
        <w:spacing w:after="0" w:line="116"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Certain provisions of our restated certificate of incorporation and amended and restated bylaws could discourage, delay, or prevent a merger, acquisition, or other change in control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since our board of directors is responsible for appointing the members of our management team, these provisions could prevent</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57" w:name="page58"/>
    <w:bookmarkEnd w:id="57"/>
    <w:p>
      <w:pPr>
        <w:ind w:right="340"/>
        <w:spacing w:after="0" w:line="277" w:lineRule="auto"/>
        <w:rPr>
          <w:sz w:val="20"/>
          <w:szCs w:val="20"/>
          <w:color w:val="auto"/>
        </w:rPr>
      </w:pPr>
      <w:r>
        <w:rPr>
          <w:rFonts w:ascii="Arial" w:cs="Arial" w:eastAsia="Arial" w:hAnsi="Arial"/>
          <w:sz w:val="18"/>
          <w:szCs w:val="18"/>
          <w:color w:val="auto"/>
        </w:rPr>
        <w:t>or frustrate attempts by our stockholders to replace or remove our management by making it more difficult for stockholders to replace members of our board of directors. These provisions:</w:t>
      </w:r>
    </w:p>
    <w:p>
      <w:pPr>
        <w:spacing w:after="0" w:line="116"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 classified board of directors, providing that not all members of the board of directors be elected at one time;</w:t>
      </w:r>
    </w:p>
    <w:p>
      <w:pPr>
        <w:spacing w:after="0" w:line="171" w:lineRule="exact"/>
        <w:rPr>
          <w:rFonts w:ascii="Arial" w:cs="Arial" w:eastAsia="Arial" w:hAnsi="Arial"/>
          <w:sz w:val="18"/>
          <w:szCs w:val="18"/>
          <w:color w:val="auto"/>
        </w:rPr>
      </w:pPr>
    </w:p>
    <w:p>
      <w:pPr>
        <w:ind w:left="980" w:right="160" w:hanging="324"/>
        <w:spacing w:after="0" w:line="342"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stockholder approval blank check preferred stock that, if issued, could operate as a "poison pill" to dilute the stock ownership of a potential hostile acquirer to prevent an acquisition that is not approved by our board of directors;</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stockholder action by written consent;</w:t>
      </w:r>
    </w:p>
    <w:p>
      <w:pPr>
        <w:spacing w:after="0" w:line="194" w:lineRule="exact"/>
        <w:rPr>
          <w:rFonts w:ascii="Arial" w:cs="Arial" w:eastAsia="Arial" w:hAnsi="Arial"/>
          <w:sz w:val="16"/>
          <w:szCs w:val="16"/>
          <w:color w:val="auto"/>
        </w:rPr>
      </w:pPr>
    </w:p>
    <w:p>
      <w:pPr>
        <w:ind w:left="980" w:right="6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who may call stockholder meetings; and</w:t>
      </w:r>
    </w:p>
    <w:p>
      <w:pPr>
        <w:spacing w:after="0" w:line="171"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the approval of the holders of 75% of the outstanding shares of our capital stock entitled to vote in order to amend certain provisions of our restated certificate of incorporation and restated bylaws.</w:t>
      </w:r>
    </w:p>
    <w:p>
      <w:pPr>
        <w:spacing w:after="0" w:line="1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Furthermore, in the ordinary course of our business, from time to time we discuss and enter into collaborations, licenses and other transactions with various third parties, including other pharmaceutical companies and biotechnology companies. When we deem it appropriate, our agreements with such third parties may include standstill provisions. These standstill provisions, several of which may be in force from time-to-time, typically prohibit such parties from acquiring our securities for a period of time, which may discourage such parties from acquiring MacroGenics even if doing so would be beneficial to our stockholders.</w:t>
      </w:r>
    </w:p>
    <w:p>
      <w:pPr>
        <w:spacing w:after="0" w:line="13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 This provision could have the effect of delaying or preventing a change of control, whether or not it is desired by or beneficial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bookmarkStart w:id="58" w:name="page59"/>
    <w:bookmarkEnd w:id="58"/>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lease a total of approximately 235,000 square feet of manufacturing, office, laboratory and warehouse space in Maryland and California. Our headquarters building in Rockville, Maryland currently houses laboratory, office and manufacturing operations to support clinical and commercial quantities and scale. This location is occupied under a lease that was modified in December 2022 and now expires in 2035. The California facility and the smaller-scale, non-commercial GMP manufacturing site in Maryland will be closed under our restructuring plan announced in August 2022, therefore the leases for those sites will not be renewed when they expire. Our continuing leases each have one or more five-year options to renew. We believe that our properties are generally in good condition, well maintained, suitable and adequate to carry on our business. We believe our capital resources are sufficient to lease any additional facilities required to meet our expected growth needs.</w:t>
      </w: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Commitments and Contingencies, to the consolidated financial statements for more information.</w:t>
      </w:r>
    </w:p>
    <w:p>
      <w:pPr>
        <w:spacing w:after="0" w:line="39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5" w:right="399" w:bottom="1440" w:gutter="0" w:footer="0" w:header="0"/>
        </w:sectPr>
      </w:pPr>
    </w:p>
    <w:bookmarkStart w:id="59" w:name="page60"/>
    <w:bookmarkEnd w:id="59"/>
    <w:p>
      <w:pPr>
        <w:ind w:left="56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00" w:right="18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common stock is listed on the Nasdaq Global Select Market under the symbol "MGNX". As of March 10, 2023, we had 61,838,565 shares of common stock outstanding held by approximately 58 holders of record, which include shares held by a broker, bank or other nominee. We have never declared or paid any cash dividends. We do not anticipate declaring or paying cash dividends for the foreseeable future. Instead, we will retain our earnings, if any, for the future operation and expansion of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following graph compares the five-year cumulative total return of our common stock with the Nasdaq Composite Index (U.S.) and the Nasdaq Biotechnology Index. The comparison assumes a $100 investment on December 31, 2017 in our common stock, the stocks comprising the Nasdaq Composite Index, and the stocks comprising the Nasdaq Biotechnology Index, and assumes reinvestment of the full amount of all dividends, if any. Historical stockholder return is not necessarily indicative of the performance to be expected for any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572125" cy="3257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21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information set forth under the heading "Performance Graph" shall not be deemed to be "soliciting material" or to be "filed" with the SEC or subject to liabilities of Section 18 of the Exchange Act, except to the extent that we specifically request that such information be treated as soliciting material or specifically be incorporated by reference into a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our selected consolidated financial data and the consolidated financial statements and related notes included elsewhere herein. This discussion contains forward-looking statements that involve risks and uncertainties. As a result of many factors including, but not limited to, those set forth under the sections entitled "Risk Factors" and "Forward-Looking Statements", our actual results may differ materially from those anticipated in such forward-looking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discussion of our financial condition and results of operations for the year ended December 31, 2021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please refer to Part II, Item 7, "Management's Discussion and Analysis of Financial Condition and Results of Operations" in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 December 31, 2021 filed with the SEC on February 24,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a biopharmaceutical company focused on developing and commercializing innovative antibody-based therapeutics for the treatment of cancer. We have a pipeline of product candidates being evaluated in clinical trials sponsored by us or our collaborators in addition to several molecules in preclinical development. Our clinical product candidates include multiple oncology programs, many of which were created using our proprietary, antibody-based technology platforms. We believe our product candidates have the potential, if approved for marketing by regulatory authorities, to have a meaningful effect on treating patients' unmet medical needs as monotherapy or, in some cases, in combination with other therapeutic agents. To date, two products originating from our pipeline of proprietary or partnered product candidates have received U,S. Food and Drug Administration (FDA) approval. In March 2021, we and our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In November 2022, the FDA approved TZIELD™ (teplizumab-mzwv) to delay the onset of Stage 3 Type 1 Diabetes (T1D) in adult and pediatric patients aged 8 years and older with Stage 2 T1D. Teplizumab was acquired from us by Provention Bio, Inc. (Provention) in 2018, pursuant to an asset purchase agreement.</w:t>
      </w:r>
    </w:p>
    <w:p>
      <w:pPr>
        <w:spacing w:after="0" w:line="19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operations to date have concentrated on staffing our company, developing our technology platforms, identifying potential product candidates, undertaking preclinical studies, conducting clinical trials, developing collaborations, business planning and raising capital. We only began generating revenues from the sale of products in 2021. We have financed our operations primarily through the public and private offerings of our securities, collaborations with other biopharmaceutical companies, and government grants and contracts. Although it is difficult to predict our funding requirements, we anticipate that our cash, cash equivalents and marketable securities as of December 31, 2022, combined with anticipated and potential collaboration payments and product revenues, and $100 million proceeds received in March 2023 pursuant to the sale of our single-digit royalty on future global net sales of TZIELD, should enable us to fund our operations through 2025. Our expected funding requirements reflect anticipated expenditures related to the Phase 2 TAMARACK clinical trial of vobramitamab duocarmazine (vobra duo) in metastatic castration-resistant prostate cancer (mCRPC), our planned Phase 2 study of lorigerlimab in mCRPC as well as our other clinical and preclinical studies currently ongoing.</w:t>
      </w:r>
    </w:p>
    <w:p>
      <w:pPr>
        <w:spacing w:after="0" w:line="11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Through December 31, 2022, we had an accumulated deficit of $1.1 billion. We expect that over the next several years this deficit will increase as we increase our expenditures in research and development in connection with our ongoing activities with several clinical trials.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17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global economy, credit markets and financial markets have and may continue to experience significant volatility as a result of significant worldwide events, including public health crises, such as the COVID-19 pandemic, and geopolitical upheaval, such as Russia’s incursion into Ukraine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In particular, the COVID-19 pandemic (or any variant thereof) may have a negative impact on our clinical trials, preclinical nonclinical studies, development, manufacturing and commercialization of our product and product candidates and other aspects of our business, staff, and operations. It remains difficult to assess or predict the ultimate duration and economic impact of the Macroeconomic Conditions including, the path of the COVID-19 pandemic, the evolution of COVID-19 variants or the emergence of other public health crises. In response to the COVID-19 pandemic, we have taken precautionary measures intended to help protect our employees, including enabling our employees to partially work remotely. Prolonged uncertainty with respect to</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61" w:name="page62"/>
    <w:bookmarkEnd w:id="61"/>
    <w:p>
      <w:pPr>
        <w:ind w:right="680"/>
        <w:spacing w:after="0" w:line="277" w:lineRule="auto"/>
        <w:rPr>
          <w:sz w:val="20"/>
          <w:szCs w:val="20"/>
          <w:color w:val="auto"/>
        </w:rPr>
      </w:pPr>
      <w:r>
        <w:rPr>
          <w:rFonts w:ascii="Arial" w:cs="Arial" w:eastAsia="Arial" w:hAnsi="Arial"/>
          <w:sz w:val="18"/>
          <w:szCs w:val="18"/>
          <w:color w:val="auto"/>
        </w:rPr>
        <w:t>Macroeconomic Conditions could cause further economic slowdown or cause other unpredictable events, each of which could adversely affect our business, results of operations or financial condition.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33" w:lineRule="exact"/>
        <w:rPr>
          <w:sz w:val="20"/>
          <w:szCs w:val="20"/>
          <w:color w:val="auto"/>
        </w:rPr>
      </w:pPr>
    </w:p>
    <w:p>
      <w:pPr>
        <w:ind w:left="980" w:right="80" w:hanging="324"/>
        <w:spacing w:after="0" w:line="287" w:lineRule="auto"/>
        <w:tabs>
          <w:tab w:leader="none" w:pos="975" w:val="left"/>
        </w:tabs>
        <w:numPr>
          <w:ilvl w:val="0"/>
          <w:numId w:val="35"/>
        </w:numPr>
        <w:rPr>
          <w:rFonts w:ascii="Arial" w:cs="Arial" w:eastAsia="Arial" w:hAnsi="Arial"/>
          <w:sz w:val="16"/>
          <w:szCs w:val="16"/>
          <w:color w:val="252525"/>
        </w:rPr>
      </w:pPr>
      <w:r>
        <w:rPr>
          <w:rFonts w:ascii="Arial" w:cs="Arial" w:eastAsia="Arial" w:hAnsi="Arial"/>
          <w:sz w:val="16"/>
          <w:szCs w:val="16"/>
          <w:i w:val="1"/>
          <w:iCs w:val="1"/>
          <w:color w:val="auto"/>
        </w:rPr>
        <w:t xml:space="preserve">Incyte. </w:t>
      </w:r>
      <w:r>
        <w:rPr>
          <w:rFonts w:ascii="Arial" w:cs="Arial" w:eastAsia="Arial" w:hAnsi="Arial"/>
          <w:sz w:val="16"/>
          <w:szCs w:val="16"/>
          <w:color w:val="auto"/>
        </w:rPr>
        <w:t>We have an exclusive global collaboration and license agreement with Incyte Corporation (Incyte) for retifanlimab, an investigational</w:t>
      </w:r>
      <w:r>
        <w:rPr>
          <w:rFonts w:ascii="Arial" w:cs="Arial" w:eastAsia="Arial" w:hAnsi="Arial"/>
          <w:sz w:val="16"/>
          <w:szCs w:val="16"/>
          <w:i w:val="1"/>
          <w:iCs w:val="1"/>
          <w:color w:val="auto"/>
        </w:rPr>
        <w:t xml:space="preserve"> </w:t>
      </w:r>
      <w:r>
        <w:rPr>
          <w:rFonts w:ascii="Arial" w:cs="Arial" w:eastAsia="Arial" w:hAnsi="Arial"/>
          <w:sz w:val="16"/>
          <w:szCs w:val="16"/>
          <w:color w:val="auto"/>
        </w:rPr>
        <w:t>monoclonal antibody that inhibits programmed cell death protein 1 (PD-1) (Incyte License Agreement). Under this agreement, as amended, Incyte has obtained exclusive worldwide rights for the development and commercialization of retifanlimab in all indications, while we retain the right to develop our pipeline assets in combination with retifanlimab. In addition to the upfront payment of $150.0 million and milestone payments totaling $100.0 million received from Incyte through December 31, 2022, we are eligible to receive an additional $335.0 million in development and regulatory milestones and $330.0 million in commercial milestones, assuming successful development and commercialization of retifanlimab by Incyte. If retifanlimab is approved and commercialized, we would be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113" w:lineRule="exact"/>
        <w:rPr>
          <w:rFonts w:ascii="Arial" w:cs="Arial" w:eastAsia="Arial" w:hAnsi="Arial"/>
          <w:sz w:val="16"/>
          <w:szCs w:val="16"/>
          <w:color w:val="252525"/>
        </w:rPr>
      </w:pPr>
    </w:p>
    <w:p>
      <w:pPr>
        <w:ind w:left="980" w:hanging="324"/>
        <w:spacing w:after="0" w:line="286" w:lineRule="auto"/>
        <w:tabs>
          <w:tab w:leader="none" w:pos="97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Gilead</w:t>
      </w:r>
      <w:r>
        <w:rPr>
          <w:rFonts w:ascii="Arial" w:cs="Arial" w:eastAsia="Arial" w:hAnsi="Arial"/>
          <w:sz w:val="16"/>
          <w:szCs w:val="16"/>
          <w:color w:val="auto"/>
        </w:rPr>
        <w:t>. In October 2022, we and Gilead Sciences, Inc. (Gilead) entered into an exclusive option and collaboration agreement (Gilead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develop and commercialize MGD024 and create bispecific cancer antibodies using our DART platform and undertake their early development under a maximum of two separate bispecific cancer target research programs. Under the Gilead Agreement, we will continue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grants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spacing w:after="0" w:line="116" w:lineRule="exact"/>
        <w:rPr>
          <w:rFonts w:ascii="Arial" w:cs="Arial" w:eastAsia="Arial" w:hAnsi="Arial"/>
          <w:sz w:val="16"/>
          <w:szCs w:val="16"/>
          <w:color w:val="auto"/>
        </w:rPr>
      </w:pPr>
    </w:p>
    <w:p>
      <w:pPr>
        <w:ind w:left="980" w:right="40" w:hanging="324"/>
        <w:spacing w:after="0" w:line="272" w:lineRule="auto"/>
        <w:tabs>
          <w:tab w:leader="none" w:pos="97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Zai Lab</w:t>
      </w:r>
      <w:r>
        <w:rPr>
          <w:rFonts w:ascii="Arial" w:cs="Arial" w:eastAsia="Arial" w:hAnsi="Arial"/>
          <w:sz w:val="17"/>
          <w:szCs w:val="17"/>
          <w:color w:val="auto"/>
        </w:rPr>
        <w:t>. In 2018, we entered into a collaboration and license agreement with Zai Lab Limited (Zai Lab) under which Zai Lab obtained</w:t>
      </w:r>
      <w:r>
        <w:rPr>
          <w:rFonts w:ascii="Arial" w:cs="Arial" w:eastAsia="Arial" w:hAnsi="Arial"/>
          <w:sz w:val="17"/>
          <w:szCs w:val="17"/>
          <w:i w:val="1"/>
          <w:iCs w:val="1"/>
          <w:color w:val="auto"/>
        </w:rPr>
        <w:t xml:space="preserve"> </w:t>
      </w:r>
      <w:r>
        <w:rPr>
          <w:rFonts w:ascii="Arial" w:cs="Arial" w:eastAsia="Arial" w:hAnsi="Arial"/>
          <w:sz w:val="17"/>
          <w:szCs w:val="17"/>
          <w:color w:val="auto"/>
        </w:rPr>
        <w:t>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in its territory. Zai Lab has informed us that they have decided to discontinue development of tebotelimab for indications they were enrolling in their territory and is evaluating future development plans in other indications.</w:t>
      </w:r>
    </w:p>
    <w:p>
      <w:pPr>
        <w:spacing w:after="0" w:line="204" w:lineRule="exact"/>
        <w:rPr>
          <w:rFonts w:ascii="Arial" w:cs="Arial" w:eastAsia="Arial" w:hAnsi="Arial"/>
          <w:sz w:val="17"/>
          <w:szCs w:val="17"/>
          <w:color w:val="auto"/>
        </w:rPr>
      </w:pPr>
    </w:p>
    <w:p>
      <w:pPr>
        <w:ind w:left="980" w:right="40"/>
        <w:spacing w:after="0" w:line="257" w:lineRule="auto"/>
        <w:rPr>
          <w:rFonts w:ascii="Arial" w:cs="Arial" w:eastAsia="Arial" w:hAnsi="Arial"/>
          <w:sz w:val="17"/>
          <w:szCs w:val="17"/>
          <w:color w:val="auto"/>
        </w:rPr>
      </w:pPr>
      <w:r>
        <w:rPr>
          <w:rFonts w:ascii="Arial" w:cs="Arial" w:eastAsia="Arial" w:hAnsi="Arial"/>
          <w:sz w:val="18"/>
          <w:szCs w:val="18"/>
          <w:color w:val="auto"/>
        </w:rPr>
        <w:t>Under the terms of the 2018 Zai Lab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earned $9.0 million through December 31, 2022. In addition, Zai Lab would pay us tiered royalties at percentage rates of mid-teens to 20% for net sales of margetuximab in Zai Lab’s territory, mid-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ind w:left="324" w:right="120"/>
        <w:spacing w:after="0" w:line="277" w:lineRule="auto"/>
        <w:rPr>
          <w:sz w:val="20"/>
          <w:szCs w:val="20"/>
          <w:color w:val="auto"/>
        </w:rPr>
      </w:pPr>
      <w:r>
        <w:rPr>
          <w:rFonts w:ascii="Arial" w:cs="Arial" w:eastAsia="Arial" w:hAnsi="Arial"/>
          <w:sz w:val="18"/>
          <w:szCs w:val="18"/>
          <w:color w:val="auto"/>
        </w:rPr>
        <w:t>teens for net sales of tebotelimab in Zai Lab’s territory and 10% for net sales of the TRIDENT molecule in Zai Lab’s territory, which may be subject to adjustment in specified circumstances.</w:t>
      </w:r>
    </w:p>
    <w:p>
      <w:pPr>
        <w:spacing w:after="0" w:line="116" w:lineRule="exact"/>
        <w:rPr>
          <w:sz w:val="20"/>
          <w:szCs w:val="20"/>
          <w:color w:val="auto"/>
        </w:rPr>
      </w:pPr>
    </w:p>
    <w:p>
      <w:pPr>
        <w:ind w:left="324" w:right="60"/>
        <w:spacing w:after="0" w:line="277" w:lineRule="auto"/>
        <w:rPr>
          <w:sz w:val="20"/>
          <w:szCs w:val="20"/>
          <w:color w:val="auto"/>
        </w:rPr>
      </w:pPr>
      <w:r>
        <w:rPr>
          <w:rFonts w:ascii="Arial" w:cs="Arial" w:eastAsia="Arial" w:hAnsi="Arial"/>
          <w:sz w:val="18"/>
          <w:szCs w:val="18"/>
          <w:color w:val="auto"/>
        </w:rPr>
        <w:t>In 2019, we entered into two agreements under which we are to perform manufacturing services for Zai Lab’s clinical needs of margetuximab and tebotelimab (Zai Lab Clinical Supply Agreements).</w:t>
      </w:r>
    </w:p>
    <w:p>
      <w:pPr>
        <w:spacing w:after="0" w:line="116" w:lineRule="exact"/>
        <w:rPr>
          <w:sz w:val="20"/>
          <w:szCs w:val="20"/>
          <w:color w:val="auto"/>
        </w:rPr>
      </w:pPr>
    </w:p>
    <w:p>
      <w:pPr>
        <w:ind w:left="324" w:right="100"/>
        <w:spacing w:after="0" w:line="290" w:lineRule="auto"/>
        <w:rPr>
          <w:sz w:val="20"/>
          <w:szCs w:val="20"/>
          <w:color w:val="auto"/>
        </w:rPr>
      </w:pPr>
      <w:r>
        <w:rPr>
          <w:rFonts w:ascii="Arial" w:cs="Arial" w:eastAsia="Arial" w:hAnsi="Arial"/>
          <w:sz w:val="16"/>
          <w:szCs w:val="16"/>
          <w:color w:val="auto"/>
        </w:rPr>
        <w:t>In 2021, we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our DART platform and binds CD3 and an undisclosed target that is expressed in multiple solid tumors (Lead Program). The second program covers a target to be designated by us. For these programs, Zai Lab receives commercial rights in Greater China, Japan, and Korea while we receive commercial rights in all other territories. Zai Lab also obtained exclusive, global licenses from us to develop, manufacture and commercialize two additional molecules (license-only programs). Zai Lab granted us a worldwide, royalty-free, co-exclusive license to conduct the development activities allocated to us. In August 2022, we and Zai Lab agreed to discontinue research and development of the Lead Program.</w:t>
      </w:r>
    </w:p>
    <w:p>
      <w:pPr>
        <w:spacing w:after="0" w:line="111" w:lineRule="exact"/>
        <w:rPr>
          <w:sz w:val="20"/>
          <w:szCs w:val="20"/>
          <w:color w:val="auto"/>
        </w:rPr>
      </w:pPr>
    </w:p>
    <w:p>
      <w:pPr>
        <w:ind w:left="324"/>
        <w:spacing w:after="0"/>
        <w:rPr>
          <w:sz w:val="20"/>
          <w:szCs w:val="20"/>
          <w:color w:val="auto"/>
        </w:rPr>
      </w:pPr>
      <w:r>
        <w:rPr>
          <w:rFonts w:ascii="Arial" w:cs="Arial" w:eastAsia="Arial" w:hAnsi="Arial"/>
          <w:sz w:val="16"/>
          <w:szCs w:val="16"/>
          <w:color w:val="auto"/>
        </w:rPr>
        <w:t>Under the terms of the 2021 Zai Lab Agreement, the Lead Program included joint research and development services by both us and Zai Lab.</w:t>
      </w:r>
    </w:p>
    <w:p>
      <w:pPr>
        <w:spacing w:after="0" w:line="46" w:lineRule="exact"/>
        <w:rPr>
          <w:sz w:val="20"/>
          <w:szCs w:val="20"/>
          <w:color w:val="auto"/>
        </w:rPr>
      </w:pPr>
    </w:p>
    <w:p>
      <w:pPr>
        <w:ind w:left="324"/>
        <w:spacing w:after="0"/>
        <w:rPr>
          <w:sz w:val="20"/>
          <w:szCs w:val="20"/>
          <w:color w:val="auto"/>
        </w:rPr>
      </w:pPr>
      <w:r>
        <w:rPr>
          <w:rFonts w:ascii="Arial" w:cs="Arial" w:eastAsia="Arial" w:hAnsi="Arial"/>
          <w:sz w:val="17"/>
          <w:szCs w:val="17"/>
          <w:color w:val="auto"/>
        </w:rPr>
        <w:t>For the other programs, Zai Lab can separately negotiate and agree with us to perform research and development services in the future.</w:t>
      </w:r>
    </w:p>
    <w:p>
      <w:pPr>
        <w:spacing w:after="0" w:line="168" w:lineRule="exact"/>
        <w:rPr>
          <w:sz w:val="20"/>
          <w:szCs w:val="20"/>
          <w:color w:val="auto"/>
        </w:rPr>
      </w:pPr>
    </w:p>
    <w:p>
      <w:pPr>
        <w:ind w:left="324" w:right="160"/>
        <w:spacing w:after="0" w:line="257" w:lineRule="auto"/>
        <w:rPr>
          <w:sz w:val="20"/>
          <w:szCs w:val="20"/>
          <w:color w:val="auto"/>
        </w:rPr>
      </w:pPr>
      <w:r>
        <w:rPr>
          <w:rFonts w:ascii="Arial" w:cs="Arial" w:eastAsia="Arial" w:hAnsi="Arial"/>
          <w:sz w:val="18"/>
          <w:szCs w:val="18"/>
          <w:color w:val="auto"/>
        </w:rPr>
        <w:t>In connection with the execution of the 2021 Zai Lab Agreement, Zai Lab paid us an upfront payment of $25.0 million. Additionally, as part of the consideration for the rights granted to Zai Lab under the 2021 Zai Lab Agreement, we and Zai Lab entered into a separate stock purchase agreement (Stock Purchase Agreement) whereby Zai Lab paid us approximately $30.0 million to purchase 958,467 newly issued shares of our common stock, par value $0.01, at a fixed price of $31.30 which represented a $10.4 million premium over the share price on the Stock Purchase Agreement date.</w:t>
      </w:r>
    </w:p>
    <w:p>
      <w:pPr>
        <w:spacing w:after="0" w:line="134" w:lineRule="exact"/>
        <w:rPr>
          <w:sz w:val="20"/>
          <w:szCs w:val="20"/>
          <w:color w:val="auto"/>
        </w:rPr>
      </w:pPr>
    </w:p>
    <w:p>
      <w:pPr>
        <w:ind w:left="324"/>
        <w:spacing w:after="0" w:line="257" w:lineRule="auto"/>
        <w:rPr>
          <w:sz w:val="20"/>
          <w:szCs w:val="20"/>
          <w:color w:val="auto"/>
        </w:rPr>
      </w:pPr>
      <w:r>
        <w:rPr>
          <w:rFonts w:ascii="Arial" w:cs="Arial" w:eastAsia="Arial" w:hAnsi="Arial"/>
          <w:sz w:val="18"/>
          <w:szCs w:val="18"/>
          <w:color w:val="auto"/>
        </w:rPr>
        <w:t>Assuming successful development and commercialization of the remaining Programs under the 2021 Zai Lab Agreement, we could receive up to $1.3 billion in development, regulatory and commercial milestones. In addition, Zai Lab would pay us tiered royalties at percentage rates of mid-single digits to low double-digit teens on annual net sales of products in Zai's territory, subject to specified royalty reduction pursuant to the 2021 Zai Lab Agreement. Per the terms of the 2021 Zai Lab Agreement, we may also receive reimbursements from Zai Lab for certain research and development costs incurred by us.</w:t>
      </w:r>
    </w:p>
    <w:p>
      <w:pPr>
        <w:spacing w:after="0" w:line="134" w:lineRule="exact"/>
        <w:rPr>
          <w:sz w:val="20"/>
          <w:szCs w:val="20"/>
          <w:color w:val="auto"/>
        </w:rPr>
      </w:pPr>
    </w:p>
    <w:p>
      <w:pPr>
        <w:ind w:left="324" w:right="140" w:hanging="324"/>
        <w:spacing w:after="0" w:line="275" w:lineRule="auto"/>
        <w:tabs>
          <w:tab w:leader="none" w:pos="319"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Janssen. </w:t>
      </w:r>
      <w:r>
        <w:rPr>
          <w:rFonts w:ascii="Arial" w:cs="Arial" w:eastAsia="Arial" w:hAnsi="Arial"/>
          <w:sz w:val="17"/>
          <w:szCs w:val="17"/>
          <w:color w:val="auto"/>
        </w:rPr>
        <w:t>In 2020, we entered into a research collaboration and global license agreement to develop a preclinical bispecific molecule with</w:t>
      </w:r>
      <w:r>
        <w:rPr>
          <w:rFonts w:ascii="Arial" w:cs="Arial" w:eastAsia="Arial" w:hAnsi="Arial"/>
          <w:sz w:val="17"/>
          <w:szCs w:val="17"/>
          <w:i w:val="1"/>
          <w:iCs w:val="1"/>
          <w:color w:val="auto"/>
        </w:rPr>
        <w:t xml:space="preserve"> </w:t>
      </w:r>
      <w:r>
        <w:rPr>
          <w:rFonts w:ascii="Arial" w:cs="Arial" w:eastAsia="Arial" w:hAnsi="Arial"/>
          <w:sz w:val="17"/>
          <w:szCs w:val="17"/>
          <w:color w:val="auto"/>
        </w:rPr>
        <w:t>Janssen Biotech, Inc. (Janssen). The research collaboration will incorporate our proprietary DART platform to enable simultaneous targeting of two undisclosed targets in a therapeutic area outside oncology. Under the terms of the agreement, Janssen paid us an upfront payment of $20.0 million and will be responsible for funding all expenses. We will also be eligible to receive up to $312.0 million in potential milestone payments and tiered royalties of up to 10% on worldwide product sales.</w:t>
      </w:r>
    </w:p>
    <w:p>
      <w:pPr>
        <w:spacing w:after="0" w:line="122" w:lineRule="exact"/>
        <w:rPr>
          <w:rFonts w:ascii="Arial" w:cs="Arial" w:eastAsia="Arial" w:hAnsi="Arial"/>
          <w:sz w:val="17"/>
          <w:szCs w:val="17"/>
          <w:color w:val="auto"/>
        </w:rPr>
      </w:pPr>
    </w:p>
    <w:p>
      <w:pPr>
        <w:ind w:left="324" w:right="100" w:hanging="324"/>
        <w:spacing w:after="0" w:line="283" w:lineRule="auto"/>
        <w:tabs>
          <w:tab w:leader="none" w:pos="319" w:val="left"/>
        </w:tabs>
        <w:numPr>
          <w:ilvl w:val="0"/>
          <w:numId w:val="36"/>
        </w:numPr>
        <w:rPr>
          <w:rFonts w:ascii="Arial" w:cs="Arial" w:eastAsia="Arial" w:hAnsi="Arial"/>
          <w:sz w:val="16"/>
          <w:szCs w:val="16"/>
          <w:color w:val="252525"/>
        </w:rPr>
      </w:pPr>
      <w:r>
        <w:rPr>
          <w:rFonts w:ascii="Arial" w:cs="Arial" w:eastAsia="Arial" w:hAnsi="Arial"/>
          <w:sz w:val="16"/>
          <w:szCs w:val="16"/>
          <w:i w:val="1"/>
          <w:iCs w:val="1"/>
          <w:color w:val="auto"/>
        </w:rPr>
        <w:t>Provention</w:t>
      </w:r>
      <w:r>
        <w:rPr>
          <w:rFonts w:ascii="Arial" w:cs="Arial" w:eastAsia="Arial" w:hAnsi="Arial"/>
          <w:sz w:val="16"/>
          <w:szCs w:val="16"/>
          <w:color w:val="auto"/>
        </w:rPr>
        <w:t>. In 2018, we entered into an asset purchase agreement (APA) with Provention pursuant to which Provention acquired our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 teplizumab. Under the APA, if Provention successfully develops, obtains regulatory approval for, and commercializes teplizumab, we will be eligible to receive up to $170.0 million in regulatory milestones, and up to $225.0 million in commercial milestones. In November 2022, the FDA approved TZIELD (teplizumab-mzwv) to delay the onset of Stage 3 T1D in adult and pediatric patients aged 8 years and older with Stage 2 T1D, and we recognized $60.0 million in milestone revenue during the year ended December 31, 2022. In November 2022 we and Provention amended the APA. Under the amended APA, the $60.0 million milestone for a first approval was split into four $15 million payments. The first two payments were received in November 2022 and March 2023 and the two remaining payments are due June 1, 2023 and September 1, 2023. We are also eligible to receive single-digit royalties on net sales of TZIELD. Provention has also agreed to pay third-party obligations, including low single-digit royalties, a portion of which is creditable against royalties payable to us, aggregate milestone payments of up to approximately $1.3 million and other consideration, for certain third-party intellectual property under agreements Provention assumed pursuant to the APA. Further, Provention is required to pay us a low double-digit percentage of certain consideration to the extent it is received in connection with a grant of rights by Provention to a third party.</w:t>
      </w:r>
    </w:p>
    <w:p>
      <w:pPr>
        <w:spacing w:after="0" w:line="2" w:lineRule="exact"/>
        <w:rPr>
          <w:rFonts w:ascii="Arial" w:cs="Arial" w:eastAsia="Arial" w:hAnsi="Arial"/>
          <w:sz w:val="16"/>
          <w:szCs w:val="16"/>
          <w:color w:val="252525"/>
        </w:rPr>
      </w:pPr>
    </w:p>
    <w:p>
      <w:pPr>
        <w:ind w:left="324" w:right="340"/>
        <w:spacing w:after="0" w:line="260" w:lineRule="auto"/>
        <w:rPr>
          <w:rFonts w:ascii="Arial" w:cs="Arial" w:eastAsia="Arial" w:hAnsi="Arial"/>
          <w:sz w:val="16"/>
          <w:szCs w:val="16"/>
          <w:color w:val="252525"/>
        </w:rPr>
      </w:pPr>
      <w:r>
        <w:rPr>
          <w:rFonts w:ascii="Arial" w:cs="Arial" w:eastAsia="Arial" w:hAnsi="Arial"/>
          <w:sz w:val="18"/>
          <w:szCs w:val="18"/>
          <w:color w:val="auto"/>
        </w:rPr>
        <w:t>In March 2023, we sold our royalty interest in TZIELD to a wholly-owned subsidiary of DRI Healthcare Trust (DRI). We retain our other economic interests related to TZIELD, including future potential regulatory and</w:t>
      </w:r>
    </w:p>
    <w:p>
      <w:pPr>
        <w:spacing w:after="0" w:line="200" w:lineRule="exact"/>
        <w:rPr>
          <w:sz w:val="20"/>
          <w:szCs w:val="20"/>
          <w:color w:val="auto"/>
        </w:rPr>
      </w:pPr>
    </w:p>
    <w:p>
      <w:pPr>
        <w:spacing w:after="0" w:line="32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895" w:right="339" w:bottom="1440" w:gutter="0" w:footer="0" w:header="0"/>
        </w:sectPr>
      </w:pPr>
    </w:p>
    <w:bookmarkStart w:id="63" w:name="page64"/>
    <w:bookmarkEnd w:id="63"/>
    <w:p>
      <w:pPr>
        <w:ind w:left="980"/>
        <w:spacing w:after="0" w:line="301" w:lineRule="auto"/>
        <w:rPr>
          <w:sz w:val="20"/>
          <w:szCs w:val="20"/>
          <w:color w:val="auto"/>
        </w:rPr>
      </w:pPr>
      <w:r>
        <w:rPr>
          <w:rFonts w:ascii="Arial" w:cs="Arial" w:eastAsia="Arial" w:hAnsi="Arial"/>
          <w:sz w:val="16"/>
          <w:szCs w:val="16"/>
          <w:color w:val="auto"/>
        </w:rPr>
        <w:t>commercial milestones. We received a $100.0 million upfront payment from DRI for the sale of our single-digit royalty on global net sales of TZIELD. We retain the right to receive a 50% share of the royalty on global net sales above a certain annual threshold. In addition, we are eligible to receive up to $50.0 million from DRI upon the occurrence of pre-specified events tied to the advancement of TZIELD for the treatment of newly diagnosed T1D and may also receive an additional $50.0 million if TZIELD achieves a certain level of net sales.</w:t>
      </w:r>
    </w:p>
    <w:p>
      <w:pPr>
        <w:spacing w:after="0" w:line="184" w:lineRule="exact"/>
        <w:rPr>
          <w:sz w:val="20"/>
          <w:szCs w:val="20"/>
          <w:color w:val="auto"/>
        </w:rPr>
      </w:pPr>
    </w:p>
    <w:p>
      <w:pPr>
        <w:ind w:left="980" w:right="140" w:hanging="324"/>
        <w:spacing w:after="0" w:line="255" w:lineRule="auto"/>
        <w:tabs>
          <w:tab w:leader="none" w:pos="975" w:val="left"/>
        </w:tabs>
        <w:numPr>
          <w:ilvl w:val="0"/>
          <w:numId w:val="37"/>
        </w:numPr>
        <w:rPr>
          <w:rFonts w:ascii="Arial" w:cs="Arial" w:eastAsia="Arial" w:hAnsi="Arial"/>
          <w:sz w:val="18"/>
          <w:szCs w:val="18"/>
          <w:b w:val="1"/>
          <w:bCs w:val="1"/>
          <w:i w:val="1"/>
          <w:iCs w:val="1"/>
          <w:color w:val="252525"/>
        </w:rPr>
      </w:pPr>
      <w:r>
        <w:rPr>
          <w:rFonts w:ascii="Arial" w:cs="Arial" w:eastAsia="Arial" w:hAnsi="Arial"/>
          <w:sz w:val="18"/>
          <w:szCs w:val="18"/>
          <w:i w:val="1"/>
          <w:iCs w:val="1"/>
          <w:color w:val="auto"/>
        </w:rPr>
        <w:t xml:space="preserve">I-Mab Biopharma. </w:t>
      </w:r>
      <w:r>
        <w:rPr>
          <w:rFonts w:ascii="Arial" w:cs="Arial" w:eastAsia="Arial" w:hAnsi="Arial"/>
          <w:sz w:val="18"/>
          <w:szCs w:val="18"/>
          <w:color w:val="auto"/>
        </w:rPr>
        <w:t>In 2019, we entered into a collaboration and license agreement with I-Mab Biopharma (I-Mab)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enoblituzumab, an immune-optimized, anti-B7-H3 monoclonal antibody that incorporates our proprietary Fc Optimization technology platform (I-Mab License Agreement). I-Mab obtained regional development and commercialization rights in mainland China, Hong Kong, Macau and Taiwan (I-Mab's territory), will lead clinical development of enoblituzumab in its territories, and will participate in global studies conducted by us. In August 2022, I-Mab notified us of its intention to terminate the I-Mab License Agreement effective February 25, 2023.</w:t>
      </w:r>
    </w:p>
    <w:p>
      <w:pPr>
        <w:spacing w:after="0" w:line="192" w:lineRule="exact"/>
        <w:rPr>
          <w:rFonts w:ascii="Arial" w:cs="Arial" w:eastAsia="Arial" w:hAnsi="Arial"/>
          <w:sz w:val="18"/>
          <w:szCs w:val="18"/>
          <w:b w:val="1"/>
          <w:bCs w:val="1"/>
          <w:i w:val="1"/>
          <w:iCs w:val="1"/>
          <w:color w:val="252525"/>
        </w:rPr>
      </w:pPr>
    </w:p>
    <w:p>
      <w:pPr>
        <w:ind w:left="980" w:right="40"/>
        <w:spacing w:after="0" w:line="277" w:lineRule="auto"/>
        <w:rPr>
          <w:rFonts w:ascii="Arial" w:cs="Arial" w:eastAsia="Arial" w:hAnsi="Arial"/>
          <w:sz w:val="18"/>
          <w:szCs w:val="18"/>
          <w:b w:val="1"/>
          <w:bCs w:val="1"/>
          <w:i w:val="1"/>
          <w:iCs w:val="1"/>
          <w:color w:val="252525"/>
        </w:rPr>
      </w:pPr>
      <w:r>
        <w:rPr>
          <w:rFonts w:ascii="Arial" w:cs="Arial" w:eastAsia="Arial" w:hAnsi="Arial"/>
          <w:sz w:val="18"/>
          <w:szCs w:val="18"/>
          <w:color w:val="auto"/>
        </w:rPr>
        <w:t>Under the terms of the agreement, I-Mab paid us an upfront payment of $15.0 million and $5.0 million in milestone revenue has been earned from the inception of the I-Mab License Agreement through December 31, 2022.</w:t>
      </w:r>
    </w:p>
    <w:p>
      <w:pPr>
        <w:spacing w:after="0" w:line="116" w:lineRule="exact"/>
        <w:rPr>
          <w:rFonts w:ascii="Arial" w:cs="Arial" w:eastAsia="Arial" w:hAnsi="Arial"/>
          <w:sz w:val="18"/>
          <w:szCs w:val="18"/>
          <w:b w:val="1"/>
          <w:bCs w:val="1"/>
          <w:i w:val="1"/>
          <w:iCs w:val="1"/>
          <w:color w:val="252525"/>
        </w:rPr>
      </w:pPr>
    </w:p>
    <w:p>
      <w:pPr>
        <w:ind w:left="980" w:right="60"/>
        <w:spacing w:after="0" w:line="277" w:lineRule="auto"/>
        <w:rPr>
          <w:rFonts w:ascii="Arial" w:cs="Arial" w:eastAsia="Arial" w:hAnsi="Arial"/>
          <w:sz w:val="18"/>
          <w:szCs w:val="18"/>
          <w:b w:val="1"/>
          <w:bCs w:val="1"/>
          <w:i w:val="1"/>
          <w:iCs w:val="1"/>
          <w:color w:val="252525"/>
        </w:rPr>
      </w:pPr>
      <w:r>
        <w:rPr>
          <w:rFonts w:ascii="Arial" w:cs="Arial" w:eastAsia="Arial" w:hAnsi="Arial"/>
          <w:sz w:val="18"/>
          <w:szCs w:val="18"/>
          <w:color w:val="auto"/>
        </w:rPr>
        <w:t>In 2021, we entered into an agreement under which we are to perform development and manufacturing services for I-Mab’s clinical needs of enoblituzumab. which agreement will co-terminate with the I-Mab license agreement.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 consists of the following:</w:t>
      </w:r>
    </w:p>
    <w:p>
      <w:pPr>
        <w:spacing w:after="0" w:line="171" w:lineRule="exact"/>
        <w:rPr>
          <w:sz w:val="20"/>
          <w:szCs w:val="20"/>
          <w:color w:val="auto"/>
        </w:rPr>
      </w:pPr>
    </w:p>
    <w:p>
      <w:pPr>
        <w:ind w:left="980" w:hanging="324"/>
        <w:spacing w:after="0" w:line="286" w:lineRule="auto"/>
        <w:tabs>
          <w:tab w:leader="none" w:pos="9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revenue from collaborative and other agreements which includes amounts recognized relating to upfront nonrefundable payments for licenses or options to obtain future licenses, amounts earned by performing development and manufacturing services, research and development funding and milestone payments earned under our collaboration and license agreements with our strategic collaborators;</w:t>
      </w:r>
    </w:p>
    <w:p>
      <w:pPr>
        <w:spacing w:after="0" w:line="111" w:lineRule="exact"/>
        <w:rPr>
          <w:rFonts w:ascii="Arial" w:cs="Arial" w:eastAsia="Arial" w:hAnsi="Arial"/>
          <w:sz w:val="17"/>
          <w:szCs w:val="17"/>
          <w:color w:val="auto"/>
        </w:rPr>
      </w:pPr>
    </w:p>
    <w:p>
      <w:pPr>
        <w:ind w:left="980" w:right="14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sales, net which reflects sales of MARGENZA which was launched in 2021. Product revenue is recorded net of applicable reserves for variable consideration, including discounts and other allowances;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contract manufacturing revenue which is earned from manufacturing third parties’ drug substance; and</w:t>
      </w:r>
    </w:p>
    <w:p>
      <w:pPr>
        <w:spacing w:after="0" w:line="171" w:lineRule="exact"/>
        <w:rPr>
          <w:rFonts w:ascii="Arial" w:cs="Arial" w:eastAsia="Arial" w:hAnsi="Arial"/>
          <w:sz w:val="18"/>
          <w:szCs w:val="18"/>
          <w:color w:val="auto"/>
        </w:rPr>
      </w:pPr>
    </w:p>
    <w:p>
      <w:pPr>
        <w:ind w:left="980" w:right="60" w:hanging="324"/>
        <w:spacing w:after="0" w:line="263"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government agreements revenue which reflects amounts earned through grants and/or contracts with the U.S. government and other research institutions on behalf of the U.S. government, primarily with respect to research and development activities related to infectious disease product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Cost of product sales relates to sales of MARGENZA. These costs include materials and manufacturing costs, as well as royalties payable on net sales of MARGENZA and inventory reserves. All product costs incurred prior to FDA approval of MARGENZA in December 2020 were expensed as research and development expense. We expect cost of product sales to continue to be positively impacted as we sell through inventory that was expensed prior to FDA approval of MARGENZA. We are currently unable to estimate how long it will be until we begin selling product manufactured post FDA approval.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Manufacturing Services</w:t>
      </w:r>
    </w:p>
    <w:p>
      <w:pPr>
        <w:spacing w:after="0" w:line="171" w:lineRule="exact"/>
        <w:rPr>
          <w:sz w:val="20"/>
          <w:szCs w:val="20"/>
          <w:color w:val="auto"/>
        </w:rPr>
      </w:pPr>
    </w:p>
    <w:p>
      <w:pPr>
        <w:ind w:right="1000" w:firstLine="648"/>
        <w:spacing w:after="0" w:line="308" w:lineRule="auto"/>
        <w:rPr>
          <w:sz w:val="20"/>
          <w:szCs w:val="20"/>
          <w:color w:val="auto"/>
        </w:rPr>
      </w:pPr>
      <w:r>
        <w:rPr>
          <w:rFonts w:ascii="Arial" w:cs="Arial" w:eastAsia="Arial" w:hAnsi="Arial"/>
          <w:sz w:val="17"/>
          <w:szCs w:val="17"/>
          <w:color w:val="auto"/>
        </w:rPr>
        <w:t>Cost of manufacturing services consists of the costs to provide manufacturing services to produce certain bulk drug substance under manufacturing and clinical supply agreements with third parties, including labor, materials overhead and other related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71"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Research and development expense consists of expenses incurred in performing research and development activities. These expenses include conducting preclinical experiments and studies, clinical trials, manufacturing efforts and regulatory filings for all product candidates, and other indirect expenses in support of our research and development activities. We capture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64" w:name="page65"/>
    <w:bookmarkEnd w:id="64"/>
    <w:p>
      <w:pPr>
        <w:ind w:right="480"/>
        <w:spacing w:after="0" w:line="277" w:lineRule="auto"/>
        <w:rPr>
          <w:sz w:val="20"/>
          <w:szCs w:val="20"/>
          <w:color w:val="auto"/>
        </w:rPr>
      </w:pPr>
      <w:r>
        <w:rPr>
          <w:rFonts w:ascii="Arial" w:cs="Arial" w:eastAsia="Arial" w:hAnsi="Arial"/>
          <w:sz w:val="18"/>
          <w:szCs w:val="18"/>
          <w:color w:val="auto"/>
        </w:rPr>
        <w:t>research and development expense on a program-by-program basis for our product candidates and recognize these expenses as they are incurred. The following are items we include in research and development expense:</w:t>
      </w:r>
    </w:p>
    <w:p>
      <w:pPr>
        <w:spacing w:after="0" w:line="116"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employee-related expenses, such as salaries and benefits;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employee-related overhead expenses, such as facilities and other allocated items;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stock-based compensation expense to employees engaged in research and development activities;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depreciation of laboratory and manufacturing equipment, computers and leasehold improvements;</w:t>
      </w:r>
    </w:p>
    <w:p>
      <w:pPr>
        <w:spacing w:after="0" w:line="171"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paid to consultants, subcontractors, clinical research organizations (CROs) and other third party vendors for work performed under our preclinical and clinical trials including, but not limited to, investigator grants, laboratory work and analysis, database management, statistical analysis, and other items;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paid to vendors and suppliers for laboratory supplies;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internal and third party costs related to manufacturing clinical trial materials, including vialing, packaging and testing;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license fees and other third party vendor payments related to in-licensed product candidates and technology;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71"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Selling, general and administrative expense consists of salaries and related benefit costs for employees in our executive, finance, legal and intellectual property, business development, human resources, information technology and other support functions. Selling, general and administrative expense also includes costs incurred under the arrangement with our commercialization partner, Eversana Life Science Services, LLC, and other legal and professional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7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Other income consists of realized gains and losses on marketable securities and interest income earned on our cash, cash equivalents and marketable securities.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management's discussion and analysis of financial conditions and results of operations is based on our consolidated financial statements, which have been prepared in accordance with accounting principles generally accepted in the United States of America (GAAP). The preparation of these consolidated financial statements requires us to make estimates, judgments and assumptions that affect the reported amounts of assets and liabilities and disclosure of contingent assets and liabilities as of the date of the balance sheets and the reported amount of the revenue and expenses recorded during the reporting period.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revenues and expenses. Actual results and experiences may differ from these estimates. We did not make any material changes to these assumptions during the year ended December 31, 2022, and do not expect any material changes in the near term to the underlying assumptions. If we were to adjust our assumptions, the results of any material revisions would be reflected in the consolidated financial statements prospectively from the date of the change in estimate. Management considers an accounting estimate to be critical if:</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requires a significant level of estimation uncertainty;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estimate are reasonably likely to have a material effect on our financial condition or results of operations.</w:t>
      </w:r>
    </w:p>
    <w:p>
      <w:pPr>
        <w:spacing w:after="0" w:line="17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While a summary of significant accounting policies is described fully in Note 2 in our consolidated financial statements, we believe that the following accounting policies are the most critical to assist you in fully understanding and evaluating our financial results and the effect of the estimates and judgments we used in preparing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When we believe regulatory approval is probable and expect future economic benefit from the sales of a product candidate to be realized, we capitalize manufacturing costs (whether internally produced or through third-party contract manufacturing organizations) as inventory. Prior to receiving our first approval from the FDA in December 2020, we expensed all costs incurred related to the manufacture of MARGENZA as research and development expense because of the inherent risks associated with the development of a product candidate, the uncertainty about the regulatory approval process and the lack of history for us of regulatory approval of drug candidates. Subsequent to FDA approval in December 2020, we began capitalizing our third-party contract manufacturing MARGENZA inventory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We recognize revenue under Accounting Standards Codification (ASC) Topic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(ASC 606) when our customer obtains control of promised goods or services, in an amount that reflects the consideration which we expect to receive in exchange for those goods or services. To determine revenue recognition for arrangements that we determine are within the scope of ASC 606, management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recognize as revenue the amount of the transaction price that is allocated to the respective performance obligation when (or as) the performance obligation is satisfied.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Collaborative and other agreements</w:t>
      </w:r>
    </w:p>
    <w:p>
      <w:pPr>
        <w:spacing w:after="0" w:line="17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enter into licensing agreements that are within the scope of ASC 606, under which we may license rights to research, develop, manufacture and commercialize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We may also enter into development and manufacturing service agreements with our collaborators.</w:t>
      </w:r>
    </w:p>
    <w:p>
      <w:pPr>
        <w:spacing w:after="0" w:line="13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each arrangement that results in revenues, we identify all performance obligations, which may include a license to intellectual property and know-how, research and development activities, transition activities and/or manufacturing services. In order to determine the transaction price, in addition to any upfront payment, management estimates the amount of variable consideration at the outset of the contract either utilizing the expected value or most likely amount method, depending on the facts and circumstances relative to the contract. We constrain (reduce) the estimates of variable consideration such that it is probable that a significant reversal of previously recognized revenue will not occur. When determining if variable consideration should be constrained, management considers whether there are factors outside our control that could result in a significant reversal of revenue. In making these assessments, management considers the likelihood and magnitude of a potential reversal of revenue. These estimates are re-assessed each reporting period as required.</w:t>
      </w:r>
    </w:p>
    <w:p>
      <w:pPr>
        <w:spacing w:after="0" w:line="13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We must develop assumptions that require judgment to determine the standalone selling price in order to account for these agreements. To determine the standalone selling price, management’s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 contract inception. We do not include a financing component to its estimated transaction price at contract inception unless we estimate that certain performance obligations will not be satisfied within one year.</w:t>
      </w:r>
    </w:p>
    <w:p>
      <w:pPr>
        <w:spacing w:after="0" w:line="11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Amounts received prior to revenue recognition are recorded as deferred revenue. Amounts expected to be recognized as revenue within the 12 months following the balance sheet date are classified as current portion of deferred revenue in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6" w:name="page67"/>
    <w:bookmarkEnd w:id="66"/>
    <w:p>
      <w:pPr>
        <w:ind w:right="200"/>
        <w:spacing w:after="0" w:line="277" w:lineRule="auto"/>
        <w:rPr>
          <w:sz w:val="20"/>
          <w:szCs w:val="20"/>
          <w:color w:val="auto"/>
        </w:rPr>
      </w:pPr>
      <w:r>
        <w:rPr>
          <w:rFonts w:ascii="Arial" w:cs="Arial" w:eastAsia="Arial" w:hAnsi="Arial"/>
          <w:sz w:val="18"/>
          <w:szCs w:val="18"/>
          <w:color w:val="auto"/>
        </w:rPr>
        <w:t>accompanying consolidated balance sheets. Amounts not expected to be recognized as revenue within the 12 months following the balance sheet date are classified as deferred revenue, net of current portion.</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Licenses. </w:t>
      </w:r>
      <w:r>
        <w:rPr>
          <w:rFonts w:ascii="Arial" w:cs="Arial" w:eastAsia="Arial" w:hAnsi="Arial"/>
          <w:sz w:val="16"/>
          <w:szCs w:val="16"/>
          <w:color w:val="252525"/>
        </w:rPr>
        <w:t>When we grant a license to our intellectual property,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whether the</w:t>
      </w:r>
      <w:r>
        <w:rPr>
          <w:rFonts w:ascii="Arial" w:cs="Arial" w:eastAsia="Arial" w:hAnsi="Arial"/>
          <w:sz w:val="16"/>
          <w:szCs w:val="16"/>
          <w:i w:val="1"/>
          <w:iCs w:val="1"/>
          <w:color w:val="auto"/>
        </w:rPr>
        <w:t xml:space="preserve"> </w:t>
      </w:r>
      <w:r>
        <w:rPr>
          <w:rFonts w:ascii="Arial" w:cs="Arial" w:eastAsia="Arial" w:hAnsi="Arial"/>
          <w:sz w:val="16"/>
          <w:szCs w:val="16"/>
          <w:color w:val="252525"/>
        </w:rPr>
        <w:t>nature of the intellectual property to which the customer</w:t>
      </w:r>
      <w:r>
        <w:rPr>
          <w:rFonts w:ascii="Arial" w:cs="Arial" w:eastAsia="Arial" w:hAnsi="Arial"/>
          <w:sz w:val="16"/>
          <w:szCs w:val="16"/>
          <w:i w:val="1"/>
          <w:iCs w:val="1"/>
          <w:color w:val="auto"/>
        </w:rPr>
        <w:t xml:space="preserve"> </w:t>
      </w:r>
      <w:r>
        <w:rPr>
          <w:rFonts w:ascii="Arial" w:cs="Arial" w:eastAsia="Arial" w:hAnsi="Arial"/>
          <w:sz w:val="16"/>
          <w:szCs w:val="16"/>
          <w:color w:val="252525"/>
        </w:rPr>
        <w:t xml:space="preserve">will 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 distinct license is transferred to the customer. Revenue from symbolic IP is recognized over the access period to our intellectual property. </w:t>
      </w:r>
      <w:r>
        <w:rPr>
          <w:rFonts w:ascii="Arial" w:cs="Arial" w:eastAsia="Arial" w:hAnsi="Arial"/>
          <w:sz w:val="16"/>
          <w:szCs w:val="16"/>
          <w:color w:val="000000"/>
        </w:rPr>
        <w:t>If the license to</w:t>
      </w:r>
      <w:r>
        <w:rPr>
          <w:rFonts w:ascii="Arial" w:cs="Arial" w:eastAsia="Arial" w:hAnsi="Arial"/>
          <w:sz w:val="16"/>
          <w:szCs w:val="16"/>
          <w:color w:val="252525"/>
        </w:rPr>
        <w:t xml:space="preserve"> </w:t>
      </w:r>
      <w:r>
        <w:rPr>
          <w:rFonts w:ascii="Arial" w:cs="Arial" w:eastAsia="Arial" w:hAnsi="Arial"/>
          <w:sz w:val="16"/>
          <w:szCs w:val="16"/>
          <w:color w:val="000000"/>
        </w:rPr>
        <w:t>our intellectual property is determined to be distinct from the other promises or performance obligations identified in the arrangement, we recognize revenue from non-refundable, upfront fees allocated to the license when the license is transferred to the customer and when (or as) the customer is able to use and benefit from the license. In assessing whether a promise or performance obligation is distinct from the other promises, we consider factors such as the research, development, manufacturing and commercialization capabilities of the licensee and the availability of the associated expertise in the general marketplace. In addition, we consider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management utilizes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2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i w:val="1"/>
          <w:iCs w:val="1"/>
          <w:color w:val="auto"/>
        </w:rPr>
        <w:t xml:space="preserve">Research, Development and/or Manufacturing Services. </w:t>
      </w:r>
      <w:r>
        <w:rPr>
          <w:rFonts w:ascii="Arial" w:cs="Arial" w:eastAsia="Arial" w:hAnsi="Arial"/>
          <w:sz w:val="16"/>
          <w:szCs w:val="16"/>
          <w:color w:val="auto"/>
        </w:rPr>
        <w:t>The promises under our agreements may include research and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services to be performed by us on behalf of the counterparty. If these services are determined to be distinct from the other promises or performance obligations identified in the arrangement, we recognize the transaction price allocated to these services as revenue over time based on an appropriate measure of progress when the performance by us does not create an asset with an alternative use and we have an enforceable right to payment for the performance completed to date. If these services are determined not to be distinct from the other promises or performance obligations identified in the arrangement, we recognize the transaction price allocated to the combined performance obligation as the related performance obligations are satisfied.</w:t>
      </w:r>
    </w:p>
    <w:p>
      <w:pPr>
        <w:spacing w:after="0" w:line="164"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contains customer options, we evaluate whether the options are material rights because they allow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using assumptions regarding estimated costs, discount rates, post-option development timeline, the probability of technical and regulatory success and the probability that the customer will exercise the option. Amounts allocated to a material right are not recognized as revenue until, at the earliest, the option is exercised or expires. If the options are deemed not to be a material right, they are excluded as performance obligations at the outset of the arrangement.</w:t>
      </w:r>
    </w:p>
    <w:p>
      <w:pPr>
        <w:spacing w:after="0" w:line="17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milestone payments, management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management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which are the result of a customer-vendor relationship and for which the license is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ind w:firstLine="648"/>
        <w:spacing w:after="0" w:line="288" w:lineRule="auto"/>
        <w:rPr>
          <w:sz w:val="20"/>
          <w:szCs w:val="20"/>
          <w:color w:val="auto"/>
        </w:rPr>
      </w:pPr>
      <w:r>
        <w:rPr>
          <w:rFonts w:ascii="Arial" w:cs="Arial" w:eastAsia="Arial" w:hAnsi="Arial"/>
          <w:sz w:val="16"/>
          <w:szCs w:val="16"/>
          <w:color w:val="auto"/>
        </w:rPr>
        <w:t xml:space="preserve">We analyze our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management. We account for certain components of the collaboration agreement that are reflective of a vendor-customer relationship (e.g., licensing arrangement) based on ASC 606. We account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Product Sales, Net</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entered into a limited number of arrangements with specialty distributors in the United States to distribute MARGENZA. The delivery of our product represents a single performance obligation for these transactions and we record net product revenue when control is transferred to the customer, generally upon receipt by the customer. The transaction price for net product revenue represents the amount we expect to receive, which is net of estimated government-mandated rebates and chargebacks, distribution fees, estimated product returns, and other deductions. Accruals are established for these deductions, and actual amounts incurred are offset against applicable accruals. Customer discounts are recorded as reductions of accounts receivable on the consolidated balance sheets. Allowance for product returns, provider chargebacks, government and other rebates and service fees are recorded as a component of accrued expenses and other current liabilities on the consolidated balance sheets. Sales deductions are based on management's estimates that consider payor mix in target markets and experience to-date. These estimates involve a substantial degree of judgment, in particular, for government-mandated rebates and chargebacks, such as for the Medicaid and 340B programs.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manufacturing revenue</w:t>
      </w:r>
    </w:p>
    <w:p>
      <w:pPr>
        <w:spacing w:after="0" w:line="17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6"/>
          <w:szCs w:val="16"/>
          <w:color w:val="auto"/>
        </w:rPr>
        <w:t>We enter into agreements with third parties to manufacture their drug substance at our GMP facility. The terms of these arrangements typically include an upfront payment to us to reserve manufacturing capacity, scheduled payments during the manufacturing process and reimbursement for</w:t>
      </w:r>
    </w:p>
    <w:p>
      <w:pPr>
        <w:ind w:right="20"/>
        <w:spacing w:after="0" w:line="257" w:lineRule="auto"/>
        <w:rPr>
          <w:sz w:val="20"/>
          <w:szCs w:val="20"/>
          <w:color w:val="auto"/>
        </w:rPr>
      </w:pPr>
      <w:r>
        <w:rPr>
          <w:rFonts w:ascii="Arial" w:cs="Arial" w:eastAsia="Arial" w:hAnsi="Arial"/>
          <w:sz w:val="18"/>
          <w:szCs w:val="18"/>
          <w:color w:val="auto"/>
        </w:rPr>
        <w:t>materials used to manufacture product. We recognize revenue over time on a straight-line basis as the manufacturing services are performed, as we believe that our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are allocated to the related manufacturing activities and are recognized as revenue as those activities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Cost of product sales relates to sales of MARGENZA. These costs include materials and manufacturing costs, as well as royalties payable on net sales of MARGENZA and inventory reserves. All product costs incurred prior to FDA approval of MARGENZA in December 2020 were expensed as research and development expense. We expect cost of product sales to continue to be positively impacted as we sell through inventory that was expensed prior to FDA approval of MARGENZA. We are currently unable to estimate how long it will be until we begin selling product manufactured post FDA approval.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Manufacturing Services</w:t>
      </w:r>
    </w:p>
    <w:p>
      <w:pPr>
        <w:spacing w:after="0" w:line="171" w:lineRule="exact"/>
        <w:rPr>
          <w:sz w:val="20"/>
          <w:szCs w:val="20"/>
          <w:color w:val="auto"/>
        </w:rPr>
      </w:pPr>
    </w:p>
    <w:p>
      <w:pPr>
        <w:ind w:right="1020" w:firstLine="648"/>
        <w:spacing w:after="0" w:line="308" w:lineRule="auto"/>
        <w:rPr>
          <w:sz w:val="20"/>
          <w:szCs w:val="20"/>
          <w:color w:val="auto"/>
        </w:rPr>
      </w:pPr>
      <w:r>
        <w:rPr>
          <w:rFonts w:ascii="Arial" w:cs="Arial" w:eastAsia="Arial" w:hAnsi="Arial"/>
          <w:sz w:val="17"/>
          <w:szCs w:val="17"/>
          <w:color w:val="auto"/>
        </w:rPr>
        <w:t>Cost of manufacturing services consists of the costs to provide manufacturing services to produce certain bulk drug substance under manufacturing and clinical supply agreements with third parties, including labor, materials overhead and other related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Including Clinical Trial Accruals/Expenses</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Research and development expense consists of costs we incur for our own research and development activities and costs incurred by our collaborators under cost sharing arrangements. Research and development costs consist of salaries and benefits, including related stock-based compensation, laboratory supplies and facility costs, as well as fees paid to other entities that conduct certain research and development activities on our behalf, such as CROs, and the cost of acquiring and manufacturing clinical trial materials, including costs incurred under agreements with contract manufacturing organizations (CMOs). Research and development costs are expensed as incurred. We receive estimates from our collaborators when we are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68" w:name="page69"/>
    <w:bookmarkEnd w:id="68"/>
    <w:p>
      <w:pPr>
        <w:spacing w:after="0" w:line="277" w:lineRule="auto"/>
        <w:rPr>
          <w:sz w:val="20"/>
          <w:szCs w:val="20"/>
          <w:color w:val="auto"/>
        </w:rPr>
      </w:pPr>
      <w:r>
        <w:rPr>
          <w:rFonts w:ascii="Arial" w:cs="Arial" w:eastAsia="Arial" w:hAnsi="Arial"/>
          <w:sz w:val="18"/>
          <w:szCs w:val="18"/>
          <w:color w:val="auto"/>
        </w:rPr>
        <w:t>sharing development expenses, and use these estimates to record an increase or decrease in research and development expense, depending on how much we have each spent during the period.</w:t>
      </w:r>
    </w:p>
    <w:p>
      <w:pPr>
        <w:spacing w:after="0" w:line="11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Clinical trial expenses are a significant component of research and development expense, and we outsource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 party agreements are generally cancelable, and related costs are recorded as research and development expense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Note 2, Summary of Significant Accounting Policies, to the consolidated financial statements for information under the caption "Recent Accounting Pronouncements."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comparison of our revenue for the years ended December 31, 2022 and 2021 (dollars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98"/>
              </w:rPr>
              <w:t>Increase/(Decrease)</w:t>
            </w: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Collaborative and other agreements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Product sales,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manufacturing</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Government agreements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increase of $56.0 million in revenue from collaborative and other agreements for the year ended December 31, 2022 compared to the year ended December 31, 2021 was primarily due to:</w:t>
      </w:r>
    </w:p>
    <w:p>
      <w:pPr>
        <w:spacing w:after="0" w:line="116"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b w:val="1"/>
          <w:bCs w:val="1"/>
          <w:i w:val="1"/>
          <w:iCs w:val="1"/>
          <w:color w:val="252525"/>
        </w:rPr>
      </w:pPr>
      <w:r>
        <w:rPr>
          <w:rFonts w:ascii="Arial" w:cs="Arial" w:eastAsia="Arial" w:hAnsi="Arial"/>
          <w:sz w:val="18"/>
          <w:szCs w:val="18"/>
          <w:color w:val="252525"/>
        </w:rPr>
        <w:t xml:space="preserve">recognition of </w:t>
      </w:r>
      <w:r>
        <w:rPr>
          <w:rFonts w:ascii="Arial" w:cs="Arial" w:eastAsia="Arial" w:hAnsi="Arial"/>
          <w:sz w:val="18"/>
          <w:szCs w:val="18"/>
          <w:color w:val="000000"/>
        </w:rPr>
        <w:t>$60.0 million in milestone revenue</w:t>
      </w:r>
      <w:r>
        <w:rPr>
          <w:rFonts w:ascii="Arial" w:cs="Arial" w:eastAsia="Arial" w:hAnsi="Arial"/>
          <w:sz w:val="18"/>
          <w:szCs w:val="18"/>
          <w:color w:val="252525"/>
        </w:rPr>
        <w:t xml:space="preserve"> under the </w:t>
      </w:r>
      <w:r>
        <w:rPr>
          <w:rFonts w:ascii="Arial" w:cs="Arial" w:eastAsia="Arial" w:hAnsi="Arial"/>
          <w:sz w:val="18"/>
          <w:szCs w:val="18"/>
          <w:color w:val="000000"/>
        </w:rPr>
        <w:t>asset purchase agreement with Provention; and</w:t>
      </w:r>
    </w:p>
    <w:p>
      <w:pPr>
        <w:spacing w:after="0" w:line="171" w:lineRule="exact"/>
        <w:rPr>
          <w:rFonts w:ascii="Arial" w:cs="Arial" w:eastAsia="Arial" w:hAnsi="Arial"/>
          <w:sz w:val="18"/>
          <w:szCs w:val="18"/>
          <w:b w:val="1"/>
          <w:bCs w:val="1"/>
          <w:i w:val="1"/>
          <w:iCs w:val="1"/>
          <w:color w:val="252525"/>
        </w:rPr>
      </w:pPr>
    </w:p>
    <w:p>
      <w:pPr>
        <w:ind w:left="980" w:hanging="324"/>
        <w:spacing w:after="0"/>
        <w:tabs>
          <w:tab w:leader="none" w:pos="980" w:val="left"/>
        </w:tabs>
        <w:numPr>
          <w:ilvl w:val="0"/>
          <w:numId w:val="41"/>
        </w:numPr>
        <w:rPr>
          <w:rFonts w:ascii="Arial" w:cs="Arial" w:eastAsia="Arial" w:hAnsi="Arial"/>
          <w:sz w:val="18"/>
          <w:szCs w:val="18"/>
          <w:color w:val="252525"/>
        </w:rPr>
      </w:pPr>
      <w:r>
        <w:rPr>
          <w:rFonts w:ascii="Arial" w:cs="Arial" w:eastAsia="Arial" w:hAnsi="Arial"/>
          <w:sz w:val="18"/>
          <w:szCs w:val="18"/>
          <w:color w:val="252525"/>
        </w:rPr>
        <w:t xml:space="preserve">an increase of $15.0 million in milestone revenue recognized under the Incyte </w:t>
      </w:r>
      <w:r>
        <w:rPr>
          <w:rFonts w:ascii="Arial" w:cs="Arial" w:eastAsia="Arial" w:hAnsi="Arial"/>
          <w:sz w:val="18"/>
          <w:szCs w:val="18"/>
          <w:color w:val="000000"/>
        </w:rPr>
        <w:t>License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171"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252525"/>
        </w:rPr>
      </w:pPr>
      <w:r>
        <w:rPr>
          <w:rFonts w:ascii="Arial" w:cs="Arial" w:eastAsia="Arial" w:hAnsi="Arial"/>
          <w:sz w:val="18"/>
          <w:szCs w:val="18"/>
          <w:color w:val="auto"/>
        </w:rPr>
        <w:t>a decrease of $7.4 million in revenue recognized under the Incyte Commercial Supply Agreement;</w:t>
      </w:r>
    </w:p>
    <w:p>
      <w:pPr>
        <w:spacing w:after="0" w:line="171" w:lineRule="exact"/>
        <w:rPr>
          <w:rFonts w:ascii="Arial" w:cs="Arial" w:eastAsia="Arial" w:hAnsi="Arial"/>
          <w:sz w:val="18"/>
          <w:szCs w:val="18"/>
          <w:color w:val="252525"/>
        </w:rPr>
      </w:pPr>
    </w:p>
    <w:p>
      <w:pPr>
        <w:ind w:left="980" w:hanging="324"/>
        <w:spacing w:after="0"/>
        <w:tabs>
          <w:tab w:leader="none" w:pos="980" w:val="left"/>
        </w:tabs>
        <w:numPr>
          <w:ilvl w:val="0"/>
          <w:numId w:val="42"/>
        </w:numPr>
        <w:rPr>
          <w:rFonts w:ascii="Arial" w:cs="Arial" w:eastAsia="Arial" w:hAnsi="Arial"/>
          <w:sz w:val="18"/>
          <w:szCs w:val="18"/>
          <w:b w:val="1"/>
          <w:bCs w:val="1"/>
          <w:i w:val="1"/>
          <w:iCs w:val="1"/>
          <w:color w:val="252525"/>
        </w:rPr>
      </w:pPr>
      <w:r>
        <w:rPr>
          <w:rFonts w:ascii="Arial" w:cs="Arial" w:eastAsia="Arial" w:hAnsi="Arial"/>
          <w:sz w:val="18"/>
          <w:szCs w:val="18"/>
          <w:color w:val="auto"/>
        </w:rPr>
        <w:t>a decrease of $6.9 million in revenue recognized under the I-Mab License Agreement; and</w:t>
      </w:r>
    </w:p>
    <w:p>
      <w:pPr>
        <w:spacing w:after="0" w:line="171" w:lineRule="exact"/>
        <w:rPr>
          <w:rFonts w:ascii="Arial" w:cs="Arial" w:eastAsia="Arial" w:hAnsi="Arial"/>
          <w:sz w:val="18"/>
          <w:szCs w:val="18"/>
          <w:b w:val="1"/>
          <w:bCs w:val="1"/>
          <w:i w:val="1"/>
          <w:iCs w:val="1"/>
          <w:color w:val="252525"/>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 decrease of </w:t>
      </w:r>
      <w:r>
        <w:rPr>
          <w:rFonts w:ascii="Arial" w:cs="Arial" w:eastAsia="Arial" w:hAnsi="Arial"/>
          <w:sz w:val="18"/>
          <w:szCs w:val="18"/>
          <w:color w:val="252525"/>
        </w:rPr>
        <w:t>$3.6 million in revenue under the 2021 Zai Lab Agreement.</w:t>
      </w:r>
    </w:p>
    <w:p>
      <w:pPr>
        <w:spacing w:after="0" w:line="171" w:lineRule="exact"/>
        <w:rPr>
          <w:sz w:val="20"/>
          <w:szCs w:val="20"/>
          <w:color w:val="auto"/>
        </w:rPr>
      </w:pPr>
    </w:p>
    <w:p>
      <w:pPr>
        <w:jc w:val="both"/>
        <w:ind w:right="760" w:firstLine="648"/>
        <w:spacing w:after="0" w:line="263" w:lineRule="auto"/>
        <w:rPr>
          <w:sz w:val="20"/>
          <w:szCs w:val="20"/>
          <w:color w:val="auto"/>
        </w:rPr>
      </w:pPr>
      <w:r>
        <w:rPr>
          <w:rFonts w:ascii="Arial" w:cs="Arial" w:eastAsia="Arial" w:hAnsi="Arial"/>
          <w:sz w:val="18"/>
          <w:szCs w:val="18"/>
          <w:color w:val="auto"/>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spacing w:after="0" w:line="13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increase in product sales, net is due to an increase in volume. Revenue from product sales is recorded net of applicable provisions for rebates, chargebacks and discounts, distribution-related fees and other sales-related deductions. The table below includes a reconciliation of the accounts associated with these deductions (in millions):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Rebates and</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Distribution fees,</w:t>
            </w: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91"/>
              </w:rPr>
              <w:t>product returns and</w:t>
            </w: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chargebacks</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other</w:t>
            </w:r>
          </w:p>
        </w:tc>
        <w:tc>
          <w:tcPr>
            <w:tcW w:w="480" w:type="dxa"/>
            <w:vAlign w:val="bottom"/>
          </w:tcPr>
          <w:p>
            <w:pPr>
              <w:spacing w:after="0"/>
              <w:rPr>
                <w:sz w:val="21"/>
                <w:szCs w:val="21"/>
                <w:color w:val="auto"/>
              </w:rPr>
            </w:pPr>
          </w:p>
        </w:tc>
        <w:tc>
          <w:tcPr>
            <w:tcW w:w="154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560" w:type="dxa"/>
            <w:vAlign w:val="bottom"/>
            <w:tcBorders>
              <w:top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Provision related to current year sales</w:t>
            </w:r>
          </w:p>
        </w:tc>
        <w:tc>
          <w:tcPr>
            <w:tcW w:w="1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Payments/credits for current year sales</w:t>
            </w:r>
          </w:p>
        </w:tc>
        <w:tc>
          <w:tcPr>
            <w:tcW w:w="15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related to current year sales</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Payments/credits for current year sales</w:t>
            </w:r>
          </w:p>
        </w:tc>
        <w:tc>
          <w:tcPr>
            <w:tcW w:w="15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560" w:type="dxa"/>
            <w:vAlign w:val="bottom"/>
            <w:tcBorders>
              <w:bottom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Revenue recognized under the agreements we entered into during 2022 to provide manufacturing services to produce certain bulk drug substance for Incyte and Provention is recorded as contract manufacturing revenue. No such revenue was recognized during the year ended December 31,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Cost of product sales for the year ended December 31, 2022 consisted primarily of reserves for unsaleable inventory, as well as product royalties. Product sold during the year ended December 31, 2022 consisted of drug product that was previously charged to research and development expense prior to FDA approval of MARGENZA, which favorably impacted our gross margin for the year ended December 31, 2022. We expect cost of product sales to continue to be positively impacted as we sell through this drug product.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Manufacturing Services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manufacturing services consists of the costs to provide manufacturing services to produce certain bulk</w:t>
      </w:r>
    </w:p>
    <w:p>
      <w:pPr>
        <w:spacing w:after="0" w:line="2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drug substance under the Incyte and Provention Manufacturing and Clinical Supply Agreements. We entered into these agreements in 2022, therefore there are no such costs during the year ended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represents a comparison of our research and development expense for the years ended December 31, 2022 and 2021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5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90"/>
              </w:rPr>
              <w:t>Year Ended December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4"/>
              </w:rPr>
              <w:t>Increase/(Decrease)</w:t>
            </w: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Arial" w:cs="Arial" w:eastAsia="Arial" w:hAnsi="Arial"/>
                <w:sz w:val="18"/>
                <w:szCs w:val="18"/>
                <w:b w:val="1"/>
                <w:bCs w:val="1"/>
                <w:color w:val="auto"/>
                <w:w w:val="89"/>
              </w:rPr>
              <w:t>2022</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Vobramitamab duocarmazine (formerly MGC018)</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Margetuximab</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Lorigerlimab</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ADCs (a)</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Enoblituzumab</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Next-generation T-cell engagers (a)</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Flotetuzumab</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Tebotelimab</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IMGC936</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MGD024</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DART molecules under HIV government contract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Retifanlimab</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(85) %</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programs (a)</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research and development expense</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207.0</w:t>
            </w:r>
          </w:p>
        </w:tc>
        <w:tc>
          <w:tcPr>
            <w:tcW w:w="18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214.6</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Includes research and discovery projects, as well as early preclinical molecules and molecules not advanced to clinical development.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Research and development expense for the year ended December 31, 2022 decreased by $7.6 million compared to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This decrease was primarily attributable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0" w:name="page71"/>
    <w:bookmarkEnd w:id="70"/>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decreased development, manufacturing and clinical trial costs related to flotetuzumab (due to discontinuance of our company-sponsored trial);</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retifanlimab manufacturing costs related to the Incyte Commercial Supply Agreement;</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development, manufacturing and clinical trial costs related to tebotelimab;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b w:val="1"/>
          <w:bCs w:val="1"/>
          <w:i w:val="1"/>
          <w:iCs w:val="1"/>
          <w:color w:val="252525"/>
        </w:rPr>
      </w:pPr>
      <w:r>
        <w:rPr>
          <w:rFonts w:ascii="Arial" w:cs="Arial" w:eastAsia="Arial" w:hAnsi="Arial"/>
          <w:sz w:val="18"/>
          <w:szCs w:val="18"/>
          <w:color w:val="auto"/>
        </w:rPr>
        <w:t>decreased margetuximab manufacturing costs related to the Zai Lab Clinical Supply Agreement.</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decreases were partially offset by:</w:t>
      </w:r>
    </w:p>
    <w:p>
      <w:pPr>
        <w:spacing w:after="0" w:line="171"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vobra duo development, manufacturing and clinical trial costs;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development of a non-disclosed ADC Investigational New Drug candidate;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clinical trial enrollment costs related to lorigerlimab.</w:t>
      </w:r>
    </w:p>
    <w:p>
      <w:pPr>
        <w:spacing w:after="0" w:line="171"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There are uncertainties associated with our research and development expenses for future periods which are impacted by multiple variables, including timing of wind down activities for recently closed studies and current and expected expenditures associated with our vobra duo TAMARACK study.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ind w:right="280" w:firstLine="648"/>
        <w:spacing w:after="0" w:line="271" w:lineRule="auto"/>
        <w:rPr>
          <w:sz w:val="20"/>
          <w:szCs w:val="20"/>
          <w:color w:val="auto"/>
        </w:rPr>
      </w:pPr>
      <w:r>
        <w:rPr>
          <w:rFonts w:ascii="Arial" w:cs="Arial" w:eastAsia="Arial" w:hAnsi="Arial"/>
          <w:sz w:val="18"/>
          <w:szCs w:val="18"/>
          <w:color w:val="auto"/>
        </w:rPr>
        <w:t>The following represents a comparison of our general and administrative expenses for the years ended December 31, 2022 and 2021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780" w:type="dxa"/>
            <w:vAlign w:val="bottom"/>
            <w:gridSpan w:val="5"/>
          </w:tcPr>
          <w:p>
            <w:pPr>
              <w:ind w:left="34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Pr>
          <w:p>
            <w:pPr>
              <w:spacing w:after="0"/>
              <w:rPr>
                <w:sz w:val="20"/>
                <w:szCs w:val="20"/>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color w:val="auto"/>
              </w:rPr>
              <w:t>Increase/(Decrease)</w:t>
            </w:r>
          </w:p>
        </w:tc>
        <w:tc>
          <w:tcPr>
            <w:tcW w:w="620" w:type="dxa"/>
            <w:vAlign w:val="bottom"/>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58.9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bl>
    <w:p>
      <w:pPr>
        <w:spacing w:after="0" w:line="24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Selling, general and administrative expenses decreased for the year ended December 31, 2022 by $4.1 million compared to 2021 primarily due to decreased selling costs for MARGENZA as well as decreased legal, consulting and stock-based compensation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58"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The increase of $1.0 million in other income for the year ended December 31, 2022 compared to the year ended December 31, 2021 is primarily due to increased investment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 summary of our cash flows for the years ended December 31, 2022 and 2021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820" w:type="dxa"/>
            <w:vAlign w:val="bottom"/>
            <w:gridSpan w:val="6"/>
          </w:tcPr>
          <w:p>
            <w:pPr>
              <w:ind w:left="340"/>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Pr>
          <w:p>
            <w:pPr>
              <w:spacing w:after="0"/>
              <w:rPr>
                <w:sz w:val="20"/>
                <w:szCs w:val="20"/>
                <w:color w:val="auto"/>
              </w:rPr>
            </w:pPr>
          </w:p>
        </w:tc>
        <w:tc>
          <w:tcPr>
            <w:tcW w:w="1800" w:type="dxa"/>
            <w:vAlign w:val="bottom"/>
            <w:gridSpan w:val="3"/>
          </w:tcPr>
          <w:p>
            <w:pPr>
              <w:ind w:left="240"/>
              <w:spacing w:after="0"/>
              <w:rPr>
                <w:sz w:val="20"/>
                <w:szCs w:val="20"/>
                <w:color w:val="auto"/>
              </w:rPr>
            </w:pPr>
            <w:r>
              <w:rPr>
                <w:rFonts w:ascii="Arial" w:cs="Arial" w:eastAsia="Arial" w:hAnsi="Arial"/>
                <w:sz w:val="18"/>
                <w:szCs w:val="18"/>
                <w:b w:val="1"/>
                <w:bCs w:val="1"/>
                <w:color w:val="auto"/>
                <w:w w:val="90"/>
              </w:rPr>
              <w:t>Increase/(Decrease)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(87.0)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(99) %</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Net cash used in operating activities reflects, among other things, the amounts used to advance our clinical trials and preclinical activities. The principal use of cash in operating activities for all periods presented was primarily the result of our net loss, adjusted for non-cash items, with the year ended December 31, 2022 benefiting from the $60.0 million upfront payment under the Gilead Agreement, $30.0 million milestone payment received from Incyte, and $15.0 million received from Provention related to the achievement of a milestone. The year ended December 31, 2021 benefited from the $25.0 million</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71" w:name="page72"/>
    <w:bookmarkEnd w:id="71"/>
    <w:p>
      <w:pPr>
        <w:ind w:right="180"/>
        <w:spacing w:after="0" w:line="277" w:lineRule="auto"/>
        <w:rPr>
          <w:sz w:val="20"/>
          <w:szCs w:val="20"/>
          <w:color w:val="auto"/>
        </w:rPr>
      </w:pPr>
      <w:r>
        <w:rPr>
          <w:rFonts w:ascii="Arial" w:cs="Arial" w:eastAsia="Arial" w:hAnsi="Arial"/>
          <w:sz w:val="18"/>
          <w:szCs w:val="18"/>
          <w:color w:val="auto"/>
        </w:rPr>
        <w:t>upfront payment under the 2021 Zai Lab Agreement, $15.0 million milestone payment received from Incyte, and $4.5 million milestone payment from I-Mab.</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Net cash provided by investing activities during the year ended December 31, 2022 is primarily due to maturities of marketable securities, partially offset by purchases of marketable securities. Net cash used in investing activities during the year ended December 31, 2021 is primarily due to purchases of marketable securities, partially offset by maturities of marketable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Net cash provided by financing activities for the years ended December 31, 2022 and 2021 reflects net cash proceeds from our securities offerings of approximately $1.1 million and $117.8 million, respectively, and cash from stock option exercises and the purchase of shares under our employee stock purchase plan.</w:t>
      </w:r>
    </w:p>
    <w:p>
      <w:pPr>
        <w:spacing w:after="0" w:line="130" w:lineRule="exact"/>
        <w:rPr>
          <w:sz w:val="20"/>
          <w:szCs w:val="20"/>
          <w:color w:val="auto"/>
        </w:rPr>
      </w:pPr>
    </w:p>
    <w:p>
      <w:pPr>
        <w:ind w:firstLine="648"/>
        <w:spacing w:after="0" w:line="299" w:lineRule="auto"/>
        <w:rPr>
          <w:sz w:val="20"/>
          <w:szCs w:val="20"/>
          <w:color w:val="auto"/>
        </w:rPr>
      </w:pPr>
      <w:r>
        <w:rPr>
          <w:rFonts w:ascii="Arial" w:cs="Arial" w:eastAsia="Arial" w:hAnsi="Arial"/>
          <w:sz w:val="16"/>
          <w:szCs w:val="16"/>
          <w:color w:val="auto"/>
        </w:rPr>
        <w:t>Our multiple product candidates currently under development will require significant additional research and development efforts that include extensive preclinical studies and clinical testing, and regulatory approval prior to commercial use. As a biotechnology company, we have primarily funded our operations with proceeds from the sale of our common stock in equity offerings, revenue from our multiple collaboration agreements, and contracts and</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grants from NIAID.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 Although it is difficult to predict our funding requirements, we anticipate that our cash, cash equivalents and marketable securities as of December 31, 2022, as well as anticipated and potential collaboration payments and product revenues, and $100.0 million proceeds received in March 2023 pursuant to the sale of an interest in a specified portion of royalty payments based on future net sales of TZIELD, should enable us to fund our operations through 2025. Our expected funding requirements reflect anticipated expenditures related to the Phase 2 TAMARACK clinical trial of vobra duo in metastatic castration-resistant prostate cancer (mCRPC), planned Phase 2 study of lorigerlimab in mCRPC as well as our other clinical and preclinical studies currently ongoing.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Material Cash Requirements</w:t>
      </w:r>
    </w:p>
    <w:p>
      <w:pPr>
        <w:spacing w:after="0" w:line="171"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Our short-term and long-term material cash requirements consist of operational and capital expenditures, some of which contain contractual obligations. Our primary uses of cash relate to paying salaries and benefits, administering clinical trials, marketing our product, and providing the technology and facilities necessary to support our operations. The most significant contractual obligations are the operating leases at our facilities in Maryland and California. Our future minimum lease payments as of December 31, 2022 totaled $5.0 million related to short-term lease liabilities, and $70.3 million related to long-term lease liabilities. See Note 6, Commitments and Contingencies, in the Notes to the Financial Statements in this Annual Report on Form 10-K for additional information about our lease liabilities. We expect to fund these requirements with current cash, cash equivalents and marketable securities as well as anticipated and potential collaboration payments, and product revenues.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have any off-balance sheet arrangements, as defined under the rules and regulations of the Securities and Exchange Commission.</w:t>
      </w:r>
    </w:p>
    <w:p>
      <w:pPr>
        <w:spacing w:after="0" w:line="200" w:lineRule="exact"/>
        <w:rPr>
          <w:sz w:val="20"/>
          <w:szCs w:val="20"/>
          <w:color w:val="auto"/>
        </w:rPr>
      </w:pP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7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Our primary objective when considering our investment activities is to preserve capital in order to fund our operations. We also seek to maximize income from our investments without assuming significant risk. Our current investment policy is to invest principally in deposits and securities issued by the U.S. government and its agencies, Government Sponsored Enterprise agency debt obligations, corporate debt obligations and money market instruments. As of December 31, 2022, we had cash, cash equivalents and marketable securities of $154.3 million. Our primary exposure to market risk is related to changes in interest rates. </w:t>
      </w:r>
      <w:r>
        <w:rPr>
          <w:rFonts w:ascii="Arial" w:cs="Arial" w:eastAsia="Arial" w:hAnsi="Arial"/>
          <w:sz w:val="17"/>
          <w:szCs w:val="17"/>
          <w:color w:val="252525"/>
        </w:rPr>
        <w:t>Due to the short-term maturities of our cash equivalents and marketable securities and the low risk profile of our</w:t>
      </w:r>
      <w:r>
        <w:rPr>
          <w:rFonts w:ascii="Arial" w:cs="Arial" w:eastAsia="Arial" w:hAnsi="Arial"/>
          <w:sz w:val="17"/>
          <w:szCs w:val="17"/>
          <w:color w:val="auto"/>
        </w:rPr>
        <w:t xml:space="preserve"> </w:t>
      </w:r>
      <w:r>
        <w:rPr>
          <w:rFonts w:ascii="Arial" w:cs="Arial" w:eastAsia="Arial" w:hAnsi="Arial"/>
          <w:sz w:val="17"/>
          <w:szCs w:val="17"/>
          <w:color w:val="252525"/>
        </w:rPr>
        <w:t>marketable securities, an immediate 100 basis point change in interest rates would not have a material effect 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2" w:name="page73"/>
    <w:bookmarkEnd w:id="72"/>
    <w:p>
      <w:pPr>
        <w:spacing w:after="0" w:line="308" w:lineRule="auto"/>
        <w:rPr>
          <w:sz w:val="20"/>
          <w:szCs w:val="20"/>
          <w:color w:val="auto"/>
        </w:rPr>
      </w:pPr>
      <w:r>
        <w:rPr>
          <w:rFonts w:ascii="Arial" w:cs="Arial" w:eastAsia="Arial" w:hAnsi="Arial"/>
          <w:sz w:val="17"/>
          <w:szCs w:val="17"/>
          <w:color w:val="252525"/>
        </w:rPr>
        <w:t>the fair market value of our cash equivalents and marketable securities. We have the ability to hold our marketable securities until maturity, and we therefore do not expect a change in market interest rates to affect our operating results or cash flows to any significant degree.</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is set forth beginning on page F-1 in this Annual Report on Form 10-K.</w:t>
      </w:r>
    </w:p>
    <w:p>
      <w:pPr>
        <w:spacing w:after="0" w:line="200" w:lineRule="exact"/>
        <w:rPr>
          <w:sz w:val="20"/>
          <w:szCs w:val="20"/>
          <w:color w:val="auto"/>
        </w:rPr>
      </w:pP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895" w:right="999" w:bottom="1440" w:gutter="0" w:footer="0" w:header="0"/>
        </w:sectPr>
      </w:pPr>
    </w:p>
    <w:bookmarkStart w:id="73" w:name="page74"/>
    <w:bookmarkEnd w:id="73"/>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2022. Our disclosure controls and procedures are designed to provide reasonable assurance that the information required to be disclosed in this Annual Report on Form 10-K has been appropriately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to allow timely decisions regarding required disclosure. Based on that evaluation, our principal executive and principal financial officers have concluded that our disclosure controls and procedures are effective at the reasonable assurance level.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7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252525"/>
        </w:rPr>
        <w:t xml:space="preserve">Our management, including our principal executive and principal financial officers, has evaluated any changes in our internal control over financial reporting that occurred during the quarterly period ended </w:t>
      </w:r>
      <w:r>
        <w:rPr>
          <w:rFonts w:ascii="Arial" w:cs="Arial" w:eastAsia="Arial" w:hAnsi="Arial"/>
          <w:sz w:val="18"/>
          <w:szCs w:val="18"/>
          <w:color w:val="000000"/>
        </w:rPr>
        <w:t>December 31, 2022</w:t>
      </w:r>
      <w:r>
        <w:rPr>
          <w:rFonts w:ascii="Arial" w:cs="Arial" w:eastAsia="Arial" w:hAnsi="Arial"/>
          <w:sz w:val="18"/>
          <w:szCs w:val="18"/>
          <w:color w:val="252525"/>
        </w:rPr>
        <w:t xml:space="preserve">, and has concluded that there was no change that occurred during the quarterly period ended </w:t>
      </w:r>
      <w:r>
        <w:rPr>
          <w:rFonts w:ascii="Arial" w:cs="Arial" w:eastAsia="Arial" w:hAnsi="Arial"/>
          <w:sz w:val="18"/>
          <w:szCs w:val="18"/>
          <w:color w:val="000000"/>
        </w:rPr>
        <w:t>December 31, 2022 that have materially affected, or are reasonably likely to materially effect, the Company's internal control</w:t>
      </w:r>
      <w:r>
        <w:rPr>
          <w:rFonts w:ascii="Arial" w:cs="Arial" w:eastAsia="Arial" w:hAnsi="Arial"/>
          <w:sz w:val="18"/>
          <w:szCs w:val="18"/>
          <w:color w:val="252525"/>
        </w:rPr>
        <w:t xml:space="preserve"> </w:t>
      </w:r>
      <w:r>
        <w:rPr>
          <w:rFonts w:ascii="Arial" w:cs="Arial" w:eastAsia="Arial" w:hAnsi="Arial"/>
          <w:sz w:val="18"/>
          <w:szCs w:val="18"/>
          <w:color w:val="000000"/>
        </w:rPr>
        <w:t>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07" w:lineRule="exact"/>
        <w:rPr>
          <w:sz w:val="20"/>
          <w:szCs w:val="20"/>
          <w:color w:val="auto"/>
        </w:rPr>
      </w:pPr>
    </w:p>
    <w:p>
      <w:pPr>
        <w:ind w:left="980" w:right="4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pertain to the management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980" w:right="420" w:hanging="324"/>
        <w:spacing w:after="0" w:line="263"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1"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4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The Company's management assessed the effectiveness of the Company's internal control over financial reporting as of December 31, 2022. In making this assessment, the Company's management used the criteria set forth by the Committee of Sponsoring Organizations of the Treadway Commission (2013 framework) (COSO) in Internal Control-Integrated Framework. Based on our assessment, management believes that, as of December 31, 2022, the Company's internal control over financial reporting is effective based on those criteria.</w:t>
      </w:r>
    </w:p>
    <w:p>
      <w:pPr>
        <w:spacing w:after="0" w:line="117"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2022 has been audited by Ernst &amp; Young, LLP, an independent registered public accounting firm, as stated in their report which is included herein on the following page.</w:t>
      </w:r>
    </w:p>
    <w:p>
      <w:pPr>
        <w:spacing w:after="0" w:line="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MacroGenics,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MacroGenics, Inc.’s internal control over financial reporting as of December 31, 2022, based on criteria established in Internal Control-Integrated Framework issued by the Committee of Sponsoring Organizations of the Treadway Commission (2013 framework) (the COSO criteria). In our opinion, MacroGenics, Inc. (the Company) maintained, in all material respects, effective internal control over financial reporting as of December 31, 2022, based on the COSO criteria.</w:t>
      </w:r>
    </w:p>
    <w:p>
      <w:pPr>
        <w:spacing w:after="0" w:line="1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and comprehensive loss, stockholders’ equity and cash flows for each of the three years in the period ended December 31, 2022, and the related notes and our report dated March 15, 2023,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75" w:name="page76"/>
    <w:bookmarkEnd w:id="75"/>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directors, executive officers and corporate governance to be included in our definitive proxy statement for the 2023 annual meeting of stockholders (the 2023 Proxy Statement).</w:t>
      </w:r>
    </w:p>
    <w:p>
      <w:pPr>
        <w:spacing w:after="0" w:line="11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adopted a Code of Business Conduct and Ethics (the “Code”) that applies to all of our employees, officers and directors. The Code is available under the Corporate Governance section of our website at http://ir.macrogenics.com/governance. We expect that any amendments to the Code, or any waivers of its requirements, will be disclosed on our website.</w:t>
      </w:r>
    </w:p>
    <w:p>
      <w:pPr>
        <w:spacing w:after="0" w:line="200" w:lineRule="exact"/>
        <w:rPr>
          <w:sz w:val="20"/>
          <w:szCs w:val="20"/>
          <w:color w:val="auto"/>
        </w:rPr>
      </w:pP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incorporate herein by reference the relevant information concerning executive compensation to be included in the 2023 Proxy Statement.</w:t>
      </w:r>
    </w:p>
    <w:p>
      <w:pPr>
        <w:spacing w:after="0" w:line="200" w:lineRule="exact"/>
        <w:rPr>
          <w:sz w:val="20"/>
          <w:szCs w:val="20"/>
          <w:color w:val="auto"/>
        </w:rPr>
      </w:pPr>
    </w:p>
    <w:p>
      <w:pPr>
        <w:spacing w:after="0" w:line="395" w:lineRule="exact"/>
        <w:rPr>
          <w:sz w:val="20"/>
          <w:szCs w:val="20"/>
          <w:color w:val="auto"/>
        </w:rPr>
      </w:pPr>
    </w:p>
    <w:p>
      <w:pPr>
        <w:ind w:left="940" w:right="34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security ownership of certain beneficial owners and management to be included in the 2023 Proxy Statement.</w:t>
      </w:r>
    </w:p>
    <w:p>
      <w:pPr>
        <w:spacing w:after="0" w:line="200" w:lineRule="exact"/>
        <w:rPr>
          <w:sz w:val="20"/>
          <w:szCs w:val="20"/>
          <w:color w:val="auto"/>
        </w:rPr>
      </w:pPr>
    </w:p>
    <w:p>
      <w:pPr>
        <w:spacing w:after="0" w:line="3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certain other relationships and related transactions to be included in the 2023 Proxy Statement.</w:t>
      </w:r>
    </w:p>
    <w:p>
      <w:pPr>
        <w:spacing w:after="0" w:line="200" w:lineRule="exact"/>
        <w:rPr>
          <w:sz w:val="20"/>
          <w:szCs w:val="20"/>
          <w:color w:val="auto"/>
        </w:rPr>
      </w:pPr>
    </w:p>
    <w:p>
      <w:pPr>
        <w:spacing w:after="0" w:line="3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7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principal accountant fees and services to be included in the 2023 Proxy Statement.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8020" w:type="dxa"/>
            <w:vAlign w:val="bottom"/>
          </w:tcPr>
          <w:p>
            <w:pPr>
              <w:ind w:left="5260"/>
              <w:spacing w:after="0"/>
              <w:rPr>
                <w:sz w:val="20"/>
                <w:szCs w:val="20"/>
                <w:color w:val="auto"/>
              </w:rPr>
            </w:pPr>
            <w:r>
              <w:rPr>
                <w:rFonts w:ascii="Arial" w:cs="Arial" w:eastAsia="Arial" w:hAnsi="Arial"/>
                <w:sz w:val="18"/>
                <w:szCs w:val="18"/>
                <w:b w:val="1"/>
                <w:bCs w:val="1"/>
                <w:color w:val="auto"/>
              </w:rPr>
              <w:t>PART IV</w:t>
            </w:r>
          </w:p>
        </w:tc>
        <w:tc>
          <w:tcPr>
            <w:tcW w:w="2120" w:type="dxa"/>
            <w:vAlign w:val="bottom"/>
          </w:tcPr>
          <w:p>
            <w:pPr>
              <w:spacing w:after="0"/>
              <w:rPr>
                <w:sz w:val="20"/>
                <w:szCs w:val="20"/>
                <w:color w:val="auto"/>
              </w:rPr>
            </w:pPr>
          </w:p>
        </w:tc>
      </w:tr>
      <w:tr>
        <w:trPr>
          <w:trHeight w:val="378"/>
        </w:trPr>
        <w:tc>
          <w:tcPr>
            <w:tcW w:w="8020" w:type="dxa"/>
            <w:vAlign w:val="bottom"/>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120" w:type="dxa"/>
            <w:vAlign w:val="bottom"/>
          </w:tcPr>
          <w:p>
            <w:pPr>
              <w:spacing w:after="0"/>
              <w:rPr>
                <w:sz w:val="24"/>
                <w:szCs w:val="24"/>
                <w:color w:val="auto"/>
              </w:rPr>
            </w:pPr>
          </w:p>
        </w:tc>
      </w:tr>
      <w:tr>
        <w:trPr>
          <w:trHeight w:val="378"/>
        </w:trPr>
        <w:tc>
          <w:tcPr>
            <w:tcW w:w="8020" w:type="dxa"/>
            <w:vAlign w:val="bottom"/>
          </w:tcPr>
          <w:p>
            <w:pPr>
              <w:spacing w:after="0"/>
              <w:rPr>
                <w:sz w:val="20"/>
                <w:szCs w:val="20"/>
                <w:color w:val="auto"/>
              </w:rPr>
            </w:pPr>
            <w:r>
              <w:rPr>
                <w:rFonts w:ascii="Arial" w:cs="Arial" w:eastAsia="Arial" w:hAnsi="Arial"/>
                <w:sz w:val="18"/>
                <w:szCs w:val="18"/>
                <w:color w:val="auto"/>
              </w:rPr>
              <w:t>(a) The following documents are filed as part of this Annual Report on Form 10-K:</w:t>
            </w:r>
          </w:p>
        </w:tc>
        <w:tc>
          <w:tcPr>
            <w:tcW w:w="2120" w:type="dxa"/>
            <w:vAlign w:val="bottom"/>
          </w:tcPr>
          <w:p>
            <w:pPr>
              <w:spacing w:after="0"/>
              <w:rPr>
                <w:sz w:val="24"/>
                <w:szCs w:val="24"/>
                <w:color w:val="auto"/>
              </w:rPr>
            </w:pPr>
          </w:p>
        </w:tc>
      </w:tr>
      <w:tr>
        <w:trPr>
          <w:trHeight w:val="378"/>
        </w:trPr>
        <w:tc>
          <w:tcPr>
            <w:tcW w:w="8020" w:type="dxa"/>
            <w:vAlign w:val="bottom"/>
          </w:tcPr>
          <w:p>
            <w:pPr>
              <w:ind w:left="180"/>
              <w:spacing w:after="0"/>
              <w:rPr>
                <w:sz w:val="20"/>
                <w:szCs w:val="20"/>
                <w:color w:val="auto"/>
              </w:rPr>
            </w:pPr>
            <w:r>
              <w:rPr>
                <w:rFonts w:ascii="Arial" w:cs="Arial" w:eastAsia="Arial" w:hAnsi="Arial"/>
                <w:sz w:val="18"/>
                <w:szCs w:val="18"/>
                <w:color w:val="auto"/>
              </w:rPr>
              <w:t>1.  Consolidated Financial Statements:</w:t>
            </w:r>
          </w:p>
        </w:tc>
        <w:tc>
          <w:tcPr>
            <w:tcW w:w="2120" w:type="dxa"/>
            <w:vAlign w:val="bottom"/>
          </w:tcPr>
          <w:p>
            <w:pPr>
              <w:spacing w:after="0"/>
              <w:rPr>
                <w:sz w:val="24"/>
                <w:szCs w:val="24"/>
                <w:color w:val="auto"/>
              </w:rPr>
            </w:pPr>
          </w:p>
        </w:tc>
      </w:tr>
      <w:tr>
        <w:trPr>
          <w:trHeight w:val="256"/>
        </w:trPr>
        <w:tc>
          <w:tcPr>
            <w:tcW w:w="8020" w:type="dxa"/>
            <w:vAlign w:val="bottom"/>
          </w:tcPr>
          <w:p>
            <w:pPr>
              <w:ind w:left="520"/>
              <w:spacing w:after="0"/>
              <w:rPr>
                <w:sz w:val="20"/>
                <w:szCs w:val="20"/>
                <w:color w:val="auto"/>
              </w:rPr>
            </w:pPr>
            <w:r>
              <w:rPr>
                <w:rFonts w:ascii="Arial" w:cs="Arial" w:eastAsia="Arial" w:hAnsi="Arial"/>
                <w:sz w:val="18"/>
                <w:szCs w:val="18"/>
                <w:color w:val="auto"/>
              </w:rPr>
              <w:t>Report of Ernst &amp; Young LLP, Independent Registered Public Accounting Firm</w:t>
            </w:r>
          </w:p>
        </w:tc>
        <w:tc>
          <w:tcPr>
            <w:tcW w:w="2120" w:type="dxa"/>
            <w:vAlign w:val="bottom"/>
          </w:tcPr>
          <w:p>
            <w:pPr>
              <w:ind w:left="1780"/>
              <w:spacing w:after="0"/>
              <w:rPr>
                <w:sz w:val="20"/>
                <w:szCs w:val="20"/>
                <w:color w:val="auto"/>
              </w:rPr>
            </w:pPr>
            <w:r>
              <w:rPr>
                <w:rFonts w:ascii="Arial" w:cs="Arial" w:eastAsia="Arial" w:hAnsi="Arial"/>
                <w:sz w:val="18"/>
                <w:szCs w:val="18"/>
                <w:color w:val="auto"/>
                <w:w w:val="86"/>
              </w:rPr>
              <w:t>F - 1</w:t>
            </w:r>
          </w:p>
        </w:tc>
      </w:tr>
      <w:tr>
        <w:trPr>
          <w:trHeight w:val="229"/>
        </w:trPr>
        <w:tc>
          <w:tcPr>
            <w:tcW w:w="8020" w:type="dxa"/>
            <w:vAlign w:val="bottom"/>
          </w:tcPr>
          <w:p>
            <w:pPr>
              <w:ind w:left="520"/>
              <w:spacing w:after="0"/>
              <w:rPr>
                <w:sz w:val="20"/>
                <w:szCs w:val="20"/>
                <w:color w:val="auto"/>
              </w:rPr>
            </w:pPr>
            <w:r>
              <w:rPr>
                <w:rFonts w:ascii="Arial" w:cs="Arial" w:eastAsia="Arial" w:hAnsi="Arial"/>
                <w:sz w:val="18"/>
                <w:szCs w:val="18"/>
                <w:color w:val="auto"/>
              </w:rPr>
              <w:t>Consolidated Balance Sheets</w:t>
            </w:r>
          </w:p>
        </w:tc>
        <w:tc>
          <w:tcPr>
            <w:tcW w:w="2120" w:type="dxa"/>
            <w:vAlign w:val="bottom"/>
          </w:tcPr>
          <w:p>
            <w:pPr>
              <w:ind w:left="1780"/>
              <w:spacing w:after="0"/>
              <w:rPr>
                <w:sz w:val="20"/>
                <w:szCs w:val="20"/>
                <w:color w:val="auto"/>
              </w:rPr>
            </w:pPr>
            <w:r>
              <w:rPr>
                <w:rFonts w:ascii="Arial" w:cs="Arial" w:eastAsia="Arial" w:hAnsi="Arial"/>
                <w:sz w:val="18"/>
                <w:szCs w:val="18"/>
                <w:color w:val="auto"/>
                <w:w w:val="86"/>
              </w:rPr>
              <w:t>F - 3</w:t>
            </w:r>
          </w:p>
        </w:tc>
      </w:tr>
      <w:tr>
        <w:trPr>
          <w:trHeight w:val="229"/>
        </w:trPr>
        <w:tc>
          <w:tcPr>
            <w:tcW w:w="8020" w:type="dxa"/>
            <w:vAlign w:val="bottom"/>
          </w:tcPr>
          <w:p>
            <w:pPr>
              <w:ind w:left="520"/>
              <w:spacing w:after="0"/>
              <w:rPr>
                <w:sz w:val="20"/>
                <w:szCs w:val="20"/>
                <w:color w:val="auto"/>
              </w:rPr>
            </w:pPr>
            <w:r>
              <w:rPr>
                <w:rFonts w:ascii="Arial" w:cs="Arial" w:eastAsia="Arial" w:hAnsi="Arial"/>
                <w:sz w:val="18"/>
                <w:szCs w:val="18"/>
                <w:color w:val="auto"/>
              </w:rPr>
              <w:t>Consolidated Statements of Operations and Comprehensive Loss</w:t>
            </w:r>
          </w:p>
        </w:tc>
        <w:tc>
          <w:tcPr>
            <w:tcW w:w="2120" w:type="dxa"/>
            <w:vAlign w:val="bottom"/>
          </w:tcPr>
          <w:p>
            <w:pPr>
              <w:ind w:left="1780"/>
              <w:spacing w:after="0"/>
              <w:rPr>
                <w:sz w:val="20"/>
                <w:szCs w:val="20"/>
                <w:color w:val="auto"/>
              </w:rPr>
            </w:pPr>
            <w:r>
              <w:rPr>
                <w:rFonts w:ascii="Arial" w:cs="Arial" w:eastAsia="Arial" w:hAnsi="Arial"/>
                <w:sz w:val="18"/>
                <w:szCs w:val="18"/>
                <w:color w:val="auto"/>
                <w:w w:val="86"/>
              </w:rPr>
              <w:t>F - 4</w:t>
            </w:r>
          </w:p>
        </w:tc>
      </w:tr>
      <w:tr>
        <w:trPr>
          <w:trHeight w:val="230"/>
        </w:trPr>
        <w:tc>
          <w:tcPr>
            <w:tcW w:w="8020" w:type="dxa"/>
            <w:vAlign w:val="bottom"/>
          </w:tcPr>
          <w:p>
            <w:pPr>
              <w:ind w:left="520"/>
              <w:spacing w:after="0"/>
              <w:rPr>
                <w:sz w:val="20"/>
                <w:szCs w:val="20"/>
                <w:color w:val="auto"/>
              </w:rPr>
            </w:pPr>
            <w:r>
              <w:rPr>
                <w:rFonts w:ascii="Arial" w:cs="Arial" w:eastAsia="Arial" w:hAnsi="Arial"/>
                <w:sz w:val="18"/>
                <w:szCs w:val="18"/>
                <w:color w:val="auto"/>
              </w:rPr>
              <w:t>Consolidated Statements of Stockholders' Equity</w:t>
            </w:r>
          </w:p>
        </w:tc>
        <w:tc>
          <w:tcPr>
            <w:tcW w:w="2120" w:type="dxa"/>
            <w:vAlign w:val="bottom"/>
          </w:tcPr>
          <w:p>
            <w:pPr>
              <w:ind w:left="1780"/>
              <w:spacing w:after="0"/>
              <w:rPr>
                <w:sz w:val="20"/>
                <w:szCs w:val="20"/>
                <w:color w:val="auto"/>
              </w:rPr>
            </w:pPr>
            <w:r>
              <w:rPr>
                <w:rFonts w:ascii="Arial" w:cs="Arial" w:eastAsia="Arial" w:hAnsi="Arial"/>
                <w:sz w:val="18"/>
                <w:szCs w:val="18"/>
                <w:color w:val="auto"/>
                <w:w w:val="86"/>
              </w:rPr>
              <w:t>F - 5</w:t>
            </w:r>
          </w:p>
        </w:tc>
      </w:tr>
      <w:tr>
        <w:trPr>
          <w:trHeight w:val="229"/>
        </w:trPr>
        <w:tc>
          <w:tcPr>
            <w:tcW w:w="8020" w:type="dxa"/>
            <w:vAlign w:val="bottom"/>
          </w:tcPr>
          <w:p>
            <w:pPr>
              <w:ind w:left="520"/>
              <w:spacing w:after="0"/>
              <w:rPr>
                <w:sz w:val="20"/>
                <w:szCs w:val="20"/>
                <w:color w:val="auto"/>
              </w:rPr>
            </w:pPr>
            <w:r>
              <w:rPr>
                <w:rFonts w:ascii="Arial" w:cs="Arial" w:eastAsia="Arial" w:hAnsi="Arial"/>
                <w:sz w:val="18"/>
                <w:szCs w:val="18"/>
                <w:color w:val="auto"/>
              </w:rPr>
              <w:t>Consolidated Statements of Cash Flows</w:t>
            </w:r>
          </w:p>
        </w:tc>
        <w:tc>
          <w:tcPr>
            <w:tcW w:w="2120" w:type="dxa"/>
            <w:vAlign w:val="bottom"/>
          </w:tcPr>
          <w:p>
            <w:pPr>
              <w:ind w:left="1780"/>
              <w:spacing w:after="0"/>
              <w:rPr>
                <w:sz w:val="20"/>
                <w:szCs w:val="20"/>
                <w:color w:val="auto"/>
              </w:rPr>
            </w:pPr>
            <w:r>
              <w:rPr>
                <w:rFonts w:ascii="Arial" w:cs="Arial" w:eastAsia="Arial" w:hAnsi="Arial"/>
                <w:sz w:val="18"/>
                <w:szCs w:val="18"/>
                <w:color w:val="auto"/>
                <w:w w:val="86"/>
              </w:rPr>
              <w:t>F - 6</w:t>
            </w:r>
          </w:p>
        </w:tc>
      </w:tr>
      <w:tr>
        <w:trPr>
          <w:trHeight w:val="230"/>
        </w:trPr>
        <w:tc>
          <w:tcPr>
            <w:tcW w:w="8020" w:type="dxa"/>
            <w:vAlign w:val="bottom"/>
          </w:tcPr>
          <w:p>
            <w:pPr>
              <w:ind w:left="520"/>
              <w:spacing w:after="0"/>
              <w:rPr>
                <w:sz w:val="20"/>
                <w:szCs w:val="20"/>
                <w:color w:val="auto"/>
              </w:rPr>
            </w:pPr>
            <w:r>
              <w:rPr>
                <w:rFonts w:ascii="Arial" w:cs="Arial" w:eastAsia="Arial" w:hAnsi="Arial"/>
                <w:sz w:val="18"/>
                <w:szCs w:val="18"/>
                <w:color w:val="auto"/>
              </w:rPr>
              <w:t>Notes to Consolidated Financial Statements</w:t>
            </w:r>
          </w:p>
        </w:tc>
        <w:tc>
          <w:tcPr>
            <w:tcW w:w="2120" w:type="dxa"/>
            <w:vAlign w:val="bottom"/>
          </w:tcPr>
          <w:p>
            <w:pPr>
              <w:ind w:left="1780"/>
              <w:spacing w:after="0"/>
              <w:rPr>
                <w:sz w:val="20"/>
                <w:szCs w:val="20"/>
                <w:color w:val="auto"/>
              </w:rPr>
            </w:pPr>
            <w:r>
              <w:rPr>
                <w:rFonts w:ascii="Arial" w:cs="Arial" w:eastAsia="Arial" w:hAnsi="Arial"/>
                <w:sz w:val="18"/>
                <w:szCs w:val="18"/>
                <w:color w:val="auto"/>
                <w:w w:val="86"/>
              </w:rPr>
              <w:t>F - 7</w:t>
            </w:r>
          </w:p>
        </w:tc>
      </w:tr>
    </w:tbl>
    <w:p>
      <w:pPr>
        <w:spacing w:after="0" w:line="242" w:lineRule="exact"/>
        <w:rPr>
          <w:sz w:val="20"/>
          <w:szCs w:val="20"/>
          <w:color w:val="auto"/>
        </w:rPr>
      </w:pPr>
    </w:p>
    <w:p>
      <w:pPr>
        <w:ind w:left="520" w:hanging="33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16" w:lineRule="exact"/>
        <w:rPr>
          <w:sz w:val="20"/>
          <w:szCs w:val="20"/>
          <w:color w:val="auto"/>
        </w:rPr>
      </w:pPr>
    </w:p>
    <w:p>
      <w:pPr>
        <w:ind w:left="520" w:hanging="33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exhibits filed as part of this Annual Report on Form 10-K are set forth on the Exhibit Index immediately following our consolidated financial statements. The Exhibit Index is incorporated herein by reference.</w:t>
      </w:r>
    </w:p>
    <w:p>
      <w:pPr>
        <w:spacing w:after="0" w:line="200" w:lineRule="exact"/>
        <w:rPr>
          <w:sz w:val="20"/>
          <w:szCs w:val="20"/>
          <w:color w:val="auto"/>
        </w:rPr>
      </w:pPr>
    </w:p>
    <w:p>
      <w:pPr>
        <w:spacing w:after="0" w:line="3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77" w:name="page78"/>
    <w:bookmarkEnd w:id="77"/>
    <w:p>
      <w:pPr>
        <w:jc w:val="center"/>
        <w:ind w:left="48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80" w:firstLine="648"/>
        <w:spacing w:after="0" w:line="273"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MacroGenics, Inc.</w:t>
      </w:r>
    </w:p>
    <w:p>
      <w:pPr>
        <w:spacing w:after="0" w:line="252"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14605</wp:posOffset>
            </wp:positionV>
            <wp:extent cx="30600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Scott Koenig, M.D., Ph.D.</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CEO and Director</w:t>
      </w:r>
    </w:p>
    <w:p>
      <w:pPr>
        <w:spacing w:after="0" w:line="265"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84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398"/>
        </w:trPr>
        <w:tc>
          <w:tcPr>
            <w:tcW w:w="4360" w:type="dxa"/>
            <w:vAlign w:val="bottom"/>
          </w:tcPr>
          <w:p>
            <w:pPr>
              <w:ind w:left="20"/>
              <w:spacing w:after="0"/>
              <w:rPr>
                <w:sz w:val="20"/>
                <w:szCs w:val="20"/>
                <w:color w:val="auto"/>
              </w:rPr>
            </w:pPr>
            <w:r>
              <w:rPr>
                <w:rFonts w:ascii="Arial" w:cs="Arial" w:eastAsia="Arial" w:hAnsi="Arial"/>
                <w:sz w:val="18"/>
                <w:szCs w:val="18"/>
                <w:color w:val="auto"/>
              </w:rPr>
              <w:t>/s/ Scott Koenig</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President and CEO and 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Scott Koenig, M.D., Ph.D.</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360" w:type="dxa"/>
            <w:vAlign w:val="bottom"/>
          </w:tcPr>
          <w:p>
            <w:pPr>
              <w:ind w:left="20"/>
              <w:spacing w:after="0"/>
              <w:rPr>
                <w:sz w:val="20"/>
                <w:szCs w:val="20"/>
                <w:color w:val="auto"/>
              </w:rPr>
            </w:pPr>
            <w:r>
              <w:rPr>
                <w:rFonts w:ascii="Arial" w:cs="Arial" w:eastAsia="Arial" w:hAnsi="Arial"/>
                <w:sz w:val="18"/>
                <w:szCs w:val="18"/>
                <w:color w:val="auto"/>
              </w:rPr>
              <w:t>/s/ James Karrels</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Financial Officer and Secretary</w:t>
            </w: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360" w:type="dxa"/>
            <w:vAlign w:val="bottom"/>
            <w:tcBorders>
              <w:bottom w:val="single" w:sz="8" w:color="auto"/>
            </w:tcBorders>
          </w:tcPr>
          <w:p>
            <w:pPr>
              <w:spacing w:after="0"/>
              <w:rPr>
                <w:sz w:val="3"/>
                <w:szCs w:val="3"/>
                <w:color w:val="auto"/>
              </w:rPr>
            </w:pPr>
          </w:p>
        </w:tc>
        <w:tc>
          <w:tcPr>
            <w:tcW w:w="300" w:type="dxa"/>
            <w:vAlign w:val="bottom"/>
            <w:vMerge w:val="restart"/>
          </w:tcPr>
          <w:p>
            <w:pPr>
              <w:spacing w:after="0"/>
              <w:rPr>
                <w:sz w:val="3"/>
                <w:szCs w:val="3"/>
                <w:color w:val="auto"/>
              </w:rPr>
            </w:pPr>
          </w:p>
        </w:tc>
        <w:tc>
          <w:tcPr>
            <w:tcW w:w="40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2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James Karrels</w:t>
            </w:r>
          </w:p>
        </w:tc>
        <w:tc>
          <w:tcPr>
            <w:tcW w:w="300" w:type="dxa"/>
            <w:vAlign w:val="bottom"/>
            <w:vMerge w:val="continue"/>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4360" w:type="dxa"/>
            <w:vAlign w:val="bottom"/>
          </w:tcPr>
          <w:p>
            <w:pPr>
              <w:ind w:left="20"/>
              <w:spacing w:after="0"/>
              <w:rPr>
                <w:sz w:val="20"/>
                <w:szCs w:val="20"/>
                <w:color w:val="auto"/>
              </w:rPr>
            </w:pPr>
            <w:r>
              <w:rPr>
                <w:rFonts w:ascii="Arial" w:cs="Arial" w:eastAsia="Arial" w:hAnsi="Arial"/>
                <w:sz w:val="18"/>
                <w:szCs w:val="18"/>
                <w:color w:val="auto"/>
              </w:rPr>
              <w:t>/s/ Lynn Cilinski</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Vice President, Controller and Treasurer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Lynn Cilinski</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360" w:type="dxa"/>
            <w:vAlign w:val="bottom"/>
          </w:tcPr>
          <w:p>
            <w:pPr>
              <w:ind w:left="20"/>
              <w:spacing w:after="0"/>
              <w:rPr>
                <w:sz w:val="20"/>
                <w:szCs w:val="20"/>
                <w:color w:val="auto"/>
              </w:rPr>
            </w:pPr>
            <w:r>
              <w:rPr>
                <w:rFonts w:ascii="Arial" w:cs="Arial" w:eastAsia="Arial" w:hAnsi="Arial"/>
                <w:sz w:val="18"/>
                <w:szCs w:val="18"/>
                <w:color w:val="auto"/>
              </w:rPr>
              <w:t>/s/ Karen Ferrante, M.D.</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Karen Ferrante, M.D.</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Pr>
          <w:p>
            <w:pPr>
              <w:ind w:left="20"/>
              <w:spacing w:after="0"/>
              <w:rPr>
                <w:sz w:val="20"/>
                <w:szCs w:val="20"/>
                <w:color w:val="auto"/>
              </w:rPr>
            </w:pPr>
            <w:r>
              <w:rPr>
                <w:rFonts w:ascii="Arial" w:cs="Arial" w:eastAsia="Arial" w:hAnsi="Arial"/>
                <w:sz w:val="18"/>
                <w:szCs w:val="18"/>
                <w:color w:val="auto"/>
              </w:rPr>
              <w:t>/s/ William Heiden</w:t>
            </w:r>
          </w:p>
        </w:tc>
        <w:tc>
          <w:tcPr>
            <w:tcW w:w="300" w:type="dxa"/>
            <w:vAlign w:val="bottom"/>
          </w:tcPr>
          <w:p>
            <w:pPr>
              <w:spacing w:after="0"/>
              <w:rPr>
                <w:sz w:val="24"/>
                <w:szCs w:val="24"/>
                <w:color w:val="auto"/>
              </w:rPr>
            </w:pPr>
          </w:p>
        </w:tc>
        <w:tc>
          <w:tcPr>
            <w:tcW w:w="40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40" w:type="dxa"/>
            <w:vAlign w:val="bottom"/>
            <w:gridSpan w:val="2"/>
            <w:vMerge w:val="continue"/>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3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William Heiden</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360" w:type="dxa"/>
            <w:vAlign w:val="bottom"/>
          </w:tcPr>
          <w:p>
            <w:pPr>
              <w:ind w:left="20"/>
              <w:spacing w:after="0"/>
              <w:rPr>
                <w:sz w:val="20"/>
                <w:szCs w:val="20"/>
                <w:color w:val="auto"/>
              </w:rPr>
            </w:pPr>
            <w:r>
              <w:rPr>
                <w:rFonts w:ascii="Arial" w:cs="Arial" w:eastAsia="Arial" w:hAnsi="Arial"/>
                <w:sz w:val="18"/>
                <w:szCs w:val="18"/>
                <w:color w:val="auto"/>
              </w:rPr>
              <w:t>/s/ Edward Hurwitz</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Edward Hurwitz</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Pr>
          <w:p>
            <w:pPr>
              <w:ind w:left="20"/>
              <w:spacing w:after="0"/>
              <w:rPr>
                <w:sz w:val="20"/>
                <w:szCs w:val="20"/>
                <w:color w:val="auto"/>
              </w:rPr>
            </w:pPr>
            <w:r>
              <w:rPr>
                <w:rFonts w:ascii="Arial" w:cs="Arial" w:eastAsia="Arial" w:hAnsi="Arial"/>
                <w:sz w:val="18"/>
                <w:szCs w:val="18"/>
                <w:color w:val="auto"/>
              </w:rPr>
              <w:t>/s/ Scott Jackson</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Scott Jackson</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Pr>
          <w:p>
            <w:pPr>
              <w:ind w:left="20"/>
              <w:spacing w:after="0"/>
              <w:rPr>
                <w:sz w:val="20"/>
                <w:szCs w:val="20"/>
                <w:color w:val="auto"/>
              </w:rPr>
            </w:pPr>
            <w:r>
              <w:rPr>
                <w:rFonts w:ascii="Arial" w:cs="Arial" w:eastAsia="Arial" w:hAnsi="Arial"/>
                <w:sz w:val="18"/>
                <w:szCs w:val="18"/>
                <w:color w:val="auto"/>
              </w:rPr>
              <w:t>/s/ Meenu Chhabra Karson</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Meenu Chhabra Karson</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Pr>
          <w:p>
            <w:pPr>
              <w:ind w:left="20"/>
              <w:spacing w:after="0"/>
              <w:rPr>
                <w:sz w:val="20"/>
                <w:szCs w:val="20"/>
                <w:color w:val="auto"/>
              </w:rPr>
            </w:pPr>
            <w:r>
              <w:rPr>
                <w:rFonts w:ascii="Arial" w:cs="Arial" w:eastAsia="Arial" w:hAnsi="Arial"/>
                <w:sz w:val="18"/>
                <w:szCs w:val="18"/>
                <w:color w:val="auto"/>
              </w:rPr>
              <w:t>/s/ Margaret A. Liu, M.D., D.Sc.hc, M.D.hc</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Margaret A. Liu, M.D., D.Sc.hc, M.D.hc</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Pr>
          <w:p>
            <w:pPr>
              <w:ind w:left="20"/>
              <w:spacing w:after="0"/>
              <w:rPr>
                <w:sz w:val="20"/>
                <w:szCs w:val="20"/>
                <w:color w:val="auto"/>
              </w:rPr>
            </w:pPr>
            <w:r>
              <w:rPr>
                <w:rFonts w:ascii="Arial" w:cs="Arial" w:eastAsia="Arial" w:hAnsi="Arial"/>
                <w:sz w:val="18"/>
                <w:szCs w:val="18"/>
                <w:color w:val="auto"/>
              </w:rPr>
              <w:t>/s/ Federica O’Brien</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Federica O’Brien</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360" w:type="dxa"/>
            <w:vAlign w:val="bottom"/>
          </w:tcPr>
          <w:p>
            <w:pPr>
              <w:ind w:left="20"/>
              <w:spacing w:after="0"/>
              <w:rPr>
                <w:sz w:val="20"/>
                <w:szCs w:val="20"/>
                <w:color w:val="auto"/>
              </w:rPr>
            </w:pPr>
            <w:r>
              <w:rPr>
                <w:rFonts w:ascii="Arial" w:cs="Arial" w:eastAsia="Arial" w:hAnsi="Arial"/>
                <w:sz w:val="18"/>
                <w:szCs w:val="18"/>
                <w:color w:val="auto"/>
              </w:rPr>
              <w:t>/s/ Jay Siegel, M.D.</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Jay Siegel, M.D.</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360" w:type="dxa"/>
            <w:vAlign w:val="bottom"/>
          </w:tcPr>
          <w:p>
            <w:pPr>
              <w:ind w:left="20"/>
              <w:spacing w:after="0"/>
              <w:rPr>
                <w:sz w:val="20"/>
                <w:szCs w:val="20"/>
                <w:color w:val="auto"/>
              </w:rPr>
            </w:pPr>
            <w:r>
              <w:rPr>
                <w:rFonts w:ascii="Arial" w:cs="Arial" w:eastAsia="Arial" w:hAnsi="Arial"/>
                <w:sz w:val="18"/>
                <w:szCs w:val="18"/>
                <w:color w:val="auto"/>
              </w:rPr>
              <w:t>/s/ David Stump, M.D.</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David Stump, M.D.</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999" w:right="479"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99" w:right="479" w:bottom="723"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280" w:type="dxa"/>
            <w:vAlign w:val="bottom"/>
            <w:gridSpan w:val="6"/>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gridSpan w:val="3"/>
          </w:tcPr>
          <w:p>
            <w:pPr>
              <w:jc w:val="center"/>
              <w:ind w:left="170"/>
              <w:spacing w:after="0" w:line="202" w:lineRule="exact"/>
              <w:rPr>
                <w:sz w:val="20"/>
                <w:szCs w:val="20"/>
                <w:color w:val="auto"/>
              </w:rPr>
            </w:pPr>
            <w:r>
              <w:rPr>
                <w:rFonts w:ascii="Arial" w:cs="Arial" w:eastAsia="Arial" w:hAnsi="Arial"/>
                <w:sz w:val="18"/>
                <w:szCs w:val="18"/>
                <w:color w:val="auto"/>
                <w:w w:val="85"/>
              </w:rPr>
              <w:t>Page</w:t>
            </w: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gridSpan w:val="3"/>
          </w:tcPr>
          <w:p>
            <w:pPr>
              <w:jc w:val="center"/>
              <w:ind w:left="170"/>
              <w:spacing w:after="0"/>
              <w:rPr>
                <w:sz w:val="20"/>
                <w:szCs w:val="20"/>
                <w:color w:val="auto"/>
              </w:rPr>
            </w:pPr>
            <w:r>
              <w:rPr>
                <w:rFonts w:ascii="Arial" w:cs="Arial" w:eastAsia="Arial" w:hAnsi="Arial"/>
                <w:sz w:val="18"/>
                <w:szCs w:val="18"/>
                <w:color w:val="auto"/>
                <w:w w:val="93"/>
              </w:rPr>
              <w:t>Number</w:t>
            </w:r>
          </w:p>
        </w:tc>
      </w:tr>
      <w:tr>
        <w:trPr>
          <w:trHeight w:val="256"/>
        </w:trPr>
        <w:tc>
          <w:tcPr>
            <w:tcW w:w="20" w:type="dxa"/>
            <w:vAlign w:val="bottom"/>
          </w:tcPr>
          <w:p>
            <w:pPr>
              <w:spacing w:after="0"/>
              <w:rPr>
                <w:sz w:val="22"/>
                <w:szCs w:val="22"/>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0000FF"/>
              </w:rPr>
              <w:t xml:space="preserve">Report of Ernst &amp; Young LLP, Independent Registered Public Accounting Firm (PCAOB ID: </w:t>
            </w:r>
            <w:r>
              <w:rPr>
                <w:rFonts w:ascii="Arial" w:cs="Arial" w:eastAsia="Arial" w:hAnsi="Arial"/>
                <w:sz w:val="18"/>
                <w:szCs w:val="18"/>
                <w:color w:val="0E32E1"/>
              </w:rPr>
              <w:t>42</w:t>
            </w:r>
            <w:r>
              <w:rPr>
                <w:rFonts w:ascii="Arial" w:cs="Arial" w:eastAsia="Arial" w:hAnsi="Arial"/>
                <w:sz w:val="18"/>
                <w:szCs w:val="18"/>
                <w:u w:val="single" w:color="auto"/>
                <w:color w:val="0000FF"/>
              </w:rPr>
              <w:t>)</w:t>
            </w:r>
          </w:p>
        </w:tc>
        <w:tc>
          <w:tcPr>
            <w:tcW w:w="1780" w:type="dxa"/>
            <w:vAlign w:val="bottom"/>
            <w:gridSpan w:val="3"/>
          </w:tcPr>
          <w:p>
            <w:pPr>
              <w:jc w:val="center"/>
              <w:ind w:left="150"/>
              <w:spacing w:after="0"/>
              <w:rPr>
                <w:sz w:val="20"/>
                <w:szCs w:val="20"/>
                <w:color w:val="auto"/>
              </w:rPr>
            </w:pPr>
            <w:r>
              <w:rPr>
                <w:rFonts w:ascii="Arial" w:cs="Arial" w:eastAsia="Arial" w:hAnsi="Arial"/>
                <w:sz w:val="18"/>
                <w:szCs w:val="18"/>
                <w:color w:val="0000FF"/>
                <w:w w:val="91"/>
              </w:rPr>
              <w:t>F - 1</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640" w:type="dxa"/>
            <w:vAlign w:val="bottom"/>
            <w:tcBorders>
              <w:left w:val="single" w:sz="8" w:color="0E32E1"/>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0000FF"/>
                <w:w w:val="88"/>
              </w:rPr>
              <w:t>Consolidated Balance Sheets at December 31, 2022 and December 31, 2021</w:t>
            </w: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20" w:type="dxa"/>
            <w:vAlign w:val="bottom"/>
            <w:gridSpan w:val="3"/>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2"/>
          </w:tcPr>
          <w:p>
            <w:pPr>
              <w:jc w:val="center"/>
              <w:ind w:right="600"/>
              <w:spacing w:after="0"/>
              <w:rPr>
                <w:sz w:val="20"/>
                <w:szCs w:val="20"/>
                <w:color w:val="auto"/>
              </w:rPr>
            </w:pPr>
            <w:r>
              <w:rPr>
                <w:rFonts w:ascii="Arial" w:cs="Arial" w:eastAsia="Arial" w:hAnsi="Arial"/>
                <w:sz w:val="18"/>
                <w:szCs w:val="18"/>
                <w:color w:val="0000FF"/>
                <w:w w:val="91"/>
              </w:rPr>
              <w:t>F - 3</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0000FF"/>
                <w:w w:val="96"/>
              </w:rPr>
              <w:t>Consolidated Statements of Operations and Comprehensive Loss for the years ended December 31, 2022, 2021 and 2020</w:t>
            </w:r>
          </w:p>
        </w:tc>
        <w:tc>
          <w:tcPr>
            <w:tcW w:w="1780" w:type="dxa"/>
            <w:vAlign w:val="bottom"/>
            <w:gridSpan w:val="3"/>
          </w:tcPr>
          <w:p>
            <w:pPr>
              <w:jc w:val="center"/>
              <w:ind w:left="150"/>
              <w:spacing w:after="0"/>
              <w:rPr>
                <w:sz w:val="20"/>
                <w:szCs w:val="20"/>
                <w:color w:val="auto"/>
              </w:rPr>
            </w:pPr>
            <w:r>
              <w:rPr>
                <w:rFonts w:ascii="Arial" w:cs="Arial" w:eastAsia="Arial" w:hAnsi="Arial"/>
                <w:sz w:val="18"/>
                <w:szCs w:val="18"/>
                <w:color w:val="0000FF"/>
                <w:w w:val="91"/>
              </w:rPr>
              <w:t>F - 4</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720" w:type="dxa"/>
            <w:vAlign w:val="bottom"/>
            <w:gridSpan w:val="6"/>
          </w:tcPr>
          <w:p>
            <w:pPr>
              <w:spacing w:after="0"/>
              <w:rPr>
                <w:sz w:val="20"/>
                <w:szCs w:val="20"/>
                <w:color w:val="auto"/>
              </w:rPr>
            </w:pPr>
            <w:r>
              <w:rPr>
                <w:rFonts w:ascii="Arial" w:cs="Arial" w:eastAsia="Arial" w:hAnsi="Arial"/>
                <w:sz w:val="18"/>
                <w:szCs w:val="18"/>
                <w:color w:val="0000FF"/>
              </w:rPr>
              <w:t>Consolidated Statements of Stockholders' Equity for the years ended December 31, 2022, 2021 and 2020</w:t>
            </w: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2"/>
          </w:tcPr>
          <w:p>
            <w:pPr>
              <w:jc w:val="center"/>
              <w:ind w:right="600"/>
              <w:spacing w:after="0"/>
              <w:rPr>
                <w:sz w:val="20"/>
                <w:szCs w:val="20"/>
                <w:color w:val="auto"/>
              </w:rPr>
            </w:pPr>
            <w:r>
              <w:rPr>
                <w:rFonts w:ascii="Arial" w:cs="Arial" w:eastAsia="Arial" w:hAnsi="Arial"/>
                <w:sz w:val="18"/>
                <w:szCs w:val="18"/>
                <w:color w:val="0000FF"/>
                <w:w w:val="91"/>
              </w:rPr>
              <w:t>F - 5</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0000FF"/>
                <w:w w:val="88"/>
              </w:rPr>
              <w:t>Consolidated Statements of Cash Flows for the years ended December 31, 2022, 2021 and 2020</w:t>
            </w:r>
          </w:p>
        </w:tc>
        <w:tc>
          <w:tcPr>
            <w:tcW w:w="640" w:type="dxa"/>
            <w:vAlign w:val="bottom"/>
          </w:tcPr>
          <w:p>
            <w:pPr>
              <w:spacing w:after="0"/>
              <w:rPr>
                <w:sz w:val="22"/>
                <w:szCs w:val="22"/>
                <w:color w:val="auto"/>
              </w:rPr>
            </w:pPr>
          </w:p>
        </w:tc>
        <w:tc>
          <w:tcPr>
            <w:tcW w:w="1880" w:type="dxa"/>
            <w:vAlign w:val="bottom"/>
            <w:gridSpan w:val="2"/>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2"/>
          </w:tcPr>
          <w:p>
            <w:pPr>
              <w:jc w:val="center"/>
              <w:ind w:right="600"/>
              <w:spacing w:after="0"/>
              <w:rPr>
                <w:sz w:val="20"/>
                <w:szCs w:val="20"/>
                <w:color w:val="auto"/>
              </w:rPr>
            </w:pPr>
            <w:r>
              <w:rPr>
                <w:rFonts w:ascii="Arial" w:cs="Arial" w:eastAsia="Arial" w:hAnsi="Arial"/>
                <w:sz w:val="18"/>
                <w:szCs w:val="18"/>
                <w:color w:val="0000FF"/>
                <w:w w:val="91"/>
              </w:rPr>
              <w:t>F - 6</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0000FF"/>
              </w:rPr>
              <w:t>Notes to Consolidated Financial Statements</w:t>
            </w:r>
          </w:p>
        </w:tc>
        <w:tc>
          <w:tcPr>
            <w:tcW w:w="2520" w:type="dxa"/>
            <w:vAlign w:val="bottom"/>
            <w:gridSpan w:val="3"/>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2"/>
          </w:tcPr>
          <w:p>
            <w:pPr>
              <w:jc w:val="center"/>
              <w:ind w:right="600"/>
              <w:spacing w:after="0"/>
              <w:rPr>
                <w:sz w:val="20"/>
                <w:szCs w:val="20"/>
                <w:color w:val="auto"/>
              </w:rPr>
            </w:pPr>
            <w:r>
              <w:rPr>
                <w:rFonts w:ascii="Arial" w:cs="Arial" w:eastAsia="Arial" w:hAnsi="Arial"/>
                <w:sz w:val="18"/>
                <w:szCs w:val="18"/>
                <w:color w:val="0000FF"/>
                <w:w w:val="91"/>
              </w:rPr>
              <w:t>F - 7</w:t>
            </w:r>
          </w:p>
        </w:tc>
      </w:tr>
      <w:tr>
        <w:trPr>
          <w:trHeight w:val="1243"/>
        </w:trPr>
        <w:tc>
          <w:tcPr>
            <w:tcW w:w="20" w:type="dxa"/>
            <w:vAlign w:val="bottom"/>
            <w:tcBorders>
              <w:bottom w:val="single" w:sz="8" w:color="9A9A9A"/>
            </w:tcBorders>
          </w:tcPr>
          <w:p>
            <w:pPr>
              <w:spacing w:after="0"/>
              <w:rPr>
                <w:sz w:val="24"/>
                <w:szCs w:val="24"/>
                <w:color w:val="auto"/>
              </w:rPr>
            </w:pPr>
          </w:p>
        </w:tc>
        <w:tc>
          <w:tcPr>
            <w:tcW w:w="3160" w:type="dxa"/>
            <w:vAlign w:val="bottom"/>
            <w:tcBorders>
              <w:top w:val="single" w:sz="8" w:color="0000FF"/>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MacroGenics,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right="260"/>
        <w:spacing w:after="0" w:line="305" w:lineRule="auto"/>
        <w:rPr>
          <w:sz w:val="20"/>
          <w:szCs w:val="20"/>
          <w:color w:val="auto"/>
        </w:rPr>
      </w:pPr>
      <w:r>
        <w:rPr>
          <w:rFonts w:ascii="Arial" w:cs="Arial" w:eastAsia="Arial" w:hAnsi="Arial"/>
          <w:sz w:val="16"/>
          <w:szCs w:val="16"/>
          <w:color w:val="auto"/>
        </w:rPr>
        <w:t>We have audited the accompanying consolidated balance sheets of MacroGenics, Inc. (the Company) as of December 31, 2022 and 2021, the related consolidated statements of operations and comprehensive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0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15, 2023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r>
        <w:rPr>
          <w:rFonts w:ascii="Arial" w:cs="Arial" w:eastAsia="Arial" w:hAnsi="Arial"/>
          <w:sz w:val="15"/>
          <w:szCs w:val="15"/>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80" w:name="page81"/>
    <w:bookmarkEnd w:id="80"/>
    <w:p>
      <w:pPr>
        <w:spacing w:after="0"/>
        <w:rPr>
          <w:sz w:val="20"/>
          <w:szCs w:val="20"/>
          <w:color w:val="auto"/>
        </w:rPr>
      </w:pPr>
      <w:r>
        <w:rPr>
          <w:rFonts w:ascii="Arial" w:cs="Arial" w:eastAsia="Arial" w:hAnsi="Arial"/>
          <w:sz w:val="15"/>
          <w:szCs w:val="15"/>
          <w:b w:val="1"/>
          <w:bCs w:val="1"/>
          <w:i w:val="1"/>
          <w:iCs w:val="1"/>
          <w:color w:val="auto"/>
        </w:rPr>
        <w:t>Accounting for the Option and Collaboration Agreement with Gilead Sciences, Inc.</w:t>
      </w:r>
    </w:p>
    <w:p>
      <w:pPr>
        <w:sectPr>
          <w:pgSz w:w="11900" w:h="16838" w:orient="portrait"/>
          <w:cols w:equalWidth="0" w:num="1">
            <w:col w:w="11200"/>
          </w:cols>
          <w:pgMar w:left="340" w:top="935" w:right="359" w:bottom="1440" w:gutter="0" w:footer="0" w:header="0"/>
        </w:sectPr>
      </w:pPr>
    </w:p>
    <w:p>
      <w:pPr>
        <w:spacing w:after="0" w:line="58" w:lineRule="exact"/>
        <w:rPr>
          <w:sz w:val="20"/>
          <w:szCs w:val="20"/>
          <w:color w:val="auto"/>
        </w:rPr>
      </w:pPr>
    </w:p>
    <w:p>
      <w:pPr>
        <w:spacing w:after="0" w:line="234"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discussed in Note 8 of the consolidated financial statements, in October 2022, the Company entered into an exclusive option and collaboration agreement with Gilead Sciences, Inc. (the “Gilead Agreement”). The Gilead Agreement resulted in the recognition of $0.2 million of revenue from collaborative and other agreements for the year ended December 31, 2022 and $59.8 million of deferred revenue as of December 31, 2022. The Company evaluated the Gilead Agreement under Accounting Standards Codification 606, Revenue from Contracts with Customers (“ASC 606”) and identified two performance obligations within the arrangement: 1) a combined development term license and development activities (“Development Activities”); and 2) a material right relating to the CD123 option to obtain an exclusive license under the Company’s intellectual property (“CD123 Option”). The transaction price of $60.0 million was allocated to each performance obligation based on their relative standalone selling prices. The standalone selling price of the Development Activities was determined using an expected cost-plus margin approach for the pre-option development timeline. The standalone selling price of the CD123 Option was determined using an income-based approach which included assumptions over the post-option development timeline and costs, forecasted revenues, discount rates and probabilities of technical and regulatory success. The transaction price allocated to the Development Activities was recognized over time using an input method. The Company will defer revenue recognition related to the CD123 Option until the period when the CD123 Option is exercised or expired.</w:t>
      </w:r>
    </w:p>
    <w:p>
      <w:pPr>
        <w:spacing w:after="0" w:line="13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Accounting for the Gilead Agreement required the Company to make significant judgments, including but not limited to the identification of performance obligations and the estimation of the standalone selling price of each identified performance obligation. The standalone selling price of the performance obligations was not directly observable; therefore, the Company estimated the standalone selling price for each performance obligation. The estimates of the standalone selling price for the performance obligations relating to the Development Activities and the CD123 Option reflect management’s assumptions described above. Changes to these assumptions could have a material effect on the allocation of the transaction price to the performance obligations as well as the amount and timing of revenue recognized. As a result, auditing the identification of performance obligations and estimates of standalone selling price for performance obligations required especially complex auditor judgment.</w:t>
      </w:r>
    </w:p>
    <w:p>
      <w:pPr>
        <w:spacing w:after="0" w:line="200" w:lineRule="exact"/>
        <w:rPr>
          <w:sz w:val="20"/>
          <w:szCs w:val="20"/>
          <w:color w:val="auto"/>
        </w:rPr>
      </w:pPr>
    </w:p>
    <w:p>
      <w:pPr>
        <w:sectPr>
          <w:pgSz w:w="11900" w:h="16838" w:orient="portrait"/>
          <w:cols w:equalWidth="0" w:num="2">
            <w:col w:w="1300" w:space="400"/>
            <w:col w:w="9500"/>
          </w:cols>
          <w:pgMar w:left="340" w:top="935" w:right="359" w:bottom="1440" w:gutter="0" w:footer="0" w:header="0"/>
          <w:type w:val="continuous"/>
        </w:sectPr>
      </w:pPr>
    </w:p>
    <w:p>
      <w:pPr>
        <w:spacing w:after="0" w:line="343" w:lineRule="exact"/>
        <w:rPr>
          <w:sz w:val="20"/>
          <w:szCs w:val="20"/>
          <w:color w:val="auto"/>
        </w:rPr>
      </w:pPr>
    </w:p>
    <w:p>
      <w:pPr>
        <w:ind w:right="340"/>
        <w:spacing w:after="0" w:line="274" w:lineRule="auto"/>
        <w:rPr>
          <w:sz w:val="20"/>
          <w:szCs w:val="20"/>
          <w:color w:val="auto"/>
        </w:rPr>
      </w:pPr>
      <w:r>
        <w:rPr>
          <w:rFonts w:ascii="Arial" w:cs="Arial" w:eastAsia="Arial" w:hAnsi="Arial"/>
          <w:sz w:val="16"/>
          <w:szCs w:val="16"/>
          <w:i w:val="1"/>
          <w:iCs w:val="1"/>
          <w:color w:val="auto"/>
        </w:rPr>
        <w:t xml:space="preserve">How We Addressed the </w:t>
      </w:r>
      <w:r>
        <w:rPr>
          <w:rFonts w:ascii="Arial" w:cs="Arial" w:eastAsia="Arial" w:hAnsi="Arial"/>
          <w:sz w:val="16"/>
          <w:szCs w:val="16"/>
          <w:color w:val="auto"/>
        </w:rPr>
        <w:t>We obtained an understanding, evaluated the design, and tested the operating effectiveness of controls addressing the risks of</w:t>
      </w:r>
      <w:r>
        <w:rPr>
          <w:rFonts w:ascii="Arial" w:cs="Arial" w:eastAsia="Arial" w:hAnsi="Arial"/>
          <w:sz w:val="16"/>
          <w:szCs w:val="16"/>
          <w:i w:val="1"/>
          <w:iCs w:val="1"/>
          <w:color w:val="auto"/>
        </w:rPr>
        <w:t xml:space="preserve"> Matter in Our Audit </w:t>
      </w:r>
      <w:r>
        <w:rPr>
          <w:rFonts w:ascii="Arial" w:cs="Arial" w:eastAsia="Arial" w:hAnsi="Arial"/>
          <w:sz w:val="16"/>
          <w:szCs w:val="16"/>
          <w:color w:val="auto"/>
        </w:rPr>
        <w:t>material misstatement relating to the accounting for the Gilead Agreement. For example, we tested controls over management's</w:t>
      </w:r>
    </w:p>
    <w:p>
      <w:pPr>
        <w:spacing w:after="0" w:line="1" w:lineRule="exact"/>
        <w:rPr>
          <w:sz w:val="20"/>
          <w:szCs w:val="20"/>
          <w:color w:val="auto"/>
        </w:rPr>
      </w:pPr>
    </w:p>
    <w:p>
      <w:pPr>
        <w:ind w:left="1700" w:right="320"/>
        <w:spacing w:after="0" w:line="243" w:lineRule="auto"/>
        <w:rPr>
          <w:sz w:val="20"/>
          <w:szCs w:val="20"/>
          <w:color w:val="auto"/>
        </w:rPr>
      </w:pPr>
      <w:r>
        <w:rPr>
          <w:rFonts w:ascii="Arial" w:cs="Arial" w:eastAsia="Arial" w:hAnsi="Arial"/>
          <w:sz w:val="18"/>
          <w:szCs w:val="18"/>
          <w:color w:val="auto"/>
        </w:rPr>
        <w:t>process over the identification of the performance obligations, the determination of the significant assumptions described above with respect to the estimation of the standalone selling price of each performance obligation.</w:t>
      </w:r>
    </w:p>
    <w:p>
      <w:pPr>
        <w:spacing w:after="0" w:line="213" w:lineRule="exact"/>
        <w:rPr>
          <w:sz w:val="20"/>
          <w:szCs w:val="20"/>
          <w:color w:val="auto"/>
        </w:rPr>
      </w:pPr>
    </w:p>
    <w:p>
      <w:pPr>
        <w:ind w:left="1700" w:right="140"/>
        <w:spacing w:after="0" w:line="268" w:lineRule="auto"/>
        <w:rPr>
          <w:sz w:val="20"/>
          <w:szCs w:val="20"/>
          <w:color w:val="auto"/>
        </w:rPr>
      </w:pPr>
      <w:r>
        <w:rPr>
          <w:rFonts w:ascii="Arial" w:cs="Arial" w:eastAsia="Arial" w:hAnsi="Arial"/>
          <w:sz w:val="16"/>
          <w:szCs w:val="16"/>
          <w:color w:val="auto"/>
        </w:rPr>
        <w:t>To audit the Company’s accounting related to the Gilead Agreement, we performed audit procedures that included, among others, inspecting the executed agreement and accounting assessment and evaluating the completeness of the performance obligations identified. In addition, we evaluated management’s estimates of the standalone selling price of the identified performance obligations. For example, we tested the significant assumptions and the completeness and accuracy of the underlying data used by the Company in developing the expected cost plus a margin for the Development Activities, the post-option development timeline and costs, forecasted revenues, discount rates and probabilities of technical and regulatory success for the CD123 Option. We compared these significant assumptions to industry, business and market data, and information available from third-party sources. We involved our internal valuation specialists to assist in the assessment of the discount rate used and certain other valuation assumptions used in the determination of the estimated standalone selling prices. We also performed a sensitivity analysis of the significant assumptions to evaluate the impact that the change in the estimated standalone selling price of certain performance obligations resulting from changes in the significant assumptions would have on the allocation of transaction price to each performance obligation, as well as revenue recognized during the period and deferred as of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5" w:right="359" w:bottom="1440"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Marketable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receivable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net</w:t>
      </w:r>
    </w:p>
    <w:p>
      <w:pPr>
        <w:spacing w:after="0" w:line="23" w:lineRule="exact"/>
        <w:rPr>
          <w:sz w:val="20"/>
          <w:szCs w:val="20"/>
          <w:color w:val="auto"/>
        </w:rPr>
      </w:pPr>
    </w:p>
    <w:p>
      <w:pPr>
        <w:ind w:left="40" w:firstLine="216"/>
        <w:spacing w:after="0" w:line="273" w:lineRule="auto"/>
        <w:rPr>
          <w:sz w:val="20"/>
          <w:szCs w:val="20"/>
          <w:color w:val="auto"/>
        </w:rPr>
      </w:pPr>
      <w:r>
        <w:rPr>
          <w:rFonts w:ascii="Arial" w:cs="Arial" w:eastAsia="Arial" w:hAnsi="Arial"/>
          <w:sz w:val="18"/>
          <w:szCs w:val="18"/>
          <w:color w:val="auto"/>
        </w:rPr>
        <w:t>Prepaid expenses and other current assets Total current assets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equipment and software,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right-of-use assets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non current assets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37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78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5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468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668"/>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108,884</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123,469</w:t>
            </w:r>
          </w:p>
        </w:tc>
      </w:tr>
      <w:tr>
        <w:trPr>
          <w:trHeight w:val="229"/>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120,147</w:t>
            </w:r>
          </w:p>
        </w:tc>
      </w:tr>
      <w:tr>
        <w:trPr>
          <w:trHeight w:val="230"/>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10,386</w:t>
            </w:r>
          </w:p>
        </w:tc>
      </w:tr>
      <w:tr>
        <w:trPr>
          <w:trHeight w:val="229"/>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30"/>
        </w:trPr>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21,170</w:t>
            </w:r>
          </w:p>
        </w:tc>
      </w:tr>
      <w:tr>
        <w:trPr>
          <w:trHeight w:val="222"/>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222,180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279,560</w:t>
            </w:r>
          </w:p>
        </w:tc>
      </w:tr>
      <w:tr>
        <w:trPr>
          <w:trHeight w:val="230"/>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37,676</w:t>
            </w:r>
          </w:p>
        </w:tc>
      </w:tr>
      <w:tr>
        <w:trPr>
          <w:trHeight w:val="229"/>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16,614</w:t>
            </w:r>
          </w:p>
        </w:tc>
      </w:tr>
      <w:tr>
        <w:trPr>
          <w:trHeight w:val="230"/>
        </w:trPr>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335,245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-1799590</wp:posOffset>
            </wp:positionV>
            <wp:extent cx="7106285"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-1508125</wp:posOffset>
            </wp:positionV>
            <wp:extent cx="710628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-1216660</wp:posOffset>
            </wp:positionV>
            <wp:extent cx="710628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-925195</wp:posOffset>
            </wp:positionV>
            <wp:extent cx="710628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-625475</wp:posOffset>
            </wp:positionV>
            <wp:extent cx="7106285"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-334010</wp:posOffset>
            </wp:positionV>
            <wp:extent cx="710628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40" w:space="560"/>
            <w:col w:w="7420"/>
          </w:cols>
          <w:pgMar w:left="320" w:top="891" w:right="359" w:bottom="1440" w:gutter="0" w:footer="0" w:header="0"/>
        </w:sectPr>
      </w:pPr>
    </w:p>
    <w:tbl>
      <w:tblPr>
        <w:tblLayout w:type="fixed"/>
        <w:tblInd w:w="40" w:type="dxa"/>
        <w:tblCellMar>
          <w:top w:w="0" w:type="dxa"/>
          <w:left w:w="0" w:type="dxa"/>
          <w:bottom w:w="0" w:type="dxa"/>
          <w:right w:w="0" w:type="dxa"/>
        </w:tblCellMar>
      </w:tblPr>
      <w:tr>
        <w:trPr>
          <w:trHeight w:val="223"/>
        </w:trPr>
        <w:tc>
          <w:tcPr>
            <w:tcW w:w="8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4,899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15,500</w:t>
            </w: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28,998</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33,755</w:t>
            </w: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9,988</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20,646</w:t>
            </w: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4,726</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48,611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74,578</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59,480</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Lease liabilities, net of current portion</w:t>
            </w: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30,106</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20,791</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non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138,455</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95,627</w:t>
            </w:r>
          </w:p>
        </w:tc>
      </w:tr>
      <w:tr>
        <w:trPr>
          <w:trHeight w:val="270"/>
        </w:trPr>
        <w:tc>
          <w:tcPr>
            <w:tcW w:w="8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5"/>
        </w:trPr>
        <w:tc>
          <w:tcPr>
            <w:tcW w:w="8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0"/>
              </w:rPr>
              <w:t>Common stock, 0.01 par value -- 125,000,000 shares authorized, 61,701,467 and 61,307,428 shares outstanding</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 December 31, 2022 and December 31, 2021, respectively</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1,235,095</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1,213,002</w:t>
            </w: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(1,093,694)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(973,936)</w:t>
            </w: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142,013</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239,618</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280,468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335,245</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Collaborative and other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119,303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63,294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97,764</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Contract manufacturing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agreements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104,883</w:t>
            </w: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Cost of product sales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manufacturing services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193,201</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42,742</w:t>
            </w: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235,943</w:t>
            </w: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(131,060)</w:t>
            </w:r>
          </w:p>
        </w:tc>
      </w:tr>
      <w:tr>
        <w:trPr>
          <w:trHeight w:val="23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(129,739)</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(119,702)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(129,762)</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7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61,433,124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59,944,717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52,442,389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120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2540" w:type="dxa"/>
            <w:vAlign w:val="bottom"/>
            <w:gridSpan w:val="5"/>
            <w:vMerge w:val="restart"/>
          </w:tcPr>
          <w:p>
            <w:pPr>
              <w:ind w:left="7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center"/>
              <w:ind w:right="280"/>
              <w:spacing w:after="0" w:line="12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9"/>
                <w:szCs w:val="9"/>
                <w:color w:val="auto"/>
              </w:rPr>
            </w:pPr>
          </w:p>
        </w:tc>
        <w:tc>
          <w:tcPr>
            <w:tcW w:w="116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9"/>
                <w:szCs w:val="9"/>
                <w:color w:val="auto"/>
              </w:rPr>
            </w:pPr>
          </w:p>
        </w:tc>
        <w:tc>
          <w:tcPr>
            <w:tcW w:w="1400" w:type="dxa"/>
            <w:vAlign w:val="bottom"/>
            <w:gridSpan w:val="2"/>
            <w:vMerge w:val="restart"/>
          </w:tcPr>
          <w:p>
            <w:pPr>
              <w:jc w:val="center"/>
              <w:ind w:right="2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9"/>
                <w:szCs w:val="9"/>
                <w:color w:val="auto"/>
              </w:rPr>
            </w:pPr>
          </w:p>
        </w:tc>
        <w:tc>
          <w:tcPr>
            <w:tcW w:w="1200" w:type="dxa"/>
            <w:vAlign w:val="bottom"/>
            <w:vMerge w:val="restart"/>
          </w:tcPr>
          <w:p>
            <w:pPr>
              <w:jc w:val="center"/>
              <w:ind w:right="112"/>
              <w:spacing w:after="0" w:line="12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34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6"/>
                <w:szCs w:val="16"/>
                <w:color w:val="auto"/>
              </w:rPr>
            </w:pPr>
          </w:p>
        </w:tc>
        <w:tc>
          <w:tcPr>
            <w:tcW w:w="120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48,958,763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230,628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20,676</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Issuance of common stock, net of offering</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6,612,815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170,456</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1240" w:type="dxa"/>
            <w:vAlign w:val="bottom"/>
          </w:tcPr>
          <w:p>
            <w:pPr>
              <w:jc w:val="right"/>
              <w:spacing w:after="0"/>
              <w:rPr>
                <w:sz w:val="20"/>
                <w:szCs w:val="20"/>
                <w:color w:val="auto"/>
              </w:rPr>
            </w:pPr>
            <w:r>
              <w:rPr>
                <w:rFonts w:ascii="Arial" w:cs="Arial" w:eastAsia="Arial" w:hAnsi="Arial"/>
                <w:sz w:val="18"/>
                <w:szCs w:val="18"/>
                <w:color w:val="auto"/>
              </w:rPr>
              <w:t>673,193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investments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(129,739)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(129,739)</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56,244,771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295,884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Issuance of common stock, net of offering</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4,580,653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1240" w:type="dxa"/>
            <w:vAlign w:val="bottom"/>
          </w:tcPr>
          <w:p>
            <w:pPr>
              <w:jc w:val="right"/>
              <w:spacing w:after="0"/>
              <w:rPr>
                <w:sz w:val="20"/>
                <w:szCs w:val="20"/>
                <w:color w:val="auto"/>
              </w:rPr>
            </w:pPr>
            <w:r>
              <w:rPr>
                <w:rFonts w:ascii="Arial" w:cs="Arial" w:eastAsia="Arial" w:hAnsi="Arial"/>
                <w:sz w:val="18"/>
                <w:szCs w:val="18"/>
                <w:color w:val="auto"/>
              </w:rPr>
              <w:t>482,004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investments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(202,115)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(202,115)</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61,307,428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(973,936)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20,438</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Issuance of common stock, net of offering</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1240" w:type="dxa"/>
            <w:vAlign w:val="bottom"/>
          </w:tcPr>
          <w:p>
            <w:pPr>
              <w:jc w:val="right"/>
              <w:spacing w:after="0"/>
              <w:rPr>
                <w:sz w:val="20"/>
                <w:szCs w:val="20"/>
                <w:color w:val="auto"/>
              </w:rPr>
            </w:pPr>
            <w:r>
              <w:rPr>
                <w:rFonts w:ascii="Arial" w:cs="Arial" w:eastAsia="Arial" w:hAnsi="Arial"/>
                <w:sz w:val="18"/>
                <w:szCs w:val="18"/>
                <w:color w:val="auto"/>
              </w:rPr>
              <w:t>233,559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investments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(119,758)</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61,701,467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7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36"/>
        </w:trPr>
        <w:tc>
          <w:tcPr>
            <w:tcW w:w="70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(119,758)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(202,115)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(129,739)</w:t>
            </w: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11,957</w:t>
            </w:r>
          </w:p>
        </w:tc>
      </w:tr>
      <w:tr>
        <w:trPr>
          <w:trHeight w:val="229"/>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premiums and discounts on marketable securities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700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20,676</w:t>
            </w:r>
          </w:p>
        </w:tc>
      </w:tr>
      <w:tr>
        <w:trPr>
          <w:trHeight w:val="229"/>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non-cash items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w:t>
            </w:r>
          </w:p>
        </w:tc>
      </w:tr>
      <w:tr>
        <w:trPr>
          <w:trHeight w:val="229"/>
        </w:trPr>
        <w:tc>
          <w:tcPr>
            <w:tcW w:w="700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Other non current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6,994</w:t>
            </w:r>
          </w:p>
        </w:tc>
      </w:tr>
      <w:tr>
        <w:trPr>
          <w:trHeight w:val="22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29"/>
        </w:trPr>
        <w:tc>
          <w:tcPr>
            <w:tcW w:w="70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(8,472)</w:t>
            </w:r>
          </w:p>
        </w:tc>
      </w:tr>
      <w:tr>
        <w:trPr>
          <w:trHeight w:val="230"/>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(86,959)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(111,898)</w:t>
            </w:r>
          </w:p>
        </w:tc>
      </w:tr>
      <w:tr>
        <w:trPr>
          <w:trHeight w:val="230"/>
        </w:trPr>
        <w:tc>
          <w:tcPr>
            <w:tcW w:w="7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(223,745)</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Proceeds from sales and maturities of marketable securities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194,940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221,866</w:t>
            </w:r>
          </w:p>
        </w:tc>
      </w:tr>
      <w:tr>
        <w:trPr>
          <w:trHeight w:val="249"/>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equipment and software</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r>
      <w:tr>
        <w:trPr>
          <w:trHeight w:val="217"/>
        </w:trPr>
        <w:tc>
          <w:tcPr>
            <w:tcW w:w="70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(7,785)</w:t>
            </w:r>
          </w:p>
        </w:tc>
      </w:tr>
      <w:tr>
        <w:trPr>
          <w:trHeight w:val="230"/>
        </w:trPr>
        <w:tc>
          <w:tcPr>
            <w:tcW w:w="7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offering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170,456</w:t>
            </w: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stock option exercises and ESPP purchases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r>
      <w:tr>
        <w:trPr>
          <w:trHeight w:val="25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174,342</w:t>
            </w:r>
          </w:p>
        </w:tc>
      </w:tr>
      <w:tr>
        <w:trPr>
          <w:trHeight w:val="217"/>
        </w:trPr>
        <w:tc>
          <w:tcPr>
            <w:tcW w:w="70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54,659</w:t>
            </w:r>
          </w:p>
        </w:tc>
      </w:tr>
      <w:tr>
        <w:trPr>
          <w:trHeight w:val="236"/>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126,472</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108,884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181,131</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7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b w:val="1"/>
                <w:bCs w:val="1"/>
                <w:color w:val="auto"/>
              </w:rPr>
              <w:t>Non-cash operating and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included in accounts payable or accruals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7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MacroGenics, Inc. (the Company) is incorporated in the state of Delaware. The Company is a biopharmaceutical company focused on developing and commercializing innovative antibody-based therapeutics designed to modulate the human immune response for the treatment of cancer. The Company has a pipeline of product candidates being evaluated in clinical trials sponsored by MacroGenics or its collaborators. These product candidates include multiple oncology programs, some of which were created primarily using the Company’s proprietary, antibody-based technology platforms. The Company believes our product candidates have the potential, if approved for marketing by regulatory authorities, to have a meaningful effect on treating patients' unmet medical needs as monotherapy or, in some cases, in combination with other therapeutic agents. In March 2021, the Company and its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As a biotechnology company, the Company has primarily funded its operations with proceeds from the sale of its common stock in equity offerings, revenue from its multiple collaboration agreements, and contracts and grants from the National Institute of Allergy and Infectious Diseases</w:t>
      </w:r>
    </w:p>
    <w:p>
      <w:pPr>
        <w:jc w:val="both"/>
        <w:spacing w:after="0" w:line="269" w:lineRule="auto"/>
        <w:rPr>
          <w:sz w:val="20"/>
          <w:szCs w:val="20"/>
          <w:color w:val="auto"/>
        </w:rPr>
      </w:pPr>
      <w:r>
        <w:rPr>
          <w:rFonts w:ascii="Arial" w:cs="Arial" w:eastAsia="Arial" w:hAnsi="Arial"/>
          <w:sz w:val="17"/>
          <w:szCs w:val="17"/>
          <w:color w:val="auto"/>
        </w:rPr>
        <w:t>(NIAID). 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and product sales.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It is considered probable that the Company can successfully implement efforts to manage uncommitted spending and carry out necessary cost saving measures, including from the Company's corporate restructuring plan announced in August 2022. Based on the Company’s most recent cash flow forecast, the Company believes its current resources are sufficient to fund its operating plans for a minimum of twelve months from the date that this Annual Report on Form 10-K was filed.</w:t>
      </w:r>
    </w:p>
    <w:p>
      <w:pPr>
        <w:spacing w:after="0" w:line="13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Similar to the other risk factors pertinent to the Company's business, the COVID-19 pandemic and geopolitical tensions, including the ongoing military conflict between Russia and Ukraine and the related sanctions imposed against Russia, and related global slowdown of economic activity, decades-high inflation, rising interest rates and a potential recession in the United States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MacroGenics UK Limited and MacroGenics Limited. All intercompany accounts and transactions have been eliminated in consolidation. The Company currently operates in one operating segment. Operating segments are defined as components of an enterprise about which separate discrete information is available for the chief operating decision maker, or decision making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6" w:name="page87"/>
    <w:bookmarkEnd w:id="86"/>
    <w:p>
      <w:pPr>
        <w:ind w:right="460"/>
        <w:spacing w:after="0" w:line="277" w:lineRule="auto"/>
        <w:rPr>
          <w:sz w:val="20"/>
          <w:szCs w:val="20"/>
          <w:color w:val="auto"/>
        </w:rPr>
      </w:pPr>
      <w:r>
        <w:rPr>
          <w:rFonts w:ascii="Arial" w:cs="Arial" w:eastAsia="Arial" w:hAnsi="Arial"/>
          <w:sz w:val="18"/>
          <w:szCs w:val="18"/>
          <w:color w:val="auto"/>
        </w:rPr>
        <w:t>group, in deciding how to allocate resources and assessing performance. The Company views its operations and manages its business in one segment, which is developing and commercializing monoclonal antibody-based therapeutics.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preparation of the financial statements in accordance with generally accepted accounting principles (GAAP) requires the Company to make estimates and judgments in certain circumstances that affect the reported amounts of assets, liabilities, revenues and expenses, and related disclosure of contingent assets and liabilities. In preparing these consolidated financial statements, management has made its best estimates and judgments of certain amounts included in the financial statements, giving due consideration to materiality. On an ongoing basis, the Company evaluates its estimates, including those related to revenue recognition, fair values of assets, inventory, preclinical study and clinical trial accruals and other contingencies. Management bases its estimates on historical experience or on various other assumptions that it believes to be reasonable under the circumstances. Although actual results could differ from these estimates, management does not believe that such differences would be 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Certain amounts in the prior period financial statements have been reclassified to conform to the presentation of current period financial statements. These reclassifications had no effect on the previously reported net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considers all investments in highly liquid financial instruments with a maturity of 90 days or less at the date of purchase to be cash equivalents. Cash and cash equivalents includes investments in money market funds with commercial banks and financial institutions, securities issued by the U.S. government and its agencies, Government Sponsored Enterprise agency debt obligations and corporate debt obligations. Cash equivalents are stated at amortized cost, plus accrued interest, which approximates fair value.</w:t>
      </w:r>
    </w:p>
    <w:p>
      <w:pPr>
        <w:spacing w:after="0" w:line="13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252525"/>
        </w:rPr>
        <w:t xml:space="preserve">The Company carries marketable securities classified as available-for-sale at fair value as determined by prices for identical or similar securities at the balance sheet date. </w:t>
      </w:r>
      <w:r>
        <w:rPr>
          <w:rFonts w:ascii="Arial" w:cs="Arial" w:eastAsia="Arial" w:hAnsi="Arial"/>
          <w:sz w:val="18"/>
          <w:szCs w:val="18"/>
          <w:color w:val="000000"/>
        </w:rPr>
        <w:t>Classification of marketable securities between current and non-current is dependent upon the maturity date at the balance sheet date</w:t>
      </w:r>
      <w:r>
        <w:rPr>
          <w:rFonts w:ascii="Arial" w:cs="Arial" w:eastAsia="Arial" w:hAnsi="Arial"/>
          <w:sz w:val="18"/>
          <w:szCs w:val="18"/>
          <w:color w:val="252525"/>
        </w:rPr>
        <w:t xml:space="preserve"> </w:t>
      </w:r>
      <w:r>
        <w:rPr>
          <w:rFonts w:ascii="Arial" w:cs="Arial" w:eastAsia="Arial" w:hAnsi="Arial"/>
          <w:sz w:val="18"/>
          <w:szCs w:val="18"/>
          <w:color w:val="000000"/>
        </w:rPr>
        <w:t xml:space="preserve">taking into consideration the Company’s ability and intent to hold the investment to maturity. </w:t>
      </w:r>
      <w:r>
        <w:rPr>
          <w:rFonts w:ascii="Arial" w:cs="Arial" w:eastAsia="Arial" w:hAnsi="Arial"/>
          <w:sz w:val="18"/>
          <w:szCs w:val="18"/>
          <w:color w:val="252525"/>
        </w:rPr>
        <w:t>Marketable securities consist of Level 2 financial instruments</w:t>
      </w:r>
      <w:r>
        <w:rPr>
          <w:rFonts w:ascii="Arial" w:cs="Arial" w:eastAsia="Arial" w:hAnsi="Arial"/>
          <w:sz w:val="18"/>
          <w:szCs w:val="18"/>
          <w:color w:val="000000"/>
        </w:rPr>
        <w:t xml:space="preserve"> </w:t>
      </w:r>
      <w:r>
        <w:rPr>
          <w:rFonts w:ascii="Arial" w:cs="Arial" w:eastAsia="Arial" w:hAnsi="Arial"/>
          <w:sz w:val="18"/>
          <w:szCs w:val="18"/>
          <w:color w:val="252525"/>
        </w:rPr>
        <w:t>in the fair-value hierarchy. The Company records unrealized gains and losses as a component of other comprehensive loss within the statements of operations and comprehensive loss and as a separate component of stockholders' equity. Realized gains or losses on available-for-sale securities are determined using the specific identification method and the Company includes net realized gains and losses in other income, along with interest income and amortization of premiums and discounts.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Accounts receivable arise from product sales, amounts due from the Company’s collaborative partners and contract manufacturing work performed by the Company. The amount from product sales represents amounts due from specialty distributors. Accounts receivable that management has the intent and ability to collect are reported in the consolidated balance sheets at outstanding amounts, less an allowance for doubtful accounts. The Company writes off uncollectible receivables when the likelihood of collection is remote.</w:t>
      </w:r>
    </w:p>
    <w:p>
      <w:pPr>
        <w:spacing w:after="0" w:line="13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evaluates the collectability of accounts receivable on a regular basis. The allowance, if any, is based upon various factors including the financial condition and payment history of customers, an overall review of collections experience on other accounts and economic factors or events expected to affect future collections experience. No allowance was recorded as of December 31, 2022 or 2021, as the Company has a history of collecting on all outstanding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Arial" w:cs="Arial" w:eastAsia="Arial" w:hAnsi="Arial"/>
          <w:sz w:val="16"/>
          <w:szCs w:val="16"/>
          <w:color w:val="000000"/>
        </w:rPr>
        <w:t>The Company accounts for recurring and non-recurring fair value measurements in</w:t>
      </w:r>
      <w:r>
        <w:rPr>
          <w:rFonts w:ascii="Arial" w:cs="Arial" w:eastAsia="Arial" w:hAnsi="Arial"/>
          <w:sz w:val="16"/>
          <w:szCs w:val="16"/>
          <w:color w:val="252525"/>
        </w:rPr>
        <w:t xml:space="preserve"> </w:t>
      </w:r>
      <w:r>
        <w:rPr>
          <w:rFonts w:ascii="Arial" w:cs="Arial" w:eastAsia="Arial" w:hAnsi="Arial"/>
          <w:sz w:val="16"/>
          <w:szCs w:val="16"/>
          <w:color w:val="000000"/>
        </w:rPr>
        <w:t xml:space="preserve">accordance with the Financial Accounting Standards Board (FASB) Accounting Standards Codification (ASC) 820, </w:t>
      </w:r>
      <w:r>
        <w:rPr>
          <w:rFonts w:ascii="Arial" w:cs="Arial" w:eastAsia="Arial" w:hAnsi="Arial"/>
          <w:sz w:val="16"/>
          <w:szCs w:val="16"/>
          <w:i w:val="1"/>
          <w:iCs w:val="1"/>
          <w:color w:val="000000"/>
        </w:rPr>
        <w:t>Fair Value Measurements and</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Disclosures </w:t>
      </w:r>
      <w:r>
        <w:rPr>
          <w:rFonts w:ascii="Arial" w:cs="Arial" w:eastAsia="Arial" w:hAnsi="Arial"/>
          <w:sz w:val="16"/>
          <w:szCs w:val="16"/>
          <w:color w:val="000000"/>
        </w:rPr>
        <w:t>(ASC 820). ASC 820 defines fair value, establishes a fair value hierarchy for assets and liabilities measured at fair value, and requires</w:t>
      </w:r>
      <w:r>
        <w:rPr>
          <w:rFonts w:ascii="Arial" w:cs="Arial" w:eastAsia="Arial" w:hAnsi="Arial"/>
          <w:sz w:val="16"/>
          <w:szCs w:val="16"/>
          <w:i w:val="1"/>
          <w:iCs w:val="1"/>
          <w:color w:val="000000"/>
        </w:rPr>
        <w:t xml:space="preserve"> </w:t>
      </w:r>
      <w:r>
        <w:rPr>
          <w:rFonts w:ascii="Arial" w:cs="Arial" w:eastAsia="Arial" w:hAnsi="Arial"/>
          <w:sz w:val="16"/>
          <w:szCs w:val="16"/>
          <w:color w:val="000000"/>
        </w:rPr>
        <w:t>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p>
      <w:pPr>
        <w:ind w:left="980" w:hanging="324"/>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Level 1 – Fair value is determined by using unadjusted quoted prices that are available in active markets for identical assets and liabilities.</w:t>
      </w:r>
    </w:p>
    <w:p>
      <w:pPr>
        <w:spacing w:after="0" w:line="194" w:lineRule="exact"/>
        <w:rPr>
          <w:rFonts w:ascii="Arial" w:cs="Arial" w:eastAsia="Arial" w:hAnsi="Arial"/>
          <w:sz w:val="16"/>
          <w:szCs w:val="16"/>
          <w:color w:val="auto"/>
        </w:rPr>
      </w:pPr>
    </w:p>
    <w:p>
      <w:pPr>
        <w:ind w:left="980" w:hanging="324"/>
        <w:spacing w:after="0" w:line="259"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132" w:lineRule="exact"/>
        <w:rPr>
          <w:rFonts w:ascii="Arial" w:cs="Arial" w:eastAsia="Arial" w:hAnsi="Arial"/>
          <w:sz w:val="18"/>
          <w:szCs w:val="18"/>
          <w:color w:val="auto"/>
        </w:rPr>
      </w:pPr>
    </w:p>
    <w:p>
      <w:pPr>
        <w:ind w:left="980" w:right="280" w:hanging="324"/>
        <w:spacing w:after="0" w:line="263"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130"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Arial" w:cs="Arial" w:eastAsia="Arial" w:hAnsi="Arial"/>
          <w:sz w:val="16"/>
          <w:szCs w:val="16"/>
          <w:color w:val="252525"/>
        </w:rPr>
        <w:t>There were no transfers between levels during the periods presented.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measured at fair value on a recurring basis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5340" w:type="dxa"/>
            <w:vAlign w:val="bottom"/>
            <w:tcBorders>
              <w:bottom w:val="single" w:sz="8" w:color="auto"/>
            </w:tcBorders>
            <w:gridSpan w:val="8"/>
          </w:tcPr>
          <w:p>
            <w:pPr>
              <w:jc w:val="right"/>
              <w:ind w:right="770"/>
              <w:spacing w:after="0"/>
              <w:rPr>
                <w:sz w:val="20"/>
                <w:szCs w:val="20"/>
                <w:color w:val="auto"/>
              </w:rPr>
            </w:pPr>
            <w:r>
              <w:rPr>
                <w:rFonts w:ascii="Arial" w:cs="Arial" w:eastAsia="Arial" w:hAnsi="Arial"/>
                <w:sz w:val="18"/>
                <w:szCs w:val="18"/>
                <w:b w:val="1"/>
                <w:bCs w:val="1"/>
                <w:color w:val="auto"/>
              </w:rPr>
              <w:t>Fair Value Measurement at December 31, 2022</w:t>
            </w:r>
          </w:p>
        </w:tc>
      </w:tr>
      <w:tr>
        <w:trPr>
          <w:trHeight w:val="223"/>
        </w:trPr>
        <w:tc>
          <w:tcPr>
            <w:tcW w:w="5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Level 2</w:t>
            </w:r>
          </w:p>
        </w:tc>
      </w:tr>
      <w:tr>
        <w:trPr>
          <w:trHeight w:val="210"/>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41,564</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41,564</w:t>
            </w:r>
          </w:p>
        </w:tc>
        <w:tc>
          <w:tcPr>
            <w:tcW w:w="2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Government-sponsored enterprises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32,811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32,811</w:t>
            </w: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17,626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17,626</w:t>
            </w:r>
          </w:p>
        </w:tc>
      </w:tr>
      <w:tr>
        <w:trPr>
          <w:trHeight w:val="248"/>
        </w:trPr>
        <w:tc>
          <w:tcPr>
            <w:tcW w:w="58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assets measured at fair value </w:t>
            </w:r>
            <w:r>
              <w:rPr>
                <w:rFonts w:ascii="Arial" w:cs="Arial" w:eastAsia="Arial" w:hAnsi="Arial"/>
                <w:sz w:val="23"/>
                <w:szCs w:val="23"/>
                <w:color w:val="auto"/>
                <w:vertAlign w:val="superscript"/>
              </w:rPr>
              <w:t>(a)</w:t>
            </w: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92,001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gridSpan w:val="7"/>
          </w:tcPr>
          <w:p>
            <w:pPr>
              <w:jc w:val="right"/>
              <w:ind w:right="790"/>
              <w:spacing w:after="0"/>
              <w:rPr>
                <w:sz w:val="20"/>
                <w:szCs w:val="20"/>
                <w:color w:val="auto"/>
              </w:rPr>
            </w:pPr>
            <w:r>
              <w:rPr>
                <w:rFonts w:ascii="Arial" w:cs="Arial" w:eastAsia="Arial" w:hAnsi="Arial"/>
                <w:sz w:val="18"/>
                <w:szCs w:val="18"/>
                <w:b w:val="1"/>
                <w:bCs w:val="1"/>
                <w:color w:val="auto"/>
              </w:rPr>
              <w:t>Fair Value Measurement at December 31, 2021</w:t>
            </w:r>
          </w:p>
        </w:tc>
      </w:tr>
      <w:tr>
        <w:trPr>
          <w:trHeight w:val="223"/>
        </w:trPr>
        <w:tc>
          <w:tcPr>
            <w:tcW w:w="5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9"/>
                <w:szCs w:val="19"/>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17,202</w:t>
            </w:r>
          </w:p>
        </w:tc>
        <w:tc>
          <w:tcPr>
            <w:tcW w:w="1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17,202</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Government-sponsored enterprise</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7,734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7,734</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r>
      <w:tr>
        <w:trPr>
          <w:trHeight w:val="223"/>
        </w:trPr>
        <w:tc>
          <w:tcPr>
            <w:tcW w:w="58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assets measured at fair value </w:t>
            </w:r>
            <w:r>
              <w:rPr>
                <w:rFonts w:ascii="Arial" w:cs="Arial" w:eastAsia="Arial" w:hAnsi="Arial"/>
                <w:sz w:val="23"/>
                <w:szCs w:val="23"/>
                <w:color w:val="auto"/>
                <w:vertAlign w:val="superscript"/>
              </w:rPr>
              <w:t>(b)</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143,348</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98,334</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45,014</w:t>
            </w:r>
          </w:p>
        </w:tc>
      </w:tr>
      <w:tr>
        <w:trPr>
          <w:trHeight w:val="20"/>
        </w:trPr>
        <w:tc>
          <w:tcPr>
            <w:tcW w:w="5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60" w:right="80" w:hanging="252"/>
        <w:spacing w:after="0" w:line="277" w:lineRule="auto"/>
        <w:tabs>
          <w:tab w:leader="none" w:pos="2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assets measured at fair value at December 31, 2022 includes approximately $46.5 million reported as cash and cash equivalents and $45.5 million reported as marketable securities on the balance sheet.</w:t>
      </w:r>
    </w:p>
    <w:p>
      <w:pPr>
        <w:spacing w:after="0" w:line="116" w:lineRule="exact"/>
        <w:rPr>
          <w:rFonts w:ascii="Arial" w:cs="Arial" w:eastAsia="Arial" w:hAnsi="Arial"/>
          <w:sz w:val="18"/>
          <w:szCs w:val="18"/>
          <w:color w:val="auto"/>
        </w:rPr>
      </w:pPr>
    </w:p>
    <w:p>
      <w:pPr>
        <w:ind w:left="260" w:right="1080" w:hanging="252"/>
        <w:spacing w:after="0" w:line="277" w:lineRule="auto"/>
        <w:tabs>
          <w:tab w:leader="none" w:pos="2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assets measured at fair value at December 31, 2021 includes approximately $23.2 million reported as cash and cash equivalents and $120.1 million reported as marketable securities on the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Financial instruments that potentially subject the Company to concentrations of credit risk consist principally of cash, cash equivalents, marketable securities and accounts receivable. </w:t>
      </w:r>
      <w:r>
        <w:rPr>
          <w:rFonts w:ascii="Arial" w:cs="Arial" w:eastAsia="Arial" w:hAnsi="Arial"/>
          <w:sz w:val="17"/>
          <w:szCs w:val="17"/>
          <w:color w:val="252525"/>
        </w:rPr>
        <w:t>The Company maintains its cash and money market funds with financial institutions that are federally insured. While</w:t>
      </w:r>
      <w:r>
        <w:rPr>
          <w:rFonts w:ascii="Arial" w:cs="Arial" w:eastAsia="Arial" w:hAnsi="Arial"/>
          <w:sz w:val="17"/>
          <w:szCs w:val="17"/>
          <w:color w:val="auto"/>
        </w:rPr>
        <w:t xml:space="preserve"> </w:t>
      </w:r>
      <w:r>
        <w:rPr>
          <w:rFonts w:ascii="Arial" w:cs="Arial" w:eastAsia="Arial" w:hAnsi="Arial"/>
          <w:sz w:val="17"/>
          <w:szCs w:val="17"/>
          <w:color w:val="252525"/>
        </w:rPr>
        <w:t xml:space="preserve">balances deposited in these institutions often exceed Federal Deposit Insurance Corporation limits, the Company has not experienced any losses on related accounts to date. The Company's investment policy limits investments to certain types of debt securities issued by the U.S. government, its agencies and institutions with investment-grade credit ratings and places restrictions on maturities and concentration by type and issuer. </w:t>
      </w:r>
      <w:r>
        <w:rPr>
          <w:rFonts w:ascii="Arial" w:cs="Arial" w:eastAsia="Arial" w:hAnsi="Arial"/>
          <w:sz w:val="17"/>
          <w:szCs w:val="17"/>
          <w:color w:val="000000"/>
        </w:rPr>
        <w:t>The counterparties are various</w:t>
      </w:r>
      <w:r>
        <w:rPr>
          <w:rFonts w:ascii="Arial" w:cs="Arial" w:eastAsia="Arial" w:hAnsi="Arial"/>
          <w:sz w:val="17"/>
          <w:szCs w:val="17"/>
          <w:color w:val="252525"/>
        </w:rPr>
        <w:t xml:space="preserve"> </w:t>
      </w:r>
      <w:r>
        <w:rPr>
          <w:rFonts w:ascii="Arial" w:cs="Arial" w:eastAsia="Arial" w:hAnsi="Arial"/>
          <w:sz w:val="17"/>
          <w:szCs w:val="17"/>
          <w:color w:val="000000"/>
        </w:rPr>
        <w:t>corporations, financial institutions and government agencies of high credit standing.</w:t>
      </w:r>
    </w:p>
    <w:p>
      <w:pPr>
        <w:spacing w:after="0" w:line="12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Company's revenue relates to agreements with various collaborators, MARGENZA net product sales and contracts and research grants received from U.S. government agencies. The following table includes those counterparties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that represent more than 10% of total revenue earned in the periods indicated:</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6"/>
        </w:trPr>
        <w:tc>
          <w:tcPr>
            <w:tcW w:w="764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9"/>
              </w:rPr>
              <w:t>Year Ended December 31,</w:t>
            </w:r>
          </w:p>
        </w:tc>
        <w:tc>
          <w:tcPr>
            <w:tcW w:w="740" w:type="dxa"/>
            <w:vAlign w:val="bottom"/>
            <w:tcBorders>
              <w:bottom w:val="single" w:sz="8" w:color="auto"/>
            </w:tcBorders>
          </w:tcPr>
          <w:p>
            <w:pPr>
              <w:spacing w:after="0"/>
              <w:rPr>
                <w:sz w:val="22"/>
                <w:szCs w:val="22"/>
                <w:color w:val="auto"/>
              </w:rPr>
            </w:pPr>
          </w:p>
        </w:tc>
      </w:tr>
      <w:tr>
        <w:trPr>
          <w:trHeight w:val="223"/>
        </w:trPr>
        <w:tc>
          <w:tcPr>
            <w:tcW w:w="7640" w:type="dxa"/>
            <w:vAlign w:val="bottom"/>
          </w:tcPr>
          <w:p>
            <w:pPr>
              <w:spacing w:after="0"/>
              <w:rPr>
                <w:sz w:val="19"/>
                <w:szCs w:val="19"/>
                <w:color w:val="auto"/>
              </w:rPr>
            </w:pPr>
          </w:p>
        </w:tc>
        <w:tc>
          <w:tcPr>
            <w:tcW w:w="74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2022</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Incyte Corporation (Incyte)</w:t>
            </w:r>
          </w:p>
        </w:tc>
        <w:tc>
          <w:tcPr>
            <w:tcW w:w="74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8"/>
              </w:rPr>
              <w:t>26%</w:t>
            </w: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ind w:right="250"/>
              <w:spacing w:after="0"/>
              <w:rPr>
                <w:sz w:val="20"/>
                <w:szCs w:val="20"/>
                <w:color w:val="auto"/>
              </w:rPr>
            </w:pPr>
            <w:r>
              <w:rPr>
                <w:rFonts w:ascii="Arial" w:cs="Arial" w:eastAsia="Arial" w:hAnsi="Arial"/>
                <w:sz w:val="18"/>
                <w:szCs w:val="18"/>
                <w:color w:val="auto"/>
                <w:w w:val="88"/>
              </w:rPr>
              <w:t>47%</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Janssen Biotech, Inc. (Janssen)</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right="250"/>
              <w:spacing w:after="0"/>
              <w:rPr>
                <w:sz w:val="20"/>
                <w:szCs w:val="20"/>
                <w:color w:val="auto"/>
              </w:rPr>
            </w:pPr>
            <w:r>
              <w:rPr>
                <w:rFonts w:ascii="Arial" w:cs="Arial" w:eastAsia="Arial" w:hAnsi="Arial"/>
                <w:sz w:val="18"/>
                <w:szCs w:val="18"/>
                <w:color w:val="auto"/>
                <w:w w:val="88"/>
              </w:rPr>
              <w:t>19%</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Zai Lab Limited (Zai Lab)</w:t>
            </w:r>
          </w:p>
        </w:tc>
        <w:tc>
          <w:tcPr>
            <w:tcW w:w="7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8"/>
              </w:rPr>
              <w:t>15%</w:t>
            </w:r>
          </w:p>
        </w:tc>
        <w:tc>
          <w:tcPr>
            <w:tcW w:w="15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88"/>
              </w:rPr>
              <w:t>11%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Provention Bio, Inc (Provention)</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43%</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right="25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I-Mab Biopharma (I-Mab)</w:t>
            </w:r>
          </w:p>
        </w:tc>
        <w:tc>
          <w:tcPr>
            <w:tcW w:w="7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Amount is less than 10% for the period indicated.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those counterparties that represent more than 10% of accounts receivable at the date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260" w:type="dxa"/>
            <w:vAlign w:val="bottom"/>
          </w:tcPr>
          <w:p>
            <w:pPr>
              <w:spacing w:after="0"/>
              <w:rPr>
                <w:sz w:val="19"/>
                <w:szCs w:val="19"/>
                <w:color w:val="auto"/>
              </w:rPr>
            </w:pPr>
          </w:p>
        </w:tc>
        <w:tc>
          <w:tcPr>
            <w:tcW w:w="92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2022</w:t>
            </w:r>
          </w:p>
        </w:tc>
        <w:tc>
          <w:tcPr>
            <w:tcW w:w="202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Provention</w:t>
            </w:r>
          </w:p>
        </w:tc>
        <w:tc>
          <w:tcPr>
            <w:tcW w:w="920" w:type="dxa"/>
            <w:vAlign w:val="bottom"/>
            <w:tcBorders>
              <w:top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8"/>
              </w:rPr>
              <w:t>84%</w:t>
            </w:r>
          </w:p>
        </w:tc>
        <w:tc>
          <w:tcPr>
            <w:tcW w:w="4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Zai Lab</w:t>
            </w:r>
          </w:p>
        </w:tc>
        <w:tc>
          <w:tcPr>
            <w:tcW w:w="920" w:type="dxa"/>
            <w:vAlign w:val="bottom"/>
          </w:tcPr>
          <w:p>
            <w:pPr>
              <w:jc w:val="center"/>
              <w:ind w:left="39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23%</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I-Mab</w:t>
            </w:r>
          </w:p>
        </w:tc>
        <w:tc>
          <w:tcPr>
            <w:tcW w:w="9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center"/>
              <w:ind w:left="610"/>
              <w:spacing w:after="0"/>
              <w:rPr>
                <w:sz w:val="20"/>
                <w:szCs w:val="20"/>
                <w:color w:val="auto"/>
              </w:rPr>
            </w:pPr>
            <w:r>
              <w:rPr>
                <w:rFonts w:ascii="Arial" w:cs="Arial" w:eastAsia="Arial" w:hAnsi="Arial"/>
                <w:sz w:val="18"/>
                <w:szCs w:val="18"/>
                <w:color w:val="auto"/>
                <w:w w:val="88"/>
              </w:rPr>
              <w:t>12%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McKesson Plasma &amp; Biologics and McKesson Specialty Care Distribution LLC</w:t>
            </w:r>
          </w:p>
        </w:tc>
        <w:tc>
          <w:tcPr>
            <w:tcW w:w="920" w:type="dxa"/>
            <w:vAlign w:val="bottom"/>
          </w:tcPr>
          <w:p>
            <w:pPr>
              <w:jc w:val="center"/>
              <w:ind w:left="39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18%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ASD Healthcare and Oncology Supply</w:t>
            </w:r>
          </w:p>
        </w:tc>
        <w:tc>
          <w:tcPr>
            <w:tcW w:w="9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center"/>
              <w:ind w:left="610"/>
              <w:spacing w:after="0"/>
              <w:rPr>
                <w:sz w:val="20"/>
                <w:szCs w:val="20"/>
                <w:color w:val="auto"/>
              </w:rPr>
            </w:pPr>
            <w:r>
              <w:rPr>
                <w:rFonts w:ascii="Arial" w:cs="Arial" w:eastAsia="Arial" w:hAnsi="Arial"/>
                <w:sz w:val="18"/>
                <w:szCs w:val="18"/>
                <w:color w:val="auto"/>
                <w:w w:val="88"/>
              </w:rPr>
              <w:t>18%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Balance is less than 10% as of the date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When the Company believes regulatory approval is probable and expects future economic benefit from the sales of a product candidate to be realized, the Company capitalizes manufacturing costs (whether internally produced or through third-party contract manufacturing organizations) as inventory. Prior to receiving its first approval from the U.S. Food and Drug Administration (FDA) in December 2020, the Company expensed all costs incurred related to the manufacture of MARGENZA as research and development expense because of the inherent risks associated with the development of a product candidate, the uncertainty about the regulatory approval process and the lack of history for the Company of regulatory approval of drug candidates. Subsequent to FDA approval in December 2020, the Company began capitalizing its MARGENZA third-party contract manufacturing inventory costs.</w:t>
      </w:r>
    </w:p>
    <w:p>
      <w:pPr>
        <w:spacing w:after="0" w:line="14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Inventory is composed of raw materials, work-in-process, and finished goods, which are goods that are available for sale. The Company values its inventories at the lower of cost or estimated net realizable value. The Company determines the cost of its inventories, which includes amounts related to materials and third-party contract manufacturing costs, on a first-in, first-out basis. The Company performs an assessment of the recoverability of capitalized inventory during each reporting period, and it writes down any excess, obsolete or unsaleable inventories to their estimated realizable value in the period in which the impairment is first identified. Such write downs, should they occur, are recorded within the cost of product sales in the statement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w:t>
      </w:r>
    </w:p>
    <w:p>
      <w:pPr>
        <w:spacing w:after="0" w:line="171"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Property, equipment and software are stated at cost. Upon retirement or sale, the cost of assets disposed of and the related accumulated depreciation or amortization are removed from the accounts and any resulting gain or loss is credited or charged to operations. Repairs and maintenance costs are expensed as incurred. Depreciation and amortization are computed using the straight-line method over the following estimated useful lives: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72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3 years</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Software</w:t>
            </w:r>
          </w:p>
        </w:tc>
        <w:tc>
          <w:tcPr>
            <w:tcW w:w="7220" w:type="dxa"/>
            <w:vAlign w:val="bottom"/>
          </w:tcPr>
          <w:p>
            <w:pPr>
              <w:ind w:left="1640"/>
              <w:spacing w:after="0"/>
              <w:rPr>
                <w:sz w:val="20"/>
                <w:szCs w:val="20"/>
                <w:color w:val="auto"/>
              </w:rPr>
            </w:pPr>
            <w:r>
              <w:rPr>
                <w:rFonts w:ascii="Arial" w:cs="Arial" w:eastAsia="Arial" w:hAnsi="Arial"/>
                <w:sz w:val="18"/>
                <w:szCs w:val="18"/>
                <w:color w:val="auto"/>
              </w:rPr>
              <w:t>3 years</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w:t>
            </w:r>
          </w:p>
        </w:tc>
        <w:tc>
          <w:tcPr>
            <w:tcW w:w="72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10 years</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Laboratory and office equipment</w:t>
            </w:r>
          </w:p>
        </w:tc>
        <w:tc>
          <w:tcPr>
            <w:tcW w:w="7220" w:type="dxa"/>
            <w:vAlign w:val="bottom"/>
          </w:tcPr>
          <w:p>
            <w:pPr>
              <w:ind w:left="1640"/>
              <w:spacing w:after="0"/>
              <w:rPr>
                <w:sz w:val="20"/>
                <w:szCs w:val="20"/>
                <w:color w:val="auto"/>
              </w:rPr>
            </w:pPr>
            <w:r>
              <w:rPr>
                <w:rFonts w:ascii="Arial" w:cs="Arial" w:eastAsia="Arial" w:hAnsi="Arial"/>
                <w:sz w:val="18"/>
                <w:szCs w:val="18"/>
                <w:color w:val="auto"/>
              </w:rPr>
              <w:t>5 years</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72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Shorter of lease term or useful life</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The Company assesses the recoverability of its long-lived assets in accordance with the provisions of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(ASC 360). ASC 360 requires that long-lived assets be reviewed for impairment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or asset group. If carrying value exceeds the sum of undiscounted cash flows, the Company then determines the fair value of the underlying asset group. Any impairment to be recognized is measured by the amount by which the carrying amount of the asset group exceeds the estimated fair value of the asset group. Assets to be disposed of are reported at the lower of the carrying amount or fair value, less costs to sell. For the years ended December 31, 2022, and 2021, the Company determined that there were no impaired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80" w:firstLine="729"/>
        <w:spacing w:after="0" w:line="254" w:lineRule="auto"/>
        <w:rPr>
          <w:sz w:val="20"/>
          <w:szCs w:val="20"/>
          <w:color w:val="auto"/>
        </w:rPr>
      </w:pPr>
      <w:r>
        <w:rPr>
          <w:rFonts w:ascii="Arial" w:cs="Arial" w:eastAsia="Arial" w:hAnsi="Arial"/>
          <w:sz w:val="18"/>
          <w:szCs w:val="18"/>
          <w:color w:val="auto"/>
        </w:rPr>
        <w:t xml:space="preserve">The Company recognizes revenue under ASC Topic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(ASC 606)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recognizes as revenue the amount of the transaction price that is allocated to the respective performance obligation when (or as) the performance obligation is satisfied.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Collaborative and other agreements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enters into licensing agreements that are within the scope of ASC 606, under which it may license rights to research, develop, manufacture and commercialize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The Company may also enter into development and manufacturing service agreements with its collaborators.</w:t>
      </w:r>
    </w:p>
    <w:p>
      <w:pPr>
        <w:spacing w:after="0" w:line="13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each arrangement that results in revenues, the Company identifies all performance obligations, which may include a license to intellectual property and know-how, research and development activities, transition activities and/or manufacturing services. In order to determine the transaction price,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12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in order to account for these agreements. To determine the standalone selling price, the Company’s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the</w:t>
      </w:r>
    </w:p>
    <w:p>
      <w:pPr>
        <w:spacing w:after="0" w:line="35" w:lineRule="exact"/>
        <w:rPr>
          <w:sz w:val="20"/>
          <w:szCs w:val="20"/>
          <w:color w:val="auto"/>
        </w:rPr>
      </w:pPr>
    </w:p>
    <w:p>
      <w:pPr>
        <w:jc w:val="both"/>
        <w:ind w:right="40"/>
        <w:spacing w:after="0" w:line="323" w:lineRule="auto"/>
        <w:rPr>
          <w:sz w:val="20"/>
          <w:szCs w:val="20"/>
          <w:color w:val="auto"/>
        </w:rPr>
      </w:pPr>
      <w:r>
        <w:rPr>
          <w:rFonts w:ascii="Arial" w:cs="Arial" w:eastAsia="Arial" w:hAnsi="Arial"/>
          <w:sz w:val="16"/>
          <w:szCs w:val="16"/>
          <w:color w:val="auto"/>
        </w:rPr>
        <w:t>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38"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i w:val="1"/>
          <w:iCs w:val="1"/>
          <w:color w:val="auto"/>
        </w:rPr>
        <w:t xml:space="preserve">Licenses. </w:t>
      </w:r>
      <w:r>
        <w:rPr>
          <w:rFonts w:ascii="Arial" w:cs="Arial" w:eastAsia="Arial" w:hAnsi="Arial"/>
          <w:sz w:val="18"/>
          <w:szCs w:val="18"/>
          <w:color w:val="252525"/>
        </w:rPr>
        <w:t>When the Company grants a license to its intellectual property, it</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whether the</w:t>
      </w:r>
      <w:r>
        <w:rPr>
          <w:rFonts w:ascii="Arial" w:cs="Arial" w:eastAsia="Arial" w:hAnsi="Arial"/>
          <w:sz w:val="18"/>
          <w:szCs w:val="18"/>
          <w:i w:val="1"/>
          <w:iCs w:val="1"/>
          <w:color w:val="auto"/>
        </w:rPr>
        <w:t xml:space="preserve"> </w:t>
      </w:r>
      <w:r>
        <w:rPr>
          <w:rFonts w:ascii="Arial" w:cs="Arial" w:eastAsia="Arial" w:hAnsi="Arial"/>
          <w:sz w:val="18"/>
          <w:szCs w:val="18"/>
          <w:color w:val="252525"/>
        </w:rPr>
        <w:t>nature of the intellectual property to which the</w:t>
      </w:r>
      <w:r>
        <w:rPr>
          <w:rFonts w:ascii="Arial" w:cs="Arial" w:eastAsia="Arial" w:hAnsi="Arial"/>
          <w:sz w:val="18"/>
          <w:szCs w:val="18"/>
          <w:i w:val="1"/>
          <w:iCs w:val="1"/>
          <w:color w:val="auto"/>
        </w:rPr>
        <w:t xml:space="preserve"> </w:t>
      </w:r>
      <w:r>
        <w:rPr>
          <w:rFonts w:ascii="Arial" w:cs="Arial" w:eastAsia="Arial" w:hAnsi="Arial"/>
          <w:sz w:val="18"/>
          <w:szCs w:val="18"/>
          <w:color w:val="252525"/>
        </w:rPr>
        <w:t>customer will have rights is functional intellectual property (functional IP), which has significant standalone functionality, or symbolic intellectual property (symbolic IP) which does not have significant standalone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252525"/>
        </w:rPr>
        <w:t>functionality. Revenue from functional IP is recognized at the point in time when control of the distinct license is transferred to the customer. Revenue from</w:t>
      </w:r>
    </w:p>
    <w:p>
      <w:pPr>
        <w:spacing w:after="0" w:line="4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252525"/>
        </w:rPr>
        <w:t>symbolic IP is recognized over the access period to the Company’s intellectual property</w:t>
      </w:r>
      <w:r>
        <w:rPr>
          <w:rFonts w:ascii="Arial" w:cs="Arial" w:eastAsia="Arial" w:hAnsi="Arial"/>
          <w:sz w:val="19"/>
          <w:szCs w:val="19"/>
          <w:color w:val="252525"/>
        </w:rPr>
        <w:t>.</w:t>
      </w:r>
      <w:r>
        <w:rPr>
          <w:rFonts w:ascii="Arial" w:cs="Arial" w:eastAsia="Arial" w:hAnsi="Arial"/>
          <w:sz w:val="16"/>
          <w:szCs w:val="16"/>
          <w:color w:val="252525"/>
        </w:rPr>
        <w:t xml:space="preserve"> </w:t>
      </w:r>
      <w:r>
        <w:rPr>
          <w:rFonts w:ascii="Arial" w:cs="Arial" w:eastAsia="Arial" w:hAnsi="Arial"/>
          <w:sz w:val="16"/>
          <w:szCs w:val="16"/>
          <w:color w:val="000000"/>
        </w:rPr>
        <w:t>If the license to the Company’s intellectual property is determined</w:t>
      </w:r>
      <w:r>
        <w:rPr>
          <w:rFonts w:ascii="Arial" w:cs="Arial" w:eastAsia="Arial" w:hAnsi="Arial"/>
          <w:sz w:val="16"/>
          <w:szCs w:val="16"/>
          <w:color w:val="252525"/>
        </w:rPr>
        <w:t xml:space="preserve"> </w:t>
      </w:r>
      <w:r>
        <w:rPr>
          <w:rFonts w:ascii="Arial" w:cs="Arial" w:eastAsia="Arial" w:hAnsi="Arial"/>
          <w:sz w:val="16"/>
          <w:szCs w:val="16"/>
          <w:color w:val="000000"/>
        </w:rPr>
        <w:t>to be distinct from the other promises or performance obligations identified in the arrangement, the Company recognizes revenue from non-refundable, upfront fees allocated to the license when the license is transferred to the customer and when (or as) the customer is able to use and benefit from the license. In assessing whether a promise or performance obligation is distinct from the other promises, the Company considers factors such as the research, development, manufacturing and commercialization capabilities of the licensee and the availability of the associated expertise in the general marketplace. In addition, the Company considers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1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Research, Development and/or Manufacturing Services. </w:t>
      </w:r>
      <w:r>
        <w:rPr>
          <w:rFonts w:ascii="Arial" w:cs="Arial" w:eastAsia="Arial" w:hAnsi="Arial"/>
          <w:sz w:val="17"/>
          <w:szCs w:val="17"/>
          <w:color w:val="auto"/>
        </w:rPr>
        <w:t>The promises under the Company’s agreements may include research and development or</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services to be performed by the Company on behalf of the counterparty. If these services are determined to be distinct from the other promises or performance obligations identified in the arrangement, the Company recognizes the transaction price allocated to these services as revenue over time based on an appropriate measure of progress when the performance by the Company does not create an asset with an alternative use and the Company has an enforceable right to payment for the performance completed to date. If these services are determined not to be distinct from the other promises or performance obligations identified in the arrangement, the Company recognizes the transaction price allocated to the combined performance obligation as the related performance obligations are satisfied.</w:t>
      </w:r>
    </w:p>
    <w:p>
      <w:pPr>
        <w:spacing w:after="0" w:line="17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contains customer options, the Company evaluates whether the options are material rights because they</w:t>
      </w:r>
      <w:r>
        <w:rPr>
          <w:rFonts w:ascii="Arial" w:cs="Arial" w:eastAsia="Arial" w:hAnsi="Arial"/>
          <w:sz w:val="17"/>
          <w:szCs w:val="17"/>
          <w:i w:val="1"/>
          <w:iCs w:val="1"/>
          <w:color w:val="auto"/>
        </w:rPr>
        <w:t xml:space="preserve"> </w:t>
      </w:r>
      <w:r>
        <w:rPr>
          <w:rFonts w:ascii="Arial" w:cs="Arial" w:eastAsia="Arial" w:hAnsi="Arial"/>
          <w:sz w:val="17"/>
          <w:szCs w:val="17"/>
          <w:color w:val="auto"/>
        </w:rPr>
        <w:t>allow the customer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using assumptions regarding estimated costs, discount rates, post-option development timeline, the probability of technical and regulatory success and the probability that the customer will exercise the option. Amounts allocated to a material right are not recognized as revenue until, at the earliest, the option is exercised. If the options are deemed not to be a material right, they are excluded as performance obligations at the outset of the arrangement.</w:t>
      </w:r>
    </w:p>
    <w:p>
      <w:pPr>
        <w:spacing w:after="0" w:line="17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which are the result of a customer-vendor relationship and for which the license is</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The Company analyzes its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While ASC 808 defines collaborative arrangements and provides guidance on income statement presentation, classification, and disclosures related to such arrangements, it does not address recognition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1" w:name="page92"/>
    <w:bookmarkEnd w:id="91"/>
    <w:p>
      <w:pPr>
        <w:spacing w:after="0" w:line="273" w:lineRule="auto"/>
        <w:rPr>
          <w:sz w:val="20"/>
          <w:szCs w:val="20"/>
          <w:color w:val="auto"/>
        </w:rPr>
      </w:pPr>
      <w:r>
        <w:rPr>
          <w:rFonts w:ascii="Arial" w:cs="Arial" w:eastAsia="Arial" w:hAnsi="Arial"/>
          <w:sz w:val="17"/>
          <w:szCs w:val="17"/>
          <w:color w:val="auto"/>
        </w:rPr>
        <w:t>measurement matters, such as (1) determining the appropriate unit of accounting or (2) when the recognition criteria are met. Therefore, the accounting for these arrangements is either based on an analogy to other accounting literature or an accounting policy election by the Company. The Company accounts for certain components of the collaboration agreement that are reflective of a vendor-customer relationship (e.g., licensing arrangement) based on ASC 606. The Company accounts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complete discussion of accounting for revenue from collaborative and other agreements, see Note 8,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Product sales, net</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entered into a limited number of arrangements with specialty distributors in the United States to distribute MARGENZA. These arrangements are considered to be contracts with customers and are in the scope of ASC 606. The Company has written contracts with each of its customers that have a single performance obligation - to deliver products upon receipt of a customer order - and these obligations are satisfied when delivery occurs and the customer receives the product. The specialty distributors subsequently resell the Company’s product to healthcare providers. Product revenue is recorded net of applicable reserves for variable consideration, including discounts and other allowances. Shipping and handling costs for product shipments occur prior to the customer obtaining control of the goods and are recorded in cost of sales. For the years ended December 31, 2022 and 2021, the shipping costs incurred were immaterial.</w:t>
      </w:r>
    </w:p>
    <w:p>
      <w:pPr>
        <w:spacing w:after="0" w:line="14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Reserves for Variable Consideration. </w:t>
      </w:r>
      <w:r>
        <w:rPr>
          <w:rFonts w:ascii="Arial" w:cs="Arial" w:eastAsia="Arial" w:hAnsi="Arial"/>
          <w:sz w:val="17"/>
          <w:szCs w:val="17"/>
          <w:color w:val="auto"/>
        </w:rPr>
        <w:t>Revenue from product sales is recorded at the net sales price, which includes estimates of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Components of variable consideration typically include discounts, product returns, provider chargebacks and discounts and government rebates. Variable consideration is estimated following the expected value method in accordance with ASC 606 and includes such factors as current contractual and statutory requirements, specific known market events and trends, industry data, and forecasted customer buying and payment patterns. 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Estimates of the variable consideration were not deemed constrained during the year ended December 31, 2022.</w:t>
      </w:r>
    </w:p>
    <w:p>
      <w:pPr>
        <w:spacing w:after="0" w:line="1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Customer Discounts and Service Fees. </w:t>
      </w:r>
      <w:r>
        <w:rPr>
          <w:rFonts w:ascii="Arial" w:cs="Arial" w:eastAsia="Arial" w:hAnsi="Arial"/>
          <w:sz w:val="18"/>
          <w:szCs w:val="18"/>
          <w:color w:val="auto"/>
        </w:rPr>
        <w:t>The Company may provide customers with discounts which are explicitly stated in the contracts.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are recorded as a reduction of revenue in the period the related product revenue is recognized. In addition, these contracts may include written service arrangements whereby the Company pays fees to customers who provide services such as sales order management, data, contract administration and distribution services, at rates which the Company believes to be consistent with fair market value. The Company has determined such services received to date are not distinct from the Company’s sale of products to its customers and, therefore, these payments have been recorded as a reduction of revenue within the statement of operations.</w:t>
      </w:r>
    </w:p>
    <w:p>
      <w:pPr>
        <w:spacing w:after="0" w:line="13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Consistent with industry practice, the Company offers the specialty distributors product return rights pursuant to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and/or Company returned goods policies. The Company estimates the amount of its product sales that may be returned by its customers and records an estimated liability and a reduction of revenue in the period the related product revenue is recognized. The Company currently estimates product returns using industry benchmarking as well as other information available, such as visibility into the inventory remaining in the distribution channel, since the Company does not have its own returns experience. The Company's estimates of product returns may be adjusted in the future based on actual returns experience, known or expected changes in the marketplace, or other factors.</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Provider Chargebacks and Discounts. </w:t>
      </w:r>
      <w:r>
        <w:rPr>
          <w:rFonts w:ascii="Arial" w:cs="Arial" w:eastAsia="Arial" w:hAnsi="Arial"/>
          <w:sz w:val="17"/>
          <w:szCs w:val="17"/>
          <w:color w:val="auto"/>
        </w:rPr>
        <w:t>Chargebacks for fees and discounts to healthcare providers represent the estimated obligations resulting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contractual commitments to sell products to qualified healthcare providers at prices lower than the list prices charged to customers who directly purchase the product from the Company. In such cases,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not yet issued a credit.</w:t>
      </w:r>
    </w:p>
    <w:p>
      <w:pPr>
        <w:spacing w:after="0" w:line="127"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The Company is subject to discount and/or rebate obligations under state Medicaid programs, Medicare and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and statutory obligations to certain Federal and State entities. These reserves are recorded in the same period the related revenue is recognized, resulting in a reduction of product revenue. The Company’s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2" w:name="page93"/>
    <w:bookmarkEnd w:id="92"/>
    <w:p>
      <w:pPr>
        <w:ind w:right="200"/>
        <w:spacing w:after="0" w:line="263" w:lineRule="auto"/>
        <w:rPr>
          <w:sz w:val="20"/>
          <w:szCs w:val="20"/>
          <w:color w:val="auto"/>
        </w:rPr>
      </w:pPr>
      <w:r>
        <w:rPr>
          <w:rFonts w:ascii="Arial" w:cs="Arial" w:eastAsia="Arial" w:hAnsi="Arial"/>
          <w:sz w:val="18"/>
          <w:szCs w:val="18"/>
          <w:color w:val="auto"/>
        </w:rPr>
        <w:t>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w:t>
      </w:r>
    </w:p>
    <w:p>
      <w:pPr>
        <w:spacing w:after="0" w:line="13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Customer discounts are recorded as a reduction of accounts receivable on the consolidated balance sheets. Allowance for product returns, provider chargebacks, government and other rebates and service fees are recorded as a component of accrued expenses and other current liabilities on the consolidated balance sheets.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manufacturing revenue</w:t>
      </w:r>
    </w:p>
    <w:p>
      <w:pPr>
        <w:spacing w:after="0" w:line="17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6"/>
          <w:szCs w:val="16"/>
          <w:color w:val="auto"/>
        </w:rPr>
        <w:t>The Company enters into agreements with third parties to manufacture their drug substance at its GMP facility. The terms of these arrangements typically include an upfront payment to the Company to reserve manufacturing capacity, scheduled payments during the manufacturing process and</w:t>
      </w:r>
    </w:p>
    <w:p>
      <w:pPr>
        <w:ind w:right="20"/>
        <w:spacing w:after="0" w:line="257" w:lineRule="auto"/>
        <w:rPr>
          <w:sz w:val="20"/>
          <w:szCs w:val="20"/>
          <w:color w:val="auto"/>
        </w:rPr>
      </w:pPr>
      <w:r>
        <w:rPr>
          <w:rFonts w:ascii="Arial" w:cs="Arial" w:eastAsia="Arial" w:hAnsi="Arial"/>
          <w:sz w:val="18"/>
          <w:szCs w:val="18"/>
          <w:color w:val="auto"/>
        </w:rPr>
        <w:t>reimbursement for materials used to manufacture product. The Company recognizes revenue over time on a straight-line basis as the manufacturing services are performed, as the Company believes that its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are allocated to the related manufacturing activities and are recognized as revenue as those activities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Cost of product sales relates to sales of MARGENZA. These costs include material, manufacturing and shipping costs, as well as royalties payable on net sales of MARGENZA and inventory reserves. All product costs incurred prior to FDA approval of MARGENZA in December 2020 were expensed as research and development expense. The Company expects cost of product sales to continue to be positively impacted as the Company sells through inventory that was expensed prior to FDA approval of MARGENZA. The Company is currently unable to estimate how long it will be until it begins selling product manufactured post FDA approval.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Manufacturing Services</w:t>
      </w:r>
    </w:p>
    <w:p>
      <w:pPr>
        <w:spacing w:after="0" w:line="171" w:lineRule="exact"/>
        <w:rPr>
          <w:sz w:val="20"/>
          <w:szCs w:val="20"/>
          <w:color w:val="auto"/>
        </w:rPr>
      </w:pPr>
    </w:p>
    <w:p>
      <w:pPr>
        <w:ind w:right="1080" w:firstLine="648"/>
        <w:spacing w:after="0" w:line="308" w:lineRule="auto"/>
        <w:rPr>
          <w:sz w:val="20"/>
          <w:szCs w:val="20"/>
          <w:color w:val="auto"/>
        </w:rPr>
      </w:pPr>
      <w:r>
        <w:rPr>
          <w:rFonts w:ascii="Arial" w:cs="Arial" w:eastAsia="Arial" w:hAnsi="Arial"/>
          <w:sz w:val="17"/>
          <w:szCs w:val="17"/>
          <w:color w:val="auto"/>
        </w:rPr>
        <w:t>Cost of manufacturing services consists of the costs to provide manufacturing services to produce certain bulk drug substance under manufacturing and clinical supply agreements with third parties, including labor, materials overhead and other related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Including Clinical Trial Accruals/Expenses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Research and development expenditures are expensed as incurred. Research and development costs primarily consist of employee related expenses, including salaries and benefits, expenses incurred under agreements with contract research organizations (CROs), investigative sites and consultants that conduct the Company's clinical trials, the cost of acquiring and manufacturing clinical trial materials, including costs incurred under agreements with contract manufacturing organizations (CMOs), and other allocated expenses, license fees for and milestone payments related to in-licensed products and technologies, stock-based compensation expense, and costs associated with non-clinical activities and regulatory approvals.</w:t>
      </w:r>
    </w:p>
    <w:p>
      <w:pPr>
        <w:spacing w:after="0" w:line="12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Right-to-develop agreements may contain cost-sharing provisions whereby the Company and the collaborator share the cost of research and development activities. Reimbursement of research and development expenses received in connection with these agreements is recorded as a reduction of such expenses.</w:t>
      </w:r>
    </w:p>
    <w:p>
      <w:pPr>
        <w:spacing w:after="0" w:line="13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Clinical trial expenses are a significant component of research and development expense, and the Company outsources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 party agreements are generally cancellable, and related</w:t>
      </w:r>
    </w:p>
    <w:p>
      <w:pPr>
        <w:spacing w:after="0" w:line="4"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costs are recorded as research and development expenses as incurred</w:t>
      </w:r>
      <w:r>
        <w:rPr>
          <w:rFonts w:ascii="Arial" w:cs="Arial" w:eastAsia="Arial" w:hAnsi="Arial"/>
          <w:sz w:val="19"/>
          <w:szCs w:val="19"/>
          <w:color w:val="auto"/>
        </w:rPr>
        <w:t>.</w:t>
      </w:r>
      <w:r>
        <w:rPr>
          <w:rFonts w:ascii="Arial" w:cs="Arial" w:eastAsia="Arial" w:hAnsi="Arial"/>
          <w:sz w:val="16"/>
          <w:szCs w:val="16"/>
          <w:color w:val="auto"/>
        </w:rPr>
        <w:t xml:space="preserve">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management analyzes progress of the studies, including the phase or completion of events, invoices received and contracted costs. Significant judgments and estimates may be made 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3" w:name="page94"/>
    <w:bookmarkEnd w:id="93"/>
    <w:p>
      <w:pPr>
        <w:ind w:right="380"/>
        <w:spacing w:after="0" w:line="277" w:lineRule="auto"/>
        <w:rPr>
          <w:sz w:val="20"/>
          <w:szCs w:val="20"/>
          <w:color w:val="auto"/>
        </w:rPr>
      </w:pPr>
      <w:r>
        <w:rPr>
          <w:rFonts w:ascii="Arial" w:cs="Arial" w:eastAsia="Arial" w:hAnsi="Arial"/>
          <w:sz w:val="18"/>
          <w:szCs w:val="18"/>
          <w:color w:val="auto"/>
        </w:rPr>
        <w:t>determining the accrued balances at the end of any reporting period. Actual results could differ from the estimates made. The historical clinical accrual estimates have not been materially different from the actual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The Company determines whether an arrangement is or contains a lease at the inception of an arrangement under ASC 842, </w:t>
      </w:r>
      <w:r>
        <w:rPr>
          <w:rFonts w:ascii="Arial" w:cs="Arial" w:eastAsia="Arial" w:hAnsi="Arial"/>
          <w:sz w:val="17"/>
          <w:szCs w:val="17"/>
          <w:i w:val="1"/>
          <w:iCs w:val="1"/>
          <w:color w:val="auto"/>
        </w:rPr>
        <w:t>Leases</w:t>
      </w:r>
      <w:r>
        <w:rPr>
          <w:rFonts w:ascii="Arial" w:cs="Arial" w:eastAsia="Arial" w:hAnsi="Arial"/>
          <w:sz w:val="17"/>
          <w:szCs w:val="17"/>
          <w:color w:val="auto"/>
        </w:rPr>
        <w:t>. For leases where the Company is the lessee, right-of-use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of the lease for which the rate is estimated. Certain adjustments to the ROU asset may be required for items such as initial direct costs paid or incentives received. The lease terms used to calculate the ROU asset and related lease liabilities include options to extend or terminate the lease when it is reasonably certain that the Company will exercise that option. Lease expense for operating leases is recognized on a straight-line basis over the lease term as an operating expense while the expense for finance leases is recognized as depreciation expense and interest expense using the accelerated interest method of recognition.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252525"/>
        </w:rPr>
        <w:t>Comprehensive loss represents net loss adjusted for the change during the periods attributed to unrealized gains and losses on available-for-sale debt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Basic and diluted loss per common share is computed by dividing net loss by the weighted average number of common shares outstanding during the period. All stock options and restricted stock units (RSUs) are excluded from the per share calculations as such securities were anti-dilutive for all periods presented. The following table presents the number of stock options and RSUs that were excluded from the calculation of net loss per share: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4"/>
              </w:rPr>
              <w:t>Year Ended December 31,</w:t>
            </w:r>
          </w:p>
        </w:tc>
        <w:tc>
          <w:tcPr>
            <w:tcW w:w="1880" w:type="dxa"/>
            <w:vAlign w:val="bottom"/>
            <w:tcBorders>
              <w:bottom w:val="single" w:sz="8" w:color="auto"/>
            </w:tcBorders>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20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RSUs</w:t>
            </w:r>
          </w:p>
        </w:tc>
        <w:tc>
          <w:tcPr>
            <w:tcW w:w="18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10,514,013</w:t>
            </w:r>
          </w:p>
        </w:tc>
        <w:tc>
          <w:tcPr>
            <w:tcW w:w="16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8,395,421</w:t>
            </w:r>
          </w:p>
        </w:tc>
        <w:tc>
          <w:tcPr>
            <w:tcW w:w="1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7,467,603</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52525"/>
        </w:rPr>
        <w:t>The Company has implemented all applicable accounting pronouncements that are in effect. These pronouncements did not have any material impact on the financial statements unless otherwise disclosed, and the Company does not believe that there are any other new accounting pronouncements that have been issued that might have a material impact on its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3. Marketable Securities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252525"/>
        </w:rPr>
        <w:t>Available-for-sale marketable securities as of December 31, 2022 and 2021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rPr>
              <w:t>December 31, 2022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1120" w:type="dxa"/>
            <w:vAlign w:val="bottom"/>
          </w:tcPr>
          <w:p>
            <w:pPr>
              <w:jc w:val="center"/>
              <w:ind w:left="110"/>
              <w:spacing w:after="0" w:line="169"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4"/>
                <w:szCs w:val="14"/>
                <w:color w:val="auto"/>
              </w:rPr>
            </w:pPr>
          </w:p>
        </w:tc>
        <w:tc>
          <w:tcPr>
            <w:tcW w:w="10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2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Cost</w:t>
            </w:r>
          </w:p>
        </w:tc>
        <w:tc>
          <w:tcPr>
            <w:tcW w:w="112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7"/>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Government-sponsored enterprises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32,810</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12,652</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tbl>
      <w:tblPr>
        <w:tblLayout w:type="fixed"/>
        <w:tblInd w:w="4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18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Government-sponsored enterprises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31,281</w:t>
            </w:r>
          </w:p>
        </w:tc>
        <w:tc>
          <w:tcPr>
            <w:tcW w:w="0" w:type="dxa"/>
            <w:vAlign w:val="bottom"/>
          </w:tcPr>
          <w:p>
            <w:pPr>
              <w:spacing w:after="0"/>
              <w:rPr>
                <w:sz w:val="1"/>
                <w:szCs w:val="1"/>
                <w:color w:val="auto"/>
              </w:rPr>
            </w:pPr>
          </w:p>
        </w:tc>
      </w:tr>
      <w:tr>
        <w:trPr>
          <w:trHeight w:val="223"/>
        </w:trPr>
        <w:tc>
          <w:tcPr>
            <w:tcW w:w="556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120,208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120,147</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All of the Company's available-for-sale securities held at December 31, 2022 and 2021 had contractual maturities of less than one year. All of the Company’s available-for-sale marketable debt securities in an unrealized loss position as of </w:t>
      </w:r>
      <w:r>
        <w:rPr>
          <w:rFonts w:ascii="Arial" w:cs="Arial" w:eastAsia="Arial" w:hAnsi="Arial"/>
          <w:sz w:val="18"/>
          <w:szCs w:val="18"/>
          <w:color w:val="252525"/>
        </w:rPr>
        <w:t>December 31, 2022</w:t>
      </w:r>
      <w:r>
        <w:rPr>
          <w:rFonts w:ascii="Arial" w:cs="Arial" w:eastAsia="Arial" w:hAnsi="Arial"/>
          <w:sz w:val="18"/>
          <w:szCs w:val="18"/>
          <w:color w:val="auto"/>
        </w:rPr>
        <w:t xml:space="preserve"> and 2021 were in a loss position for less than twelve months. Unrealized losses on available-for-sale debt securities as of </w:t>
      </w:r>
      <w:r>
        <w:rPr>
          <w:rFonts w:ascii="Arial" w:cs="Arial" w:eastAsia="Arial" w:hAnsi="Arial"/>
          <w:sz w:val="18"/>
          <w:szCs w:val="18"/>
          <w:color w:val="252525"/>
        </w:rPr>
        <w:t>December 31, 2022 and</w:t>
      </w:r>
      <w:r>
        <w:rPr>
          <w:rFonts w:ascii="Arial" w:cs="Arial" w:eastAsia="Arial" w:hAnsi="Arial"/>
          <w:sz w:val="18"/>
          <w:szCs w:val="18"/>
          <w:color w:val="auto"/>
        </w:rPr>
        <w:t xml:space="preserve"> 2021 </w:t>
      </w:r>
      <w:r>
        <w:rPr>
          <w:rFonts w:ascii="Arial" w:cs="Arial" w:eastAsia="Arial" w:hAnsi="Arial"/>
          <w:sz w:val="18"/>
          <w:szCs w:val="18"/>
          <w:color w:val="252525"/>
        </w:rPr>
        <w:t>were not</w:t>
      </w:r>
      <w:r>
        <w:rPr>
          <w:rFonts w:ascii="Arial" w:cs="Arial" w:eastAsia="Arial" w:hAnsi="Arial"/>
          <w:sz w:val="18"/>
          <w:szCs w:val="18"/>
          <w:color w:val="auto"/>
        </w:rPr>
        <w:t xml:space="preserve">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the years ended </w:t>
      </w:r>
      <w:r>
        <w:rPr>
          <w:rFonts w:ascii="Arial" w:cs="Arial" w:eastAsia="Arial" w:hAnsi="Arial"/>
          <w:sz w:val="18"/>
          <w:szCs w:val="18"/>
          <w:color w:val="252525"/>
        </w:rPr>
        <w:t>December 31, 2022 and</w:t>
      </w:r>
      <w:r>
        <w:rPr>
          <w:rFonts w:ascii="Arial" w:cs="Arial" w:eastAsia="Arial" w:hAnsi="Arial"/>
          <w:sz w:val="18"/>
          <w:szCs w:val="18"/>
          <w:color w:val="auto"/>
        </w:rPr>
        <w:t xml:space="preserve"> 2021. The Company does not intend to sell these investments and it is not more likely than not that the Company will be required to sell the investments before recovery of their amortized cost bases, which may be at maturity. The Company recorded interest income of $1.7 million, $2.0 million and $0.8 million during the years ended December 31, 2022, 2021 and 2020, respectively, which is included in other income on the consolidated statements of operations and comprehensive loss.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 Net</w:t>
      </w:r>
    </w:p>
    <w:p>
      <w:pPr>
        <w:spacing w:after="0" w:line="175" w:lineRule="exact"/>
        <w:rPr>
          <w:sz w:val="20"/>
          <w:szCs w:val="20"/>
          <w:color w:val="auto"/>
        </w:rPr>
      </w:pPr>
    </w:p>
    <w:p>
      <w:pPr>
        <w:ind w:right="520" w:firstLine="567"/>
        <w:spacing w:after="0" w:line="277" w:lineRule="auto"/>
        <w:rPr>
          <w:sz w:val="20"/>
          <w:szCs w:val="20"/>
          <w:color w:val="auto"/>
        </w:rPr>
      </w:pPr>
      <w:r>
        <w:rPr>
          <w:rFonts w:ascii="Arial" w:cs="Arial" w:eastAsia="Arial" w:hAnsi="Arial"/>
          <w:sz w:val="18"/>
          <w:szCs w:val="18"/>
          <w:color w:val="auto"/>
        </w:rPr>
        <w:t>All of the Company's inventory relates to the manufacturing of MARGENZA. The following table sets forth the Company's inventory, net of reserves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tcBorders>
              <w:bottom w:val="single" w:sz="8" w:color="auto"/>
            </w:tcBorders>
          </w:tcPr>
          <w:p>
            <w:pPr>
              <w:spacing w:after="0"/>
              <w:rPr>
                <w:sz w:val="20"/>
                <w:szCs w:val="20"/>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14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inventory, net</w:t>
            </w: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December 31, 2022 and December 31, 2021 is net of a reserve of $4.9 million and $2.0 million, respectively, for unsaleable inventory. These reserves are reflected in cost of product sales during the period they are recorded.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8"/>
              </w:rPr>
              <w:t>Inventory Reserves (in thousands)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Balance at</w:t>
            </w:r>
          </w:p>
        </w:tc>
        <w:tc>
          <w:tcPr>
            <w:tcW w:w="140" w:type="dxa"/>
            <w:vAlign w:val="bottom"/>
          </w:tcPr>
          <w:p>
            <w:pPr>
              <w:spacing w:after="0"/>
              <w:rPr>
                <w:sz w:val="15"/>
                <w:szCs w:val="15"/>
                <w:color w:val="auto"/>
              </w:rPr>
            </w:pPr>
          </w:p>
        </w:tc>
        <w:tc>
          <w:tcPr>
            <w:tcW w:w="1420" w:type="dxa"/>
            <w:vAlign w:val="bottom"/>
            <w:gridSpan w:val="2"/>
          </w:tcPr>
          <w:p>
            <w:pPr>
              <w:jc w:val="center"/>
              <w:ind w:right="280"/>
              <w:spacing w:after="0" w:line="177" w:lineRule="exact"/>
              <w:rPr>
                <w:sz w:val="20"/>
                <w:szCs w:val="20"/>
                <w:color w:val="auto"/>
              </w:rPr>
            </w:pPr>
            <w:r>
              <w:rPr>
                <w:rFonts w:ascii="Arial" w:cs="Arial" w:eastAsia="Arial" w:hAnsi="Arial"/>
                <w:sz w:val="18"/>
                <w:szCs w:val="18"/>
                <w:b w:val="1"/>
                <w:bCs w:val="1"/>
                <w:color w:val="auto"/>
                <w:w w:val="89"/>
              </w:rPr>
              <w:t>Additions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1"/>
              </w:rPr>
              <w:t>Balance at End of</w:t>
            </w:r>
          </w:p>
        </w:tc>
        <w:tc>
          <w:tcPr>
            <w:tcW w:w="0" w:type="dxa"/>
            <w:vAlign w:val="bottom"/>
          </w:tcPr>
          <w:p>
            <w:pPr>
              <w:spacing w:after="0"/>
              <w:rPr>
                <w:sz w:val="1"/>
                <w:szCs w:val="1"/>
                <w:color w:val="auto"/>
              </w:rPr>
            </w:pPr>
          </w:p>
        </w:tc>
      </w:tr>
      <w:tr>
        <w:trPr>
          <w:trHeight w:val="180"/>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0"/>
              </w:rPr>
              <w:t>Charged to</w:t>
            </w:r>
          </w:p>
        </w:tc>
        <w:tc>
          <w:tcPr>
            <w:tcW w:w="200" w:type="dxa"/>
            <w:vAlign w:val="bottom"/>
          </w:tcPr>
          <w:p>
            <w:pPr>
              <w:spacing w:after="0"/>
              <w:rPr>
                <w:sz w:val="15"/>
                <w:szCs w:val="15"/>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Deductions</w:t>
            </w: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19"/>
                <w:szCs w:val="19"/>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Beginning of Year</w:t>
            </w:r>
          </w:p>
        </w:tc>
        <w:tc>
          <w:tcPr>
            <w:tcW w:w="14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Expenses</w:t>
            </w:r>
          </w:p>
        </w:tc>
        <w:tc>
          <w:tcPr>
            <w:tcW w:w="2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5. Property, Equipment and Software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8440" w:type="dxa"/>
            <w:vAlign w:val="bottom"/>
          </w:tcPr>
          <w:p>
            <w:pPr>
              <w:ind w:left="660"/>
              <w:spacing w:after="0"/>
              <w:rPr>
                <w:sz w:val="20"/>
                <w:szCs w:val="20"/>
                <w:color w:val="auto"/>
              </w:rPr>
            </w:pPr>
            <w:r>
              <w:rPr>
                <w:rFonts w:ascii="Arial" w:cs="Arial" w:eastAsia="Arial" w:hAnsi="Arial"/>
                <w:sz w:val="18"/>
                <w:szCs w:val="18"/>
                <w:color w:val="auto"/>
              </w:rPr>
              <w:t>Property, equipment and software consists of the following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8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2"/>
                <w:szCs w:val="22"/>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9,453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office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51,056</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color w:val="auto"/>
              </w:rPr>
              <w:t>Property, equipment and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110,485</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(72,809)</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color w:val="auto"/>
              </w:rPr>
              <w:t>Property, equipment and software,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37,676</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Depreciation and amortization expense related to property, equipment and software for the years ended December 31, 2022, 2021 and 2020 was $11.9 million, $11.3 million and $12.0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252525"/>
        </w:rPr>
        <w:t>The Company has non-cancelable operating leases for manufacturing, laboratory, office and warehouse space in Maryland and a non-cancelable operating lease for laboratory and office space in California. A portion of the space under one of these leases is subleased to a third party. The California facility and the smaller-scale, non-commercial GMP manufacturing site in Maryland will be closed under the Company’s restructuring plan announced in August 2022, therefore the leases for those sites will not be renewed when they expire. The Company’s continuing leases each have one or more five-year options to renew</w:t>
      </w:r>
      <w:r>
        <w:rPr>
          <w:rFonts w:ascii="Arial" w:cs="Arial" w:eastAsia="Arial" w:hAnsi="Arial"/>
          <w:sz w:val="16"/>
          <w:szCs w:val="16"/>
          <w:color w:val="000000"/>
        </w:rPr>
        <w:t>.</w:t>
      </w:r>
      <w:r>
        <w:rPr>
          <w:rFonts w:ascii="Arial" w:cs="Arial" w:eastAsia="Arial" w:hAnsi="Arial"/>
          <w:sz w:val="16"/>
          <w:szCs w:val="16"/>
          <w:color w:val="252525"/>
        </w:rPr>
        <w:t xml:space="preserve"> In December 2022, the Company amended the existing lease on its headquarters space to extend the lease term through 2035 in exchange for certain concessions from the lessor. This amendment was accounted for as a lease modification, and the right-of-use asset and lease liability were remeasured at the modification date, resulting in an increase to both balances of approximately $14.0 million.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ind w:left="660"/>
              <w:spacing w:after="0"/>
              <w:rPr>
                <w:sz w:val="20"/>
                <w:szCs w:val="20"/>
                <w:color w:val="auto"/>
              </w:rPr>
            </w:pPr>
            <w:r>
              <w:rPr>
                <w:rFonts w:ascii="Arial" w:cs="Arial" w:eastAsia="Arial" w:hAnsi="Arial"/>
                <w:sz w:val="18"/>
                <w:szCs w:val="18"/>
                <w:color w:val="auto"/>
              </w:rPr>
              <w:t>The table below presents supplemental balance sheet information related to operating leases: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8"/>
        </w:trPr>
        <w:tc>
          <w:tcPr>
            <w:tcW w:w="8400" w:type="dxa"/>
            <w:vAlign w:val="bottom"/>
          </w:tcPr>
          <w:p>
            <w:pPr>
              <w:spacing w:after="0"/>
              <w:rPr>
                <w:sz w:val="24"/>
                <w:szCs w:val="24"/>
                <w:color w:val="auto"/>
              </w:rPr>
            </w:pPr>
          </w:p>
        </w:tc>
        <w:tc>
          <w:tcPr>
            <w:tcW w:w="196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w w:val="88"/>
              </w:rPr>
              <w:t>December 31,</w:t>
            </w:r>
          </w:p>
        </w:tc>
        <w:tc>
          <w:tcPr>
            <w:tcW w:w="880" w:type="dxa"/>
            <w:vAlign w:val="bottom"/>
            <w:tcBorders>
              <w:bottom w:val="single" w:sz="8" w:color="auto"/>
            </w:tcBorders>
          </w:tcPr>
          <w:p>
            <w:pPr>
              <w:spacing w:after="0"/>
              <w:rPr>
                <w:sz w:val="24"/>
                <w:szCs w:val="24"/>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r>
      <w:tr>
        <w:trPr>
          <w:trHeight w:val="23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360" w:type="dxa"/>
            <w:vAlign w:val="bottom"/>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9.7 %</w:t>
            </w:r>
          </w:p>
        </w:tc>
      </w:tr>
    </w:tbl>
    <w:p>
      <w:pPr>
        <w:spacing w:after="0" w:line="7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252525"/>
        </w:rPr>
        <w:t xml:space="preserve">During the years ended December 31, 2022 and </w:t>
      </w:r>
      <w:r>
        <w:rPr>
          <w:rFonts w:ascii="Arial" w:cs="Arial" w:eastAsia="Arial" w:hAnsi="Arial"/>
          <w:sz w:val="16"/>
          <w:szCs w:val="16"/>
          <w:color w:val="000000"/>
        </w:rPr>
        <w:t>2021, t</w:t>
      </w:r>
      <w:r>
        <w:rPr>
          <w:rFonts w:ascii="Arial" w:cs="Arial" w:eastAsia="Arial" w:hAnsi="Arial"/>
          <w:sz w:val="16"/>
          <w:szCs w:val="16"/>
          <w:color w:val="252525"/>
        </w:rPr>
        <w:t xml:space="preserve">he Company made cash payments for operating leases of $6.9 million and $6.7 million, respectively. As of December 31, 2022 and </w:t>
      </w:r>
      <w:r>
        <w:rPr>
          <w:rFonts w:ascii="Arial" w:cs="Arial" w:eastAsia="Arial" w:hAnsi="Arial"/>
          <w:sz w:val="16"/>
          <w:szCs w:val="16"/>
          <w:color w:val="000000"/>
        </w:rPr>
        <w:t>2021,</w:t>
      </w:r>
      <w:r>
        <w:rPr>
          <w:rFonts w:ascii="Arial" w:cs="Arial" w:eastAsia="Arial" w:hAnsi="Arial"/>
          <w:sz w:val="16"/>
          <w:szCs w:val="16"/>
          <w:color w:val="252525"/>
        </w:rPr>
        <w:t xml:space="preserve"> the Company’s ROU assets were valued at $27.3 million and $16.6 million,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components of lease cost for the years ended </w:t>
      </w:r>
      <w:r>
        <w:rPr>
          <w:rFonts w:ascii="Arial" w:cs="Arial" w:eastAsia="Arial" w:hAnsi="Arial"/>
          <w:sz w:val="18"/>
          <w:szCs w:val="18"/>
          <w:color w:val="252525"/>
        </w:rPr>
        <w:t>December 31, 2022</w:t>
      </w:r>
      <w:r>
        <w:rPr>
          <w:rFonts w:ascii="Arial" w:cs="Arial" w:eastAsia="Arial" w:hAnsi="Arial"/>
          <w:sz w:val="18"/>
          <w:szCs w:val="18"/>
          <w:color w:val="auto"/>
        </w:rPr>
        <w:t xml:space="preserve"> and 2021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57"/>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5,597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80" w:type="dxa"/>
            <w:vAlign w:val="bottom"/>
          </w:tcPr>
          <w:p>
            <w:pPr>
              <w:spacing w:after="0"/>
              <w:rPr>
                <w:sz w:val="19"/>
                <w:szCs w:val="19"/>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57"/>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1"/>
              </w:rPr>
              <w:t>(1,076)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866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w:t>
            </w:r>
          </w:p>
        </w:tc>
      </w:tr>
      <w:tr>
        <w:trPr>
          <w:trHeight w:val="21"/>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9840" w:type="dxa"/>
            <w:vAlign w:val="bottom"/>
          </w:tcPr>
          <w:p>
            <w:pPr>
              <w:ind w:left="660"/>
              <w:spacing w:after="0"/>
              <w:rPr>
                <w:sz w:val="20"/>
                <w:szCs w:val="20"/>
                <w:color w:val="auto"/>
              </w:rPr>
            </w:pPr>
            <w:r>
              <w:rPr>
                <w:rFonts w:ascii="Arial" w:cs="Arial" w:eastAsia="Arial" w:hAnsi="Arial"/>
                <w:sz w:val="18"/>
                <w:szCs w:val="18"/>
                <w:color w:val="auto"/>
                <w:w w:val="99"/>
              </w:rPr>
              <w:t xml:space="preserve">As of </w:t>
            </w:r>
            <w:r>
              <w:rPr>
                <w:rFonts w:ascii="Arial" w:cs="Arial" w:eastAsia="Arial" w:hAnsi="Arial"/>
                <w:sz w:val="18"/>
                <w:szCs w:val="18"/>
                <w:color w:val="252525"/>
                <w:w w:val="99"/>
              </w:rPr>
              <w:t>December 31, 2022</w:t>
            </w:r>
            <w:r>
              <w:rPr>
                <w:rFonts w:ascii="Arial" w:cs="Arial" w:eastAsia="Arial" w:hAnsi="Arial"/>
                <w:sz w:val="18"/>
                <w:szCs w:val="18"/>
                <w:color w:val="auto"/>
                <w:w w:val="99"/>
              </w:rPr>
              <w:t>, the maturities of the Company’s operating lease liabilities were as follows (in thousands):</w:t>
            </w: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9"/>
        </w:trPr>
        <w:tc>
          <w:tcPr>
            <w:tcW w:w="9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4,004</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4,209</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52,053</w:t>
            </w:r>
          </w:p>
        </w:tc>
      </w:tr>
      <w:tr>
        <w:trPr>
          <w:trHeight w:val="22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75,276</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(40,444)</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34,832</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arrangement</w:t>
      </w:r>
    </w:p>
    <w:p>
      <w:pPr>
        <w:spacing w:after="0" w:line="17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In January 2022, the Company entered into a non-exclusive license agreement with Synaffix B.V. (Synaffix) to develop, manufacture and commercialize up to three antibody-drug conjugate targets using Synaffix’s proprietary technology. The Company made an upfront payment to Synaffix upon contract execution. Assuming all three targets are successfully developed and commercialized, the Company would be obligated to pay up to $585.0 million for development, regulatory and sales milestones. Finally, pursuant to the terms of this license agreement, upon commencement of commercial sales of any products developed from these targets, the Company would be required to pay Synaffix tiered royalties in the low</w:t>
      </w:r>
      <w:r>
        <w:rPr>
          <w:rFonts w:ascii="MS PGothic" w:cs="MS PGothic" w:eastAsia="MS PGothic" w:hAnsi="MS PGothic"/>
          <w:sz w:val="17"/>
          <w:szCs w:val="17"/>
          <w:color w:val="auto"/>
        </w:rPr>
        <w:t>‑</w:t>
      </w:r>
      <w:r>
        <w:rPr>
          <w:rFonts w:ascii="Arial" w:cs="Arial" w:eastAsia="Arial" w:hAnsi="Arial"/>
          <w:sz w:val="17"/>
          <w:szCs w:val="17"/>
          <w:color w:val="auto"/>
        </w:rPr>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During the year ended December 31, 2022, the Company incurred $1.0 million under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Litigation</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September 13, 2019, a securities class action complaint was filed in the U.S. District Court for the District of Maryland (District Court) by Todd Hill naming the Company, its Chief Executive Officer, Dr. Koenig, and its Chief Financial Officer, Mr. Karrels, as defendants for allegedly making false and materially misleading statements regarding the Company’s SOPHIA trial. On August 17, 2020, the Employees’ Retirement System of the City of Baton Rouge and Parish of East Baton Rouge was appointed as Lead Plaintiff, and on October 16, 2020, the Lead Plaintiff filed an amended complaint. The amended complaint asserted a putative class period stemming from February 6, 2019 to June 4, 2019. The Company filed a Motion to Dismiss on November 30, 2020. On September 29, 2021, the District Court issued an Order dismissing the case, with prejudice. On October 28, 2021 the Lead Plaintiff filed a Notice of Appeal in the Fourth Circuit. The Company did not accrue any liability associated with this action as of December 31, 2022. The 4th Circuit affirmed the District Court’s dismissal in a decision published on March 2, 2023.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Company's amended and restated certificate of incorporation authorizes 125,000,000 shares of common stock, and 5,000,000 shares of undesignated preferred stock, both with a par value of $0.01 per share. There were no shares of undesignated preferred stock issued or outstanding as of December 31, 2022 or 2021.</w:t>
      </w:r>
    </w:p>
    <w:p>
      <w:pPr>
        <w:spacing w:after="0" w:line="13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November 2020,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The shares that were sold under the Sales Agreement were issued and sold pursuant to the Company's shelf registration statement on Form S-3 that was filed with the SEC on November 4, 2020. During the year ended December 31, 2021, the Company sold 3,622,186 shares of common stock at a weighted average price per share of $27.60, resulting in net proceeds of approximately $98.2 million, net of underwriting discounts and commissions and other offering expenses.</w:t>
      </w:r>
    </w:p>
    <w:p>
      <w:pPr>
        <w:spacing w:after="0" w:line="13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April 2021, the Company entered into Amendment No. 1 to the Sales Agreement which increases the amount of the Company’s common stock that can be sold by the Company through its agent under the ATM Offering, from an aggregate offering price of up to $100.0 million to an aggregate offering price of up to $300.0 million. During the year ended December 31, 2022, the Company sold 160,480 shares of common stock at a weighted average price per share of $6.87, resulting in net proceeds of approximately $1.1 million, net of underwriting discounts and commissions and other offering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7" w:name="page98"/>
    <w:bookmarkEnd w:id="97"/>
    <w:p>
      <w:pPr>
        <w:jc w:val="both"/>
        <w:ind w:right="80" w:firstLine="648"/>
        <w:spacing w:after="0" w:line="301" w:lineRule="auto"/>
        <w:rPr>
          <w:sz w:val="20"/>
          <w:szCs w:val="20"/>
          <w:color w:val="auto"/>
        </w:rPr>
      </w:pPr>
      <w:r>
        <w:rPr>
          <w:rFonts w:ascii="Arial" w:cs="Arial" w:eastAsia="Arial" w:hAnsi="Arial"/>
          <w:sz w:val="16"/>
          <w:szCs w:val="16"/>
          <w:color w:val="auto"/>
        </w:rPr>
        <w:t>As part of the consideration for the rights granted to Zai Lab US LLC under the collaboration and license agreement described more fully in Note 8, Revenue, the Company and Zai Lab US LLC entered into a separate stock purchase agreement (Stock Purchase Agreement). Under this Stock Purchase Agreement in 2021, Zai Lab US LLC paid the Company approximately $30.0 million to purchase 958,467 newly issued shares of the Company's common stock, par value $0.01, at a fixed price of $31.30 which represented a $10.4 million premium over the share price on the Stock Purchase Agreement date.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 Corporation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Incyte License Agreement</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In 2017, the Company entered into an exclusive global collaboration and license agreement with Incyte, which was amended in March 2018, April 2022 and July 2022, for retifanlimab,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MacroGenics will manufacture a portion of Incyte’s global commercial supply of retifanlimab. Incyte has stated it is pursuing development of retifanlimab in potentially registration-enabling studies, including in patients with Merkel cell carcinoma, squamous cell carcinoma of the anal canal, MSI-high endometrial cancer and non-small cell lung cancer. Incyte is also pursuing development of retifanlimab in combination with multiple product candidates from its pipeline. In April 2022, the Company and Incyte executed an amendment to the Incyte License Agreement to add a milestone for U.S. approval of retifanlimab in a specific indication and to exclude certain other regulatory and development achievements with retifanlimab in this same indication from the milestone events of the Incyte License Agreement. In July 2022, the Company and Incyte further amended the Incyte License Agreement to reflect changes related to the payment of certain milestones and Incyte paid the Company $30.0 million in milestone payments, which the Company recognized as revenue during the year ended </w:t>
      </w:r>
      <w:r>
        <w:rPr>
          <w:rFonts w:ascii="Arial" w:cs="Arial" w:eastAsia="Arial" w:hAnsi="Arial"/>
          <w:sz w:val="16"/>
          <w:szCs w:val="16"/>
          <w:color w:val="252525"/>
        </w:rPr>
        <w:t>December 31, 2022</w:t>
      </w:r>
      <w:r>
        <w:rPr>
          <w:rFonts w:ascii="Arial" w:cs="Arial" w:eastAsia="Arial" w:hAnsi="Arial"/>
          <w:sz w:val="16"/>
          <w:szCs w:val="16"/>
          <w:color w:val="auto"/>
        </w:rPr>
        <w:t>.</w:t>
      </w:r>
    </w:p>
    <w:p>
      <w:pPr>
        <w:spacing w:after="0" w:line="11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Under the terms of the Incyte License Agreement, as amended, Incyte will lead global development of retifanlimab. Assuming successful development and commercialization by Incyte, the Company could receive up to approximately $435.0 million in development and regulatory milestones, and up to $330.0 million in commercial milestones. From the inception of the Incyte License Agreement through </w:t>
      </w:r>
      <w:r>
        <w:rPr>
          <w:rFonts w:ascii="Arial" w:cs="Arial" w:eastAsia="Arial" w:hAnsi="Arial"/>
          <w:sz w:val="17"/>
          <w:szCs w:val="17"/>
          <w:color w:val="252525"/>
        </w:rPr>
        <w:t>December 31, 2022</w:t>
      </w:r>
      <w:r>
        <w:rPr>
          <w:rFonts w:ascii="Arial" w:cs="Arial" w:eastAsia="Arial" w:hAnsi="Arial"/>
          <w:sz w:val="17"/>
          <w:szCs w:val="17"/>
          <w:color w:val="auto"/>
        </w:rPr>
        <w:t>, the Company has recognized $100.0 million in development milestones under Incyte License Agreement. If retifanlimab is approved and commercialized, the Company would be eligible to receive tiered royalties of 15% to 24% on any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124" w:lineRule="exact"/>
        <w:rPr>
          <w:sz w:val="20"/>
          <w:szCs w:val="20"/>
          <w:color w:val="auto"/>
        </w:rPr>
      </w:pPr>
    </w:p>
    <w:p>
      <w:pPr>
        <w:ind w:firstLine="756"/>
        <w:spacing w:after="0" w:line="285" w:lineRule="auto"/>
        <w:rPr>
          <w:sz w:val="20"/>
          <w:szCs w:val="20"/>
          <w:color w:val="auto"/>
        </w:rPr>
      </w:pPr>
      <w:r>
        <w:rPr>
          <w:rFonts w:ascii="Arial" w:cs="Arial" w:eastAsia="Arial" w:hAnsi="Arial"/>
          <w:sz w:val="16"/>
          <w:szCs w:val="16"/>
          <w:color w:val="auto"/>
        </w:rPr>
        <w:t xml:space="preserve">The Company evaluated the Incyte License Agreement under the provisions of ASC 606 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agreed-upon clinical activities to be performed was determined using the expected cost approach based on similar arrangements the Company has with other parties. The potential development and regulatory milestone payments are </w:t>
      </w:r>
      <w:r>
        <w:rPr>
          <w:rFonts w:ascii="Arial" w:cs="Arial" w:eastAsia="Arial" w:hAnsi="Arial"/>
          <w:sz w:val="16"/>
          <w:szCs w:val="16"/>
          <w:color w:val="252525"/>
        </w:rPr>
        <w:t>fully constrained until the</w:t>
      </w:r>
      <w:r>
        <w:rPr>
          <w:rFonts w:ascii="Arial" w:cs="Arial" w:eastAsia="Arial" w:hAnsi="Arial"/>
          <w:sz w:val="16"/>
          <w:szCs w:val="16"/>
          <w:color w:val="auto"/>
        </w:rPr>
        <w:t xml:space="preserve"> </w:t>
      </w:r>
      <w:r>
        <w:rPr>
          <w:rFonts w:ascii="Arial" w:cs="Arial" w:eastAsia="Arial" w:hAnsi="Arial"/>
          <w:sz w:val="16"/>
          <w:szCs w:val="16"/>
          <w:color w:val="252525"/>
        </w:rPr>
        <w:t xml:space="preserve">Company concludes that achievement of the milestone is probable and that recognition of revenue related to the milestone will not result in a significant reversal in amounts recognized in future periods, </w:t>
      </w:r>
      <w:r>
        <w:rPr>
          <w:rFonts w:ascii="Arial" w:cs="Arial" w:eastAsia="Arial" w:hAnsi="Arial"/>
          <w:sz w:val="16"/>
          <w:szCs w:val="16"/>
          <w:color w:val="000000"/>
        </w:rPr>
        <w:t>and as such have been excluded from the transaction price. Any consideration related to sales-based</w:t>
      </w:r>
      <w:r>
        <w:rPr>
          <w:rFonts w:ascii="Arial" w:cs="Arial" w:eastAsia="Arial" w:hAnsi="Arial"/>
          <w:sz w:val="16"/>
          <w:szCs w:val="16"/>
          <w:color w:val="252525"/>
        </w:rPr>
        <w:t xml:space="preserve"> </w:t>
      </w:r>
      <w:r>
        <w:rPr>
          <w:rFonts w:ascii="Arial" w:cs="Arial" w:eastAsia="Arial" w:hAnsi="Arial"/>
          <w:sz w:val="16"/>
          <w:szCs w:val="16"/>
          <w:color w:val="000000"/>
        </w:rPr>
        <w:t xml:space="preserve">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w:t>
      </w:r>
      <w:r>
        <w:rPr>
          <w:rFonts w:ascii="Arial" w:cs="Arial" w:eastAsia="Arial" w:hAnsi="Arial"/>
          <w:sz w:val="16"/>
          <w:szCs w:val="16"/>
          <w:color w:val="252525"/>
        </w:rPr>
        <w:t>From 2018 through</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98" w:name="page99"/>
    <w:bookmarkEnd w:id="98"/>
    <w:p>
      <w:pPr>
        <w:ind w:right="40"/>
        <w:spacing w:after="0" w:line="286" w:lineRule="auto"/>
        <w:rPr>
          <w:sz w:val="20"/>
          <w:szCs w:val="20"/>
          <w:color w:val="auto"/>
        </w:rPr>
      </w:pPr>
      <w:r>
        <w:rPr>
          <w:rFonts w:ascii="Arial" w:cs="Arial" w:eastAsia="Arial" w:hAnsi="Arial"/>
          <w:sz w:val="17"/>
          <w:szCs w:val="17"/>
          <w:color w:val="252525"/>
        </w:rPr>
        <w:t>December 31, 2022</w:t>
      </w:r>
      <w:r>
        <w:rPr>
          <w:rFonts w:ascii="Arial" w:cs="Arial" w:eastAsia="Arial" w:hAnsi="Arial"/>
          <w:sz w:val="17"/>
          <w:szCs w:val="17"/>
          <w:color w:val="000000"/>
        </w:rPr>
        <w:t>,</w:t>
      </w:r>
      <w:r>
        <w:rPr>
          <w:rFonts w:ascii="Arial" w:cs="Arial" w:eastAsia="Arial" w:hAnsi="Arial"/>
          <w:sz w:val="17"/>
          <w:szCs w:val="17"/>
          <w:color w:val="252525"/>
        </w:rPr>
        <w:t xml:space="preserve"> it became probable that a significant reversal of cumulative revenue would not occur for development milestones totaling </w:t>
      </w:r>
      <w:r>
        <w:rPr>
          <w:rFonts w:ascii="Arial" w:cs="Arial" w:eastAsia="Arial" w:hAnsi="Arial"/>
          <w:sz w:val="17"/>
          <w:szCs w:val="17"/>
          <w:color w:val="000000"/>
        </w:rPr>
        <w:t>$100.0</w:t>
      </w:r>
      <w:r>
        <w:rPr>
          <w:rFonts w:ascii="Arial" w:cs="Arial" w:eastAsia="Arial" w:hAnsi="Arial"/>
          <w:sz w:val="17"/>
          <w:szCs w:val="17"/>
          <w:color w:val="252525"/>
        </w:rPr>
        <w:t xml:space="preserve"> </w:t>
      </w:r>
      <w:r>
        <w:rPr>
          <w:rFonts w:ascii="Arial" w:cs="Arial" w:eastAsia="Arial" w:hAnsi="Arial"/>
          <w:sz w:val="17"/>
          <w:szCs w:val="17"/>
          <w:color w:val="000000"/>
        </w:rPr>
        <w:t xml:space="preserve">million </w:t>
      </w:r>
      <w:r>
        <w:rPr>
          <w:rFonts w:ascii="Arial" w:cs="Arial" w:eastAsia="Arial" w:hAnsi="Arial"/>
          <w:sz w:val="17"/>
          <w:szCs w:val="17"/>
          <w:color w:val="252525"/>
        </w:rPr>
        <w:t>related to clinical and regulatory activities related to the further advancement of retifanlimab, including Incyte’s initiation of a Phase 3 clinical trial.</w:t>
      </w:r>
      <w:r>
        <w:rPr>
          <w:rFonts w:ascii="Arial" w:cs="Arial" w:eastAsia="Arial" w:hAnsi="Arial"/>
          <w:sz w:val="17"/>
          <w:szCs w:val="17"/>
          <w:color w:val="000000"/>
        </w:rPr>
        <w:t xml:space="preserve"> Therefore </w:t>
      </w:r>
      <w:r>
        <w:rPr>
          <w:rFonts w:ascii="Arial" w:cs="Arial" w:eastAsia="Arial" w:hAnsi="Arial"/>
          <w:sz w:val="17"/>
          <w:szCs w:val="17"/>
          <w:color w:val="252525"/>
        </w:rPr>
        <w:t>the associated consideration was added to the estimated transaction price and was recognized as revenue.</w:t>
      </w:r>
    </w:p>
    <w:p>
      <w:pPr>
        <w:spacing w:after="0" w:line="111" w:lineRule="exact"/>
        <w:rPr>
          <w:sz w:val="20"/>
          <w:szCs w:val="20"/>
          <w:color w:val="auto"/>
        </w:rPr>
      </w:pPr>
    </w:p>
    <w:p>
      <w:pPr>
        <w:ind w:firstLine="756"/>
        <w:spacing w:after="0" w:line="301" w:lineRule="auto"/>
        <w:rPr>
          <w:sz w:val="20"/>
          <w:szCs w:val="20"/>
          <w:color w:val="auto"/>
        </w:rPr>
      </w:pPr>
      <w:r>
        <w:rPr>
          <w:rFonts w:ascii="Arial" w:cs="Arial" w:eastAsia="Arial" w:hAnsi="Arial"/>
          <w:sz w:val="16"/>
          <w:szCs w:val="16"/>
          <w:color w:val="252525"/>
        </w:rPr>
        <w:t xml:space="preserve">The Company recognized the </w:t>
      </w:r>
      <w:r>
        <w:rPr>
          <w:rFonts w:ascii="Arial" w:cs="Arial" w:eastAsia="Arial" w:hAnsi="Arial"/>
          <w:sz w:val="16"/>
          <w:szCs w:val="16"/>
          <w:color w:val="000000"/>
        </w:rPr>
        <w:t>$150.0 million</w:t>
      </w:r>
      <w:r>
        <w:rPr>
          <w:rFonts w:ascii="Arial" w:cs="Arial" w:eastAsia="Arial" w:hAnsi="Arial"/>
          <w:sz w:val="16"/>
          <w:szCs w:val="16"/>
          <w:color w:val="252525"/>
        </w:rPr>
        <w:t xml:space="preserve"> allocated to the </w:t>
      </w:r>
      <w:r>
        <w:rPr>
          <w:rFonts w:ascii="Arial" w:cs="Arial" w:eastAsia="Arial" w:hAnsi="Arial"/>
          <w:sz w:val="16"/>
          <w:szCs w:val="16"/>
          <w:color w:val="000000"/>
        </w:rPr>
        <w:t>license when it satisfied its performance obligation and transferred the license to</w:t>
      </w:r>
      <w:r>
        <w:rPr>
          <w:rFonts w:ascii="Arial" w:cs="Arial" w:eastAsia="Arial" w:hAnsi="Arial"/>
          <w:sz w:val="16"/>
          <w:szCs w:val="16"/>
          <w:color w:val="252525"/>
        </w:rPr>
        <w:t xml:space="preserve"> </w:t>
      </w:r>
      <w:r>
        <w:rPr>
          <w:rFonts w:ascii="Arial" w:cs="Arial" w:eastAsia="Arial" w:hAnsi="Arial"/>
          <w:sz w:val="16"/>
          <w:szCs w:val="16"/>
          <w:color w:val="000000"/>
        </w:rPr>
        <w:t>Incyte in 2017. The $4.0 million allocated to the clinical activities was recognized ratably as services were performed during 2017 and 2018. The Company recognized revenue of $30.0 million, $15.0 million and $40.0 million under the Incyte License Agreement during the years ended December 31, 2022, 2021 and 2020, respectively. All of the revenue recognized during the years ended December 31, 2022 and 2021 was related to development milestones.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Incyte Clinical Supply Agreement</w:t>
      </w:r>
    </w:p>
    <w:p>
      <w:pPr>
        <w:spacing w:after="0" w:line="171" w:lineRule="exact"/>
        <w:rPr>
          <w:sz w:val="20"/>
          <w:szCs w:val="20"/>
          <w:color w:val="auto"/>
        </w:rPr>
      </w:pPr>
    </w:p>
    <w:p>
      <w:pPr>
        <w:ind w:firstLine="756"/>
        <w:spacing w:after="0" w:line="290" w:lineRule="auto"/>
        <w:rPr>
          <w:sz w:val="20"/>
          <w:szCs w:val="20"/>
          <w:color w:val="auto"/>
        </w:rPr>
      </w:pPr>
      <w:r>
        <w:rPr>
          <w:rFonts w:ascii="Arial" w:cs="Arial" w:eastAsia="Arial" w:hAnsi="Arial"/>
          <w:sz w:val="16"/>
          <w:szCs w:val="16"/>
          <w:color w:val="auto"/>
        </w:rPr>
        <w:t xml:space="preserve">In 2018, the Company entered into an agreement with Incyte under which the Company is to perform development and manufacturing services for Incyte’s clinical needs of retifanlimab (Incyte Clinical Supply Agreement). The Company evaluated this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During the years ended </w:t>
      </w:r>
      <w:r>
        <w:rPr>
          <w:rFonts w:ascii="Arial" w:cs="Arial" w:eastAsia="Arial" w:hAnsi="Arial"/>
          <w:sz w:val="16"/>
          <w:szCs w:val="16"/>
          <w:color w:val="252525"/>
        </w:rPr>
        <w:t>December 31, 2022</w:t>
      </w:r>
      <w:r>
        <w:rPr>
          <w:rFonts w:ascii="Arial" w:cs="Arial" w:eastAsia="Arial" w:hAnsi="Arial"/>
          <w:sz w:val="16"/>
          <w:szCs w:val="16"/>
          <w:color w:val="auto"/>
        </w:rPr>
        <w:t>, 2021 and 2020, the Company recognized revenue of $0.7 million, $1.5 million and $8.6 million, respectively, for services performed under this agreement.</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Incyte Commercial Supply Agreement</w:t>
      </w:r>
    </w:p>
    <w:p>
      <w:pPr>
        <w:spacing w:after="0" w:line="171" w:lineRule="exact"/>
        <w:rPr>
          <w:sz w:val="20"/>
          <w:szCs w:val="20"/>
          <w:color w:val="auto"/>
        </w:rPr>
      </w:pPr>
    </w:p>
    <w:p>
      <w:pPr>
        <w:ind w:right="60" w:firstLine="756"/>
        <w:spacing w:after="0" w:line="289" w:lineRule="auto"/>
        <w:rPr>
          <w:sz w:val="20"/>
          <w:szCs w:val="20"/>
          <w:color w:val="auto"/>
        </w:rPr>
      </w:pPr>
      <w:r>
        <w:rPr>
          <w:rFonts w:ascii="Arial" w:cs="Arial" w:eastAsia="Arial" w:hAnsi="Arial"/>
          <w:sz w:val="16"/>
          <w:szCs w:val="16"/>
          <w:color w:val="auto"/>
        </w:rPr>
        <w:t xml:space="preserve">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During the years ended </w:t>
      </w:r>
      <w:r>
        <w:rPr>
          <w:rFonts w:ascii="Arial" w:cs="Arial" w:eastAsia="Arial" w:hAnsi="Arial"/>
          <w:sz w:val="16"/>
          <w:szCs w:val="16"/>
          <w:color w:val="252525"/>
        </w:rPr>
        <w:t>December 31, 2022,</w:t>
      </w:r>
      <w:r>
        <w:rPr>
          <w:rFonts w:ascii="Arial" w:cs="Arial" w:eastAsia="Arial" w:hAnsi="Arial"/>
          <w:sz w:val="16"/>
          <w:szCs w:val="16"/>
          <w:color w:val="auto"/>
        </w:rPr>
        <w:t xml:space="preserve"> 2021, and 2020 the Company recognized revenue of $0.3 million, $7.8 million and $1.4 million, respectively, for services performed under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 Sciences, Inc</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October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according to a development plan, during which Gilead will have the right to exercise an option granted to Gilead to obtain an exclusive license under the Company’s intellectual property to develop and commercialize MGD024 and other bispecific antibodies of MacroGenics that bind CD123 and CD3 (CD123 Option). The agreement also grants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w:t>
      </w:r>
    </w:p>
    <w:p>
      <w:pPr>
        <w:spacing w:after="0" w:line="12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Under the terms of the Gilead Agreement, in October 2022 Gilead paid the Company an upfront payment of $60.0 million. 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 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9" w:name="page100"/>
    <w:bookmarkEnd w:id="99"/>
    <w:p>
      <w:pPr>
        <w:ind w:right="40" w:firstLine="648"/>
        <w:spacing w:after="0" w:line="257" w:lineRule="auto"/>
        <w:rPr>
          <w:sz w:val="20"/>
          <w:szCs w:val="20"/>
          <w:color w:val="auto"/>
        </w:rPr>
      </w:pPr>
      <w:r>
        <w:rPr>
          <w:rFonts w:ascii="Arial" w:cs="Arial" w:eastAsia="Arial" w:hAnsi="Arial"/>
          <w:sz w:val="18"/>
          <w:szCs w:val="18"/>
          <w:color w:val="auto"/>
        </w:rPr>
        <w:t>The Company evaluated the Gilead Agreement under the provisions of ASC 606 and identified the following material promises under the agreement: (i) a license to perform any activities allocated to Gilead under the MGD024 development plan; (ii) development activities regarding MGD024, including manufacturing, research and early clinical development activities, necessary to deliver an informational package of development and clinical data, information and materials specified in the Gilead Agreement during the period in which Gilead can exercise the CD123 Option; (iii) the CD123 Option and (iv) the Research Program Option.</w:t>
      </w:r>
    </w:p>
    <w:p>
      <w:pPr>
        <w:spacing w:after="0" w:line="13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concluded that the license under the MGD024 development plan 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spacing w:after="0" w:line="110" w:lineRule="exact"/>
        <w:rPr>
          <w:sz w:val="20"/>
          <w:szCs w:val="20"/>
          <w:color w:val="auto"/>
        </w:rPr>
      </w:pPr>
    </w:p>
    <w:p>
      <w:pPr>
        <w:ind w:right="40" w:firstLine="648"/>
        <w:spacing w:after="0" w:line="299" w:lineRule="auto"/>
        <w:rPr>
          <w:sz w:val="20"/>
          <w:szCs w:val="20"/>
          <w:color w:val="auto"/>
        </w:rPr>
      </w:pPr>
      <w:r>
        <w:rPr>
          <w:rFonts w:ascii="Arial" w:cs="Arial" w:eastAsia="Arial" w:hAnsi="Arial"/>
          <w:sz w:val="16"/>
          <w:szCs w:val="16"/>
          <w:color w:val="auto"/>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 The Company will reassess the amount of variable consideration included in the transaction</w:t>
      </w:r>
    </w:p>
    <w:p>
      <w:pPr>
        <w:spacing w:after="0" w:line="1"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auto"/>
        </w:rPr>
        <w:t>price every reporting period. 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for the pre-option development timeline. For the standalone selling price of the CD123 Option, the</w:t>
      </w:r>
    </w:p>
    <w:p>
      <w:pPr>
        <w:spacing w:after="0" w:line="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Company utilized an income-based approach which included the following key assumptions: post-option development timeline and costs, forecasted revenues, discount rates and probabilities of technical and regulatory success.</w:t>
      </w:r>
    </w:p>
    <w:p>
      <w:pPr>
        <w:spacing w:after="0" w:line="116"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will defer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spacing w:after="0" w:line="12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During the year ended December 31, 2022, the Company recorded revenue of $0.2 million related to the Gilead Agreement. As of December 31, 2022, $59.8 million in revenue was deferred under this agreement, $1.8 million of which was current and $58.0 million of which was non-current.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 Limited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Zai Lab Agreement</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2018, the Company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of these molecules in its territory. Zai Lab has informed the Company that they have decided to discontinue development of tebotelimab for indications they were enrolling in their territory and is evaluating future development plans in other indications.</w:t>
      </w:r>
    </w:p>
    <w:p>
      <w:pPr>
        <w:spacing w:after="0" w:line="14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terms of the 2018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of which the Company has earned $9.0 million through December 31, 2022.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00" w:name="page101"/>
    <w:bookmarkEnd w:id="100"/>
    <w:p>
      <w:pPr>
        <w:ind w:firstLine="648"/>
        <w:spacing w:after="0" w:line="286" w:lineRule="auto"/>
        <w:rPr>
          <w:sz w:val="20"/>
          <w:szCs w:val="20"/>
          <w:color w:val="auto"/>
        </w:rPr>
      </w:pPr>
      <w:r>
        <w:rPr>
          <w:rFonts w:ascii="Arial" w:cs="Arial" w:eastAsia="Arial" w:hAnsi="Arial"/>
          <w:sz w:val="16"/>
          <w:szCs w:val="16"/>
          <w:color w:val="auto"/>
        </w:rPr>
        <w:t>The Company evaluated the 2018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re-assesses the transaction price in each reporting period and when events whose outcomes are resolved or other changes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circumstances occur. From 2020 through </w:t>
      </w:r>
      <w:r>
        <w:rPr>
          <w:rFonts w:ascii="Arial" w:cs="Arial" w:eastAsia="Arial" w:hAnsi="Arial"/>
          <w:sz w:val="16"/>
          <w:szCs w:val="16"/>
          <w:color w:val="252525"/>
        </w:rPr>
        <w:t>December 31, 2022</w:t>
      </w:r>
      <w:r>
        <w:rPr>
          <w:rFonts w:ascii="Arial" w:cs="Arial" w:eastAsia="Arial" w:hAnsi="Arial"/>
          <w:sz w:val="16"/>
          <w:szCs w:val="16"/>
          <w:color w:val="auto"/>
        </w:rPr>
        <w:t>, it became probable that a significant reversal of cumulative revenue would not occur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regulatory milestones totaling $9.0 million. Therefore, the associated consideration, $8.1 million net of value-added tax withholdings,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added to the estimated transaction price and was recognized as revenue</w:t>
      </w:r>
      <w:r>
        <w:rPr>
          <w:rFonts w:ascii="Arial" w:cs="Arial" w:eastAsia="Arial" w:hAnsi="Arial"/>
          <w:sz w:val="17"/>
          <w:szCs w:val="17"/>
          <w:color w:val="252525"/>
        </w:rPr>
        <w:t>. D</w:t>
      </w:r>
      <w:r>
        <w:rPr>
          <w:rFonts w:ascii="Arial" w:cs="Arial" w:eastAsia="Arial" w:hAnsi="Arial"/>
          <w:sz w:val="17"/>
          <w:szCs w:val="17"/>
          <w:color w:val="auto"/>
        </w:rPr>
        <w:t>uring the year ended December 31, 2022, the Company recognized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$4.9 million under the 2018 Zai Lab Agreement and no revenue was recognized during the year ended December 31, 2021 under this agreement.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December 31, 2020, the Company recognized revenue of $8.6 million under the 2018 Zai Lab Agreement, $3.6 million of which was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milestone revenue and $5.0 million of which was recognition of variable consideration related to certain regulatory achievements during 2020.</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Zai Lab Clinical Supply Agreements</w:t>
      </w:r>
    </w:p>
    <w:p>
      <w:pPr>
        <w:spacing w:after="0" w:line="17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During 2019, the Company entered into two agreements under which the Company is to perform manufacturing services for Zai Lab’s clinical needs of margetuximab and tebotelimab (Zai Lab Clinical Supply Agreements). The Company evaluated the agreements under ASC 606 and determined that they should be accounted for as a single contract and identified two performance obligations within the contract: to perform services related to manufacturing the clinical supply of each of margetuximab and tebotelimab. The transaction price is based on the costs incurred to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 During the years ended December 31, 2022, 2021, and 2020, the Company recognized revenue of $0.4 million, $2.8 million, and $2.7 million, respectively, related to the Zai Lab Clinical Supply Agreements.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Zai Lab Agreement</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June 2021, the Company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the Company’s DART platform and binds CD3 and an undisclosed target that is expressed in multiple solid tumors (Lead Program). The second program covers a target to be designated by the Company. For these programs, Zai Lab receives commercial rights in Greater China, Japan, and Korea while the Company receives commercial rights in all other territories. Zai Lab also obtained exclusive, global licenses from the Company to develop, manufacture and commercialize two additional molecules. Zai Lab granted the Company a worldwide, royalty-free, co-exclusive license to conduct the development activities allocated to the Company. During 2022, the Company and Zai Lab agreed to discontinue research and development of the Lead Program.</w:t>
      </w:r>
    </w:p>
    <w:p>
      <w:pPr>
        <w:spacing w:after="0" w:line="12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Under the terms of the 2021 Zai Lab Agreement, the Lead Program included joint research and development services by both the Company and Zai Lab. For the other programs, Zai Lab can separately negotiate and agree with the Company to perform research and development services in the future.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01" w:name="page102"/>
    <w:bookmarkEnd w:id="101"/>
    <w:p>
      <w:pPr>
        <w:ind w:right="40" w:firstLine="648"/>
        <w:spacing w:after="0" w:line="279" w:lineRule="auto"/>
        <w:rPr>
          <w:sz w:val="20"/>
          <w:szCs w:val="20"/>
          <w:color w:val="auto"/>
        </w:rPr>
      </w:pPr>
      <w:r>
        <w:rPr>
          <w:rFonts w:ascii="Arial" w:cs="Arial" w:eastAsia="Arial" w:hAnsi="Arial"/>
          <w:sz w:val="17"/>
          <w:szCs w:val="17"/>
          <w:color w:val="auto"/>
        </w:rPr>
        <w:t>In connection with the execution of the 2021 Zai Lab Agreement, Zai Lab paid the Company an upfront payment of $25.0 million. Additionally, as part of the consideration for the rights granted to Zai Lab under the 2021 Zai Lab Agreement, the Company and Zai Lab entered into the Stock Purchase Agreement whereby Zai Lab paid the Company approximately $30.0 million to purchase shares of the Company’s common stock at a fixed price of $31.30 which represented a $10.4 million premium over the share price on the Stock Purchase Agreement date.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Assuming successful development and commercialization of the remaining Programs, the Company could receive up to approximately</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$680.0 million in development and regulatory milestones and $600.0 million in commercial milestones. In addition, Zai Lab would pay the Company tiered royalties at percentage rates of mid-single digits to low double digit teens on annual net sales of products in Zai Lab’s territory, which may be subject to specified royalty reduction pursuant to the 2021 Zai Lab Agreement. Per the terms of the 2021 Zai Lab Agreement, the Company may also receive reimbursements from Zai Lab for certain research and development costs incurred by the Company.</w:t>
      </w:r>
    </w:p>
    <w:p>
      <w:pPr>
        <w:spacing w:after="0" w:line="12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evaluated the 2021 Zai Lab Agreement under the provisions of ASC 606 and identified the following material promises: (i) exclusive licenses to develop, manufacture and commercialize the products in Zai Lab’s territory for each Program and (ii) certain research and development activities for the Lead Program. The Company determined that for the Lead Program, the license is not distinct from the related research and development activities, considering the early stage of development of the molecule and the Company’s significant expertise in this area and as such, the research and development services are expected to significantly modify and customize the license. Therefore, for the Lead Program, the license and the services were combined into a single performance obligation. Since the other programs each represent distinct intellectual property and there are no other services included in the 2021 Zai Lab Agreement related to these licenses, each license is considered to be a distinct performance obligation. As such, there are four performance obligations included in the 2021 Zai Lab Agreement.</w:t>
      </w:r>
    </w:p>
    <w:p>
      <w:pPr>
        <w:spacing w:after="0" w:line="12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concluded that the estimated transaction price is $40.4 million, consisting of the $25.0 million upfront payment, the $10.4 million premium related to the purchase of the Company’s common stock, and the $5.0 million estimated reimbursement by Zai Lab for research and development activities for the Lead Program. The potential milestone payments were deemed to be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will re-assess the transaction price in each reporting period and when events whose outcomes are resolved or other changes in circumstances occur.</w:t>
      </w:r>
    </w:p>
    <w:p>
      <w:pPr>
        <w:spacing w:after="0" w:line="13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amount that the Company believes a market participant is willing to pay for the product or service. The estimate was based on consideration of observable inputs, such as, values of other preclinical collaboration arrangements adjusted for the Company’s estimate of the probability of success for each Program.</w:t>
      </w:r>
    </w:p>
    <w:p>
      <w:pPr>
        <w:spacing w:after="0" w:line="13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Revenue related to the Lead Program license and related research and development services performance obligation was recognized over time as the research and development activities were performed. The Company utilized a cost-based input method according to costs incurred to date compared to estimated total costs. The transfer of control occurs over this time period and, in management’s judgment, is the best measure of progress towards satisfying the performance obligations. The Company recognized revenue allocated to the other programs at a point in time upon transfer of the licenses to Zai Lab in June 2021. During the years ended </w:t>
      </w:r>
      <w:r>
        <w:rPr>
          <w:rFonts w:ascii="Arial" w:cs="Arial" w:eastAsia="Arial" w:hAnsi="Arial"/>
          <w:sz w:val="17"/>
          <w:szCs w:val="17"/>
          <w:color w:val="252525"/>
        </w:rPr>
        <w:t>December 31, 2022</w:t>
      </w:r>
      <w:r>
        <w:rPr>
          <w:rFonts w:ascii="Arial" w:cs="Arial" w:eastAsia="Arial" w:hAnsi="Arial"/>
          <w:sz w:val="17"/>
          <w:szCs w:val="17"/>
          <w:color w:val="auto"/>
        </w:rPr>
        <w:t xml:space="preserve">, and </w:t>
      </w:r>
      <w:r>
        <w:rPr>
          <w:rFonts w:ascii="Arial" w:cs="Arial" w:eastAsia="Arial" w:hAnsi="Arial"/>
          <w:sz w:val="17"/>
          <w:szCs w:val="17"/>
          <w:color w:val="252525"/>
        </w:rPr>
        <w:t>2021</w:t>
      </w:r>
      <w:r>
        <w:rPr>
          <w:rFonts w:ascii="Arial" w:cs="Arial" w:eastAsia="Arial" w:hAnsi="Arial"/>
          <w:sz w:val="17"/>
          <w:szCs w:val="17"/>
          <w:color w:val="auto"/>
        </w:rPr>
        <w:t xml:space="preserve"> the Company recognized revenue of </w:t>
      </w:r>
      <w:r>
        <w:rPr>
          <w:rFonts w:ascii="Arial" w:cs="Arial" w:eastAsia="Arial" w:hAnsi="Arial"/>
          <w:sz w:val="17"/>
          <w:szCs w:val="17"/>
          <w:color w:val="252525"/>
        </w:rPr>
        <w:t>$16.8 million</w:t>
      </w:r>
      <w:r>
        <w:rPr>
          <w:rFonts w:ascii="Arial" w:cs="Arial" w:eastAsia="Arial" w:hAnsi="Arial"/>
          <w:sz w:val="17"/>
          <w:szCs w:val="17"/>
          <w:color w:val="auto"/>
        </w:rPr>
        <w:t xml:space="preserve"> and </w:t>
      </w:r>
      <w:r>
        <w:rPr>
          <w:rFonts w:ascii="Arial" w:cs="Arial" w:eastAsia="Arial" w:hAnsi="Arial"/>
          <w:sz w:val="17"/>
          <w:szCs w:val="17"/>
          <w:color w:val="252525"/>
        </w:rPr>
        <w:t>$20.3 million,</w:t>
      </w:r>
      <w:r>
        <w:rPr>
          <w:rFonts w:ascii="Arial" w:cs="Arial" w:eastAsia="Arial" w:hAnsi="Arial"/>
          <w:sz w:val="17"/>
          <w:szCs w:val="17"/>
          <w:color w:val="auto"/>
        </w:rPr>
        <w:t xml:space="preserve"> respectively, under the 2021 Zai Lab Agreement. As of </w:t>
      </w:r>
      <w:r>
        <w:rPr>
          <w:rFonts w:ascii="Arial" w:cs="Arial" w:eastAsia="Arial" w:hAnsi="Arial"/>
          <w:sz w:val="17"/>
          <w:szCs w:val="17"/>
          <w:color w:val="252525"/>
        </w:rPr>
        <w:t>December 31, 2022, there was no revenue deferred under the</w:t>
      </w:r>
      <w:r>
        <w:rPr>
          <w:rFonts w:ascii="Arial" w:cs="Arial" w:eastAsia="Arial" w:hAnsi="Arial"/>
          <w:sz w:val="17"/>
          <w:szCs w:val="17"/>
          <w:color w:val="auto"/>
        </w:rPr>
        <w:t xml:space="preserve"> 2021 Zai Lab Agreement</w:t>
      </w:r>
      <w:r>
        <w:rPr>
          <w:rFonts w:ascii="Arial" w:cs="Arial" w:eastAsia="Arial" w:hAnsi="Arial"/>
          <w:sz w:val="17"/>
          <w:szCs w:val="17"/>
          <w:color w:val="252525"/>
        </w:rPr>
        <w:t>.</w:t>
      </w:r>
      <w:r>
        <w:rPr>
          <w:rFonts w:ascii="Arial" w:cs="Arial" w:eastAsia="Arial" w:hAnsi="Arial"/>
          <w:sz w:val="17"/>
          <w:szCs w:val="17"/>
          <w:color w:val="auto"/>
        </w:rPr>
        <w:t xml:space="preserve"> As of </w:t>
      </w:r>
      <w:r>
        <w:rPr>
          <w:rFonts w:ascii="Arial" w:cs="Arial" w:eastAsia="Arial" w:hAnsi="Arial"/>
          <w:sz w:val="17"/>
          <w:szCs w:val="17"/>
          <w:color w:val="252525"/>
        </w:rPr>
        <w:t>December 31, 2021, $16.1 million in revenue was deferred under this agreement, all of which was current.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Biotech, Inc.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2020, the Company entered into a research collaboration and license agreement with Janssen to develop a novel DART molecule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(Janssen Agreement). The research collaboration will incorporate the Company’s proprietary DART platform to enable simultaneous targeting of two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undisclosed targets in a therapeutic area outside oncology. Under the terms of the Janssen Agreement, Janssen paid the Company an upfront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and will be responsible for funding all research and development expenses. The Company will also be eligible to receive up to $312.0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potential milestone payments and tiered royalties of up to 10% on worldwide product sales.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2" w:name="page103"/>
    <w:bookmarkEnd w:id="102"/>
    <w:p>
      <w:pPr>
        <w:ind w:right="60" w:firstLine="648"/>
        <w:spacing w:after="0" w:line="285" w:lineRule="auto"/>
        <w:rPr>
          <w:sz w:val="20"/>
          <w:szCs w:val="20"/>
          <w:color w:val="auto"/>
        </w:rPr>
      </w:pPr>
      <w:r>
        <w:rPr>
          <w:rFonts w:ascii="Arial" w:cs="Arial" w:eastAsia="Arial" w:hAnsi="Arial"/>
          <w:sz w:val="16"/>
          <w:szCs w:val="16"/>
          <w:color w:val="auto"/>
        </w:rPr>
        <w:t xml:space="preserve">Subject to the terms of this agreement, the Company granted Janssen an exclusive, royalty-bearing license to develop, manufacture and commercialize the preclinical bispecific molecule and the Company will perform certain research and development activities during a specified research term. The Company evaluated the Janssen Agreement under the provisions of ASC 606 and identified the following material promises under the arrangement: (i) a license to develop the preclinical bispecific molecule and (ii) performing certain research and development activities during the research term. The Company determined that the license and research and development activities are separate performance obligations because they are capable of being distinct, and are distinct in the context of the contract. The license has standalone functionality as Janssen could benefit from the license on its own without the Company’s involvement during the research term. The Company determined that the transaction price of the Janssen Agreement at inception was $22.2 million, consisting of the consideration to which the Company was entitled in exchange for the license and an estimate of the consideration for research and development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as well as current market conditions. The standalone selling price for agreed-upon research and development activities to be performed was determined using the expected cost approach based on similar arrangements the Company has with other parties. This variable consideration was fully constrained until the Company began its work under the performance obligation. The potential milestone payments are </w:t>
      </w:r>
      <w:r>
        <w:rPr>
          <w:rFonts w:ascii="Arial" w:cs="Arial" w:eastAsia="Arial" w:hAnsi="Arial"/>
          <w:sz w:val="16"/>
          <w:szCs w:val="16"/>
          <w:color w:val="252525"/>
        </w:rPr>
        <w:t>fully</w:t>
      </w:r>
      <w:r>
        <w:rPr>
          <w:rFonts w:ascii="Arial" w:cs="Arial" w:eastAsia="Arial" w:hAnsi="Arial"/>
          <w:sz w:val="16"/>
          <w:szCs w:val="16"/>
          <w:color w:val="auto"/>
        </w:rPr>
        <w:t xml:space="preserve"> </w:t>
      </w:r>
      <w:r>
        <w:rPr>
          <w:rFonts w:ascii="Arial" w:cs="Arial" w:eastAsia="Arial" w:hAnsi="Arial"/>
          <w:sz w:val="16"/>
          <w:szCs w:val="16"/>
          <w:color w:val="252525"/>
        </w:rPr>
        <w:t xml:space="preserve">constrained until the Company concludes that achievement of the milestone is probable and that recognition of revenue related to the milestone will not result in a significant reversal in amounts recognized in future periods, </w:t>
      </w:r>
      <w:r>
        <w:rPr>
          <w:rFonts w:ascii="Arial" w:cs="Arial" w:eastAsia="Arial" w:hAnsi="Arial"/>
          <w:sz w:val="16"/>
          <w:szCs w:val="16"/>
          <w:color w:val="000000"/>
        </w:rPr>
        <w:t>and as such have been excluded from the transaction price. Any consideration</w:t>
      </w:r>
      <w:r>
        <w:rPr>
          <w:rFonts w:ascii="Arial" w:cs="Arial" w:eastAsia="Arial" w:hAnsi="Arial"/>
          <w:sz w:val="16"/>
          <w:szCs w:val="16"/>
          <w:color w:val="252525"/>
        </w:rPr>
        <w:t xml:space="preserve"> </w:t>
      </w:r>
      <w:r>
        <w:rPr>
          <w:rFonts w:ascii="Arial" w:cs="Arial" w:eastAsia="Arial" w:hAnsi="Arial"/>
          <w:sz w:val="16"/>
          <w:szCs w:val="16"/>
          <w:color w:val="000000"/>
        </w:rPr>
        <w:t>related to sales-based milestones and royalties will be recognized when the related sales occur, as they were determined to relate predominantly to the license granted to Janssen and, therefore, have also been excluded from the transaction price. The Company re-assesses the transaction price in each reporting period and when events whose outcomes are resolved or other changes in circumstances occur.</w:t>
      </w:r>
    </w:p>
    <w:p>
      <w:pPr>
        <w:spacing w:after="0" w:line="117" w:lineRule="exact"/>
        <w:rPr>
          <w:sz w:val="20"/>
          <w:szCs w:val="20"/>
          <w:color w:val="auto"/>
        </w:rPr>
      </w:pPr>
    </w:p>
    <w:p>
      <w:pPr>
        <w:ind w:right="40" w:firstLine="756"/>
        <w:spacing w:after="0" w:line="279" w:lineRule="auto"/>
        <w:rPr>
          <w:sz w:val="20"/>
          <w:szCs w:val="20"/>
          <w:color w:val="auto"/>
        </w:rPr>
      </w:pPr>
      <w:r>
        <w:rPr>
          <w:rFonts w:ascii="Arial" w:cs="Arial" w:eastAsia="Arial" w:hAnsi="Arial"/>
          <w:sz w:val="17"/>
          <w:szCs w:val="17"/>
          <w:color w:val="252525"/>
        </w:rPr>
        <w:t xml:space="preserve">The Company recognized the $20.0 million allocated to the </w:t>
      </w:r>
      <w:r>
        <w:rPr>
          <w:rFonts w:ascii="Arial" w:cs="Arial" w:eastAsia="Arial" w:hAnsi="Arial"/>
          <w:sz w:val="17"/>
          <w:szCs w:val="17"/>
          <w:color w:val="000000"/>
        </w:rPr>
        <w:t>license when it satisfied its performance obligation and transferred the license to</w:t>
      </w:r>
      <w:r>
        <w:rPr>
          <w:rFonts w:ascii="Arial" w:cs="Arial" w:eastAsia="Arial" w:hAnsi="Arial"/>
          <w:sz w:val="17"/>
          <w:szCs w:val="17"/>
          <w:color w:val="252525"/>
        </w:rPr>
        <w:t xml:space="preserve"> </w:t>
      </w:r>
      <w:r>
        <w:rPr>
          <w:rFonts w:ascii="Arial" w:cs="Arial" w:eastAsia="Arial" w:hAnsi="Arial"/>
          <w:sz w:val="17"/>
          <w:szCs w:val="17"/>
          <w:color w:val="000000"/>
        </w:rPr>
        <w:t xml:space="preserve">Janssen in 2020. The $2.2 million allocated to the research and development activities is being recognized over the Company’s involvement in the research term, which is estimated to be less than two years. During the years ended December 31, 2022, and </w:t>
      </w:r>
      <w:r>
        <w:rPr>
          <w:rFonts w:ascii="Arial" w:cs="Arial" w:eastAsia="Arial" w:hAnsi="Arial"/>
          <w:sz w:val="17"/>
          <w:szCs w:val="17"/>
          <w:color w:val="252525"/>
        </w:rPr>
        <w:t>2021</w:t>
      </w:r>
      <w:r>
        <w:rPr>
          <w:rFonts w:ascii="Arial" w:cs="Arial" w:eastAsia="Arial" w:hAnsi="Arial"/>
          <w:sz w:val="17"/>
          <w:szCs w:val="17"/>
          <w:color w:val="000000"/>
        </w:rPr>
        <w:t xml:space="preserve"> the Company recognized revenue of $0.8 million and $1.5 million, respectively, for research and development activities performed under the Janssen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Provention Bio, Inc.</w:t>
      </w:r>
    </w:p>
    <w:p>
      <w:pPr>
        <w:spacing w:after="0" w:line="171"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2018, the Company entered into a license agreement with Provention pursuant to which the Company granted Provention exclusive global rights for the purpose of developing and commercializing MGD010 (renamed PRV-3279), a CD32B x CD79B DART molecule being developed for the treatment of autoimmune indications (Provention License Agreement). As partial consideration for the Provention License Agreement, Provention granted the Company a warrant to purchase shares of Provention’s common stock at an exercise price of $2.50 per share. If Provention successfully develops, obtains regulatory approval for, and commercializes PRV-3279, the Company will be eligible to receive up to $65.0 million in development and regulatory milestones and up to $225.0 million in commercial milestones. As of December 31, 2022, the Company has not recognized any milestone revenue under this agreement. If commercialized, the Company would be eligible to receive single-digit royalties on net sales of the product. The license agreement may be terminated by either party upon a material breach or bankruptcy of the other party, by Provention without cause upon prior notice to the Company, and by the Company in the event that Provention challenges the validity of any licensed patent under the agreement, but only with respect to the challenged patent.</w:t>
      </w:r>
    </w:p>
    <w:p>
      <w:pPr>
        <w:spacing w:after="0" w:line="13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Also, in 2018, the Company entered into an asset purchase agreement with Provention pursuant to which Provention acquired the Company’s interest in teplizumab (renamed PRV-031), a monoclonal antibody being developed for the treatment of type 1 diabetes (Asset Purchase Agreement). As partial consideration for the Asset Purchase Agreement, Provention granted the Company a warrant to purchase shares of Provention’s common stock at an exercise price of $2.50 per share. Under the Asset Purchase Agreement, Provention is obligated to pay the Company contingent milestone payments totaling $170.0 million upon the achievement of certain regulatory milestones. In addition, Provention is obligated to make contingent milestone payments to the Company totaling $225.0 million upon the achievement of certain commercial milestones as well as single-digit royalties on net sales of the product. The FDA approved the BLA for teplizumab in November 2022, and the Company recognized $60.0 million in revenue related to this regulatory milestone during the year ended December 31, 2022. In November 2022, the Company and Provention amended the Asset Purchase Agreement. Under this amendment, the milestone for first approval was split into four equal payments, the first of which was received in November 2022. The remaining payments are due on March 1, 2023, June 1, 2023 and September 1, 2023. Provention has also agreed to pay third-party obligations, including low single-digit royalties, a portion of which is creditable against royalties payable to the Company, aggregate milestone payments of up to approximately $1.3 million and other consideration, for certain third-party intellectual property under agreements Provention assumed pursuant to the Asset Purchase Agreement. Further, Provention is required to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3" w:name="page104"/>
    <w:bookmarkEnd w:id="103"/>
    <w:p>
      <w:pPr>
        <w:ind w:right="200"/>
        <w:spacing w:after="0" w:line="277" w:lineRule="auto"/>
        <w:rPr>
          <w:sz w:val="20"/>
          <w:szCs w:val="20"/>
          <w:color w:val="auto"/>
        </w:rPr>
      </w:pPr>
      <w:r>
        <w:rPr>
          <w:rFonts w:ascii="Arial" w:cs="Arial" w:eastAsia="Arial" w:hAnsi="Arial"/>
          <w:sz w:val="18"/>
          <w:szCs w:val="18"/>
          <w:color w:val="auto"/>
        </w:rPr>
        <w:t>pay the Company a low double-digit percentage of certain consideration to the extent it is received in connection with a future grant of rights to PRV-031 by Provention to a third party.</w:t>
      </w:r>
    </w:p>
    <w:p>
      <w:pPr>
        <w:spacing w:after="0" w:line="11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The Company evaluated the Provention License Agreement and Asset Purchase Agreement under the provisions of ASC 606 and determined that they should be accounted for as a single contract and identified two performance obligations within that contract: (i) the license of MGD010 and (ii) the title to teplizumab. The Company determined that the transaction price of the Provention agreements was $6.1 million, based on the Black-Scholes valuation of the warrants to purchase a total of 2,432,688 shares of Provention's common stock. The transaction price was allocated to each performance obligation based on the number of shares of common stock the Company is entitled to purchase under each warrant.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were excluded from the initial transaction price. Any consideration related to sales-based milestones and royalties will be recognized when the related sales occur, therefore they have also been excluded from the transaction price. The Company re-assesses the transaction price in each reporting period and when events whose outcomes are resolved or other changes in circumstances occur. The Company recognized revenue of $6.1 million when it satisfied its performance obligations under the agreements and transferred the MGD010 license and teplizumab assets to Provention in 2018. In 2019, the Company exercised the warrants on a cashless basis, and subsequently sold all the shares of Provention common stock acquired through the exercise. No shares of Provention stock were held subsequent to the sale of stock in 2019. During the year ended December 31, 2022, </w:t>
      </w:r>
      <w:r>
        <w:rPr>
          <w:rFonts w:ascii="Arial" w:cs="Arial" w:eastAsia="Arial" w:hAnsi="Arial"/>
          <w:sz w:val="16"/>
          <w:szCs w:val="16"/>
          <w:color w:val="252525"/>
        </w:rPr>
        <w:t>it became probable that a significant reversal of cumulative revenue would not</w:t>
      </w:r>
      <w:r>
        <w:rPr>
          <w:rFonts w:ascii="Arial" w:cs="Arial" w:eastAsia="Arial" w:hAnsi="Arial"/>
          <w:sz w:val="16"/>
          <w:szCs w:val="16"/>
          <w:color w:val="auto"/>
        </w:rPr>
        <w:t xml:space="preserve"> </w:t>
      </w:r>
      <w:r>
        <w:rPr>
          <w:rFonts w:ascii="Arial" w:cs="Arial" w:eastAsia="Arial" w:hAnsi="Arial"/>
          <w:sz w:val="16"/>
          <w:szCs w:val="16"/>
          <w:color w:val="252525"/>
        </w:rPr>
        <w:t xml:space="preserve">occur for a regulatory milestone of </w:t>
      </w:r>
      <w:r>
        <w:rPr>
          <w:rFonts w:ascii="Arial" w:cs="Arial" w:eastAsia="Arial" w:hAnsi="Arial"/>
          <w:sz w:val="16"/>
          <w:szCs w:val="16"/>
          <w:color w:val="000000"/>
        </w:rPr>
        <w:t>$60.0 million</w:t>
      </w:r>
      <w:r>
        <w:rPr>
          <w:rFonts w:ascii="Arial" w:cs="Arial" w:eastAsia="Arial" w:hAnsi="Arial"/>
          <w:sz w:val="16"/>
          <w:szCs w:val="16"/>
          <w:color w:val="252525"/>
        </w:rPr>
        <w:t>, t</w:t>
      </w:r>
      <w:r>
        <w:rPr>
          <w:rFonts w:ascii="Arial" w:cs="Arial" w:eastAsia="Arial" w:hAnsi="Arial"/>
          <w:sz w:val="16"/>
          <w:szCs w:val="16"/>
          <w:color w:val="000000"/>
        </w:rPr>
        <w:t>herefore</w:t>
      </w:r>
      <w:r>
        <w:rPr>
          <w:rFonts w:ascii="Arial" w:cs="Arial" w:eastAsia="Arial" w:hAnsi="Arial"/>
          <w:sz w:val="16"/>
          <w:szCs w:val="16"/>
          <w:color w:val="252525"/>
        </w:rPr>
        <w:t xml:space="preserve"> the associated consideration was added to the estimated transaction price and was recognized as revenue. </w:t>
      </w:r>
      <w:r>
        <w:rPr>
          <w:rFonts w:ascii="Arial" w:cs="Arial" w:eastAsia="Arial" w:hAnsi="Arial"/>
          <w:sz w:val="16"/>
          <w:szCs w:val="16"/>
          <w:color w:val="000000"/>
        </w:rPr>
        <w:t>During the years ended December 31, 2022,</w:t>
      </w:r>
      <w:r>
        <w:rPr>
          <w:rFonts w:ascii="Arial" w:cs="Arial" w:eastAsia="Arial" w:hAnsi="Arial"/>
          <w:sz w:val="16"/>
          <w:szCs w:val="16"/>
          <w:color w:val="252525"/>
        </w:rPr>
        <w:t xml:space="preserve"> 2021 and </w:t>
      </w:r>
      <w:r>
        <w:rPr>
          <w:rFonts w:ascii="Arial" w:cs="Arial" w:eastAsia="Arial" w:hAnsi="Arial"/>
          <w:sz w:val="16"/>
          <w:szCs w:val="16"/>
          <w:color w:val="000000"/>
        </w:rPr>
        <w:t>2020, the Company recognized revenue of $60.0 million, $1.3 million and $0.6 million,</w:t>
      </w:r>
      <w:r>
        <w:rPr>
          <w:rFonts w:ascii="Arial" w:cs="Arial" w:eastAsia="Arial" w:hAnsi="Arial"/>
          <w:sz w:val="16"/>
          <w:szCs w:val="16"/>
          <w:color w:val="252525"/>
        </w:rPr>
        <w:t xml:space="preserve"> </w:t>
      </w:r>
      <w:r>
        <w:rPr>
          <w:rFonts w:ascii="Arial" w:cs="Arial" w:eastAsia="Arial" w:hAnsi="Arial"/>
          <w:sz w:val="16"/>
          <w:szCs w:val="16"/>
          <w:color w:val="000000"/>
        </w:rPr>
        <w:t>respectively, under these agreements. As of December 31, 2022, Provention owes the Company $45.0 million related to the achieved milestone, which is included in accounts receivable on the consolidated balance sheet.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I-Mab Biopharma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I-Mab License Agreement</w:t>
      </w:r>
    </w:p>
    <w:p>
      <w:pPr>
        <w:spacing w:after="0" w:line="171"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In 2019, the Company entered into a collaboration and license agreement with I-Mab to develop and commercialize enoblituzumab, an immune-optimized, anti-B7-H3 monoclonal antibody that incorporates the Company's proprietary Fc Optimization technology platform (I-Mab License Agreement). I-Mab obtained regional development and commercialization rights in mainland China, Hong Kong, Macau and Taiwan (I-Mab's territory), will lead clinical development of enoblituzumab in its territories, and will participate in global studies conducted by the Company. In August 2022, I-Mab notified the Company of its intention to terminate the I-Mab License Agreement effective February 25, 2023.</w:t>
      </w:r>
    </w:p>
    <w:p>
      <w:pPr>
        <w:spacing w:after="0" w:line="12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Under the terms of the I-Mab License Agreement, I-Mab paid the Company an upfront payment of $15.0 million, and $5.0 million of milestone revenue has been earned from the inception of the I-Mab License Agreement through </w:t>
      </w:r>
      <w:r>
        <w:rPr>
          <w:rFonts w:ascii="Arial" w:cs="Arial" w:eastAsia="Arial" w:hAnsi="Arial"/>
          <w:sz w:val="18"/>
          <w:szCs w:val="18"/>
          <w:color w:val="252525"/>
        </w:rPr>
        <w:t>December 31, 2022</w:t>
      </w:r>
      <w:r>
        <w:rPr>
          <w:rFonts w:ascii="Arial" w:cs="Arial" w:eastAsia="Arial" w:hAnsi="Arial"/>
          <w:sz w:val="18"/>
          <w:szCs w:val="18"/>
          <w:color w:val="auto"/>
        </w:rPr>
        <w:t>.</w:t>
      </w:r>
    </w:p>
    <w:p>
      <w:pPr>
        <w:spacing w:after="0" w:line="11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Company evaluated the I-Mab License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 Company has also determined that the chronic toxicology study is distinct from the other promises and has estimated the variable consideration of that performance obligation to be approximately $1.0 million. I-Mab paid the Company for the cost of this study as the costs were incurred and I-Mab received a one-time credit of eighty percent of the total amount of such costs against the milestone achieved during 2021. The Company reassessed the transaction price as it became probable that a significant reversal of cumulative revenue would not occur for a $5.0 million milestone ($4.5 million after netting a one-time credit as described above) related to development progress of enoblituzumab, therefore the associated consideration was added to the estimated transaction price and was recognized as revenue during 2021.</w:t>
      </w:r>
    </w:p>
    <w:p>
      <w:pPr>
        <w:spacing w:after="0" w:line="11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Revenue under the I-Mab License Agreement was recognized using a cost-based input method according to costs incurred to date compared to estimated total costs. The transfer of control occurs over this time period and, in management’s judgment, was the best measure of progress towards satisfying the performance obligations. During the years ended December 31, 2022, 2021 and 2020, the Company recognized revenue of $4.5 million, $11.5 million and $2.2 million,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4" w:name="page105"/>
    <w:bookmarkEnd w:id="104"/>
    <w:p>
      <w:pPr>
        <w:ind w:right="860"/>
        <w:spacing w:after="0" w:line="308" w:lineRule="auto"/>
        <w:rPr>
          <w:sz w:val="20"/>
          <w:szCs w:val="20"/>
          <w:color w:val="auto"/>
        </w:rPr>
      </w:pPr>
      <w:r>
        <w:rPr>
          <w:rFonts w:ascii="Arial" w:cs="Arial" w:eastAsia="Arial" w:hAnsi="Arial"/>
          <w:sz w:val="17"/>
          <w:szCs w:val="17"/>
          <w:color w:val="auto"/>
        </w:rPr>
        <w:t>respectively, related to the I-Mab License Agreement. At December 31, 2022, no revenue was deferred under the I-Mab License Agreement. At December 31, 2021, $4.5 million in revenue was deferred under the I-Mab License Agreement, all of which was current.</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I-Mab Clinical Supply Agreement</w:t>
      </w:r>
    </w:p>
    <w:p>
      <w:pPr>
        <w:spacing w:after="0" w:line="17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October 2021, the Company entered into an agreement under which the Company was to perform development and manufacturing services for I-Mab’s clinical needs of enoblituzumab (I-Mab Clinical Supply Agreement). The Company evaluated this agreement under ASC 606 and identified one performance obligation under the agreement: to perform services related to the development and manufacturing of the clinical supply of enoblituzumab. The transaction price was based on the costs incurred to develop and manufacture drug product and drug substance, and was recognized over time as the services were provided, as the performance by the Company does not create an asset with an alternative use and the Company has an enforceable right to payment for the performance completed to date. The transaction price was recognized using the input method reflecting the costs incurred (including resources consumed and labor hours expended) related to the manufacturing services. During the years ended December 31, 2022, and 2021, the Company recognized revenue of $0.6 million and $1.3 million, respectively, for research and development activities performed under the I-Mab Clinical Supply Agreement. The Company and I-Mab mutually agreed to terminate this agreement in November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Boehringer Ingelheim International GmbH</w:t>
      </w:r>
    </w:p>
    <w:p>
      <w:pPr>
        <w:spacing w:after="0" w:line="17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2010, the Company entered into a collaboration and license agreement with Boehringer Ingelheim International GmbH (BII) to discover, develop and commercialize multiple DART molecules that were to be evaluated during a five-year period that ended in 2015 (Boehringer Agreement). Under the terms of the agreement, the Company granted BII an exclusive, worldwide, royalty-bearing, license under its intellectual property to research, develop, and market DART molecules generated under the agreement. During the evaluation period, BII selected two product candidates to develop (BII DARTs). Under the terms of the Boehringer Agreement, BII paid the Company an upfront payment of $15.0 million which was fully recognized prior to December 31, 2015. The variable consideration under this agreement included potential future development and sales milestones and royalties on net sales in the event that the BII DARTs are commercialized.</w:t>
      </w:r>
    </w:p>
    <w:p>
      <w:pPr>
        <w:spacing w:after="0" w:line="12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June 2020, BII agreed to a payment of $12.0 million in order to retain rights to develop the BII DARTs under the Boehringer Agreement. As a result, the Company received and recognized as revenue $12.0 million during the year ended December 31, 2020. The remaining potential development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when the related sales occur and therefore, have also been excluded from the transaction price. The Company re-assesses the transaction price in each reporting period and when events whose outcomes are resolved or other changes in circumstances occur.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Services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January 2022, the Company entered into a Manufacturing and Clinical Supply Agreement with Incyte (Incyte Manufacturing and Clinical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Supply Agreement) to provide manufacturing services to produce certain Incyte bulk drug substance over a three-year period at one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manufacturing facilities. Under the terms of the Incyte Manufacturing and Clinical Supply Agreement, the Company received an upfront 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and is eligible to receive annual fixed payments paid quarterly over the term of the contract totaling $14.4 million. The Company will also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reimbursed for materials used to manufacture product as well as other costs incurred to provide manufacturing services. In July 2022,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Incyte executed an amendment to the Incyte Manufacturing and Clinical Supply Agreement which extended the term for one year and provided for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annual fixed payment of $5.1 million (July 2022 Incyte Amendment).</w:t>
      </w:r>
    </w:p>
    <w:p>
      <w:pPr>
        <w:spacing w:after="0" w:line="10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evaluated the Incyte Manufacturing and Clinical Supply Agreement and the July 2022 Incyte Amendment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received of $10.0 million and the annual fixed payments totaling $19.5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05" w:name="page106"/>
    <w:bookmarkEnd w:id="105"/>
    <w:p>
      <w:pPr>
        <w:ind w:right="20"/>
        <w:spacing w:after="0" w:line="277" w:lineRule="auto"/>
        <w:rPr>
          <w:sz w:val="20"/>
          <w:szCs w:val="20"/>
          <w:color w:val="auto"/>
        </w:rPr>
      </w:pPr>
      <w:r>
        <w:rPr>
          <w:rFonts w:ascii="Arial" w:cs="Arial" w:eastAsia="Arial" w:hAnsi="Arial"/>
          <w:sz w:val="18"/>
          <w:szCs w:val="18"/>
          <w:color w:val="auto"/>
        </w:rPr>
        <w:t>as revenue as those activities occur. Materials purchased by the Company to manufacture the product for Incyte are considered costs to fulfill a contract and will be capitalized and expensed as the materials are used to provide the manufacturing services.</w:t>
      </w:r>
    </w:p>
    <w:p>
      <w:pPr>
        <w:spacing w:after="0" w:line="62" w:lineRule="exact"/>
        <w:rPr>
          <w:sz w:val="20"/>
          <w:szCs w:val="20"/>
          <w:color w:val="auto"/>
        </w:rPr>
      </w:pPr>
    </w:p>
    <w:p>
      <w:pPr>
        <w:jc w:val="both"/>
        <w:ind w:right="740" w:firstLine="648"/>
        <w:spacing w:after="0" w:line="263" w:lineRule="auto"/>
        <w:rPr>
          <w:sz w:val="20"/>
          <w:szCs w:val="20"/>
          <w:color w:val="auto"/>
        </w:rPr>
      </w:pPr>
      <w:r>
        <w:rPr>
          <w:rFonts w:ascii="Arial" w:cs="Arial" w:eastAsia="Arial" w:hAnsi="Arial"/>
          <w:sz w:val="18"/>
          <w:szCs w:val="18"/>
          <w:color w:val="auto"/>
        </w:rPr>
        <w:t xml:space="preserve">The Company recognized revenue of $8.7 million under the Incyte Manufacturing and Clinical Supply Agreement during the year ended December 31, 2022. As of </w:t>
      </w:r>
      <w:r>
        <w:rPr>
          <w:rFonts w:ascii="Arial" w:cs="Arial" w:eastAsia="Arial" w:hAnsi="Arial"/>
          <w:sz w:val="18"/>
          <w:szCs w:val="18"/>
          <w:color w:val="252525"/>
        </w:rPr>
        <w:t>December 31, 2022,</w:t>
      </w:r>
      <w:r>
        <w:rPr>
          <w:rFonts w:ascii="Arial" w:cs="Arial" w:eastAsia="Arial" w:hAnsi="Arial"/>
          <w:sz w:val="18"/>
          <w:szCs w:val="18"/>
          <w:color w:val="auto"/>
        </w:rPr>
        <w:t xml:space="preserve"> $9.6 million </w:t>
      </w:r>
      <w:r>
        <w:rPr>
          <w:rFonts w:ascii="Arial" w:cs="Arial" w:eastAsia="Arial" w:hAnsi="Arial"/>
          <w:sz w:val="18"/>
          <w:szCs w:val="18"/>
          <w:color w:val="252525"/>
        </w:rPr>
        <w:t>in revenue was deferred under this agreement,</w:t>
      </w:r>
      <w:r>
        <w:rPr>
          <w:rFonts w:ascii="Arial" w:cs="Arial" w:eastAsia="Arial" w:hAnsi="Arial"/>
          <w:sz w:val="18"/>
          <w:szCs w:val="18"/>
          <w:color w:val="auto"/>
        </w:rPr>
        <w:t xml:space="preserve"> $8.1 million </w:t>
      </w:r>
      <w:r>
        <w:rPr>
          <w:rFonts w:ascii="Arial" w:cs="Arial" w:eastAsia="Arial" w:hAnsi="Arial"/>
          <w:sz w:val="18"/>
          <w:szCs w:val="18"/>
          <w:color w:val="252525"/>
        </w:rPr>
        <w:t>of which was current and</w:t>
      </w:r>
      <w:r>
        <w:rPr>
          <w:rFonts w:ascii="Arial" w:cs="Arial" w:eastAsia="Arial" w:hAnsi="Arial"/>
          <w:sz w:val="18"/>
          <w:szCs w:val="18"/>
          <w:color w:val="auto"/>
        </w:rPr>
        <w:t xml:space="preserve"> $1.5 million </w:t>
      </w:r>
      <w:r>
        <w:rPr>
          <w:rFonts w:ascii="Arial" w:cs="Arial" w:eastAsia="Arial" w:hAnsi="Arial"/>
          <w:sz w:val="18"/>
          <w:szCs w:val="18"/>
          <w:color w:val="252525"/>
        </w:rPr>
        <w:t>of which was non-current.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Provention Bio, Inc.</w:t>
      </w:r>
    </w:p>
    <w:p>
      <w:pPr>
        <w:spacing w:after="0" w:line="17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June 2022, the Company entered into a Manufacturing and Clinical Supply Agreement with Provention (Provention Manufacturing and Clinical Supply Agreement) to provide manufacturing services to produce certain Provention bulk drug substance. Under the terms of the Provention Manufacturing and Clinical Supply Agreement, the Company received an upfront payment and payments in accordance with the manufacturing schedule. The Company was also reimbursed for materials used to manufacture product as well as other costs incurred to provide manufacturing services.</w:t>
      </w:r>
    </w:p>
    <w:p>
      <w:pPr>
        <w:spacing w:after="0" w:line="10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evaluated the Provention Manufacturing and Clinical Supply Agreement under the provisions of ASC 606 and identified one performance obligation to provide manufacturing services to Provention. The Company determined that the transaction price consisted of the upfront and other fixed payments totaling $4.6 million. The Company will recognize revenue over time on a straight-line basis as the manufacturing services are provided to Provention,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Provention will be allocated to the related manufacturing activities and will be recognized as revenue as those activities occur. Materials purchased by the Company to manufacture the product for Provention are considered costs to fulfill a contract and will be capitalized and expensed as the materials are used to provide the manufacturing services.</w:t>
      </w:r>
    </w:p>
    <w:p>
      <w:pPr>
        <w:spacing w:after="0" w:line="5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recognized revenue of $5.3 million under the Provention Manufacturing and Clinical Supply Agreement during the year ended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Government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entered into a contract with NIAID, effective as of September 15, 2015, to perform product development and to advance up to two DART molecules, MGD014 and MGD020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spacing w:after="0" w:line="13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Since the inception of the NIAID Contract, NIAID has exercised the two options contemplated in the original contract and executed modifications such that the total funded contract value as of December 31, 2022 is $25.1 million. In addition, the most recent modification changed the period of performance under the NIAID Contract to end in July 2023. The Company recognized revenue of $1.9 million, $1.8 million and $7.1 million under the NIAID contract during the years ended December 31, 2022, 2021 and 2020,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year ended December 31, 2022, employees purchased 105,986 shares of common stock under the 2016 ESPP for net proceeds to the Company of approximately $0.4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Effective February 2003, the Company implemented the 2003 Equity Incentive Plan (2003 Plan), and it was amended and approved by the Company's stockholders in 2005. Stock options granted under the 2003 Plan may be either incentive stock options as defined by the Internal Revenue Code (IRC), or non-qualified stock options. In 2013, the 2003 Plan was terminated, and no further awards 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Stock Incentive Plan (2013 Plan), up to a specified number of shares. As of December 31, 2022, under the 2003 Plan, there were options to purchase an aggregate of 65,103 shares of common stock outstanding at a weighted average exercise price of $5.90 per share.</w:t>
      </w:r>
    </w:p>
    <w:p>
      <w:pPr>
        <w:spacing w:after="0" w:line="12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October 2013, the Company implemented the 2013 Plan. The 2013 Plan provides for the grant of stock options and other stock-based awards, as well as cash-based performance awards. The aggregate number of shares of common stock initially available for issuance pursuant to awards under the 2013 Plan was 1,960,168 shares. The number of shares of common stock reserved for issuance will automatically increase on January 1 of each year from January 1, 2014 through and including January 1, 2023, by the lesser of (a) 1,960,168 shares, (b) 4.0% of the total number of shares of common stock outstanding on December 31 of the preceding calendar year, or (c) the number of shares of common stock determined by the Board of Directors. During the year ended December 31, 2022, the maximum number of shares of common stock authorized to be issued by the Company under the 2013 Plan was increased to 15,816,949.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December 31, 2022, under the 2013 Plan, there were options to purchase an aggregate of 10,033,826 shares of common stock outstanding at a weighted average exercise price of $18.66 per share.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stock-based compensation amounts were recognized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9,843</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Options</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252525"/>
        </w:rPr>
        <w:t xml:space="preserve">The Company accounts for stock-based compensation to employees and non-employee directors in accordance with ASC Topic 718, </w:t>
      </w:r>
      <w:r>
        <w:rPr>
          <w:rFonts w:ascii="Arial" w:cs="Arial" w:eastAsia="Arial" w:hAnsi="Arial"/>
          <w:sz w:val="17"/>
          <w:szCs w:val="17"/>
          <w:i w:val="1"/>
          <w:iCs w:val="1"/>
          <w:color w:val="252525"/>
        </w:rPr>
        <w:t>Compensation – Stock Compensation</w:t>
      </w:r>
      <w:r>
        <w:rPr>
          <w:rFonts w:ascii="Arial" w:cs="Arial" w:eastAsia="Arial" w:hAnsi="Arial"/>
          <w:sz w:val="17"/>
          <w:szCs w:val="17"/>
          <w:color w:val="252525"/>
        </w:rPr>
        <w:t>. The Company estimates the fair value of stock option awards using the Black-Scholes option pricing model on the</w:t>
      </w:r>
      <w:r>
        <w:rPr>
          <w:rFonts w:ascii="Arial" w:cs="Arial" w:eastAsia="Arial" w:hAnsi="Arial"/>
          <w:sz w:val="17"/>
          <w:szCs w:val="17"/>
          <w:i w:val="1"/>
          <w:iCs w:val="1"/>
          <w:color w:val="252525"/>
        </w:rPr>
        <w:t xml:space="preserve"> </w:t>
      </w:r>
      <w:r>
        <w:rPr>
          <w:rFonts w:ascii="Arial" w:cs="Arial" w:eastAsia="Arial" w:hAnsi="Arial"/>
          <w:sz w:val="17"/>
          <w:szCs w:val="17"/>
          <w:color w:val="252525"/>
        </w:rPr>
        <w:t>date of grant using the assumptions in the table below. Stock options granted to employees generally vest over four years and have a term of ten years. Stock-based compensation expense for stock options is recognized as expense over the requisite service period, which is the vesting period. As the Company has not paid dividends since inception, nor does it expect to pay any dividends for the foreseeable future, the expected dividend yield assumption is zero. The expected volatility is based on the historical stock volatility of the Company’s own common stock over a period equal to the expected term of the options. The risk-free rate of the stock options is based on the U.S. Treasury rate in effect at the time of grant for the expected term of the stock options. The Company used the simplified method to calculate expected term during 2020 and 2021. Beginning in 2022, the computation of expected term was determined based on the historical experience with similar awards, giving consideration to the contractual terms of the share-based awards, vesting schedules and expectations of future employee behavior. In addition, the Company estimates the expected forfeiture rate and only recognizes expense for those shares expected to vest. The Company estimates the forfeiture rate based on historical experience and its expectations regarding future pre-vesting termination behavior of employees. The Company reviews its estimate of the expected forfeiture rate annually, and stock-based compensation expense is adjusted accordingly.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350"/>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000" w:type="dxa"/>
            <w:vAlign w:val="bottom"/>
            <w:gridSpan w:val="4"/>
          </w:tcPr>
          <w:p>
            <w:pPr>
              <w:jc w:val="right"/>
              <w:ind w:right="90"/>
              <w:spacing w:after="0"/>
              <w:rPr>
                <w:sz w:val="20"/>
                <w:szCs w:val="20"/>
                <w:color w:val="auto"/>
              </w:rPr>
            </w:pPr>
            <w:r>
              <w:rPr>
                <w:rFonts w:ascii="Arial" w:cs="Arial" w:eastAsia="Arial" w:hAnsi="Arial"/>
                <w:sz w:val="18"/>
                <w:szCs w:val="18"/>
                <w:color w:val="auto"/>
              </w:rPr>
              <w:t>88% -92%</w:t>
            </w:r>
          </w:p>
        </w:tc>
        <w:tc>
          <w:tcPr>
            <w:tcW w:w="1860" w:type="dxa"/>
            <w:vAlign w:val="bottom"/>
            <w:gridSpan w:val="6"/>
          </w:tcPr>
          <w:p>
            <w:pPr>
              <w:jc w:val="center"/>
              <w:ind w:left="210"/>
              <w:spacing w:after="0"/>
              <w:rPr>
                <w:sz w:val="20"/>
                <w:szCs w:val="20"/>
                <w:color w:val="auto"/>
              </w:rPr>
            </w:pPr>
            <w:r>
              <w:rPr>
                <w:rFonts w:ascii="Arial" w:cs="Arial" w:eastAsia="Arial" w:hAnsi="Arial"/>
                <w:sz w:val="18"/>
                <w:szCs w:val="18"/>
                <w:color w:val="auto"/>
                <w:w w:val="90"/>
              </w:rPr>
              <w:t>86% - 87%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center"/>
              <w:ind w:right="130"/>
              <w:spacing w:after="0"/>
              <w:rPr>
                <w:sz w:val="20"/>
                <w:szCs w:val="20"/>
                <w:color w:val="auto"/>
              </w:rPr>
            </w:pPr>
            <w:r>
              <w:rPr>
                <w:rFonts w:ascii="Arial" w:cs="Arial" w:eastAsia="Arial" w:hAnsi="Arial"/>
                <w:sz w:val="18"/>
                <w:szCs w:val="18"/>
                <w:color w:val="auto"/>
                <w:w w:val="91"/>
              </w:rPr>
              <w:t>67% - 109%</w:t>
            </w:r>
          </w:p>
        </w:tc>
        <w:tc>
          <w:tcPr>
            <w:tcW w:w="12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00" w:type="dxa"/>
            <w:vAlign w:val="bottom"/>
            <w:gridSpan w:val="4"/>
            <w:shd w:val="clear" w:color="auto" w:fill="CCEEFF"/>
          </w:tcPr>
          <w:p>
            <w:pPr>
              <w:jc w:val="center"/>
              <w:ind w:left="810"/>
              <w:spacing w:after="0"/>
              <w:rPr>
                <w:sz w:val="20"/>
                <w:szCs w:val="20"/>
                <w:color w:val="auto"/>
              </w:rPr>
            </w:pPr>
            <w:r>
              <w:rPr>
                <w:rFonts w:ascii="Arial" w:cs="Arial" w:eastAsia="Arial" w:hAnsi="Arial"/>
                <w:sz w:val="18"/>
                <w:szCs w:val="18"/>
                <w:color w:val="auto"/>
                <w:w w:val="91"/>
              </w:rPr>
              <w:t>1.4% - 4.0%</w:t>
            </w:r>
          </w:p>
        </w:tc>
        <w:tc>
          <w:tcPr>
            <w:tcW w:w="1860" w:type="dxa"/>
            <w:vAlign w:val="bottom"/>
            <w:gridSpan w:val="6"/>
            <w:shd w:val="clear" w:color="auto" w:fill="CCEEFF"/>
          </w:tcPr>
          <w:p>
            <w:pPr>
              <w:jc w:val="center"/>
              <w:ind w:left="230"/>
              <w:spacing w:after="0"/>
              <w:rPr>
                <w:sz w:val="20"/>
                <w:szCs w:val="20"/>
                <w:color w:val="auto"/>
              </w:rPr>
            </w:pPr>
            <w:r>
              <w:rPr>
                <w:rFonts w:ascii="Arial" w:cs="Arial" w:eastAsia="Arial" w:hAnsi="Arial"/>
                <w:sz w:val="18"/>
                <w:szCs w:val="18"/>
                <w:color w:val="auto"/>
                <w:w w:val="91"/>
              </w:rPr>
              <w:t>0.6% - 1.6%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center"/>
              <w:ind w:right="130"/>
              <w:spacing w:after="0"/>
              <w:rPr>
                <w:sz w:val="20"/>
                <w:szCs w:val="20"/>
                <w:color w:val="auto"/>
              </w:rPr>
            </w:pPr>
            <w:r>
              <w:rPr>
                <w:rFonts w:ascii="Arial" w:cs="Arial" w:eastAsia="Arial" w:hAnsi="Arial"/>
                <w:sz w:val="18"/>
                <w:szCs w:val="18"/>
                <w:color w:val="auto"/>
                <w:w w:val="91"/>
              </w:rPr>
              <w:t>0.4% - 1.8%</w:t>
            </w:r>
          </w:p>
        </w:tc>
        <w:tc>
          <w:tcPr>
            <w:tcW w:w="120" w:type="dxa"/>
            <w:vAlign w:val="bottom"/>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680" w:type="dxa"/>
            <w:vAlign w:val="bottom"/>
          </w:tcPr>
          <w:p>
            <w:pPr>
              <w:spacing w:after="0"/>
              <w:rPr>
                <w:sz w:val="20"/>
                <w:szCs w:val="20"/>
                <w:color w:val="auto"/>
              </w:rPr>
            </w:pPr>
          </w:p>
        </w:tc>
        <w:tc>
          <w:tcPr>
            <w:tcW w:w="1320" w:type="dxa"/>
            <w:vAlign w:val="bottom"/>
            <w:gridSpan w:val="3"/>
          </w:tcPr>
          <w:p>
            <w:pPr>
              <w:jc w:val="right"/>
              <w:ind w:right="90"/>
              <w:spacing w:after="0"/>
              <w:rPr>
                <w:sz w:val="20"/>
                <w:szCs w:val="20"/>
                <w:color w:val="auto"/>
              </w:rPr>
            </w:pPr>
            <w:r>
              <w:rPr>
                <w:rFonts w:ascii="Arial" w:cs="Arial" w:eastAsia="Arial" w:hAnsi="Arial"/>
                <w:sz w:val="18"/>
                <w:szCs w:val="18"/>
                <w:color w:val="auto"/>
              </w:rPr>
              <w:t>5.95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5"/>
          </w:tcPr>
          <w:p>
            <w:pPr>
              <w:jc w:val="center"/>
              <w:ind w:right="700"/>
              <w:spacing w:after="0"/>
              <w:rPr>
                <w:sz w:val="20"/>
                <w:szCs w:val="20"/>
                <w:color w:val="auto"/>
              </w:rPr>
            </w:pPr>
            <w:r>
              <w:rPr>
                <w:rFonts w:ascii="Arial" w:cs="Arial" w:eastAsia="Arial" w:hAnsi="Arial"/>
                <w:sz w:val="18"/>
                <w:szCs w:val="18"/>
                <w:color w:val="auto"/>
                <w:w w:val="87"/>
              </w:rPr>
              <w:t>6.25 years</w:t>
            </w:r>
          </w:p>
        </w:tc>
        <w:tc>
          <w:tcPr>
            <w:tcW w:w="12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6.25 years</w:t>
            </w:r>
          </w:p>
        </w:tc>
        <w:tc>
          <w:tcPr>
            <w:tcW w:w="120" w:type="dxa"/>
            <w:vAlign w:val="bottom"/>
          </w:tcPr>
          <w:p>
            <w:pPr>
              <w:spacing w:after="0"/>
              <w:rPr>
                <w:sz w:val="20"/>
                <w:szCs w:val="20"/>
                <w:color w:val="auto"/>
              </w:rPr>
            </w:pPr>
          </w:p>
        </w:tc>
      </w:tr>
      <w:tr>
        <w:trPr>
          <w:trHeight w:val="715"/>
        </w:trPr>
        <w:tc>
          <w:tcPr>
            <w:tcW w:w="5620" w:type="dxa"/>
            <w:vAlign w:val="bottom"/>
          </w:tcPr>
          <w:p>
            <w:pPr>
              <w:ind w:left="660"/>
              <w:spacing w:after="0"/>
              <w:rPr>
                <w:sz w:val="20"/>
                <w:szCs w:val="20"/>
                <w:color w:val="auto"/>
              </w:rPr>
            </w:pPr>
            <w:r>
              <w:rPr>
                <w:rFonts w:ascii="Arial" w:cs="Arial" w:eastAsia="Arial" w:hAnsi="Arial"/>
                <w:sz w:val="18"/>
                <w:szCs w:val="18"/>
                <w:color w:val="auto"/>
              </w:rPr>
              <w:t>The following table summarizes stock option activity for 2022:</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5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76"/>
        </w:trPr>
        <w:tc>
          <w:tcPr>
            <w:tcW w:w="5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4"/>
        </w:trPr>
        <w:tc>
          <w:tcPr>
            <w:tcW w:w="5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spacing w:after="0" w:line="184"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5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4"/>
          </w:tcPr>
          <w:p>
            <w:pPr>
              <w:jc w:val="center"/>
              <w:spacing w:after="0" w:line="181" w:lineRule="exact"/>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spacing w:after="0" w:line="181" w:lineRule="exact"/>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9"/>
              </w:rPr>
              <w:t>Aggregate</w:t>
            </w:r>
          </w:p>
        </w:tc>
      </w:tr>
      <w:tr>
        <w:trPr>
          <w:trHeight w:val="176"/>
        </w:trPr>
        <w:tc>
          <w:tcPr>
            <w:tcW w:w="5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4"/>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15"/>
                <w:szCs w:val="15"/>
                <w:color w:val="auto"/>
              </w:rPr>
            </w:pPr>
          </w:p>
        </w:tc>
        <w:tc>
          <w:tcPr>
            <w:tcW w:w="1320" w:type="dxa"/>
            <w:vAlign w:val="bottom"/>
            <w:gridSpan w:val="3"/>
          </w:tcPr>
          <w:p>
            <w:pPr>
              <w:jc w:val="center"/>
              <w:ind w:right="20"/>
              <w:spacing w:after="0" w:line="176" w:lineRule="exact"/>
              <w:rPr>
                <w:sz w:val="20"/>
                <w:szCs w:val="20"/>
                <w:color w:val="auto"/>
              </w:rPr>
            </w:pPr>
            <w:r>
              <w:rPr>
                <w:rFonts w:ascii="Arial" w:cs="Arial" w:eastAsia="Arial" w:hAnsi="Arial"/>
                <w:sz w:val="18"/>
                <w:szCs w:val="18"/>
                <w:b w:val="1"/>
                <w:bCs w:val="1"/>
                <w:color w:val="auto"/>
                <w:w w:val="92"/>
              </w:rPr>
              <w:t>Intrinsic Value</w:t>
            </w:r>
          </w:p>
        </w:tc>
      </w:tr>
      <w:tr>
        <w:trPr>
          <w:trHeight w:val="243"/>
        </w:trPr>
        <w:tc>
          <w:tcPr>
            <w:tcW w:w="56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7"/>
              </w:rPr>
              <w:t>(in thousands)</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8,373,921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7"/>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2,794,997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9.32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(509,569)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15.82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(439,520)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Outstanding, December 31, 2022</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10,098,929</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18.58</w:t>
            </w:r>
          </w:p>
        </w:tc>
        <w:tc>
          <w:tcPr>
            <w:tcW w:w="1160" w:type="dxa"/>
            <w:vAlign w:val="bottom"/>
            <w:gridSpan w:val="3"/>
          </w:tcPr>
          <w:p>
            <w:pPr>
              <w:jc w:val="center"/>
              <w:ind w:left="410"/>
              <w:spacing w:after="0"/>
              <w:rPr>
                <w:sz w:val="20"/>
                <w:szCs w:val="20"/>
                <w:color w:val="auto"/>
              </w:rPr>
            </w:pPr>
            <w:r>
              <w:rPr>
                <w:rFonts w:ascii="Arial" w:cs="Arial" w:eastAsia="Arial" w:hAnsi="Arial"/>
                <w:sz w:val="18"/>
                <w:szCs w:val="18"/>
                <w:color w:val="auto"/>
                <w:w w:val="87"/>
              </w:rPr>
              <w:t>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1,094</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As of December 31, 2022:</w:t>
            </w: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Exercisable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6,694,068</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21.35</w:t>
            </w:r>
          </w:p>
        </w:tc>
        <w:tc>
          <w:tcPr>
            <w:tcW w:w="1160" w:type="dxa"/>
            <w:vAlign w:val="bottom"/>
            <w:gridSpan w:val="3"/>
          </w:tcPr>
          <w:p>
            <w:pPr>
              <w:jc w:val="center"/>
              <w:ind w:left="410"/>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and expected to vest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9,456,075</w:t>
            </w:r>
          </w:p>
        </w:tc>
        <w:tc>
          <w:tcPr>
            <w:tcW w:w="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18.91</w:t>
            </w:r>
          </w:p>
        </w:tc>
        <w:tc>
          <w:tcPr>
            <w:tcW w:w="116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7"/>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1,009</w:t>
            </w:r>
          </w:p>
        </w:tc>
      </w:tr>
    </w:tbl>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During 2022, 2021 and 2020 the Company issued 120,900, 332,767 and 504,445 net shares of common stock, respectively, in conjunction with stock option exercises. The Company received cash proceeds from the exercise of stock options of approximately $0.2 million, $5.8 million and $5.3 million during 2022, 2021 and 2020, respectively.</w:t>
      </w:r>
    </w:p>
    <w:p>
      <w:pPr>
        <w:spacing w:after="0" w:line="13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weighted-average grant-date fair value of options granted during 2022, 2021 and 2020 was $6.84, $15.20 and $10.68 per share, respectively. The total intrinsic value of options exercised during 2022, 2021 and 2020 was approximately $0.6 million, $3.3 million and $4.3 million, respectively. The total fair value of stock options which vested during 2022, 2021 and 2020 was $19.6 million, $20.2 million and $16.7 million, respectively. As of December 31, 2022, the total unrecognized compensation expense related to non-vested stock options, net of related forfeiture estimates, was $24.3 million, which the Company expects to recognize over a weighted-average period of approximately 1.3 years.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 options outstanding and exercisable by exercise price at December 31, 2022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Stock Options Outstanding</w:t>
            </w:r>
          </w:p>
        </w:tc>
        <w:tc>
          <w:tcPr>
            <w:tcW w:w="1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Stock Options Exercisable</w:t>
            </w:r>
          </w:p>
        </w:tc>
        <w:tc>
          <w:tcPr>
            <w:tcW w:w="0" w:type="dxa"/>
            <w:vAlign w:val="bottom"/>
          </w:tcPr>
          <w:p>
            <w:pPr>
              <w:spacing w:after="0"/>
              <w:rPr>
                <w:sz w:val="1"/>
                <w:szCs w:val="1"/>
                <w:color w:val="auto"/>
              </w:rPr>
            </w:pPr>
          </w:p>
        </w:tc>
      </w:t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jc w:val="center"/>
              <w:ind w:right="100"/>
              <w:spacing w:after="0" w:line="177" w:lineRule="exact"/>
              <w:rPr>
                <w:sz w:val="20"/>
                <w:szCs w:val="20"/>
                <w:color w:val="auto"/>
              </w:rPr>
            </w:pPr>
            <w:r>
              <w:rPr>
                <w:rFonts w:ascii="Arial" w:cs="Arial" w:eastAsia="Arial" w:hAnsi="Arial"/>
                <w:sz w:val="18"/>
                <w:szCs w:val="18"/>
                <w:b w:val="1"/>
                <w:bCs w:val="1"/>
                <w:color w:val="auto"/>
                <w:w w:val="88"/>
              </w:rPr>
              <w:t>Weighted-Average</w:t>
            </w:r>
          </w:p>
        </w:tc>
        <w:tc>
          <w:tcPr>
            <w:tcW w:w="140" w:type="dxa"/>
            <w:vAlign w:val="bottom"/>
          </w:tcPr>
          <w:p>
            <w:pPr>
              <w:spacing w:after="0"/>
              <w:rPr>
                <w:sz w:val="15"/>
                <w:szCs w:val="15"/>
                <w:color w:val="auto"/>
              </w:rPr>
            </w:pP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Weighted-Average</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0"/>
        </w:trPr>
        <w:tc>
          <w:tcPr>
            <w:tcW w:w="19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Range of Exercise</w:t>
            </w: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gridSpan w:val="2"/>
            <w:vMerge w:val="continue"/>
          </w:tcPr>
          <w:p>
            <w:pPr>
              <w:spacing w:after="0"/>
              <w:rPr>
                <w:sz w:val="15"/>
                <w:szCs w:val="15"/>
                <w:color w:val="auto"/>
              </w:rPr>
            </w:pPr>
          </w:p>
        </w:tc>
        <w:tc>
          <w:tcPr>
            <w:tcW w:w="17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 of 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Contractual Life in</w:t>
            </w:r>
          </w:p>
        </w:tc>
        <w:tc>
          <w:tcPr>
            <w:tcW w:w="140" w:type="dxa"/>
            <w:vAlign w:val="bottom"/>
          </w:tcPr>
          <w:p>
            <w:pPr>
              <w:spacing w:after="0"/>
              <w:rPr>
                <w:sz w:val="15"/>
                <w:szCs w:val="15"/>
                <w:color w:val="auto"/>
              </w:rPr>
            </w:pPr>
          </w:p>
        </w:tc>
        <w:tc>
          <w:tcPr>
            <w:tcW w:w="17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9"/>
              </w:rPr>
              <w:t>Exercise Price Per</w:t>
            </w:r>
          </w:p>
        </w:tc>
        <w:tc>
          <w:tcPr>
            <w:tcW w:w="17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Exercise Price Per</w:t>
            </w:r>
          </w:p>
        </w:tc>
        <w:tc>
          <w:tcPr>
            <w:tcW w:w="0" w:type="dxa"/>
            <w:vAlign w:val="bottom"/>
          </w:tcPr>
          <w:p>
            <w:pPr>
              <w:spacing w:after="0"/>
              <w:rPr>
                <w:sz w:val="1"/>
                <w:szCs w:val="1"/>
                <w:color w:val="auto"/>
              </w:rPr>
            </w:pPr>
          </w:p>
        </w:tc>
      </w:tr>
      <w:tr>
        <w:trPr>
          <w:trHeight w:val="230"/>
        </w:trPr>
        <w:tc>
          <w:tcPr>
            <w:tcW w:w="1920" w:type="dxa"/>
            <w:vAlign w:val="bottom"/>
            <w:gridSpan w:val="2"/>
          </w:tcPr>
          <w:p>
            <w:pPr>
              <w:ind w:left="680"/>
              <w:spacing w:after="0"/>
              <w:rPr>
                <w:sz w:val="20"/>
                <w:szCs w:val="20"/>
                <w:color w:val="auto"/>
              </w:rPr>
            </w:pPr>
            <w:r>
              <w:rPr>
                <w:rFonts w:ascii="Arial" w:cs="Arial" w:eastAsia="Arial" w:hAnsi="Arial"/>
                <w:sz w:val="18"/>
                <w:szCs w:val="18"/>
                <w:b w:val="1"/>
                <w:bCs w:val="1"/>
                <w:color w:val="auto"/>
              </w:rPr>
              <w:t>Prices</w:t>
            </w:r>
          </w:p>
        </w:tc>
        <w:tc>
          <w:tcPr>
            <w:tcW w:w="17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1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23"/>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$0.94 - $5.00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357,628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$5.01 - $15.00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3,355,424</w:t>
            </w:r>
          </w:p>
        </w:tc>
        <w:tc>
          <w:tcPr>
            <w:tcW w:w="196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1,211,129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9"/>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$15.01 - $25.00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4,041,994</w:t>
            </w:r>
          </w:p>
        </w:tc>
        <w:tc>
          <w:tcPr>
            <w:tcW w:w="196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5"/>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$25.01 - $40.21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2,343,883</w:t>
            </w:r>
          </w:p>
        </w:tc>
        <w:tc>
          <w:tcPr>
            <w:tcW w:w="60" w:type="dxa"/>
            <w:vAlign w:val="bottom"/>
            <w:tcBorders>
              <w:bottom w:val="single" w:sz="8" w:color="auto"/>
            </w:tcBorders>
          </w:tcPr>
          <w:p>
            <w:pPr>
              <w:spacing w:after="0"/>
              <w:rPr>
                <w:sz w:val="19"/>
                <w:szCs w:val="19"/>
                <w:color w:val="auto"/>
              </w:rPr>
            </w:pPr>
          </w:p>
        </w:tc>
        <w:tc>
          <w:tcPr>
            <w:tcW w:w="19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5"/>
              </w:rPr>
              <w:t>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29.59</w:t>
            </w:r>
          </w:p>
        </w:tc>
        <w:tc>
          <w:tcPr>
            <w:tcW w:w="8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2,187,121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10,098,929</w:t>
            </w:r>
          </w:p>
        </w:tc>
        <w:tc>
          <w:tcPr>
            <w:tcW w:w="196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5"/>
              </w:rPr>
              <w:t>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6,694,068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awards RSUs to employees. RSUs are valued based on the closing price of the Company’s common stock on the date of the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is recognized and amortized on a straight-line basis over the requisite service period of the award</w:t>
      </w:r>
      <w:r>
        <w:rPr>
          <w:rFonts w:ascii="Arial" w:cs="Arial" w:eastAsia="Arial" w:hAnsi="Arial"/>
          <w:sz w:val="18"/>
          <w:szCs w:val="18"/>
          <w:color w:val="252525"/>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RSU activity for 2022:</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64"/>
        </w:trPr>
        <w:tc>
          <w:tcPr>
            <w:tcW w:w="6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Weighted-Average</w:t>
            </w:r>
          </w:p>
        </w:tc>
      </w:tr>
      <w:tr>
        <w:trPr>
          <w:trHeight w:val="243"/>
        </w:trPr>
        <w:tc>
          <w:tcPr>
            <w:tcW w:w="61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Shares</w:t>
            </w:r>
          </w:p>
        </w:tc>
        <w:tc>
          <w:tcPr>
            <w:tcW w:w="8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Grant Date Fair Value</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r>
      <w:tr>
        <w:trPr>
          <w:trHeight w:val="229"/>
        </w:trPr>
        <w:tc>
          <w:tcPr>
            <w:tcW w:w="78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476,772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30"/>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29"/>
        </w:trPr>
        <w:tc>
          <w:tcPr>
            <w:tcW w:w="6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or expired</w:t>
            </w:r>
          </w:p>
        </w:tc>
        <w:tc>
          <w:tcPr>
            <w:tcW w:w="1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(72,743)</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8.74</w:t>
            </w:r>
          </w:p>
        </w:tc>
      </w:tr>
      <w:tr>
        <w:trPr>
          <w:trHeight w:val="24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415,084</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December 31, 2022, there was $2.0 million of total unrecognized compensation cost related to unvested RSUs, which the Company expects to recognize over a remaining weighted-average period of one year.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the years ended December 31, 2022, 2021 and 2020 there was no provision for income taxes due to taxable losses generated, fully offset by a valuation allowance.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components of the Company's deferred income tax assets (liabilities)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2021</w:t>
            </w: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Federal U.S. net operating loss carryforward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163,071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175,802</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net operating loss carryforward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49,965</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Research and development credit,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60,514</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Orphan drug credit,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9,585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7,008</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Section 174 deferred tax asset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16,727</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336,119</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(372,267)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(327,595)</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r>
      <w:tr>
        <w:trPr>
          <w:trHeight w:val="230"/>
        </w:trPr>
        <w:tc>
          <w:tcPr>
            <w:tcW w:w="8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(1,688)</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ROU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expenditures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deferred income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deferred income tax asset/(liability)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 and carryforwards; (iii) taxable income in prior carryback years if carryback is permitted under applicable tax law; and (iv) tax planning strategies. The Company's net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9" w:name="page110"/>
    <w:bookmarkEnd w:id="109"/>
    <w:p>
      <w:pPr>
        <w:spacing w:after="0" w:line="277" w:lineRule="auto"/>
        <w:rPr>
          <w:sz w:val="20"/>
          <w:szCs w:val="20"/>
          <w:color w:val="auto"/>
        </w:rPr>
      </w:pPr>
      <w:r>
        <w:rPr>
          <w:rFonts w:ascii="Arial" w:cs="Arial" w:eastAsia="Arial" w:hAnsi="Arial"/>
          <w:sz w:val="18"/>
          <w:szCs w:val="18"/>
          <w:color w:val="auto"/>
        </w:rPr>
        <w:t>deferred income tax asset is not more likely than not to be utilized due to the lack of sufficient sources of future taxable income and cumulative book losses which have resulted over the years.</w:t>
      </w:r>
    </w:p>
    <w:p>
      <w:pPr>
        <w:spacing w:after="0" w:line="11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December 31, 2022, the Company has U.S. federal and state net operating loss (NOL) carryforwards of approximately $777.0 million. Of these NOLs, $172.0 million will expire in various years beginning in 2025 through 2037. $605.0 million of NOLs were generated post December 31, 2017 and carryforward indefinitely. In addition, the Company has U.S. federal tax credits of $94.0 million which will expire in various years beginning in 2023 through 2041.</w:t>
      </w:r>
    </w:p>
    <w:p>
      <w:pPr>
        <w:spacing w:after="0" w:line="13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use of the Company's U.S. federal NOL and tax credit carryforwards in future years are restricted due to changes in the Company's ownership and tax attributes acquired through the Company's acquisitions. As of December 31, 2022, $13.5 million of the Company's U.S. Federal NOLs are limited for use over the years 2023 – 2028 in which a range of such amounts could be utilized on an annual basis of $0.2 million to $1.4 million. The remaining $763.0 million of NOLs is not limited and can be offset against future taxable income, subject to certain limitations for newly enacted tax legislation.</w:t>
      </w:r>
    </w:p>
    <w:p>
      <w:pPr>
        <w:spacing w:after="0" w:line="103"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The reconciliation of the reported estimated income tax benefit to the amount that would result by applying the U.S. federal statutory tax rate to the net income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federal tax at statutory rate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(8,100)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adjustments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Research credit,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(14,691)</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Orphan drug credit,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permanent items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48,510</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9880" w:type="dxa"/>
            <w:vAlign w:val="bottom"/>
            <w:gridSpan w:val="7"/>
          </w:tcPr>
          <w:p>
            <w:pPr>
              <w:ind w:left="66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(in thousands):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7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2"/>
                <w:szCs w:val="22"/>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Increases for current year tax positions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Increases/(decreases) for prior year tax positions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As of December 31, 2022 and 2021, of the total gross unrecognized tax benefits, approximately $7.4 million and $7.2 million would favorably impact the Company's effective income tax rate, respectively. Although, due to the Company's determination that the deferred income tax asset would not more likely than not be realized, a valuation allowance would be recorded, therefore, zero net impact would result within the Company's effective income tax rate. The Company's uncertain income tax position liability has been recorded to deferred income taxes to offset the tax attribute carryforward amounts.</w:t>
      </w:r>
    </w:p>
    <w:p>
      <w:pPr>
        <w:spacing w:after="0" w:line="10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years ended December 31, 2022, 2021 and 2020, the Company has not recognized any interest or penalties related to the uncertain income tax positions due to the fact such position is related to tax attribute carryforwards which have not yet been utilized. The Company does not expect its unrecognized income tax position to significantly decrease within the next twelve months.</w:t>
      </w:r>
    </w:p>
    <w:p>
      <w:pPr>
        <w:spacing w:after="0" w:line="13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The Company's U.S. Federal and state income tax returns from 2003 </w:t>
      </w:r>
      <w:r>
        <w:rPr>
          <w:rFonts w:ascii="Arial" w:cs="Arial" w:eastAsia="Arial" w:hAnsi="Arial"/>
          <w:sz w:val="18"/>
          <w:szCs w:val="18"/>
          <w:color w:val="252525"/>
        </w:rPr>
        <w:t>forward remain open to examination due to the carryover of unused income</w:t>
      </w:r>
      <w:r>
        <w:rPr>
          <w:rFonts w:ascii="Arial" w:cs="Arial" w:eastAsia="Arial" w:hAnsi="Arial"/>
          <w:sz w:val="18"/>
          <w:szCs w:val="18"/>
          <w:color w:val="auto"/>
        </w:rPr>
        <w:t xml:space="preserve"> </w:t>
      </w:r>
      <w:r>
        <w:rPr>
          <w:rFonts w:ascii="Arial" w:cs="Arial" w:eastAsia="Arial" w:hAnsi="Arial"/>
          <w:sz w:val="18"/>
          <w:szCs w:val="18"/>
          <w:color w:val="252525"/>
        </w:rPr>
        <w:t>tax credits, and from 2004 forward due to the carryover of unused net operating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Code (IRC) Section 174</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 tax years beginning on or after January 1, 2022, the Tax Cuts and Jobs Act of 2017 eliminates the option to currently deduct research and development expenses and requires taxpayers to capitalize and amortize them over five years for research activities performed in the United States and 15 years for research activities performed outside the United States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10" w:name="page111"/>
    <w:bookmarkEnd w:id="110"/>
    <w:p>
      <w:pPr>
        <w:jc w:val="both"/>
        <w:ind w:right="80"/>
        <w:spacing w:after="0" w:line="263" w:lineRule="auto"/>
        <w:rPr>
          <w:sz w:val="20"/>
          <w:szCs w:val="20"/>
          <w:color w:val="auto"/>
        </w:rPr>
      </w:pPr>
      <w:r>
        <w:rPr>
          <w:rFonts w:ascii="Arial" w:cs="Arial" w:eastAsia="Arial" w:hAnsi="Arial"/>
          <w:sz w:val="18"/>
          <w:szCs w:val="18"/>
          <w:color w:val="auto"/>
        </w:rPr>
        <w:t>pursuant to IRC Section 174. Although Congress is considering legislation that would repeal or defer this capitalization and amortization requirement, it is not certain that this provision will be repealed or otherwise modified. If the requirement is not repealed or replaced, it could increase our U.S. federal and state cash taxes and reduce cash flows in 2023 and future years.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7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2002, the Company established the MacroGenics 401(k) Plan (the Plan) for its employees under Section 401(k) of the IRC. Under this Plan, all employees at least 21 years of age are eligible to participate in the Plan, starting on the first day of each month. Employees may contribute up to 100% of their salary, subject to government maximums.</w:t>
      </w:r>
    </w:p>
    <w:p>
      <w:pPr>
        <w:spacing w:after="0" w:line="13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Employees are 100% vested in their contributions to the Plan. The Company's contribution to the Plan, as determined by the Board of Directors, is discretionary. For the years ended December 31, 2022, 2021 and 2020, the Company's contributions to the Plan totaled $2.3 million, $1.6 million and $1.4 million,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7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March 2023, the Company entered into a Purchase and Sale Agreement (Royalty Purchase Agreement) with DRI Healthcare Acquisitions LP (DRI), a wholly-owned subsidiary of DRI Healthcare Trust. Under the Royalty Purchase Agreement, the Company sold its single-digit royalty interest on global net sales of TZIELD (teplizumab-mzwv) under the Provention Asset Purchase Agreement to DRI. The Company retains its other economic interests related to TZIELD, including future potential regulatory and commercial milestones.</w:t>
      </w:r>
    </w:p>
    <w:p>
      <w:pPr>
        <w:spacing w:after="0" w:line="21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Under the terms of the Royalty Purchase Agreement, at the closing of the transaction, DRI paid the Company $100.0 million for its single-digit royalty interest on global net sales of TZIELD. The Company will have the right to receive a 50% share of the royalty on global net sales above a certain annual threshold. In addition, the Company may also receive up to $50.0 million from DRI upon the occurrence of pre-specified events tied to the advancement of TZIELD for the treatment of newly diagnosed type 1 diabetes and transactions regarding TZIELD and Provention. The Company may also receive an additional $50.0 million milestone from DRI if TZIELD achieves a certain level of sales.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320" w:type="dxa"/>
            <w:vAlign w:val="bottom"/>
            <w:gridSpan w:val="40"/>
          </w:tcPr>
          <w:p>
            <w:pPr>
              <w:ind w:left="2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4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360" w:type="dxa"/>
            <w:vAlign w:val="bottom"/>
            <w:tcBorders>
              <w:bottom w:val="single" w:sz="8" w:color="auto"/>
            </w:tcBorders>
            <w:gridSpan w:val="27"/>
          </w:tcPr>
          <w:p>
            <w:pPr>
              <w:ind w:left="6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41"/>
          </w:tcPr>
          <w:p>
            <w:pPr>
              <w:spacing w:after="0"/>
              <w:rPr>
                <w:sz w:val="20"/>
                <w:szCs w:val="20"/>
                <w:color w:val="auto"/>
              </w:rPr>
            </w:pPr>
            <w:r>
              <w:rPr>
                <w:rFonts w:ascii="Arial" w:cs="Arial" w:eastAsia="Arial" w:hAnsi="Arial"/>
                <w:sz w:val="18"/>
                <w:szCs w:val="18"/>
                <w:color w:val="auto"/>
                <w:w w:val="92"/>
              </w:rPr>
              <w:t>Restated Certificate of Incorporation of the Company and Certificate of Correction to the Restated Certificate of Incorporation of the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41"/>
          </w:tcPr>
          <w:p>
            <w:pPr>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Company (incorporated by reference to Exhibits </w:t>
            </w:r>
            <w:hyperlink r:id="rId133">
              <w:r>
                <w:rPr>
                  <w:rFonts w:ascii="Arial" w:cs="Arial" w:eastAsia="Arial" w:hAnsi="Arial"/>
                  <w:sz w:val="18"/>
                  <w:szCs w:val="18"/>
                  <w:color w:val="0000FF"/>
                  <w:w w:val="94"/>
                </w:rPr>
                <w:t>3.1</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 xml:space="preserve">and </w:t>
            </w:r>
            <w:hyperlink r:id="rId134">
              <w:r>
                <w:rPr>
                  <w:rFonts w:ascii="Arial" w:cs="Arial" w:eastAsia="Arial" w:hAnsi="Arial"/>
                  <w:sz w:val="18"/>
                  <w:szCs w:val="18"/>
                  <w:color w:val="0000FF"/>
                  <w:w w:val="94"/>
                </w:rPr>
                <w:t>3.3</w:t>
              </w:r>
            </w:hyperlink>
            <w:r>
              <w:rPr>
                <w:rFonts w:ascii="Arial" w:cs="Arial" w:eastAsia="Arial" w:hAnsi="Arial"/>
                <w:sz w:val="18"/>
                <w:szCs w:val="18"/>
                <w:color w:val="auto"/>
                <w:w w:val="94"/>
              </w:rPr>
              <w:t>, respectively, to the Company's Current Report on Form 8-K filed on</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October 18, 2013)</w:t>
            </w: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gridSpan w:val="41"/>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Amended and Restated By-Laws of the Company (incorporated by reference to Exhibit 3.1 to the Company’s Current Report on Form</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135">
              <w:r>
                <w:rPr>
                  <w:rFonts w:ascii="Arial" w:cs="Arial" w:eastAsia="Arial" w:hAnsi="Arial"/>
                  <w:sz w:val="18"/>
                  <w:szCs w:val="18"/>
                  <w:color w:val="0000FF"/>
                  <w:w w:val="93"/>
                </w:rPr>
                <w:t>8-K (File No. 001-36112) filed on April 2, 2021)</w:t>
              </w:r>
            </w:hyperlink>
          </w:p>
        </w:tc>
        <w:tc>
          <w:tcPr>
            <w:tcW w:w="6140" w:type="dxa"/>
            <w:vAlign w:val="bottom"/>
            <w:tcBorders>
              <w:top w:val="single" w:sz="8" w:color="0000FF"/>
            </w:tcBorders>
            <w:gridSpan w:val="3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6"/>
              </w:rPr>
            </w:pPr>
            <w:hyperlink r:id="rId136">
              <w:r>
                <w:rPr>
                  <w:rFonts w:ascii="Arial" w:cs="Arial" w:eastAsia="Arial" w:hAnsi="Arial"/>
                  <w:sz w:val="18"/>
                  <w:szCs w:val="18"/>
                  <w:color w:val="0000FF"/>
                  <w:w w:val="96"/>
                </w:rPr>
                <w:t>Specimen Stock Certificate (incorporated by reference to Exhibit 4.2 to the Registration Statement on Form S-1 (File No. 333-</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190994) filed by the Company on October 9, 2013)</w:t>
              </w:r>
            </w:hyperlink>
          </w:p>
        </w:tc>
        <w:tc>
          <w:tcPr>
            <w:tcW w:w="54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6"/>
              </w:rPr>
            </w:pPr>
            <w:hyperlink r:id="rId137">
              <w:r>
                <w:rPr>
                  <w:rFonts w:ascii="Arial" w:cs="Arial" w:eastAsia="Arial" w:hAnsi="Arial"/>
                  <w:sz w:val="18"/>
                  <w:szCs w:val="18"/>
                  <w:color w:val="0000FF"/>
                  <w:w w:val="96"/>
                </w:rPr>
                <w:t>Description of Common Stock (incorporated by reference to Exhibit 4.2 to the Company’s Annual Report on Form 10-K filed on</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37">
              <w:r>
                <w:rPr>
                  <w:rFonts w:ascii="Arial" w:cs="Arial" w:eastAsia="Arial" w:hAnsi="Arial"/>
                  <w:sz w:val="18"/>
                  <w:szCs w:val="18"/>
                  <w:color w:val="0000FF"/>
                  <w:w w:val="88"/>
                </w:rPr>
                <w:t>February 25, 2021)</w:t>
              </w:r>
            </w:hyperlink>
          </w:p>
        </w:tc>
        <w:tc>
          <w:tcPr>
            <w:tcW w:w="79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Form of Indemnification Agreement (incorporated by reference to Exhibit 10.14 to the Registration Statement on Form S-1 (File No.</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333-190994) filed by the Company on October 1, 2013)</w:t>
              </w:r>
            </w:hyperlink>
          </w:p>
        </w:tc>
        <w:tc>
          <w:tcPr>
            <w:tcW w:w="556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7"/>
              </w:rPr>
            </w:pPr>
            <w:hyperlink r:id="rId139">
              <w:r>
                <w:rPr>
                  <w:rFonts w:ascii="Arial" w:cs="Arial" w:eastAsia="Arial" w:hAnsi="Arial"/>
                  <w:sz w:val="18"/>
                  <w:szCs w:val="18"/>
                  <w:color w:val="0000FF"/>
                  <w:w w:val="97"/>
                </w:rPr>
                <w:t>Global Collaboration and License Agreement by and between the Company and Incyte Corporation, dated October 24, 2017</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139">
              <w:r>
                <w:rPr>
                  <w:rFonts w:ascii="Arial" w:cs="Arial" w:eastAsia="Arial" w:hAnsi="Arial"/>
                  <w:sz w:val="18"/>
                  <w:szCs w:val="18"/>
                  <w:color w:val="0000FF"/>
                  <w:w w:val="95"/>
                </w:rPr>
                <w:t>(incorporated by reference to Exhibit 10.3 to the Company's Annual Report on Form 10-K filed on February 27, 2018)</w:t>
              </w:r>
            </w:hyperlink>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2"/>
              </w:rPr>
            </w:pPr>
            <w:hyperlink r:id="rId140">
              <w:r>
                <w:rPr>
                  <w:rFonts w:ascii="Arial" w:cs="Arial" w:eastAsia="Arial" w:hAnsi="Arial"/>
                  <w:sz w:val="18"/>
                  <w:szCs w:val="18"/>
                  <w:color w:val="0000FF"/>
                  <w:w w:val="92"/>
                </w:rPr>
                <w:t>Company 2003 Equity Incentive Plan (incorporated by reference to Exhibit 10.3 to the Registration Statement on Form S-1 (File No.</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333-190994) filed by the Company on September 4, 2013)</w:t>
              </w:r>
            </w:hyperlink>
          </w:p>
        </w:tc>
        <w:tc>
          <w:tcPr>
            <w:tcW w:w="53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7"/>
              </w:rPr>
            </w:pPr>
            <w:hyperlink r:id="rId141">
              <w:r>
                <w:rPr>
                  <w:rFonts w:ascii="Arial" w:cs="Arial" w:eastAsia="Arial" w:hAnsi="Arial"/>
                  <w:sz w:val="18"/>
                  <w:szCs w:val="18"/>
                  <w:color w:val="0000FF"/>
                  <w:w w:val="97"/>
                </w:rPr>
                <w:t>Form of Incentive Stock Option Agreement under 2003 Equity Incentive Plan (incorporated by reference to Exhibit 10.4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Registration Statement on Form S-1 (File No. 333-190994) filed by the Company on September 4, 2013)</w:t>
              </w:r>
            </w:hyperlink>
          </w:p>
        </w:tc>
        <w:tc>
          <w:tcPr>
            <w:tcW w:w="15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Company 2013 Equity Incentive Plan (incorporated by reference to Exhibit 10.5 to the Registration Statement on Form S-1 (File No.</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333-190994) filed by the Company on October 1,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7"/>
              </w:rPr>
            </w:pPr>
            <w:hyperlink r:id="rId143">
              <w:r>
                <w:rPr>
                  <w:rFonts w:ascii="Arial" w:cs="Arial" w:eastAsia="Arial" w:hAnsi="Arial"/>
                  <w:sz w:val="18"/>
                  <w:szCs w:val="18"/>
                  <w:color w:val="0000FF"/>
                  <w:w w:val="97"/>
                </w:rPr>
                <w:t>Form of Incentive Stock Option Agreement under 2013 Equity Incentive Plan (incorporated by reference to Exhibit 10.6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Registration Statement on Form S-1 (File No. 333-190994) filed by the Company on October 1, 2013)</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4"/>
              </w:rPr>
            </w:pPr>
            <w:hyperlink r:id="rId144">
              <w:r>
                <w:rPr>
                  <w:rFonts w:ascii="Arial" w:cs="Arial" w:eastAsia="Arial" w:hAnsi="Arial"/>
                  <w:sz w:val="18"/>
                  <w:szCs w:val="18"/>
                  <w:color w:val="0000FF"/>
                  <w:w w:val="94"/>
                </w:rPr>
                <w:t>Form of Nonstatutory Stock Option Agreement under 2013 Equity Incentive Plan (incorporated by reference to Exhibit 10.7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Registration Statement on Form S-1 (File No. 333-190994) filed by the Company on October 1,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2"/>
            <w:vMerge w:val="restart"/>
          </w:tcPr>
          <w:p>
            <w:pPr>
              <w:ind w:left="4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6"/>
              </w:rPr>
            </w:pPr>
            <w:hyperlink r:id="rId145">
              <w:r>
                <w:rPr>
                  <w:rFonts w:ascii="Arial" w:cs="Arial" w:eastAsia="Arial" w:hAnsi="Arial"/>
                  <w:sz w:val="18"/>
                  <w:szCs w:val="18"/>
                  <w:color w:val="0000FF"/>
                  <w:w w:val="96"/>
                </w:rPr>
                <w:t>Form of Restricted Stock Units Grant Notice under 2013 Equity Incentive Plan (incorporated by reference to Exhibit 10.2 to the</w:t>
              </w:r>
            </w:hyperlink>
          </w:p>
        </w:tc>
        <w:tc>
          <w:tcPr>
            <w:tcW w:w="0" w:type="dxa"/>
            <w:vAlign w:val="bottom"/>
          </w:tcPr>
          <w:p>
            <w:pPr>
              <w:spacing w:after="0"/>
              <w:rPr>
                <w:sz w:val="1"/>
                <w:szCs w:val="1"/>
                <w:color w:val="auto"/>
              </w:rPr>
            </w:pPr>
          </w:p>
        </w:tc>
      </w:tr>
      <w:tr>
        <w:trPr>
          <w:trHeight w:val="115"/>
        </w:trPr>
        <w:tc>
          <w:tcPr>
            <w:tcW w:w="112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top w:val="single" w:sz="8" w:color="0000FF"/>
            </w:tcBorders>
            <w:gridSpan w:val="14"/>
            <w:vMerge w:val="restart"/>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Company's Quarterly Report on Form 10-Q filed on May 6, 2015)</w:t>
              </w:r>
            </w:hyperlink>
          </w:p>
        </w:tc>
        <w:tc>
          <w:tcPr>
            <w:tcW w:w="4440" w:type="dxa"/>
            <w:vAlign w:val="bottom"/>
            <w:tcBorders>
              <w:top w:val="single" w:sz="8" w:color="0000FF"/>
            </w:tcBorders>
            <w:gridSpan w:val="11"/>
            <w:vMerge w:val="restart"/>
          </w:tcPr>
          <w:p>
            <w:pPr>
              <w:spacing w:after="0"/>
              <w:rPr>
                <w:sz w:val="10"/>
                <w:szCs w:val="10"/>
                <w:color w:val="auto"/>
              </w:rPr>
            </w:pPr>
          </w:p>
        </w:tc>
        <w:tc>
          <w:tcPr>
            <w:tcW w:w="500" w:type="dxa"/>
            <w:vAlign w:val="bottom"/>
            <w:gridSpan w:val="1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760" w:type="dxa"/>
            <w:vAlign w:val="bottom"/>
            <w:tcBorders>
              <w:bottom w:val="single" w:sz="8" w:color="0000FF"/>
            </w:tcBorders>
            <w:gridSpan w:val="14"/>
            <w:vMerge w:val="continue"/>
          </w:tcPr>
          <w:p>
            <w:pPr>
              <w:spacing w:after="0"/>
              <w:rPr>
                <w:sz w:val="3"/>
                <w:szCs w:val="3"/>
                <w:color w:val="auto"/>
              </w:rPr>
            </w:pPr>
          </w:p>
        </w:tc>
        <w:tc>
          <w:tcPr>
            <w:tcW w:w="4440" w:type="dxa"/>
            <w:vAlign w:val="bottom"/>
            <w:gridSpan w:val="11"/>
            <w:vMerge w:val="continue"/>
          </w:tcPr>
          <w:p>
            <w:pPr>
              <w:spacing w:after="0"/>
              <w:rPr>
                <w:sz w:val="3"/>
                <w:szCs w:val="3"/>
                <w:color w:val="auto"/>
              </w:rPr>
            </w:pPr>
          </w:p>
        </w:tc>
        <w:tc>
          <w:tcPr>
            <w:tcW w:w="50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3"/>
              </w:rPr>
            </w:pPr>
            <w:hyperlink r:id="rId146">
              <w:r>
                <w:rPr>
                  <w:rFonts w:ascii="Arial" w:cs="Arial" w:eastAsia="Arial" w:hAnsi="Arial"/>
                  <w:sz w:val="18"/>
                  <w:szCs w:val="18"/>
                  <w:color w:val="0000FF"/>
                  <w:w w:val="93"/>
                </w:rPr>
                <w:t>2016 Employee Stock Purchase Plan (incorporated by reference to Exhibit 4.1 to the Registration Statement on Form S-8 (File No.</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333-214386) filed by the Company on November 2,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5"/>
              </w:rPr>
            </w:pPr>
            <w:hyperlink r:id="rId147">
              <w:r>
                <w:rPr>
                  <w:rFonts w:ascii="Arial" w:cs="Arial" w:eastAsia="Arial" w:hAnsi="Arial"/>
                  <w:sz w:val="18"/>
                  <w:szCs w:val="18"/>
                  <w:color w:val="0000FF"/>
                  <w:w w:val="95"/>
                </w:rPr>
                <w:t>Employment Agreement between the Company and Scott Koenig, M.D., Ph.D. (incorporated by reference to Exhibit 10.14 to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Company's Annual Report on Form 10-K filed by the Company on February 29, 2016)</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4"/>
              </w:rPr>
            </w:pPr>
            <w:hyperlink r:id="rId148">
              <w:r>
                <w:rPr>
                  <w:rFonts w:ascii="Arial" w:cs="Arial" w:eastAsia="Arial" w:hAnsi="Arial"/>
                  <w:sz w:val="18"/>
                  <w:szCs w:val="18"/>
                  <w:color w:val="0000FF"/>
                  <w:w w:val="94"/>
                </w:rPr>
                <w:t>Employment Agreement between the Company and James Karrels (incorporated by reference to Exhibit 10.15 to the Company's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Annual Report on Form 10-K filed by the Company on February 29, 2016)</w:t>
              </w:r>
            </w:hyperlink>
          </w:p>
        </w:tc>
        <w:tc>
          <w:tcPr>
            <w:tcW w:w="3840" w:type="dxa"/>
            <w:vAlign w:val="bottom"/>
            <w:tcBorders>
              <w:top w:val="single" w:sz="8" w:color="0000FF"/>
            </w:tcBorders>
            <w:gridSpan w:val="10"/>
          </w:tcPr>
          <w:p>
            <w:pPr>
              <w:spacing w:after="0"/>
              <w:rPr>
                <w:sz w:val="13"/>
                <w:szCs w:val="13"/>
                <w:color w:val="auto"/>
              </w:rPr>
            </w:pPr>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Employment Agreement between the Company and Ezio Bonvini, M.D. (incorporated by reference to Exhibit 10.3 to the Company's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Quarterly Report on Form 10-Q filed on May 4, 2016)</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1"/>
              </w:rPr>
            </w:pPr>
            <w:hyperlink r:id="rId150">
              <w:r>
                <w:rPr>
                  <w:rFonts w:ascii="Arial" w:cs="Arial" w:eastAsia="Arial" w:hAnsi="Arial"/>
                  <w:sz w:val="18"/>
                  <w:szCs w:val="18"/>
                  <w:color w:val="0000FF"/>
                  <w:w w:val="91"/>
                </w:rPr>
                <w:t>Employment Agreement between the Company and Eric Risser (incorporated by reference to Exhibit 10.16 to the Company's Annual</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Report on Form 10-K filed on February 28, 2017)</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Employment Agreement between the Company and Stephen Eck, M.D. (incorporated by reference to Exhibit 10.1 to the Company's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Quarterly Report on Form 10-Q filed on April 29, 2021)</w:t>
              </w:r>
            </w:hyperlink>
          </w:p>
        </w:tc>
        <w:tc>
          <w:tcPr>
            <w:tcW w:w="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9"/>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6"/>
              </w:rPr>
            </w:pPr>
            <w:hyperlink r:id="rId152">
              <w:r>
                <w:rPr>
                  <w:rFonts w:ascii="Arial" w:cs="Arial" w:eastAsia="Arial" w:hAnsi="Arial"/>
                  <w:sz w:val="18"/>
                  <w:szCs w:val="18"/>
                  <w:color w:val="0000FF"/>
                  <w:w w:val="96"/>
                </w:rPr>
                <w:t>Employment Agreement between the Company and Thomas Spitznagel Ph.D. (incorporated by reference to Exhibit 10.1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Company’s Quarterly Report on Form 10-Q filed on May 3, 2022)</w:t>
              </w:r>
            </w:hyperlink>
          </w:p>
        </w:tc>
        <w:tc>
          <w:tcPr>
            <w:tcW w:w="4360" w:type="dxa"/>
            <w:vAlign w:val="bottom"/>
            <w:tcBorders>
              <w:top w:val="single" w:sz="8" w:color="0000FF"/>
            </w:tcBorders>
            <w:gridSpan w:val="9"/>
          </w:tcPr>
          <w:p>
            <w:pPr>
              <w:spacing w:after="0"/>
              <w:rPr>
                <w:sz w:val="13"/>
                <w:szCs w:val="13"/>
                <w:color w:val="auto"/>
              </w:rPr>
            </w:pPr>
          </w:p>
        </w:tc>
        <w:tc>
          <w:tcPr>
            <w:tcW w:w="3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2"/>
              </w:rPr>
            </w:pPr>
            <w:hyperlink r:id="rId153">
              <w:r>
                <w:rPr>
                  <w:rFonts w:ascii="Arial" w:cs="Arial" w:eastAsia="Arial" w:hAnsi="Arial"/>
                  <w:sz w:val="18"/>
                  <w:szCs w:val="18"/>
                  <w:color w:val="0000FF"/>
                  <w:w w:val="92"/>
                </w:rPr>
                <w:t>Amendment No, 1 to the Global Collaboration and License Agreement by and between the Company and Incyte Corporation, dated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2"/>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March 15, 2018 (incorporated by reference to Exhibit 10.1 to the Company's Quarterly Report on Form 10-Q filed on May 7,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60" w:type="dxa"/>
            <w:vAlign w:val="bottom"/>
            <w:gridSpan w:val="31"/>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41"/>
          </w:tcPr>
          <w:p>
            <w:pPr>
              <w:spacing w:after="0"/>
              <w:rPr>
                <w:rFonts w:ascii="Arial" w:cs="Arial" w:eastAsia="Arial" w:hAnsi="Arial"/>
                <w:sz w:val="18"/>
                <w:szCs w:val="18"/>
                <w:color w:val="0000FF"/>
                <w:w w:val="92"/>
              </w:rPr>
            </w:pPr>
            <w:hyperlink r:id="rId154">
              <w:r>
                <w:rPr>
                  <w:rFonts w:ascii="Arial" w:cs="Arial" w:eastAsia="Arial" w:hAnsi="Arial"/>
                  <w:sz w:val="18"/>
                  <w:szCs w:val="18"/>
                  <w:color w:val="0000FF"/>
                  <w:w w:val="92"/>
                </w:rPr>
                <w:t>Amendment No. 2 to the Global Collaboration and License Agreement by and between the Company and Incyte Corporation, dated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April 7, 2022 (incorporated by reference to Exhibit 10.1 to the Company's Quarterly Report on Form 10-Q filed on August 8, 2022)</w:t>
              </w:r>
            </w:hyperlink>
          </w:p>
        </w:tc>
        <w:tc>
          <w:tcPr>
            <w:tcW w:w="20" w:type="dxa"/>
            <w:vAlign w:val="bottom"/>
            <w:tcBorders>
              <w:bottom w:val="single" w:sz="8" w:color="0000FF"/>
            </w:tcBorders>
          </w:tcPr>
          <w:p>
            <w:pPr>
              <w:spacing w:after="0"/>
              <w:rPr>
                <w:sz w:val="13"/>
                <w:szCs w:val="13"/>
                <w:color w:val="auto"/>
              </w:rPr>
            </w:pPr>
          </w:p>
        </w:tc>
        <w:tc>
          <w:tcPr>
            <w:tcW w:w="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067"/>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2" w:name="page113"/>
    <w:bookmarkEnd w:id="112"/>
    <w:tbl>
      <w:tblPr>
        <w:tblLayout w:type="fixed"/>
        <w:tblInd w:w="4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10.18#</w:t>
            </w:r>
          </w:p>
        </w:tc>
        <w:tc>
          <w:tcPr>
            <w:tcW w:w="9620" w:type="dxa"/>
            <w:vAlign w:val="bottom"/>
            <w:gridSpan w:val="25"/>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Amendment No. 3 to the Global Collaboration and License Agreement by and between the Company and Incyte Corporation, dated</w:t>
              </w:r>
            </w:hyperlink>
          </w:p>
        </w:tc>
      </w:tr>
      <w:tr>
        <w:trPr>
          <w:trHeight w:val="156"/>
        </w:trPr>
        <w:tc>
          <w:tcPr>
            <w:tcW w:w="1500" w:type="dxa"/>
            <w:vAlign w:val="bottom"/>
          </w:tcPr>
          <w:p>
            <w:pPr>
              <w:spacing w:after="0"/>
              <w:rPr>
                <w:sz w:val="13"/>
                <w:szCs w:val="13"/>
                <w:color w:val="auto"/>
              </w:rPr>
            </w:pPr>
          </w:p>
        </w:tc>
        <w:tc>
          <w:tcPr>
            <w:tcW w:w="9480" w:type="dxa"/>
            <w:vAlign w:val="bottom"/>
            <w:tcBorders>
              <w:top w:val="single" w:sz="8" w:color="0000FF"/>
            </w:tcBorders>
            <w:gridSpan w:val="22"/>
          </w:tcPr>
          <w:p>
            <w:pPr>
              <w:spacing w:after="0" w:line="156" w:lineRule="exact"/>
              <w:rPr>
                <w:rFonts w:ascii="Arial" w:cs="Arial" w:eastAsia="Arial" w:hAnsi="Arial"/>
                <w:sz w:val="18"/>
                <w:szCs w:val="18"/>
                <w:color w:val="0000FF"/>
                <w:w w:val="93"/>
              </w:rPr>
            </w:pPr>
            <w:hyperlink r:id="rId157">
              <w:r>
                <w:rPr>
                  <w:rFonts w:ascii="Arial" w:cs="Arial" w:eastAsia="Arial" w:hAnsi="Arial"/>
                  <w:sz w:val="18"/>
                  <w:szCs w:val="18"/>
                  <w:color w:val="0000FF"/>
                  <w:w w:val="93"/>
                </w:rPr>
                <w:t>April 7, 2022 (incorporated by reference to Exhibit 10.1 to the Company's Quarterly Report on Form 10-Q filed on November 3,</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6"/>
              </w:rPr>
            </w:pPr>
            <w:hyperlink r:id="rId157">
              <w:r>
                <w:rPr>
                  <w:rFonts w:ascii="Arial" w:cs="Arial" w:eastAsia="Arial" w:hAnsi="Arial"/>
                  <w:sz w:val="18"/>
                  <w:szCs w:val="18"/>
                  <w:color w:val="0000FF"/>
                  <w:w w:val="86"/>
                </w:rPr>
                <w:t>2022)</w:t>
              </w:r>
            </w:hyperlink>
          </w:p>
        </w:tc>
        <w:tc>
          <w:tcPr>
            <w:tcW w:w="36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10.19#</w:t>
            </w:r>
          </w:p>
        </w:tc>
        <w:tc>
          <w:tcPr>
            <w:tcW w:w="9620" w:type="dxa"/>
            <w:vAlign w:val="bottom"/>
            <w:gridSpan w:val="25"/>
          </w:tcPr>
          <w:p>
            <w:pPr>
              <w:spacing w:after="0"/>
              <w:rPr>
                <w:rFonts w:ascii="Arial" w:cs="Arial" w:eastAsia="Arial" w:hAnsi="Arial"/>
                <w:sz w:val="18"/>
                <w:szCs w:val="18"/>
                <w:color w:val="0000FF"/>
                <w:w w:val="94"/>
              </w:rPr>
            </w:pPr>
            <w:hyperlink r:id="rId158">
              <w:r>
                <w:rPr>
                  <w:rFonts w:ascii="Arial" w:cs="Arial" w:eastAsia="Arial" w:hAnsi="Arial"/>
                  <w:sz w:val="18"/>
                  <w:szCs w:val="18"/>
                  <w:color w:val="0000FF"/>
                  <w:w w:val="94"/>
                </w:rPr>
                <w:t>Commercial Supply Agreement by and between Incyte Corporation and the Company, dated October 13, 2020 (incorporated by</w:t>
              </w:r>
            </w:hyperlink>
          </w:p>
        </w:tc>
      </w:tr>
      <w:tr>
        <w:trPr>
          <w:trHeight w:val="155"/>
        </w:trPr>
        <w:tc>
          <w:tcPr>
            <w:tcW w:w="150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reference to Exhibit 10.16 to the Company’s Annual Report on Form 10-K filed on February 25, 2021)</w:t>
              </w:r>
            </w:hyperlink>
          </w:p>
        </w:tc>
        <w:tc>
          <w:tcPr>
            <w:tcW w:w="1780" w:type="dxa"/>
            <w:vAlign w:val="bottom"/>
            <w:tcBorders>
              <w:top w:val="single" w:sz="8" w:color="0000FF"/>
            </w:tcBorders>
            <w:gridSpan w:val="8"/>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00" w:type="dxa"/>
            <w:vAlign w:val="bottom"/>
          </w:tcPr>
          <w:p>
            <w:pPr>
              <w:spacing w:after="0"/>
              <w:rPr>
                <w:sz w:val="20"/>
                <w:szCs w:val="20"/>
                <w:color w:val="auto"/>
              </w:rPr>
            </w:pPr>
            <w:r>
              <w:rPr>
                <w:rFonts w:ascii="Arial" w:cs="Arial" w:eastAsia="Arial" w:hAnsi="Arial"/>
                <w:sz w:val="18"/>
                <w:szCs w:val="18"/>
                <w:color w:val="auto"/>
              </w:rPr>
              <w:t>10.20#</w:t>
            </w:r>
          </w:p>
        </w:tc>
        <w:tc>
          <w:tcPr>
            <w:tcW w:w="9620" w:type="dxa"/>
            <w:vAlign w:val="bottom"/>
            <w:gridSpan w:val="25"/>
          </w:tcPr>
          <w:p>
            <w:pPr>
              <w:spacing w:after="0"/>
              <w:rPr>
                <w:rFonts w:ascii="Arial" w:cs="Arial" w:eastAsia="Arial" w:hAnsi="Arial"/>
                <w:sz w:val="18"/>
                <w:szCs w:val="18"/>
                <w:color w:val="0000FF"/>
                <w:w w:val="90"/>
              </w:rPr>
            </w:pPr>
            <w:hyperlink r:id="rId159">
              <w:r>
                <w:rPr>
                  <w:rFonts w:ascii="Arial" w:cs="Arial" w:eastAsia="Arial" w:hAnsi="Arial"/>
                  <w:sz w:val="18"/>
                  <w:szCs w:val="18"/>
                  <w:color w:val="0000FF"/>
                  <w:w w:val="90"/>
                </w:rPr>
                <w:t>Product Commercialization Agreement by and between the Company and Eversana Life Science Services, LLC, dated November 13,</w:t>
              </w:r>
            </w:hyperlink>
          </w:p>
        </w:tc>
      </w:tr>
      <w:tr>
        <w:trPr>
          <w:trHeight w:val="155"/>
        </w:trPr>
        <w:tc>
          <w:tcPr>
            <w:tcW w:w="1500" w:type="dxa"/>
            <w:vAlign w:val="bottom"/>
          </w:tcPr>
          <w:p>
            <w:pPr>
              <w:spacing w:after="0"/>
              <w:rPr>
                <w:sz w:val="13"/>
                <w:szCs w:val="13"/>
                <w:color w:val="auto"/>
              </w:rPr>
            </w:pPr>
          </w:p>
        </w:tc>
        <w:tc>
          <w:tcPr>
            <w:tcW w:w="9600" w:type="dxa"/>
            <w:vAlign w:val="bottom"/>
            <w:tcBorders>
              <w:top w:val="single" w:sz="8" w:color="0000FF"/>
            </w:tcBorders>
            <w:gridSpan w:val="24"/>
          </w:tcPr>
          <w:p>
            <w:pPr>
              <w:spacing w:after="0" w:line="156" w:lineRule="exact"/>
              <w:rPr>
                <w:rFonts w:ascii="Arial" w:cs="Arial" w:eastAsia="Arial" w:hAnsi="Arial"/>
                <w:sz w:val="18"/>
                <w:szCs w:val="18"/>
                <w:color w:val="0000FF"/>
                <w:w w:val="97"/>
              </w:rPr>
            </w:pPr>
            <w:hyperlink r:id="rId159">
              <w:r>
                <w:rPr>
                  <w:rFonts w:ascii="Arial" w:cs="Arial" w:eastAsia="Arial" w:hAnsi="Arial"/>
                  <w:sz w:val="18"/>
                  <w:szCs w:val="18"/>
                  <w:color w:val="0000FF"/>
                  <w:w w:val="97"/>
                </w:rPr>
                <w:t>2020 (incorporated by reference to Exhibit 10.17 to the Company’s Annual Report on Form 10-K filed on February 25, 2021)</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500" w:type="dxa"/>
            <w:vAlign w:val="bottom"/>
          </w:tcPr>
          <w:p>
            <w:pPr>
              <w:spacing w:after="0"/>
              <w:rPr>
                <w:sz w:val="20"/>
                <w:szCs w:val="20"/>
                <w:color w:val="auto"/>
              </w:rPr>
            </w:pPr>
            <w:r>
              <w:rPr>
                <w:rFonts w:ascii="Arial" w:cs="Arial" w:eastAsia="Arial" w:hAnsi="Arial"/>
                <w:sz w:val="18"/>
                <w:szCs w:val="18"/>
                <w:color w:val="auto"/>
              </w:rPr>
              <w:t>10.21</w:t>
            </w:r>
          </w:p>
        </w:tc>
        <w:tc>
          <w:tcPr>
            <w:tcW w:w="9620" w:type="dxa"/>
            <w:vAlign w:val="bottom"/>
            <w:gridSpan w:val="25"/>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Stock Purchase Agreement by and between the Company and Zai Lab Limited, dated June 14, 2021 (incorporated by reference to</w:t>
              </w:r>
            </w:hyperlink>
          </w:p>
        </w:tc>
      </w:tr>
      <w:tr>
        <w:trPr>
          <w:trHeight w:val="155"/>
        </w:trPr>
        <w:tc>
          <w:tcPr>
            <w:tcW w:w="1500" w:type="dxa"/>
            <w:vAlign w:val="bottom"/>
          </w:tcPr>
          <w:p>
            <w:pPr>
              <w:spacing w:after="0"/>
              <w:rPr>
                <w:sz w:val="13"/>
                <w:szCs w:val="13"/>
                <w:color w:val="auto"/>
              </w:rPr>
            </w:pPr>
          </w:p>
        </w:tc>
        <w:tc>
          <w:tcPr>
            <w:tcW w:w="93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Exhibit 10.2 to the Company's Quarterly Report on Form 10-Q filed on July 29, 2021)</w:t>
              </w:r>
            </w:hyperlink>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500" w:type="dxa"/>
            <w:vAlign w:val="bottom"/>
          </w:tcPr>
          <w:p>
            <w:pPr>
              <w:spacing w:after="0"/>
              <w:rPr>
                <w:sz w:val="20"/>
                <w:szCs w:val="20"/>
                <w:color w:val="auto"/>
              </w:rPr>
            </w:pPr>
            <w:r>
              <w:rPr>
                <w:rFonts w:ascii="Arial" w:cs="Arial" w:eastAsia="Arial" w:hAnsi="Arial"/>
                <w:sz w:val="18"/>
                <w:szCs w:val="18"/>
                <w:color w:val="auto"/>
              </w:rPr>
              <w:t>10.22#*</w:t>
            </w:r>
          </w:p>
        </w:tc>
        <w:tc>
          <w:tcPr>
            <w:tcW w:w="85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Collaboration and License Agreement by and between the Company and Gilead Sciences, Inc., dated October 14, 2022</w:t>
            </w:r>
          </w:p>
        </w:tc>
        <w:tc>
          <w:tcPr>
            <w:tcW w:w="1040" w:type="dxa"/>
            <w:vAlign w:val="bottom"/>
            <w:gridSpan w:val="10"/>
          </w:tcPr>
          <w:p>
            <w:pPr>
              <w:spacing w:after="0"/>
              <w:rPr>
                <w:sz w:val="24"/>
                <w:szCs w:val="24"/>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10.23#*</w:t>
            </w:r>
          </w:p>
        </w:tc>
        <w:tc>
          <w:tcPr>
            <w:tcW w:w="9620" w:type="dxa"/>
            <w:vAlign w:val="bottom"/>
            <w:gridSpan w:val="25"/>
          </w:tcPr>
          <w:p>
            <w:pPr>
              <w:spacing w:after="0"/>
              <w:rPr>
                <w:sz w:val="20"/>
                <w:szCs w:val="20"/>
                <w:color w:val="auto"/>
              </w:rPr>
            </w:pPr>
            <w:r>
              <w:rPr>
                <w:rFonts w:ascii="Arial" w:cs="Arial" w:eastAsia="Arial" w:hAnsi="Arial"/>
                <w:sz w:val="18"/>
                <w:szCs w:val="18"/>
                <w:color w:val="0000FF"/>
              </w:rPr>
              <w:t>Asset Purchase Agreement by and between the Company and Provention Bio, Inc., dated May 7, 2018</w:t>
            </w: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10.24#*</w:t>
            </w:r>
          </w:p>
        </w:tc>
        <w:tc>
          <w:tcPr>
            <w:tcW w:w="9620" w:type="dxa"/>
            <w:vAlign w:val="bottom"/>
            <w:gridSpan w:val="25"/>
          </w:tcPr>
          <w:p>
            <w:pPr>
              <w:spacing w:after="0"/>
              <w:rPr>
                <w:sz w:val="20"/>
                <w:szCs w:val="20"/>
                <w:color w:val="auto"/>
              </w:rPr>
            </w:pPr>
            <w:r>
              <w:rPr>
                <w:rFonts w:ascii="Arial" w:cs="Arial" w:eastAsia="Arial" w:hAnsi="Arial"/>
                <w:sz w:val="18"/>
                <w:szCs w:val="18"/>
                <w:color w:val="0000FF"/>
                <w:w w:val="92"/>
              </w:rPr>
              <w:t>Amendment No. 1 to the Asset Purchase Agreement by and between the Company and Provention Bio, Inc., dated November 30,</w:t>
            </w:r>
          </w:p>
        </w:tc>
      </w:tr>
      <w:tr>
        <w:trPr>
          <w:trHeight w:val="155"/>
        </w:trPr>
        <w:tc>
          <w:tcPr>
            <w:tcW w:w="15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2022</w:t>
            </w:r>
          </w:p>
        </w:tc>
        <w:tc>
          <w:tcPr>
            <w:tcW w:w="60" w:type="dxa"/>
            <w:vAlign w:val="bottom"/>
            <w:tcBorders>
              <w:top w:val="single" w:sz="8" w:color="0000FF"/>
            </w:tcBorders>
          </w:tcPr>
          <w:p>
            <w:pPr>
              <w:spacing w:after="0"/>
              <w:rPr>
                <w:sz w:val="13"/>
                <w:szCs w:val="13"/>
                <w:color w:val="auto"/>
              </w:rPr>
            </w:pPr>
          </w:p>
        </w:tc>
        <w:tc>
          <w:tcPr>
            <w:tcW w:w="36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00" w:type="dxa"/>
            <w:vAlign w:val="bottom"/>
          </w:tcPr>
          <w:p>
            <w:pPr>
              <w:spacing w:after="0"/>
              <w:rPr>
                <w:sz w:val="20"/>
                <w:szCs w:val="20"/>
                <w:color w:val="auto"/>
              </w:rPr>
            </w:pPr>
            <w:r>
              <w:rPr>
                <w:rFonts w:ascii="Arial" w:cs="Arial" w:eastAsia="Arial" w:hAnsi="Arial"/>
                <w:sz w:val="18"/>
                <w:szCs w:val="18"/>
                <w:color w:val="auto"/>
              </w:rPr>
              <w:t>10.25#*</w:t>
            </w:r>
          </w:p>
        </w:tc>
        <w:tc>
          <w:tcPr>
            <w:tcW w:w="9620" w:type="dxa"/>
            <w:vAlign w:val="bottom"/>
            <w:gridSpan w:val="25"/>
          </w:tcPr>
          <w:p>
            <w:pPr>
              <w:spacing w:after="0"/>
              <w:rPr>
                <w:sz w:val="20"/>
                <w:szCs w:val="20"/>
                <w:color w:val="auto"/>
              </w:rPr>
            </w:pPr>
            <w:r>
              <w:rPr>
                <w:rFonts w:ascii="Arial" w:cs="Arial" w:eastAsia="Arial" w:hAnsi="Arial"/>
                <w:sz w:val="18"/>
                <w:szCs w:val="18"/>
                <w:color w:val="0000FF"/>
              </w:rPr>
              <w:t>Lease by and between BMR-Medical Center Drive LLC and J. Craig Venter Institute, Inc., dated May 3, 2010</w:t>
            </w: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10.26#*</w:t>
            </w:r>
          </w:p>
        </w:tc>
        <w:tc>
          <w:tcPr>
            <w:tcW w:w="9620" w:type="dxa"/>
            <w:vAlign w:val="bottom"/>
            <w:gridSpan w:val="25"/>
          </w:tcPr>
          <w:p>
            <w:pPr>
              <w:spacing w:after="0"/>
              <w:rPr>
                <w:sz w:val="20"/>
                <w:szCs w:val="20"/>
                <w:color w:val="auto"/>
              </w:rPr>
            </w:pPr>
            <w:r>
              <w:rPr>
                <w:rFonts w:ascii="Arial" w:cs="Arial" w:eastAsia="Arial" w:hAnsi="Arial"/>
                <w:sz w:val="18"/>
                <w:szCs w:val="18"/>
                <w:color w:val="0000FF"/>
                <w:w w:val="91"/>
              </w:rPr>
              <w:t>First Amendment to Lease by and between BMR-Medical Center Drive LLC and J. Craig Venter Institute, Inc. dated March 26, 2014</w:t>
            </w: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10.27#*</w:t>
            </w:r>
          </w:p>
        </w:tc>
        <w:tc>
          <w:tcPr>
            <w:tcW w:w="856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0"/>
              </w:rPr>
              <w:t>Second Amendment to Lease by and between the Company and BMR-Medical Center Drive LLC, dated July 31, 2015</w:t>
            </w:r>
          </w:p>
        </w:tc>
        <w:tc>
          <w:tcPr>
            <w:tcW w:w="1020" w:type="dxa"/>
            <w:vAlign w:val="bottom"/>
            <w:tcBorders>
              <w:top w:val="single" w:sz="8" w:color="0000FF"/>
            </w:tcBorders>
            <w:gridSpan w:val="9"/>
          </w:tcPr>
          <w:p>
            <w:pPr>
              <w:spacing w:after="0"/>
              <w:rPr>
                <w:sz w:val="22"/>
                <w:szCs w:val="22"/>
                <w:color w:val="auto"/>
              </w:rPr>
            </w:pPr>
          </w:p>
        </w:tc>
        <w:tc>
          <w:tcPr>
            <w:tcW w:w="40" w:type="dxa"/>
            <w:vAlign w:val="bottom"/>
            <w:gridSpan w:val="2"/>
          </w:tcPr>
          <w:p>
            <w:pPr>
              <w:spacing w:after="0"/>
              <w:rPr>
                <w:sz w:val="22"/>
                <w:szCs w:val="22"/>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10.28#*</w:t>
            </w:r>
          </w:p>
        </w:tc>
        <w:tc>
          <w:tcPr>
            <w:tcW w:w="88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Third Amendment to Lease by and between the Company and BMR-Medical Center Drive LLC, dated November 5, 2015</w:t>
            </w:r>
          </w:p>
        </w:tc>
        <w:tc>
          <w:tcPr>
            <w:tcW w:w="820" w:type="dxa"/>
            <w:vAlign w:val="bottom"/>
            <w:gridSpan w:val="9"/>
          </w:tcPr>
          <w:p>
            <w:pPr>
              <w:spacing w:after="0"/>
              <w:rPr>
                <w:sz w:val="22"/>
                <w:szCs w:val="22"/>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10.29#*</w:t>
            </w:r>
          </w:p>
        </w:tc>
        <w:tc>
          <w:tcPr>
            <w:tcW w:w="9620" w:type="dxa"/>
            <w:vAlign w:val="bottom"/>
            <w:gridSpan w:val="25"/>
          </w:tcPr>
          <w:p>
            <w:pPr>
              <w:spacing w:after="0"/>
              <w:rPr>
                <w:sz w:val="20"/>
                <w:szCs w:val="20"/>
                <w:color w:val="auto"/>
              </w:rPr>
            </w:pPr>
            <w:r>
              <w:rPr>
                <w:rFonts w:ascii="Arial" w:cs="Arial" w:eastAsia="Arial" w:hAnsi="Arial"/>
                <w:sz w:val="18"/>
                <w:szCs w:val="18"/>
                <w:color w:val="0000FF"/>
              </w:rPr>
              <w:t>Fourth Amendment to Lease by and between the Company and BMR-Medical Center Drive LLC, dated July 21, 2017</w:t>
            </w: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10.30#*</w:t>
            </w:r>
          </w:p>
        </w:tc>
        <w:tc>
          <w:tcPr>
            <w:tcW w:w="85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w w:val="91"/>
              </w:rPr>
              <w:t>Fifth Amendment to Lease by and between the Company and ARE-Maryland No. 45, LLC, dated December 14, 2022</w:t>
            </w:r>
          </w:p>
        </w:tc>
        <w:tc>
          <w:tcPr>
            <w:tcW w:w="1120" w:type="dxa"/>
            <w:vAlign w:val="bottom"/>
            <w:gridSpan w:val="12"/>
          </w:tcPr>
          <w:p>
            <w:pPr>
              <w:spacing w:after="0"/>
              <w:rPr>
                <w:sz w:val="22"/>
                <w:szCs w:val="22"/>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23.1*</w:t>
            </w:r>
          </w:p>
        </w:tc>
        <w:tc>
          <w:tcPr>
            <w:tcW w:w="58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1"/>
              </w:rPr>
              <w:t>Consent of Ernst &amp; Young, LLP, Independent Registered Public Accounting Firm</w:t>
            </w:r>
          </w:p>
        </w:tc>
        <w:tc>
          <w:tcPr>
            <w:tcW w:w="2600" w:type="dxa"/>
            <w:vAlign w:val="bottom"/>
            <w:tcBorders>
              <w:top w:val="single" w:sz="8" w:color="0000FF"/>
            </w:tcBorders>
            <w:gridSpan w:val="5"/>
          </w:tcPr>
          <w:p>
            <w:pPr>
              <w:spacing w:after="0"/>
              <w:rPr>
                <w:sz w:val="22"/>
                <w:szCs w:val="22"/>
                <w:color w:val="auto"/>
              </w:rPr>
            </w:pPr>
          </w:p>
        </w:tc>
        <w:tc>
          <w:tcPr>
            <w:tcW w:w="1140" w:type="dxa"/>
            <w:vAlign w:val="bottom"/>
            <w:gridSpan w:val="13"/>
          </w:tcPr>
          <w:p>
            <w:pPr>
              <w:spacing w:after="0"/>
              <w:rPr>
                <w:sz w:val="22"/>
                <w:szCs w:val="22"/>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gridSpan w:val="25"/>
          </w:tcPr>
          <w:p>
            <w:pPr>
              <w:spacing w:after="0"/>
              <w:rPr>
                <w:sz w:val="20"/>
                <w:szCs w:val="20"/>
                <w:color w:val="auto"/>
              </w:rPr>
            </w:pPr>
            <w:r>
              <w:rPr>
                <w:rFonts w:ascii="Arial" w:cs="Arial" w:eastAsia="Arial" w:hAnsi="Arial"/>
                <w:sz w:val="18"/>
                <w:szCs w:val="18"/>
                <w:color w:val="0000FF"/>
              </w:rPr>
              <w:t>Rule 13a-14(a) Certification of Principal Executive Officer</w:t>
            </w: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42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3"/>
              </w:rPr>
              <w:t>Rule 13a-14(a) Certification of Principal Financial Officer</w:t>
            </w:r>
          </w:p>
        </w:tc>
        <w:tc>
          <w:tcPr>
            <w:tcW w:w="40" w:type="dxa"/>
            <w:vAlign w:val="bottom"/>
            <w:tcBorders>
              <w:top w:val="single" w:sz="8" w:color="0000FF"/>
            </w:tcBorders>
          </w:tcPr>
          <w:p>
            <w:pPr>
              <w:spacing w:after="0"/>
              <w:rPr>
                <w:sz w:val="22"/>
                <w:szCs w:val="22"/>
                <w:color w:val="auto"/>
              </w:rPr>
            </w:pPr>
          </w:p>
        </w:tc>
        <w:tc>
          <w:tcPr>
            <w:tcW w:w="5380" w:type="dxa"/>
            <w:vAlign w:val="bottom"/>
            <w:gridSpan w:val="19"/>
          </w:tcPr>
          <w:p>
            <w:pPr>
              <w:spacing w:after="0"/>
              <w:rPr>
                <w:sz w:val="22"/>
                <w:szCs w:val="22"/>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9620" w:type="dxa"/>
            <w:vAlign w:val="bottom"/>
            <w:gridSpan w:val="25"/>
          </w:tcPr>
          <w:p>
            <w:pPr>
              <w:spacing w:after="0"/>
              <w:rPr>
                <w:sz w:val="20"/>
                <w:szCs w:val="20"/>
                <w:color w:val="auto"/>
              </w:rPr>
            </w:pPr>
            <w:r>
              <w:rPr>
                <w:rFonts w:ascii="Arial" w:cs="Arial" w:eastAsia="Arial" w:hAnsi="Arial"/>
                <w:sz w:val="18"/>
                <w:szCs w:val="18"/>
                <w:color w:val="0000FF"/>
              </w:rPr>
              <w:t>Section 1350 Certification of Principal Executive Officer</w:t>
            </w: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32.2**</w:t>
            </w:r>
          </w:p>
        </w:tc>
        <w:tc>
          <w:tcPr>
            <w:tcW w:w="40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3"/>
              </w:rPr>
              <w:t>Section 1350 Certification of Principal Financial Officer</w:t>
            </w:r>
          </w:p>
        </w:tc>
        <w:tc>
          <w:tcPr>
            <w:tcW w:w="40" w:type="dxa"/>
            <w:vAlign w:val="bottom"/>
            <w:tcBorders>
              <w:top w:val="single" w:sz="8" w:color="0000FF"/>
            </w:tcBorders>
          </w:tcPr>
          <w:p>
            <w:pPr>
              <w:spacing w:after="0"/>
              <w:rPr>
                <w:sz w:val="22"/>
                <w:szCs w:val="22"/>
                <w:color w:val="auto"/>
              </w:rPr>
            </w:pPr>
          </w:p>
        </w:tc>
        <w:tc>
          <w:tcPr>
            <w:tcW w:w="5520" w:type="dxa"/>
            <w:vAlign w:val="bottom"/>
            <w:gridSpan w:val="21"/>
          </w:tcPr>
          <w:p>
            <w:pPr>
              <w:spacing w:after="0"/>
              <w:rPr>
                <w:sz w:val="22"/>
                <w:szCs w:val="22"/>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962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9620" w:type="dxa"/>
            <w:vAlign w:val="bottom"/>
            <w:gridSpan w:val="25"/>
          </w:tcPr>
          <w:p>
            <w:pPr>
              <w:spacing w:after="0"/>
              <w:rPr>
                <w:sz w:val="20"/>
                <w:szCs w:val="20"/>
                <w:color w:val="auto"/>
              </w:rPr>
            </w:pPr>
            <w:r>
              <w:rPr>
                <w:rFonts w:ascii="Arial" w:cs="Arial" w:eastAsia="Arial" w:hAnsi="Arial"/>
                <w:sz w:val="18"/>
                <w:szCs w:val="18"/>
                <w:color w:val="auto"/>
              </w:rPr>
              <w:t>XBRL Schema Document</w:t>
            </w: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9620" w:type="dxa"/>
            <w:vAlign w:val="bottom"/>
            <w:gridSpan w:val="25"/>
          </w:tcPr>
          <w:p>
            <w:pPr>
              <w:spacing w:after="0"/>
              <w:rPr>
                <w:sz w:val="20"/>
                <w:szCs w:val="20"/>
                <w:color w:val="auto"/>
              </w:rPr>
            </w:pPr>
            <w:r>
              <w:rPr>
                <w:rFonts w:ascii="Arial" w:cs="Arial" w:eastAsia="Arial" w:hAnsi="Arial"/>
                <w:sz w:val="18"/>
                <w:szCs w:val="18"/>
                <w:color w:val="auto"/>
              </w:rPr>
              <w:t>XBRL Calculation Linkbase Document</w:t>
            </w: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9620" w:type="dxa"/>
            <w:vAlign w:val="bottom"/>
            <w:gridSpan w:val="25"/>
          </w:tcPr>
          <w:p>
            <w:pPr>
              <w:spacing w:after="0"/>
              <w:rPr>
                <w:sz w:val="20"/>
                <w:szCs w:val="20"/>
                <w:color w:val="auto"/>
              </w:rPr>
            </w:pPr>
            <w:r>
              <w:rPr>
                <w:rFonts w:ascii="Arial" w:cs="Arial" w:eastAsia="Arial" w:hAnsi="Arial"/>
                <w:sz w:val="18"/>
                <w:szCs w:val="18"/>
                <w:color w:val="auto"/>
              </w:rPr>
              <w:t>XBRL Definition Linkbase Document</w:t>
            </w: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9620" w:type="dxa"/>
            <w:vAlign w:val="bottom"/>
            <w:gridSpan w:val="25"/>
          </w:tcPr>
          <w:p>
            <w:pPr>
              <w:spacing w:after="0"/>
              <w:rPr>
                <w:sz w:val="20"/>
                <w:szCs w:val="20"/>
                <w:color w:val="auto"/>
              </w:rPr>
            </w:pPr>
            <w:r>
              <w:rPr>
                <w:rFonts w:ascii="Arial" w:cs="Arial" w:eastAsia="Arial" w:hAnsi="Arial"/>
                <w:sz w:val="18"/>
                <w:szCs w:val="18"/>
                <w:color w:val="auto"/>
              </w:rPr>
              <w:t>XBRL Labels Linkbase Document</w:t>
            </w: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9620" w:type="dxa"/>
            <w:vAlign w:val="bottom"/>
            <w:gridSpan w:val="25"/>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53" w:lineRule="exact"/>
        <w:rPr>
          <w:sz w:val="20"/>
          <w:szCs w:val="20"/>
          <w:color w:val="auto"/>
        </w:rPr>
      </w:pPr>
    </w:p>
    <w:p>
      <w:pPr>
        <w:ind w:left="1540" w:hanging="1494"/>
        <w:spacing w:after="0"/>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Cover Page Interactive Data (formatted as Inline XBRL and contained in Exhibit 101 filed herewith)</w:t>
      </w:r>
    </w:p>
    <w:p>
      <w:pPr>
        <w:spacing w:after="0" w:line="211"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granted by the SEC.</w:t>
      </w:r>
    </w:p>
    <w:p>
      <w:pPr>
        <w:spacing w:after="0" w:line="63" w:lineRule="exact"/>
        <w:rPr>
          <w:sz w:val="20"/>
          <w:szCs w:val="20"/>
          <w:color w:val="auto"/>
        </w:rPr>
      </w:pPr>
    </w:p>
    <w:p>
      <w:pPr>
        <w:ind w:left="660" w:right="400" w:hanging="652"/>
        <w:spacing w:after="0" w:line="261" w:lineRule="auto"/>
        <w:tabs>
          <w:tab w:leader="none" w:pos="2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Portions of this document (indicated by “[***]” have been omitted because they are not material and are the type that MacroGenics, Inc. treats as private and confidential.</w:t>
      </w:r>
    </w:p>
    <w:p>
      <w:pPr>
        <w:spacing w:after="0" w:line="9" w:lineRule="exact"/>
        <w:rPr>
          <w:sz w:val="20"/>
          <w:szCs w:val="20"/>
          <w:color w:val="auto"/>
        </w:rPr>
      </w:pPr>
    </w:p>
    <w:p>
      <w:pPr>
        <w:ind w:right="6960" w:firstLine="8"/>
        <w:spacing w:after="0" w:line="313" w:lineRule="auto"/>
        <w:tabs>
          <w:tab w:leader="none" w:pos="2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ectPr>
          <w:pgSz w:w="11900" w:h="16838" w:orient="portrait"/>
          <w:cols w:equalWidth="0" w:num="1">
            <w:col w:w="11140"/>
          </w:cols>
          <w:pgMar w:left="320" w:top="918"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COLLABORATION AND LICENSE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between M</w:t>
      </w:r>
      <w:r>
        <w:rPr>
          <w:rFonts w:ascii="Arial" w:cs="Arial" w:eastAsia="Arial" w:hAnsi="Arial"/>
          <w:sz w:val="16"/>
          <w:szCs w:val="16"/>
          <w:b w:val="1"/>
          <w:bCs w:val="1"/>
          <w:color w:val="auto"/>
        </w:rPr>
        <w:t>ACRO</w:t>
      </w:r>
      <w:r>
        <w:rPr>
          <w:rFonts w:ascii="Arial" w:cs="Arial" w:eastAsia="Arial" w:hAnsi="Arial"/>
          <w:sz w:val="20"/>
          <w:szCs w:val="20"/>
          <w:b w:val="1"/>
          <w:bCs w:val="1"/>
          <w:color w:val="auto"/>
        </w:rPr>
        <w:t>G</w:t>
      </w:r>
      <w:r>
        <w:rPr>
          <w:rFonts w:ascii="Arial" w:cs="Arial" w:eastAsia="Arial" w:hAnsi="Arial"/>
          <w:sz w:val="16"/>
          <w:szCs w:val="16"/>
          <w:b w:val="1"/>
          <w:bCs w:val="1"/>
          <w:color w:val="auto"/>
        </w:rPr>
        <w:t>ENICS</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Gilead Sciences, Inc.</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October 14, 2022</w:t>
      </w:r>
    </w:p>
    <w:p>
      <w:pPr>
        <w:sectPr>
          <w:pgSz w:w="11900" w:h="16838" w:orient="portrait"/>
          <w:cols w:equalWidth="0" w:num="1">
            <w:col w:w="11240"/>
          </w:cols>
          <w:pgMar w:left="320" w:top="760" w:right="339" w:bottom="1440" w:gutter="0" w:footer="0" w:header="0"/>
        </w:sectPr>
      </w:pPr>
    </w:p>
    <w:bookmarkStart w:id="114" w:name="page115"/>
    <w:bookmarkEnd w:id="114"/>
    <w:p>
      <w:pPr>
        <w:ind w:left="3460"/>
        <w:spacing w:after="0"/>
        <w:rPr>
          <w:sz w:val="20"/>
          <w:szCs w:val="20"/>
          <w:color w:val="auto"/>
        </w:rPr>
      </w:pPr>
      <w:r>
        <w:rPr>
          <w:rFonts w:ascii="Arial" w:cs="Arial" w:eastAsia="Arial" w:hAnsi="Arial"/>
          <w:sz w:val="20"/>
          <w:szCs w:val="20"/>
          <w:b w:val="1"/>
          <w:bCs w:val="1"/>
          <w:color w:val="auto"/>
        </w:rPr>
        <w:t>TABLE OF CONTENTS</w:t>
      </w:r>
    </w:p>
    <w:p>
      <w:pPr>
        <w:jc w:val="right"/>
        <w:spacing w:after="0"/>
        <w:rPr>
          <w:sz w:val="20"/>
          <w:szCs w:val="20"/>
          <w:color w:val="auto"/>
        </w:rPr>
      </w:pPr>
      <w:r>
        <w:rPr>
          <w:rFonts w:ascii="Arial" w:cs="Arial" w:eastAsia="Arial" w:hAnsi="Arial"/>
          <w:sz w:val="20"/>
          <w:szCs w:val="20"/>
          <w:b w:val="1"/>
          <w:bCs w:val="1"/>
          <w:color w:val="auto"/>
        </w:rPr>
        <w:t>Page</w:t>
      </w:r>
    </w:p>
    <w:p>
      <w:pPr>
        <w:spacing w:after="0" w:line="281" w:lineRule="exact"/>
        <w:rPr>
          <w:sz w:val="20"/>
          <w:szCs w:val="20"/>
          <w:color w:val="auto"/>
        </w:rPr>
      </w:pPr>
    </w:p>
    <w:p>
      <w:pPr>
        <w:ind w:left="340" w:hanging="337"/>
        <w:spacing w:after="0"/>
        <w:tabs>
          <w:tab w:leader="none" w:pos="3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DEFINITIONS  1</w:t>
      </w:r>
    </w:p>
    <w:p>
      <w:pPr>
        <w:spacing w:after="0" w:line="80" w:lineRule="exact"/>
        <w:rPr>
          <w:rFonts w:ascii="Arial" w:cs="Arial" w:eastAsia="Arial" w:hAnsi="Arial"/>
          <w:sz w:val="20"/>
          <w:szCs w:val="20"/>
          <w:color w:val="auto"/>
        </w:rPr>
      </w:pPr>
    </w:p>
    <w:p>
      <w:pPr>
        <w:ind w:left="340" w:hanging="337"/>
        <w:spacing w:after="0"/>
        <w:tabs>
          <w:tab w:leader="none" w:pos="3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OVERVIEW; GOVERNANCE  26</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40" w:type="dxa"/>
            <w:vAlign w:val="bottom"/>
          </w:tcPr>
          <w:p>
            <w:pPr>
              <w:ind w:left="660"/>
              <w:spacing w:after="0"/>
              <w:rPr>
                <w:sz w:val="20"/>
                <w:szCs w:val="20"/>
                <w:color w:val="auto"/>
              </w:rPr>
            </w:pPr>
            <w:r>
              <w:rPr>
                <w:rFonts w:ascii="Arial" w:cs="Arial" w:eastAsia="Arial" w:hAnsi="Arial"/>
                <w:sz w:val="20"/>
                <w:szCs w:val="20"/>
                <w:color w:val="auto"/>
              </w:rPr>
              <w:t>2.1</w:t>
            </w:r>
          </w:p>
        </w:tc>
        <w:tc>
          <w:tcPr>
            <w:tcW w:w="2220" w:type="dxa"/>
            <w:vAlign w:val="bottom"/>
            <w:gridSpan w:val="5"/>
          </w:tcPr>
          <w:p>
            <w:pPr>
              <w:ind w:left="60"/>
              <w:spacing w:after="0"/>
              <w:rPr>
                <w:sz w:val="20"/>
                <w:szCs w:val="20"/>
                <w:color w:val="auto"/>
              </w:rPr>
            </w:pPr>
            <w:r>
              <w:rPr>
                <w:rFonts w:ascii="Arial" w:cs="Arial" w:eastAsia="Arial" w:hAnsi="Arial"/>
                <w:sz w:val="20"/>
                <w:szCs w:val="20"/>
                <w:color w:val="auto"/>
                <w:w w:val="95"/>
              </w:rPr>
              <w:t>Joint Steering Committee</w:t>
            </w:r>
          </w:p>
        </w:tc>
        <w:tc>
          <w:tcPr>
            <w:tcW w:w="840" w:type="dxa"/>
            <w:vAlign w:val="bottom"/>
          </w:tcPr>
          <w:p>
            <w:pPr>
              <w:jc w:val="right"/>
              <w:ind w:right="481"/>
              <w:spacing w:after="0"/>
              <w:rPr>
                <w:sz w:val="20"/>
                <w:szCs w:val="20"/>
                <w:color w:val="auto"/>
              </w:rPr>
            </w:pPr>
            <w:r>
              <w:rPr>
                <w:rFonts w:ascii="Arial" w:cs="Arial" w:eastAsia="Arial" w:hAnsi="Arial"/>
                <w:sz w:val="20"/>
                <w:szCs w:val="20"/>
                <w:color w:val="auto"/>
              </w:rPr>
              <w:t>26</w:t>
            </w:r>
          </w:p>
        </w:tc>
        <w:tc>
          <w:tcPr>
            <w:tcW w:w="9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20"/>
                <w:szCs w:val="20"/>
                <w:color w:val="auto"/>
              </w:rPr>
              <w:t>2.2</w:t>
            </w:r>
          </w:p>
        </w:tc>
        <w:tc>
          <w:tcPr>
            <w:tcW w:w="4040" w:type="dxa"/>
            <w:vAlign w:val="bottom"/>
            <w:gridSpan w:val="7"/>
          </w:tcPr>
          <w:p>
            <w:pPr>
              <w:ind w:left="40"/>
              <w:spacing w:after="0"/>
              <w:rPr>
                <w:sz w:val="20"/>
                <w:szCs w:val="20"/>
                <w:color w:val="auto"/>
              </w:rPr>
            </w:pPr>
            <w:r>
              <w:rPr>
                <w:rFonts w:ascii="Arial" w:cs="Arial" w:eastAsia="Arial" w:hAnsi="Arial"/>
                <w:sz w:val="20"/>
                <w:szCs w:val="20"/>
                <w:color w:val="auto"/>
                <w:w w:val="94"/>
              </w:rPr>
              <w:t>Additional Subcommittees and Working Groups</w:t>
            </w:r>
          </w:p>
        </w:tc>
        <w:tc>
          <w:tcPr>
            <w:tcW w:w="1860" w:type="dxa"/>
            <w:vAlign w:val="bottom"/>
          </w:tcPr>
          <w:p>
            <w:pPr>
              <w:jc w:val="right"/>
              <w:ind w:right="1541"/>
              <w:spacing w:after="0"/>
              <w:rPr>
                <w:sz w:val="20"/>
                <w:szCs w:val="20"/>
                <w:color w:val="auto"/>
              </w:rPr>
            </w:pPr>
            <w:r>
              <w:rPr>
                <w:rFonts w:ascii="Arial" w:cs="Arial" w:eastAsia="Arial" w:hAnsi="Arial"/>
                <w:sz w:val="20"/>
                <w:szCs w:val="20"/>
                <w:color w:val="auto"/>
                <w:w w:val="89"/>
              </w:rPr>
              <w:t>29</w:t>
            </w: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rPr>
              <w:t>2.3</w:t>
            </w:r>
          </w:p>
        </w:tc>
        <w:tc>
          <w:tcPr>
            <w:tcW w:w="1540" w:type="dxa"/>
            <w:vAlign w:val="bottom"/>
            <w:gridSpan w:val="3"/>
          </w:tcPr>
          <w:p>
            <w:pPr>
              <w:ind w:left="40"/>
              <w:spacing w:after="0"/>
              <w:rPr>
                <w:sz w:val="20"/>
                <w:szCs w:val="20"/>
                <w:color w:val="auto"/>
              </w:rPr>
            </w:pPr>
            <w:r>
              <w:rPr>
                <w:rFonts w:ascii="Arial" w:cs="Arial" w:eastAsia="Arial" w:hAnsi="Arial"/>
                <w:sz w:val="20"/>
                <w:szCs w:val="20"/>
                <w:color w:val="auto"/>
                <w:w w:val="89"/>
              </w:rPr>
              <w:t>Alliance Managers</w:t>
            </w:r>
          </w:p>
        </w:tc>
        <w:tc>
          <w:tcPr>
            <w:tcW w:w="420" w:type="dxa"/>
            <w:vAlign w:val="bottom"/>
          </w:tcPr>
          <w:p>
            <w:pPr>
              <w:jc w:val="right"/>
              <w:spacing w:after="0"/>
              <w:rPr>
                <w:sz w:val="20"/>
                <w:szCs w:val="20"/>
                <w:color w:val="auto"/>
              </w:rPr>
            </w:pPr>
            <w:r>
              <w:rPr>
                <w:rFonts w:ascii="Arial" w:cs="Arial" w:eastAsia="Arial" w:hAnsi="Arial"/>
                <w:sz w:val="20"/>
                <w:szCs w:val="20"/>
                <w:color w:val="auto"/>
              </w:rPr>
              <w:t>29</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97"/>
        </w:trPr>
        <w:tc>
          <w:tcPr>
            <w:tcW w:w="1700" w:type="dxa"/>
            <w:vAlign w:val="bottom"/>
            <w:gridSpan w:val="2"/>
          </w:tcPr>
          <w:p>
            <w:pPr>
              <w:spacing w:after="0"/>
              <w:rPr>
                <w:sz w:val="20"/>
                <w:szCs w:val="20"/>
                <w:color w:val="auto"/>
              </w:rPr>
            </w:pPr>
            <w:r>
              <w:rPr>
                <w:rFonts w:ascii="Arial" w:cs="Arial" w:eastAsia="Arial" w:hAnsi="Arial"/>
                <w:sz w:val="20"/>
                <w:szCs w:val="20"/>
                <w:color w:val="auto"/>
              </w:rPr>
              <w:t>3.  LICENSES  29</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rPr>
              <w:t>3.1</w:t>
            </w:r>
          </w:p>
        </w:tc>
        <w:tc>
          <w:tcPr>
            <w:tcW w:w="1540" w:type="dxa"/>
            <w:vAlign w:val="bottom"/>
            <w:gridSpan w:val="3"/>
          </w:tcPr>
          <w:p>
            <w:pPr>
              <w:ind w:left="60"/>
              <w:spacing w:after="0"/>
              <w:rPr>
                <w:sz w:val="20"/>
                <w:szCs w:val="20"/>
                <w:color w:val="auto"/>
              </w:rPr>
            </w:pPr>
            <w:r>
              <w:rPr>
                <w:rFonts w:ascii="Arial" w:cs="Arial" w:eastAsia="Arial" w:hAnsi="Arial"/>
                <w:sz w:val="20"/>
                <w:szCs w:val="20"/>
                <w:color w:val="auto"/>
                <w:w w:val="88"/>
              </w:rPr>
              <w:t>Licenses to Gilead</w:t>
            </w:r>
          </w:p>
        </w:tc>
        <w:tc>
          <w:tcPr>
            <w:tcW w:w="420" w:type="dxa"/>
            <w:vAlign w:val="bottom"/>
          </w:tcPr>
          <w:p>
            <w:pPr>
              <w:jc w:val="right"/>
              <w:spacing w:after="0"/>
              <w:rPr>
                <w:sz w:val="20"/>
                <w:szCs w:val="20"/>
                <w:color w:val="auto"/>
              </w:rPr>
            </w:pPr>
            <w:r>
              <w:rPr>
                <w:rFonts w:ascii="Arial" w:cs="Arial" w:eastAsia="Arial" w:hAnsi="Arial"/>
                <w:sz w:val="20"/>
                <w:szCs w:val="20"/>
                <w:color w:val="auto"/>
              </w:rPr>
              <w:t>29</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20"/>
                <w:szCs w:val="20"/>
                <w:color w:val="auto"/>
              </w:rPr>
              <w:t>3.2</w:t>
            </w:r>
          </w:p>
        </w:tc>
        <w:tc>
          <w:tcPr>
            <w:tcW w:w="2220" w:type="dxa"/>
            <w:vAlign w:val="bottom"/>
            <w:gridSpan w:val="5"/>
          </w:tcPr>
          <w:p>
            <w:pPr>
              <w:ind w:left="60"/>
              <w:spacing w:after="0"/>
              <w:rPr>
                <w:sz w:val="20"/>
                <w:szCs w:val="20"/>
                <w:color w:val="auto"/>
              </w:rPr>
            </w:pPr>
            <w:r>
              <w:rPr>
                <w:rFonts w:ascii="Arial" w:cs="Arial" w:eastAsia="Arial" w:hAnsi="Arial"/>
                <w:sz w:val="20"/>
                <w:szCs w:val="20"/>
                <w:color w:val="auto"/>
                <w:w w:val="95"/>
              </w:rPr>
              <w:t>Licenses to MacroGenics</w:t>
            </w:r>
          </w:p>
        </w:tc>
        <w:tc>
          <w:tcPr>
            <w:tcW w:w="840" w:type="dxa"/>
            <w:vAlign w:val="bottom"/>
          </w:tcPr>
          <w:p>
            <w:pPr>
              <w:jc w:val="right"/>
              <w:ind w:right="501"/>
              <w:spacing w:after="0"/>
              <w:rPr>
                <w:sz w:val="20"/>
                <w:szCs w:val="20"/>
                <w:color w:val="auto"/>
              </w:rPr>
            </w:pPr>
            <w:r>
              <w:rPr>
                <w:rFonts w:ascii="Arial" w:cs="Arial" w:eastAsia="Arial" w:hAnsi="Arial"/>
                <w:sz w:val="20"/>
                <w:szCs w:val="20"/>
                <w:color w:val="auto"/>
                <w:w w:val="98"/>
              </w:rPr>
              <w:t>30</w:t>
            </w: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97"/>
        </w:trPr>
        <w:tc>
          <w:tcPr>
            <w:tcW w:w="1040" w:type="dxa"/>
            <w:vAlign w:val="bottom"/>
          </w:tcPr>
          <w:p>
            <w:pPr>
              <w:ind w:left="660"/>
              <w:spacing w:after="0"/>
              <w:rPr>
                <w:sz w:val="20"/>
                <w:szCs w:val="20"/>
                <w:color w:val="auto"/>
              </w:rPr>
            </w:pPr>
            <w:r>
              <w:rPr>
                <w:rFonts w:ascii="Arial" w:cs="Arial" w:eastAsia="Arial" w:hAnsi="Arial"/>
                <w:sz w:val="20"/>
                <w:szCs w:val="20"/>
                <w:color w:val="auto"/>
              </w:rPr>
              <w:t>3.3</w:t>
            </w:r>
          </w:p>
        </w:tc>
        <w:tc>
          <w:tcPr>
            <w:tcW w:w="1240" w:type="dxa"/>
            <w:vAlign w:val="bottom"/>
            <w:gridSpan w:val="2"/>
          </w:tcPr>
          <w:p>
            <w:pPr>
              <w:ind w:left="60"/>
              <w:spacing w:after="0"/>
              <w:rPr>
                <w:sz w:val="20"/>
                <w:szCs w:val="20"/>
                <w:color w:val="auto"/>
              </w:rPr>
            </w:pPr>
            <w:r>
              <w:rPr>
                <w:rFonts w:ascii="Arial" w:cs="Arial" w:eastAsia="Arial" w:hAnsi="Arial"/>
                <w:sz w:val="20"/>
                <w:szCs w:val="20"/>
                <w:color w:val="auto"/>
                <w:w w:val="97"/>
              </w:rPr>
              <w:t>Sublicensees</w:t>
            </w:r>
          </w:p>
        </w:tc>
        <w:tc>
          <w:tcPr>
            <w:tcW w:w="300" w:type="dxa"/>
            <w:vAlign w:val="bottom"/>
          </w:tcPr>
          <w:p>
            <w:pPr>
              <w:jc w:val="right"/>
              <w:spacing w:after="0"/>
              <w:rPr>
                <w:sz w:val="20"/>
                <w:szCs w:val="20"/>
                <w:color w:val="auto"/>
              </w:rPr>
            </w:pPr>
            <w:r>
              <w:rPr>
                <w:rFonts w:ascii="Arial" w:cs="Arial" w:eastAsia="Arial" w:hAnsi="Arial"/>
                <w:sz w:val="20"/>
                <w:szCs w:val="20"/>
                <w:color w:val="auto"/>
                <w:w w:val="98"/>
              </w:rPr>
              <w:t>31</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20"/>
                <w:szCs w:val="20"/>
                <w:color w:val="auto"/>
              </w:rPr>
              <w:t>3.4</w:t>
            </w:r>
          </w:p>
        </w:tc>
        <w:tc>
          <w:tcPr>
            <w:tcW w:w="1240" w:type="dxa"/>
            <w:vAlign w:val="bottom"/>
            <w:gridSpan w:val="2"/>
          </w:tcPr>
          <w:p>
            <w:pPr>
              <w:ind w:left="60"/>
              <w:spacing w:after="0"/>
              <w:rPr>
                <w:sz w:val="20"/>
                <w:szCs w:val="20"/>
                <w:color w:val="auto"/>
              </w:rPr>
            </w:pPr>
            <w:r>
              <w:rPr>
                <w:rFonts w:ascii="Arial" w:cs="Arial" w:eastAsia="Arial" w:hAnsi="Arial"/>
                <w:sz w:val="20"/>
                <w:szCs w:val="20"/>
                <w:color w:val="auto"/>
                <w:w w:val="86"/>
              </w:rPr>
              <w:t>Subcontractors</w:t>
            </w:r>
          </w:p>
        </w:tc>
        <w:tc>
          <w:tcPr>
            <w:tcW w:w="720" w:type="dxa"/>
            <w:vAlign w:val="bottom"/>
            <w:gridSpan w:val="2"/>
          </w:tcPr>
          <w:p>
            <w:pPr>
              <w:jc w:val="right"/>
              <w:ind w:right="221"/>
              <w:spacing w:after="0"/>
              <w:rPr>
                <w:sz w:val="20"/>
                <w:szCs w:val="20"/>
                <w:color w:val="auto"/>
              </w:rPr>
            </w:pPr>
            <w:r>
              <w:rPr>
                <w:rFonts w:ascii="Arial" w:cs="Arial" w:eastAsia="Arial" w:hAnsi="Arial"/>
                <w:sz w:val="20"/>
                <w:szCs w:val="20"/>
                <w:color w:val="auto"/>
              </w:rPr>
              <w:t>32</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rPr>
              <w:t>3.5</w:t>
            </w:r>
          </w:p>
        </w:tc>
        <w:tc>
          <w:tcPr>
            <w:tcW w:w="1960" w:type="dxa"/>
            <w:vAlign w:val="bottom"/>
            <w:gridSpan w:val="4"/>
          </w:tcPr>
          <w:p>
            <w:pPr>
              <w:ind w:left="60"/>
              <w:spacing w:after="0"/>
              <w:rPr>
                <w:sz w:val="20"/>
                <w:szCs w:val="20"/>
                <w:color w:val="auto"/>
              </w:rPr>
            </w:pPr>
            <w:r>
              <w:rPr>
                <w:rFonts w:ascii="Arial" w:cs="Arial" w:eastAsia="Arial" w:hAnsi="Arial"/>
                <w:sz w:val="20"/>
                <w:szCs w:val="20"/>
                <w:color w:val="auto"/>
              </w:rPr>
              <w:t>Retained Rights  32</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97"/>
        </w:trPr>
        <w:tc>
          <w:tcPr>
            <w:tcW w:w="1040" w:type="dxa"/>
            <w:vAlign w:val="bottom"/>
          </w:tcPr>
          <w:p>
            <w:pPr>
              <w:ind w:left="660"/>
              <w:spacing w:after="0"/>
              <w:rPr>
                <w:sz w:val="20"/>
                <w:szCs w:val="20"/>
                <w:color w:val="auto"/>
              </w:rPr>
            </w:pPr>
            <w:r>
              <w:rPr>
                <w:rFonts w:ascii="Arial" w:cs="Arial" w:eastAsia="Arial" w:hAnsi="Arial"/>
                <w:sz w:val="20"/>
                <w:szCs w:val="20"/>
                <w:color w:val="auto"/>
              </w:rPr>
              <w:t>3.6</w:t>
            </w:r>
          </w:p>
        </w:tc>
        <w:tc>
          <w:tcPr>
            <w:tcW w:w="5900" w:type="dxa"/>
            <w:vAlign w:val="bottom"/>
            <w:gridSpan w:val="8"/>
          </w:tcPr>
          <w:p>
            <w:pPr>
              <w:ind w:left="60"/>
              <w:spacing w:after="0"/>
              <w:rPr>
                <w:sz w:val="20"/>
                <w:szCs w:val="20"/>
                <w:color w:val="auto"/>
              </w:rPr>
            </w:pPr>
            <w:r>
              <w:rPr>
                <w:rFonts w:ascii="Arial" w:cs="Arial" w:eastAsia="Arial" w:hAnsi="Arial"/>
                <w:sz w:val="20"/>
                <w:szCs w:val="20"/>
                <w:color w:val="auto"/>
                <w:w w:val="99"/>
              </w:rPr>
              <w:t>Sublicense under the MacroGenics Manufacturing In-Licenses  32</w:t>
            </w: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rPr>
              <w:t>3.7</w:t>
            </w:r>
          </w:p>
        </w:tc>
        <w:tc>
          <w:tcPr>
            <w:tcW w:w="5900" w:type="dxa"/>
            <w:vAlign w:val="bottom"/>
            <w:gridSpan w:val="8"/>
          </w:tcPr>
          <w:p>
            <w:pPr>
              <w:ind w:left="60"/>
              <w:spacing w:after="0"/>
              <w:rPr>
                <w:sz w:val="20"/>
                <w:szCs w:val="20"/>
                <w:color w:val="auto"/>
              </w:rPr>
            </w:pPr>
            <w:r>
              <w:rPr>
                <w:rFonts w:ascii="Arial" w:cs="Arial" w:eastAsia="Arial" w:hAnsi="Arial"/>
                <w:sz w:val="20"/>
                <w:szCs w:val="20"/>
                <w:color w:val="auto"/>
              </w:rPr>
              <w:t>Existing Upstream License Agreements Amendments  33</w:t>
            </w:r>
          </w:p>
        </w:tc>
      </w:tr>
      <w:tr>
        <w:trPr>
          <w:trHeight w:val="311"/>
        </w:trPr>
        <w:tc>
          <w:tcPr>
            <w:tcW w:w="1040" w:type="dxa"/>
            <w:vAlign w:val="bottom"/>
          </w:tcPr>
          <w:p>
            <w:pPr>
              <w:ind w:left="660"/>
              <w:spacing w:after="0"/>
              <w:rPr>
                <w:sz w:val="20"/>
                <w:szCs w:val="20"/>
                <w:color w:val="auto"/>
              </w:rPr>
            </w:pPr>
            <w:r>
              <w:rPr>
                <w:rFonts w:ascii="Arial" w:cs="Arial" w:eastAsia="Arial" w:hAnsi="Arial"/>
                <w:sz w:val="20"/>
                <w:szCs w:val="20"/>
                <w:color w:val="auto"/>
              </w:rPr>
              <w:t>3.8</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w w:val="93"/>
              </w:rPr>
              <w:t>New Upstream License Agreements</w:t>
            </w:r>
          </w:p>
        </w:tc>
        <w:tc>
          <w:tcPr>
            <w:tcW w:w="980" w:type="dxa"/>
            <w:vAlign w:val="bottom"/>
          </w:tcPr>
          <w:p>
            <w:pPr>
              <w:jc w:val="right"/>
              <w:ind w:right="621"/>
              <w:spacing w:after="0"/>
              <w:rPr>
                <w:sz w:val="20"/>
                <w:szCs w:val="20"/>
                <w:color w:val="auto"/>
              </w:rPr>
            </w:pPr>
            <w:r>
              <w:rPr>
                <w:rFonts w:ascii="Arial" w:cs="Arial" w:eastAsia="Arial" w:hAnsi="Arial"/>
                <w:sz w:val="20"/>
                <w:szCs w:val="20"/>
                <w:color w:val="auto"/>
              </w:rPr>
              <w:t>33</w:t>
            </w:r>
          </w:p>
        </w:tc>
        <w:tc>
          <w:tcPr>
            <w:tcW w:w="1860" w:type="dxa"/>
            <w:vAlign w:val="bottom"/>
          </w:tcPr>
          <w:p>
            <w:pPr>
              <w:spacing w:after="0"/>
              <w:rPr>
                <w:sz w:val="24"/>
                <w:szCs w:val="24"/>
                <w:color w:val="auto"/>
              </w:rPr>
            </w:pPr>
          </w:p>
        </w:tc>
      </w:tr>
      <w:tr>
        <w:trPr>
          <w:trHeight w:val="297"/>
        </w:trPr>
        <w:tc>
          <w:tcPr>
            <w:tcW w:w="1040" w:type="dxa"/>
            <w:vAlign w:val="bottom"/>
          </w:tcPr>
          <w:p>
            <w:pPr>
              <w:ind w:left="660"/>
              <w:spacing w:after="0"/>
              <w:rPr>
                <w:sz w:val="20"/>
                <w:szCs w:val="20"/>
                <w:color w:val="auto"/>
              </w:rPr>
            </w:pPr>
            <w:r>
              <w:rPr>
                <w:rFonts w:ascii="Arial" w:cs="Arial" w:eastAsia="Arial" w:hAnsi="Arial"/>
                <w:sz w:val="20"/>
                <w:szCs w:val="20"/>
                <w:color w:val="auto"/>
              </w:rPr>
              <w:t>3.9</w:t>
            </w:r>
          </w:p>
        </w:tc>
        <w:tc>
          <w:tcPr>
            <w:tcW w:w="1540" w:type="dxa"/>
            <w:vAlign w:val="bottom"/>
            <w:gridSpan w:val="3"/>
          </w:tcPr>
          <w:p>
            <w:pPr>
              <w:ind w:left="60"/>
              <w:spacing w:after="0"/>
              <w:rPr>
                <w:sz w:val="20"/>
                <w:szCs w:val="20"/>
                <w:color w:val="auto"/>
              </w:rPr>
            </w:pPr>
            <w:r>
              <w:rPr>
                <w:rFonts w:ascii="Arial" w:cs="Arial" w:eastAsia="Arial" w:hAnsi="Arial"/>
                <w:sz w:val="20"/>
                <w:szCs w:val="20"/>
                <w:color w:val="auto"/>
                <w:w w:val="90"/>
              </w:rPr>
              <w:t>Materials Transfer</w:t>
            </w:r>
          </w:p>
        </w:tc>
        <w:tc>
          <w:tcPr>
            <w:tcW w:w="420" w:type="dxa"/>
            <w:vAlign w:val="bottom"/>
          </w:tcPr>
          <w:p>
            <w:pPr>
              <w:jc w:val="right"/>
              <w:spacing w:after="0"/>
              <w:rPr>
                <w:sz w:val="20"/>
                <w:szCs w:val="20"/>
                <w:color w:val="auto"/>
              </w:rPr>
            </w:pPr>
            <w:r>
              <w:rPr>
                <w:rFonts w:ascii="Arial" w:cs="Arial" w:eastAsia="Arial" w:hAnsi="Arial"/>
                <w:sz w:val="20"/>
                <w:szCs w:val="20"/>
                <w:color w:val="auto"/>
              </w:rPr>
              <w:t>38</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20"/>
                <w:szCs w:val="20"/>
                <w:color w:val="auto"/>
                <w:w w:val="92"/>
              </w:rPr>
              <w:t>3.10</w:t>
            </w:r>
          </w:p>
        </w:tc>
        <w:tc>
          <w:tcPr>
            <w:tcW w:w="1240" w:type="dxa"/>
            <w:vAlign w:val="bottom"/>
            <w:gridSpan w:val="2"/>
          </w:tcPr>
          <w:p>
            <w:pPr>
              <w:ind w:left="160"/>
              <w:spacing w:after="0"/>
              <w:rPr>
                <w:sz w:val="20"/>
                <w:szCs w:val="20"/>
                <w:color w:val="auto"/>
              </w:rPr>
            </w:pPr>
            <w:r>
              <w:rPr>
                <w:rFonts w:ascii="Arial" w:cs="Arial" w:eastAsia="Arial" w:hAnsi="Arial"/>
                <w:sz w:val="20"/>
                <w:szCs w:val="20"/>
                <w:color w:val="auto"/>
              </w:rPr>
              <w:t>Exclusivity</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38</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97"/>
        </w:trPr>
        <w:tc>
          <w:tcPr>
            <w:tcW w:w="5080" w:type="dxa"/>
            <w:vAlign w:val="bottom"/>
            <w:gridSpan w:val="8"/>
          </w:tcPr>
          <w:p>
            <w:pPr>
              <w:spacing w:after="0"/>
              <w:rPr>
                <w:sz w:val="20"/>
                <w:szCs w:val="20"/>
                <w:color w:val="auto"/>
              </w:rPr>
            </w:pPr>
            <w:r>
              <w:rPr>
                <w:rFonts w:ascii="Arial" w:cs="Arial" w:eastAsia="Arial" w:hAnsi="Arial"/>
                <w:sz w:val="20"/>
                <w:szCs w:val="20"/>
                <w:color w:val="auto"/>
                <w:w w:val="98"/>
              </w:rPr>
              <w:t>4.  CD123 DEVELOPMENT PROGRAM; CD123 OPTION</w:t>
            </w:r>
          </w:p>
        </w:tc>
        <w:tc>
          <w:tcPr>
            <w:tcW w:w="1860" w:type="dxa"/>
            <w:vAlign w:val="bottom"/>
          </w:tcPr>
          <w:p>
            <w:pPr>
              <w:jc w:val="right"/>
              <w:ind w:right="1541"/>
              <w:spacing w:after="0"/>
              <w:rPr>
                <w:sz w:val="20"/>
                <w:szCs w:val="20"/>
                <w:color w:val="auto"/>
              </w:rPr>
            </w:pPr>
            <w:r>
              <w:rPr>
                <w:rFonts w:ascii="Arial" w:cs="Arial" w:eastAsia="Arial" w:hAnsi="Arial"/>
                <w:sz w:val="20"/>
                <w:szCs w:val="20"/>
                <w:color w:val="auto"/>
                <w:w w:val="89"/>
              </w:rPr>
              <w:t>39</w:t>
            </w: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rPr>
              <w:t>4.1</w:t>
            </w:r>
          </w:p>
        </w:tc>
        <w:tc>
          <w:tcPr>
            <w:tcW w:w="2220" w:type="dxa"/>
            <w:vAlign w:val="bottom"/>
            <w:gridSpan w:val="5"/>
          </w:tcPr>
          <w:p>
            <w:pPr>
              <w:ind w:left="60"/>
              <w:spacing w:after="0"/>
              <w:rPr>
                <w:sz w:val="20"/>
                <w:szCs w:val="20"/>
                <w:color w:val="auto"/>
              </w:rPr>
            </w:pPr>
            <w:r>
              <w:rPr>
                <w:rFonts w:ascii="Arial" w:cs="Arial" w:eastAsia="Arial" w:hAnsi="Arial"/>
                <w:sz w:val="20"/>
                <w:szCs w:val="20"/>
                <w:color w:val="auto"/>
                <w:w w:val="92"/>
              </w:rPr>
              <w:t>CD123 Development Plan</w:t>
            </w:r>
          </w:p>
        </w:tc>
        <w:tc>
          <w:tcPr>
            <w:tcW w:w="840" w:type="dxa"/>
            <w:vAlign w:val="bottom"/>
          </w:tcPr>
          <w:p>
            <w:pPr>
              <w:jc w:val="right"/>
              <w:ind w:right="421"/>
              <w:spacing w:after="0"/>
              <w:rPr>
                <w:sz w:val="20"/>
                <w:szCs w:val="20"/>
                <w:color w:val="auto"/>
              </w:rPr>
            </w:pPr>
            <w:r>
              <w:rPr>
                <w:rFonts w:ascii="Arial" w:cs="Arial" w:eastAsia="Arial" w:hAnsi="Arial"/>
                <w:sz w:val="20"/>
                <w:szCs w:val="20"/>
                <w:color w:val="auto"/>
              </w:rPr>
              <w:t>39</w:t>
            </w: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20"/>
                <w:szCs w:val="20"/>
                <w:color w:val="auto"/>
              </w:rPr>
              <w:t>4.2</w:t>
            </w:r>
          </w:p>
        </w:tc>
        <w:tc>
          <w:tcPr>
            <w:tcW w:w="660" w:type="dxa"/>
            <w:vAlign w:val="bottom"/>
          </w:tcPr>
          <w:p>
            <w:pPr>
              <w:ind w:left="60"/>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261"/>
              <w:spacing w:after="0"/>
              <w:rPr>
                <w:sz w:val="20"/>
                <w:szCs w:val="20"/>
                <w:color w:val="auto"/>
              </w:rPr>
            </w:pPr>
            <w:r>
              <w:rPr>
                <w:rFonts w:ascii="Arial" w:cs="Arial" w:eastAsia="Arial" w:hAnsi="Arial"/>
                <w:sz w:val="20"/>
                <w:szCs w:val="20"/>
                <w:color w:val="auto"/>
                <w:w w:val="89"/>
              </w:rPr>
              <w:t>39</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97"/>
        </w:trPr>
        <w:tc>
          <w:tcPr>
            <w:tcW w:w="1040" w:type="dxa"/>
            <w:vAlign w:val="bottom"/>
          </w:tcPr>
          <w:p>
            <w:pPr>
              <w:ind w:left="660"/>
              <w:spacing w:after="0"/>
              <w:rPr>
                <w:sz w:val="20"/>
                <w:szCs w:val="20"/>
                <w:color w:val="auto"/>
              </w:rPr>
            </w:pPr>
            <w:r>
              <w:rPr>
                <w:rFonts w:ascii="Arial" w:cs="Arial" w:eastAsia="Arial" w:hAnsi="Arial"/>
                <w:sz w:val="20"/>
                <w:szCs w:val="20"/>
                <w:color w:val="auto"/>
              </w:rPr>
              <w:t>4.3</w:t>
            </w:r>
          </w:p>
        </w:tc>
        <w:tc>
          <w:tcPr>
            <w:tcW w:w="4040" w:type="dxa"/>
            <w:vAlign w:val="bottom"/>
            <w:gridSpan w:val="7"/>
          </w:tcPr>
          <w:p>
            <w:pPr>
              <w:ind w:left="60"/>
              <w:spacing w:after="0"/>
              <w:rPr>
                <w:sz w:val="20"/>
                <w:szCs w:val="20"/>
                <w:color w:val="auto"/>
              </w:rPr>
            </w:pPr>
            <w:r>
              <w:rPr>
                <w:rFonts w:ascii="Arial" w:cs="Arial" w:eastAsia="Arial" w:hAnsi="Arial"/>
                <w:sz w:val="20"/>
                <w:szCs w:val="20"/>
                <w:color w:val="auto"/>
                <w:w w:val="91"/>
              </w:rPr>
              <w:t>Conduct of the Phase 1 Clinical Trial of MGD024</w:t>
            </w:r>
          </w:p>
        </w:tc>
        <w:tc>
          <w:tcPr>
            <w:tcW w:w="1860" w:type="dxa"/>
            <w:vAlign w:val="bottom"/>
          </w:tcPr>
          <w:p>
            <w:pPr>
              <w:jc w:val="right"/>
              <w:ind w:right="1381"/>
              <w:spacing w:after="0"/>
              <w:rPr>
                <w:sz w:val="20"/>
                <w:szCs w:val="20"/>
                <w:color w:val="auto"/>
              </w:rPr>
            </w:pPr>
            <w:r>
              <w:rPr>
                <w:rFonts w:ascii="Arial" w:cs="Arial" w:eastAsia="Arial" w:hAnsi="Arial"/>
                <w:sz w:val="20"/>
                <w:szCs w:val="20"/>
                <w:color w:val="auto"/>
              </w:rPr>
              <w:t>40</w:t>
            </w: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rPr>
              <w:t>4.4</w:t>
            </w:r>
          </w:p>
        </w:tc>
        <w:tc>
          <w:tcPr>
            <w:tcW w:w="1960" w:type="dxa"/>
            <w:vAlign w:val="bottom"/>
            <w:gridSpan w:val="4"/>
          </w:tcPr>
          <w:p>
            <w:pPr>
              <w:ind w:left="60"/>
              <w:spacing w:after="0"/>
              <w:rPr>
                <w:sz w:val="20"/>
                <w:szCs w:val="20"/>
                <w:color w:val="auto"/>
              </w:rPr>
            </w:pPr>
            <w:r>
              <w:rPr>
                <w:rFonts w:ascii="Arial" w:cs="Arial" w:eastAsia="Arial" w:hAnsi="Arial"/>
                <w:sz w:val="20"/>
                <w:szCs w:val="20"/>
                <w:color w:val="auto"/>
                <w:w w:val="88"/>
              </w:rPr>
              <w:t>Performance Standards</w:t>
            </w:r>
          </w:p>
        </w:tc>
        <w:tc>
          <w:tcPr>
            <w:tcW w:w="1100" w:type="dxa"/>
            <w:vAlign w:val="bottom"/>
            <w:gridSpan w:val="2"/>
          </w:tcPr>
          <w:p>
            <w:pPr>
              <w:jc w:val="right"/>
              <w:ind w:right="661"/>
              <w:spacing w:after="0"/>
              <w:rPr>
                <w:sz w:val="20"/>
                <w:szCs w:val="20"/>
                <w:color w:val="auto"/>
              </w:rPr>
            </w:pPr>
            <w:r>
              <w:rPr>
                <w:rFonts w:ascii="Arial" w:cs="Arial" w:eastAsia="Arial" w:hAnsi="Arial"/>
                <w:sz w:val="20"/>
                <w:szCs w:val="20"/>
                <w:color w:val="auto"/>
              </w:rPr>
              <w:t>40</w:t>
            </w: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20"/>
                <w:szCs w:val="20"/>
                <w:color w:val="auto"/>
              </w:rPr>
              <w:t>4.5</w:t>
            </w:r>
          </w:p>
        </w:tc>
        <w:tc>
          <w:tcPr>
            <w:tcW w:w="4040" w:type="dxa"/>
            <w:vAlign w:val="bottom"/>
            <w:gridSpan w:val="7"/>
          </w:tcPr>
          <w:p>
            <w:pPr>
              <w:ind w:left="60"/>
              <w:spacing w:after="0"/>
              <w:rPr>
                <w:sz w:val="20"/>
                <w:szCs w:val="20"/>
                <w:color w:val="auto"/>
              </w:rPr>
            </w:pPr>
            <w:r>
              <w:rPr>
                <w:rFonts w:ascii="Arial" w:cs="Arial" w:eastAsia="Arial" w:hAnsi="Arial"/>
                <w:sz w:val="20"/>
                <w:szCs w:val="20"/>
                <w:color w:val="auto"/>
              </w:rPr>
              <w:t>Assumed CD123 Development Activities  40</w:t>
            </w:r>
          </w:p>
        </w:tc>
        <w:tc>
          <w:tcPr>
            <w:tcW w:w="1860" w:type="dxa"/>
            <w:vAlign w:val="bottom"/>
          </w:tcPr>
          <w:p>
            <w:pPr>
              <w:spacing w:after="0"/>
              <w:rPr>
                <w:sz w:val="24"/>
                <w:szCs w:val="24"/>
                <w:color w:val="auto"/>
              </w:rPr>
            </w:pPr>
          </w:p>
        </w:tc>
      </w:tr>
      <w:tr>
        <w:trPr>
          <w:trHeight w:val="297"/>
        </w:trPr>
        <w:tc>
          <w:tcPr>
            <w:tcW w:w="1040" w:type="dxa"/>
            <w:vAlign w:val="bottom"/>
          </w:tcPr>
          <w:p>
            <w:pPr>
              <w:ind w:left="660"/>
              <w:spacing w:after="0"/>
              <w:rPr>
                <w:sz w:val="20"/>
                <w:szCs w:val="20"/>
                <w:color w:val="auto"/>
              </w:rPr>
            </w:pPr>
            <w:r>
              <w:rPr>
                <w:rFonts w:ascii="Arial" w:cs="Arial" w:eastAsia="Arial" w:hAnsi="Arial"/>
                <w:sz w:val="20"/>
                <w:szCs w:val="20"/>
                <w:color w:val="auto"/>
              </w:rPr>
              <w:t>4.6</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w w:val="91"/>
              </w:rPr>
              <w:t>CD123 Development Program Costs</w:t>
            </w:r>
          </w:p>
        </w:tc>
        <w:tc>
          <w:tcPr>
            <w:tcW w:w="980" w:type="dxa"/>
            <w:vAlign w:val="bottom"/>
          </w:tcPr>
          <w:p>
            <w:pPr>
              <w:jc w:val="right"/>
              <w:ind w:right="581"/>
              <w:spacing w:after="0"/>
              <w:rPr>
                <w:sz w:val="20"/>
                <w:szCs w:val="20"/>
                <w:color w:val="auto"/>
              </w:rPr>
            </w:pPr>
            <w:r>
              <w:rPr>
                <w:rFonts w:ascii="Arial" w:cs="Arial" w:eastAsia="Arial" w:hAnsi="Arial"/>
                <w:sz w:val="20"/>
                <w:szCs w:val="20"/>
                <w:color w:val="auto"/>
              </w:rPr>
              <w:t>41</w:t>
            </w:r>
          </w:p>
        </w:tc>
        <w:tc>
          <w:tcPr>
            <w:tcW w:w="1860" w:type="dxa"/>
            <w:vAlign w:val="bottom"/>
          </w:tcPr>
          <w:p>
            <w:pPr>
              <w:spacing w:after="0"/>
              <w:rPr>
                <w:sz w:val="24"/>
                <w:szCs w:val="24"/>
                <w:color w:val="auto"/>
              </w:rPr>
            </w:pP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rPr>
              <w:t>4.7</w:t>
            </w:r>
          </w:p>
        </w:tc>
        <w:tc>
          <w:tcPr>
            <w:tcW w:w="1540" w:type="dxa"/>
            <w:vAlign w:val="bottom"/>
            <w:gridSpan w:val="3"/>
          </w:tcPr>
          <w:p>
            <w:pPr>
              <w:ind w:left="60"/>
              <w:spacing w:after="0"/>
              <w:rPr>
                <w:sz w:val="20"/>
                <w:szCs w:val="20"/>
                <w:color w:val="auto"/>
              </w:rPr>
            </w:pPr>
            <w:r>
              <w:rPr>
                <w:rFonts w:ascii="Arial" w:cs="Arial" w:eastAsia="Arial" w:hAnsi="Arial"/>
                <w:sz w:val="20"/>
                <w:szCs w:val="20"/>
                <w:color w:val="auto"/>
                <w:w w:val="91"/>
              </w:rPr>
              <w:t>Records; Updates</w:t>
            </w:r>
          </w:p>
        </w:tc>
        <w:tc>
          <w:tcPr>
            <w:tcW w:w="420" w:type="dxa"/>
            <w:vAlign w:val="bottom"/>
          </w:tcPr>
          <w:p>
            <w:pPr>
              <w:jc w:val="right"/>
              <w:ind w:right="1"/>
              <w:spacing w:after="0"/>
              <w:rPr>
                <w:sz w:val="20"/>
                <w:szCs w:val="20"/>
                <w:color w:val="auto"/>
              </w:rPr>
            </w:pPr>
            <w:r>
              <w:rPr>
                <w:rFonts w:ascii="Arial" w:cs="Arial" w:eastAsia="Arial" w:hAnsi="Arial"/>
                <w:sz w:val="20"/>
                <w:szCs w:val="20"/>
                <w:color w:val="auto"/>
              </w:rPr>
              <w:t>42</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20"/>
                <w:szCs w:val="20"/>
                <w:color w:val="auto"/>
              </w:rPr>
              <w:t>4.8</w:t>
            </w:r>
          </w:p>
        </w:tc>
        <w:tc>
          <w:tcPr>
            <w:tcW w:w="1540" w:type="dxa"/>
            <w:vAlign w:val="bottom"/>
            <w:gridSpan w:val="3"/>
          </w:tcPr>
          <w:p>
            <w:pPr>
              <w:ind w:left="60"/>
              <w:spacing w:after="0"/>
              <w:rPr>
                <w:sz w:val="20"/>
                <w:szCs w:val="20"/>
                <w:color w:val="auto"/>
              </w:rPr>
            </w:pPr>
            <w:r>
              <w:rPr>
                <w:rFonts w:ascii="Arial" w:cs="Arial" w:eastAsia="Arial" w:hAnsi="Arial"/>
                <w:sz w:val="20"/>
                <w:szCs w:val="20"/>
                <w:color w:val="auto"/>
              </w:rPr>
              <w:t>Data Ownership</w:t>
            </w:r>
          </w:p>
        </w:tc>
        <w:tc>
          <w:tcPr>
            <w:tcW w:w="420" w:type="dxa"/>
            <w:vAlign w:val="bottom"/>
          </w:tcPr>
          <w:p>
            <w:pPr>
              <w:jc w:val="right"/>
              <w:ind w:right="121"/>
              <w:spacing w:after="0"/>
              <w:rPr>
                <w:sz w:val="20"/>
                <w:szCs w:val="20"/>
                <w:color w:val="auto"/>
              </w:rPr>
            </w:pPr>
            <w:r>
              <w:rPr>
                <w:rFonts w:ascii="Arial" w:cs="Arial" w:eastAsia="Arial" w:hAnsi="Arial"/>
                <w:sz w:val="20"/>
                <w:szCs w:val="20"/>
                <w:color w:val="auto"/>
                <w:w w:val="80"/>
              </w:rPr>
              <w:t>42</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97"/>
        </w:trPr>
        <w:tc>
          <w:tcPr>
            <w:tcW w:w="1040" w:type="dxa"/>
            <w:vAlign w:val="bottom"/>
          </w:tcPr>
          <w:p>
            <w:pPr>
              <w:ind w:left="660"/>
              <w:spacing w:after="0"/>
              <w:rPr>
                <w:sz w:val="20"/>
                <w:szCs w:val="20"/>
                <w:color w:val="auto"/>
              </w:rPr>
            </w:pPr>
            <w:r>
              <w:rPr>
                <w:rFonts w:ascii="Arial" w:cs="Arial" w:eastAsia="Arial" w:hAnsi="Arial"/>
                <w:sz w:val="20"/>
                <w:szCs w:val="20"/>
                <w:color w:val="auto"/>
              </w:rPr>
              <w:t>4.9</w:t>
            </w:r>
          </w:p>
        </w:tc>
        <w:tc>
          <w:tcPr>
            <w:tcW w:w="1240" w:type="dxa"/>
            <w:vAlign w:val="bottom"/>
            <w:gridSpan w:val="2"/>
          </w:tcPr>
          <w:p>
            <w:pPr>
              <w:ind w:left="60"/>
              <w:spacing w:after="0"/>
              <w:rPr>
                <w:sz w:val="20"/>
                <w:szCs w:val="20"/>
                <w:color w:val="auto"/>
              </w:rPr>
            </w:pPr>
            <w:r>
              <w:rPr>
                <w:rFonts w:ascii="Arial" w:cs="Arial" w:eastAsia="Arial" w:hAnsi="Arial"/>
                <w:sz w:val="20"/>
                <w:szCs w:val="20"/>
                <w:color w:val="auto"/>
                <w:w w:val="91"/>
              </w:rPr>
              <w:t>CD123 Option</w:t>
            </w:r>
          </w:p>
        </w:tc>
        <w:tc>
          <w:tcPr>
            <w:tcW w:w="720" w:type="dxa"/>
            <w:vAlign w:val="bottom"/>
            <w:gridSpan w:val="2"/>
          </w:tcPr>
          <w:p>
            <w:pPr>
              <w:jc w:val="right"/>
              <w:ind w:right="241"/>
              <w:spacing w:after="0"/>
              <w:rPr>
                <w:sz w:val="20"/>
                <w:szCs w:val="20"/>
                <w:color w:val="auto"/>
              </w:rPr>
            </w:pPr>
            <w:r>
              <w:rPr>
                <w:rFonts w:ascii="Arial" w:cs="Arial" w:eastAsia="Arial" w:hAnsi="Arial"/>
                <w:sz w:val="20"/>
                <w:szCs w:val="20"/>
                <w:color w:val="auto"/>
              </w:rPr>
              <w:t>42</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4.10</w:t>
            </w:r>
          </w:p>
        </w:tc>
        <w:tc>
          <w:tcPr>
            <w:tcW w:w="660" w:type="dxa"/>
            <w:vAlign w:val="bottom"/>
          </w:tcPr>
          <w:p>
            <w:pPr>
              <w:ind w:left="160"/>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161"/>
              <w:spacing w:after="0"/>
              <w:rPr>
                <w:sz w:val="20"/>
                <w:szCs w:val="20"/>
                <w:color w:val="auto"/>
              </w:rPr>
            </w:pPr>
            <w:r>
              <w:rPr>
                <w:rFonts w:ascii="Arial" w:cs="Arial" w:eastAsia="Arial" w:hAnsi="Arial"/>
                <w:sz w:val="20"/>
                <w:szCs w:val="20"/>
                <w:color w:val="auto"/>
              </w:rPr>
              <w:t>43</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1"/>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4.11</w:t>
            </w:r>
          </w:p>
        </w:tc>
        <w:tc>
          <w:tcPr>
            <w:tcW w:w="5900" w:type="dxa"/>
            <w:vAlign w:val="bottom"/>
            <w:gridSpan w:val="8"/>
          </w:tcPr>
          <w:p>
            <w:pPr>
              <w:ind w:left="140"/>
              <w:spacing w:after="0"/>
              <w:rPr>
                <w:sz w:val="20"/>
                <w:szCs w:val="20"/>
                <w:color w:val="auto"/>
              </w:rPr>
            </w:pPr>
            <w:r>
              <w:rPr>
                <w:rFonts w:ascii="Arial" w:cs="Arial" w:eastAsia="Arial" w:hAnsi="Arial"/>
                <w:sz w:val="20"/>
                <w:szCs w:val="20"/>
                <w:color w:val="auto"/>
                <w:w w:val="92"/>
              </w:rPr>
              <w:t>CD123 Development Term and Transfer of Development Activities  44</w:t>
            </w:r>
          </w:p>
        </w:tc>
      </w:tr>
      <w:tr>
        <w:trPr>
          <w:trHeight w:val="297"/>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4.12</w:t>
            </w:r>
          </w:p>
        </w:tc>
        <w:tc>
          <w:tcPr>
            <w:tcW w:w="1960" w:type="dxa"/>
            <w:vAlign w:val="bottom"/>
            <w:gridSpan w:val="4"/>
          </w:tcPr>
          <w:p>
            <w:pPr>
              <w:ind w:left="160"/>
              <w:spacing w:after="0"/>
              <w:rPr>
                <w:sz w:val="20"/>
                <w:szCs w:val="20"/>
                <w:color w:val="auto"/>
              </w:rPr>
            </w:pPr>
            <w:r>
              <w:rPr>
                <w:rFonts w:ascii="Arial" w:cs="Arial" w:eastAsia="Arial" w:hAnsi="Arial"/>
                <w:sz w:val="20"/>
                <w:szCs w:val="20"/>
                <w:color w:val="auto"/>
                <w:w w:val="97"/>
              </w:rPr>
              <w:t>Technology Transfer</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44</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w w:val="92"/>
              </w:rPr>
              <w:t>4.13</w:t>
            </w:r>
          </w:p>
        </w:tc>
        <w:tc>
          <w:tcPr>
            <w:tcW w:w="4040" w:type="dxa"/>
            <w:vAlign w:val="bottom"/>
            <w:gridSpan w:val="7"/>
          </w:tcPr>
          <w:p>
            <w:pPr>
              <w:ind w:left="160"/>
              <w:spacing w:after="0"/>
              <w:rPr>
                <w:sz w:val="20"/>
                <w:szCs w:val="20"/>
                <w:color w:val="auto"/>
              </w:rPr>
            </w:pPr>
            <w:r>
              <w:rPr>
                <w:rFonts w:ascii="Arial" w:cs="Arial" w:eastAsia="Arial" w:hAnsi="Arial"/>
                <w:sz w:val="20"/>
                <w:szCs w:val="20"/>
                <w:color w:val="auto"/>
                <w:w w:val="93"/>
              </w:rPr>
              <w:t>CD123 Development Program Termination  44</w:t>
            </w:r>
          </w:p>
        </w:tc>
        <w:tc>
          <w:tcPr>
            <w:tcW w:w="1860" w:type="dxa"/>
            <w:vAlign w:val="bottom"/>
          </w:tcPr>
          <w:p>
            <w:pPr>
              <w:spacing w:after="0"/>
              <w:rPr>
                <w:sz w:val="24"/>
                <w:szCs w:val="24"/>
                <w:color w:val="auto"/>
              </w:rPr>
            </w:pPr>
          </w:p>
        </w:tc>
      </w:tr>
      <w:tr>
        <w:trPr>
          <w:trHeight w:val="249"/>
        </w:trPr>
        <w:tc>
          <w:tcPr>
            <w:tcW w:w="6940" w:type="dxa"/>
            <w:vAlign w:val="bottom"/>
            <w:gridSpan w:val="9"/>
          </w:tcPr>
          <w:p>
            <w:pPr>
              <w:spacing w:after="0"/>
              <w:rPr>
                <w:sz w:val="20"/>
                <w:szCs w:val="20"/>
                <w:color w:val="auto"/>
              </w:rPr>
            </w:pPr>
            <w:r>
              <w:rPr>
                <w:rFonts w:ascii="Arial" w:cs="Arial" w:eastAsia="Arial" w:hAnsi="Arial"/>
                <w:sz w:val="20"/>
                <w:szCs w:val="20"/>
                <w:color w:val="auto"/>
              </w:rPr>
              <w:t>5.  RESEARCH TARGET NOMINATION; RESEARCH PLANS; LICENSED</w:t>
            </w:r>
          </w:p>
        </w:tc>
      </w:tr>
      <w:tr>
        <w:trPr>
          <w:trHeight w:val="250"/>
        </w:trPr>
        <w:tc>
          <w:tcPr>
            <w:tcW w:w="4100" w:type="dxa"/>
            <w:vAlign w:val="bottom"/>
            <w:gridSpan w:val="7"/>
          </w:tcPr>
          <w:p>
            <w:pPr>
              <w:ind w:left="660"/>
              <w:spacing w:after="0"/>
              <w:rPr>
                <w:sz w:val="20"/>
                <w:szCs w:val="20"/>
                <w:color w:val="auto"/>
              </w:rPr>
            </w:pPr>
            <w:r>
              <w:rPr>
                <w:rFonts w:ascii="Arial" w:cs="Arial" w:eastAsia="Arial" w:hAnsi="Arial"/>
                <w:sz w:val="20"/>
                <w:szCs w:val="20"/>
                <w:color w:val="auto"/>
                <w:w w:val="95"/>
              </w:rPr>
              <w:t>RESEARCH TARGET COMBINATIONS</w:t>
            </w:r>
          </w:p>
        </w:tc>
        <w:tc>
          <w:tcPr>
            <w:tcW w:w="980" w:type="dxa"/>
            <w:vAlign w:val="bottom"/>
          </w:tcPr>
          <w:p>
            <w:pPr>
              <w:jc w:val="right"/>
              <w:ind w:right="541"/>
              <w:spacing w:after="0"/>
              <w:rPr>
                <w:sz w:val="20"/>
                <w:szCs w:val="20"/>
                <w:color w:val="auto"/>
              </w:rPr>
            </w:pPr>
            <w:r>
              <w:rPr>
                <w:rFonts w:ascii="Arial" w:cs="Arial" w:eastAsia="Arial" w:hAnsi="Arial"/>
                <w:sz w:val="20"/>
                <w:szCs w:val="20"/>
                <w:color w:val="auto"/>
              </w:rPr>
              <w:t>45</w:t>
            </w:r>
          </w:p>
        </w:tc>
        <w:tc>
          <w:tcPr>
            <w:tcW w:w="1860" w:type="dxa"/>
            <w:vAlign w:val="bottom"/>
          </w:tcPr>
          <w:p>
            <w:pPr>
              <w:spacing w:after="0"/>
              <w:rPr>
                <w:sz w:val="21"/>
                <w:szCs w:val="21"/>
                <w:color w:val="auto"/>
              </w:rPr>
            </w:pP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rPr>
              <w:t>5.1</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Research Target Nomination  45</w:t>
            </w: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0"/>
        </w:trPr>
        <w:tc>
          <w:tcPr>
            <w:tcW w:w="1040" w:type="dxa"/>
            <w:vAlign w:val="bottom"/>
          </w:tcPr>
          <w:p>
            <w:pPr>
              <w:ind w:left="660"/>
              <w:spacing w:after="0"/>
              <w:rPr>
                <w:sz w:val="20"/>
                <w:szCs w:val="20"/>
                <w:color w:val="auto"/>
              </w:rPr>
            </w:pPr>
            <w:r>
              <w:rPr>
                <w:rFonts w:ascii="Arial" w:cs="Arial" w:eastAsia="Arial" w:hAnsi="Arial"/>
                <w:sz w:val="20"/>
                <w:szCs w:val="20"/>
                <w:color w:val="auto"/>
              </w:rPr>
              <w:t>5.2</w:t>
            </w:r>
          </w:p>
        </w:tc>
        <w:tc>
          <w:tcPr>
            <w:tcW w:w="1540" w:type="dxa"/>
            <w:vAlign w:val="bottom"/>
            <w:gridSpan w:val="3"/>
          </w:tcPr>
          <w:p>
            <w:pPr>
              <w:ind w:left="60"/>
              <w:spacing w:after="0"/>
              <w:rPr>
                <w:sz w:val="20"/>
                <w:szCs w:val="20"/>
                <w:color w:val="auto"/>
              </w:rPr>
            </w:pPr>
            <w:r>
              <w:rPr>
                <w:rFonts w:ascii="Arial" w:cs="Arial" w:eastAsia="Arial" w:hAnsi="Arial"/>
                <w:sz w:val="20"/>
                <w:szCs w:val="20"/>
                <w:color w:val="auto"/>
                <w:w w:val="86"/>
              </w:rPr>
              <w:t>Research Program</w:t>
            </w:r>
          </w:p>
        </w:tc>
        <w:tc>
          <w:tcPr>
            <w:tcW w:w="420" w:type="dxa"/>
            <w:vAlign w:val="bottom"/>
          </w:tcPr>
          <w:p>
            <w:pPr>
              <w:jc w:val="right"/>
              <w:spacing w:after="0"/>
              <w:rPr>
                <w:sz w:val="20"/>
                <w:szCs w:val="20"/>
                <w:color w:val="auto"/>
              </w:rPr>
            </w:pPr>
            <w:r>
              <w:rPr>
                <w:rFonts w:ascii="Arial" w:cs="Arial" w:eastAsia="Arial" w:hAnsi="Arial"/>
                <w:sz w:val="20"/>
                <w:szCs w:val="20"/>
                <w:color w:val="auto"/>
              </w:rPr>
              <w:t>46</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9600"/>
          </w:cols>
          <w:pgMar w:left="1420" w:top="665" w:right="879" w:bottom="1440" w:gutter="0" w:footer="0" w:header="0"/>
        </w:sectPr>
      </w:pPr>
    </w:p>
    <w:bookmarkStart w:id="115" w:name="page116"/>
    <w:bookmarkEnd w:id="115"/>
    <w:p>
      <w:pPr>
        <w:jc w:val="center"/>
        <w:ind w:right="560"/>
        <w:spacing w:after="0"/>
        <w:rPr>
          <w:sz w:val="20"/>
          <w:szCs w:val="20"/>
          <w:color w:val="auto"/>
        </w:rPr>
      </w:pPr>
      <w:r>
        <w:rPr>
          <w:rFonts w:ascii="Arial" w:cs="Arial" w:eastAsia="Arial" w:hAnsi="Arial"/>
          <w:sz w:val="20"/>
          <w:szCs w:val="20"/>
          <w:b w:val="1"/>
          <w:bCs w:val="1"/>
          <w:color w:val="auto"/>
        </w:rPr>
        <w:t>TABLE OF CONTENTS</w:t>
      </w:r>
    </w:p>
    <w:p>
      <w:pPr>
        <w:spacing w:after="0" w:line="40"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(continued)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90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18"/>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5.3</w:t>
            </w:r>
          </w:p>
        </w:tc>
        <w:tc>
          <w:tcPr>
            <w:tcW w:w="2100" w:type="dxa"/>
            <w:vAlign w:val="bottom"/>
            <w:gridSpan w:val="4"/>
          </w:tcPr>
          <w:p>
            <w:pPr>
              <w:ind w:left="60"/>
              <w:spacing w:after="0"/>
              <w:rPr>
                <w:sz w:val="20"/>
                <w:szCs w:val="20"/>
                <w:color w:val="auto"/>
              </w:rPr>
            </w:pPr>
            <w:r>
              <w:rPr>
                <w:rFonts w:ascii="Arial" w:cs="Arial" w:eastAsia="Arial" w:hAnsi="Arial"/>
                <w:sz w:val="20"/>
                <w:szCs w:val="20"/>
                <w:color w:val="auto"/>
                <w:w w:val="95"/>
              </w:rPr>
              <w:t>Performance Standards</w:t>
            </w:r>
          </w:p>
        </w:tc>
        <w:tc>
          <w:tcPr>
            <w:tcW w:w="660" w:type="dxa"/>
            <w:vAlign w:val="bottom"/>
          </w:tcPr>
          <w:p>
            <w:pPr>
              <w:jc w:val="right"/>
              <w:ind w:right="361"/>
              <w:spacing w:after="0"/>
              <w:rPr>
                <w:sz w:val="20"/>
                <w:szCs w:val="20"/>
                <w:color w:val="auto"/>
              </w:rPr>
            </w:pPr>
            <w:r>
              <w:rPr>
                <w:rFonts w:ascii="Arial" w:cs="Arial" w:eastAsia="Arial" w:hAnsi="Arial"/>
                <w:sz w:val="20"/>
                <w:szCs w:val="20"/>
                <w:color w:val="auto"/>
                <w:w w:val="80"/>
              </w:rPr>
              <w:t>47</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5.4</w:t>
            </w:r>
          </w:p>
        </w:tc>
        <w:tc>
          <w:tcPr>
            <w:tcW w:w="1760" w:type="dxa"/>
            <w:vAlign w:val="bottom"/>
            <w:gridSpan w:val="3"/>
          </w:tcPr>
          <w:p>
            <w:pPr>
              <w:ind w:left="60"/>
              <w:spacing w:after="0"/>
              <w:rPr>
                <w:sz w:val="20"/>
                <w:szCs w:val="20"/>
                <w:color w:val="auto"/>
              </w:rPr>
            </w:pPr>
            <w:r>
              <w:rPr>
                <w:rFonts w:ascii="Arial" w:cs="Arial" w:eastAsia="Arial" w:hAnsi="Arial"/>
                <w:sz w:val="20"/>
                <w:szCs w:val="20"/>
                <w:color w:val="auto"/>
                <w:w w:val="89"/>
              </w:rPr>
              <w:t>Research Plan Costs</w:t>
            </w:r>
          </w:p>
        </w:tc>
        <w:tc>
          <w:tcPr>
            <w:tcW w:w="340" w:type="dxa"/>
            <w:vAlign w:val="bottom"/>
          </w:tcPr>
          <w:p>
            <w:pPr>
              <w:jc w:val="right"/>
              <w:spacing w:after="0"/>
              <w:rPr>
                <w:sz w:val="20"/>
                <w:szCs w:val="20"/>
                <w:color w:val="auto"/>
              </w:rPr>
            </w:pPr>
            <w:r>
              <w:rPr>
                <w:rFonts w:ascii="Arial" w:cs="Arial" w:eastAsia="Arial" w:hAnsi="Arial"/>
                <w:sz w:val="20"/>
                <w:szCs w:val="20"/>
                <w:color w:val="auto"/>
              </w:rPr>
              <w:t>47</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1"/>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5.5</w:t>
            </w:r>
          </w:p>
        </w:tc>
        <w:tc>
          <w:tcPr>
            <w:tcW w:w="1760" w:type="dxa"/>
            <w:vAlign w:val="bottom"/>
            <w:gridSpan w:val="3"/>
          </w:tcPr>
          <w:p>
            <w:pPr>
              <w:ind w:left="60"/>
              <w:spacing w:after="0"/>
              <w:rPr>
                <w:sz w:val="20"/>
                <w:szCs w:val="20"/>
                <w:color w:val="auto"/>
              </w:rPr>
            </w:pPr>
            <w:r>
              <w:rPr>
                <w:rFonts w:ascii="Arial" w:cs="Arial" w:eastAsia="Arial" w:hAnsi="Arial"/>
                <w:sz w:val="20"/>
                <w:szCs w:val="20"/>
                <w:color w:val="auto"/>
                <w:w w:val="98"/>
              </w:rPr>
              <w:t>Research Term  47</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5.6</w:t>
            </w:r>
          </w:p>
        </w:tc>
        <w:tc>
          <w:tcPr>
            <w:tcW w:w="1500" w:type="dxa"/>
            <w:vAlign w:val="bottom"/>
            <w:gridSpan w:val="2"/>
          </w:tcPr>
          <w:p>
            <w:pPr>
              <w:ind w:left="60"/>
              <w:spacing w:after="0"/>
              <w:rPr>
                <w:sz w:val="20"/>
                <w:szCs w:val="20"/>
                <w:color w:val="auto"/>
              </w:rPr>
            </w:pPr>
            <w:r>
              <w:rPr>
                <w:rFonts w:ascii="Arial" w:cs="Arial" w:eastAsia="Arial" w:hAnsi="Arial"/>
                <w:sz w:val="20"/>
                <w:szCs w:val="20"/>
                <w:color w:val="auto"/>
                <w:w w:val="88"/>
              </w:rPr>
              <w:t>Records; Updates</w:t>
            </w:r>
          </w:p>
        </w:tc>
        <w:tc>
          <w:tcPr>
            <w:tcW w:w="600" w:type="dxa"/>
            <w:vAlign w:val="bottom"/>
            <w:gridSpan w:val="2"/>
          </w:tcPr>
          <w:p>
            <w:pPr>
              <w:jc w:val="right"/>
              <w:ind w:right="141"/>
              <w:spacing w:after="0"/>
              <w:rPr>
                <w:sz w:val="20"/>
                <w:szCs w:val="20"/>
                <w:color w:val="auto"/>
              </w:rPr>
            </w:pPr>
            <w:r>
              <w:rPr>
                <w:rFonts w:ascii="Arial" w:cs="Arial" w:eastAsia="Arial" w:hAnsi="Arial"/>
                <w:sz w:val="20"/>
                <w:szCs w:val="20"/>
                <w:color w:val="auto"/>
              </w:rPr>
              <w:t>48</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5.7</w:t>
            </w:r>
          </w:p>
        </w:tc>
        <w:tc>
          <w:tcPr>
            <w:tcW w:w="1500" w:type="dxa"/>
            <w:vAlign w:val="bottom"/>
            <w:gridSpan w:val="2"/>
          </w:tcPr>
          <w:p>
            <w:pPr>
              <w:ind w:left="60"/>
              <w:spacing w:after="0"/>
              <w:rPr>
                <w:sz w:val="20"/>
                <w:szCs w:val="20"/>
                <w:color w:val="auto"/>
              </w:rPr>
            </w:pPr>
            <w:r>
              <w:rPr>
                <w:rFonts w:ascii="Arial" w:cs="Arial" w:eastAsia="Arial" w:hAnsi="Arial"/>
                <w:sz w:val="20"/>
                <w:szCs w:val="20"/>
                <w:color w:val="auto"/>
                <w:w w:val="99"/>
              </w:rPr>
              <w:t>Data Ownership</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48</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5.8</w:t>
            </w:r>
          </w:p>
        </w:tc>
        <w:tc>
          <w:tcPr>
            <w:tcW w:w="2100" w:type="dxa"/>
            <w:vAlign w:val="bottom"/>
            <w:gridSpan w:val="4"/>
          </w:tcPr>
          <w:p>
            <w:pPr>
              <w:ind w:left="60"/>
              <w:spacing w:after="0"/>
              <w:rPr>
                <w:sz w:val="20"/>
                <w:szCs w:val="20"/>
                <w:color w:val="auto"/>
              </w:rPr>
            </w:pPr>
            <w:r>
              <w:rPr>
                <w:rFonts w:ascii="Arial" w:cs="Arial" w:eastAsia="Arial" w:hAnsi="Arial"/>
                <w:sz w:val="20"/>
                <w:szCs w:val="20"/>
                <w:color w:val="auto"/>
                <w:w w:val="88"/>
              </w:rPr>
              <w:t>Research Program Opt-In</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48</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1"/>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5.9</w:t>
            </w:r>
          </w:p>
        </w:tc>
        <w:tc>
          <w:tcPr>
            <w:tcW w:w="1760" w:type="dxa"/>
            <w:vAlign w:val="bottom"/>
            <w:gridSpan w:val="3"/>
          </w:tcPr>
          <w:p>
            <w:pPr>
              <w:ind w:left="60"/>
              <w:spacing w:after="0"/>
              <w:rPr>
                <w:sz w:val="20"/>
                <w:szCs w:val="20"/>
                <w:color w:val="auto"/>
              </w:rPr>
            </w:pPr>
            <w:r>
              <w:rPr>
                <w:rFonts w:ascii="Arial" w:cs="Arial" w:eastAsia="Arial" w:hAnsi="Arial"/>
                <w:sz w:val="20"/>
                <w:szCs w:val="20"/>
                <w:color w:val="auto"/>
                <w:w w:val="91"/>
              </w:rPr>
              <w:t>Technology Transfer</w:t>
            </w:r>
          </w:p>
        </w:tc>
        <w:tc>
          <w:tcPr>
            <w:tcW w:w="340" w:type="dxa"/>
            <w:vAlign w:val="bottom"/>
          </w:tcPr>
          <w:p>
            <w:pPr>
              <w:jc w:val="right"/>
              <w:spacing w:after="0"/>
              <w:rPr>
                <w:sz w:val="20"/>
                <w:szCs w:val="20"/>
                <w:color w:val="auto"/>
              </w:rPr>
            </w:pPr>
            <w:r>
              <w:rPr>
                <w:rFonts w:ascii="Arial" w:cs="Arial" w:eastAsia="Arial" w:hAnsi="Arial"/>
                <w:sz w:val="20"/>
                <w:szCs w:val="20"/>
                <w:color w:val="auto"/>
              </w:rPr>
              <w:t>49</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w w:val="92"/>
              </w:rPr>
              <w:t>5.10</w:t>
            </w:r>
          </w:p>
        </w:tc>
        <w:tc>
          <w:tcPr>
            <w:tcW w:w="2760" w:type="dxa"/>
            <w:vAlign w:val="bottom"/>
            <w:gridSpan w:val="5"/>
          </w:tcPr>
          <w:p>
            <w:pPr>
              <w:ind w:left="160"/>
              <w:spacing w:after="0"/>
              <w:rPr>
                <w:sz w:val="20"/>
                <w:szCs w:val="20"/>
                <w:color w:val="auto"/>
              </w:rPr>
            </w:pPr>
            <w:r>
              <w:rPr>
                <w:rFonts w:ascii="Arial" w:cs="Arial" w:eastAsia="Arial" w:hAnsi="Arial"/>
                <w:sz w:val="20"/>
                <w:szCs w:val="20"/>
                <w:color w:val="auto"/>
                <w:w w:val="92"/>
              </w:rPr>
              <w:t>Research Program Termination</w:t>
            </w:r>
          </w:p>
        </w:tc>
        <w:tc>
          <w:tcPr>
            <w:tcW w:w="600" w:type="dxa"/>
            <w:vAlign w:val="bottom"/>
          </w:tcPr>
          <w:p>
            <w:pPr>
              <w:jc w:val="right"/>
              <w:ind w:right="241"/>
              <w:spacing w:after="0"/>
              <w:rPr>
                <w:sz w:val="20"/>
                <w:szCs w:val="20"/>
                <w:color w:val="auto"/>
              </w:rPr>
            </w:pPr>
            <w:r>
              <w:rPr>
                <w:rFonts w:ascii="Arial" w:cs="Arial" w:eastAsia="Arial" w:hAnsi="Arial"/>
                <w:sz w:val="20"/>
                <w:szCs w:val="20"/>
                <w:color w:val="auto"/>
              </w:rPr>
              <w:t>50</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1"/>
        </w:trPr>
        <w:tc>
          <w:tcPr>
            <w:tcW w:w="260" w:type="dxa"/>
            <w:vAlign w:val="bottom"/>
          </w:tcPr>
          <w:p>
            <w:pPr>
              <w:jc w:val="right"/>
              <w:ind w:right="1"/>
              <w:spacing w:after="0"/>
              <w:rPr>
                <w:sz w:val="20"/>
                <w:szCs w:val="20"/>
                <w:color w:val="auto"/>
              </w:rPr>
            </w:pPr>
            <w:r>
              <w:rPr>
                <w:rFonts w:ascii="Arial" w:cs="Arial" w:eastAsia="Arial" w:hAnsi="Arial"/>
                <w:sz w:val="20"/>
                <w:szCs w:val="20"/>
                <w:color w:val="auto"/>
                <w:w w:val="83"/>
              </w:rPr>
              <w:t>6.</w:t>
            </w:r>
          </w:p>
        </w:tc>
        <w:tc>
          <w:tcPr>
            <w:tcW w:w="2540" w:type="dxa"/>
            <w:vAlign w:val="bottom"/>
            <w:gridSpan w:val="4"/>
          </w:tcPr>
          <w:p>
            <w:pPr>
              <w:ind w:left="80"/>
              <w:spacing w:after="0"/>
              <w:rPr>
                <w:sz w:val="20"/>
                <w:szCs w:val="20"/>
                <w:color w:val="auto"/>
              </w:rPr>
            </w:pPr>
            <w:r>
              <w:rPr>
                <w:rFonts w:ascii="Arial" w:cs="Arial" w:eastAsia="Arial" w:hAnsi="Arial"/>
                <w:sz w:val="20"/>
                <w:szCs w:val="20"/>
                <w:color w:val="auto"/>
              </w:rPr>
              <w:t>GILEAD DEVELOPMENT</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w w:val="80"/>
              </w:rPr>
              <w:t>50</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6.1</w:t>
            </w:r>
          </w:p>
        </w:tc>
        <w:tc>
          <w:tcPr>
            <w:tcW w:w="1500" w:type="dxa"/>
            <w:vAlign w:val="bottom"/>
            <w:gridSpan w:val="2"/>
          </w:tcPr>
          <w:p>
            <w:pPr>
              <w:ind w:left="60"/>
              <w:spacing w:after="0"/>
              <w:rPr>
                <w:sz w:val="20"/>
                <w:szCs w:val="20"/>
                <w:color w:val="auto"/>
              </w:rPr>
            </w:pPr>
            <w:r>
              <w:rPr>
                <w:rFonts w:ascii="Arial" w:cs="Arial" w:eastAsia="Arial" w:hAnsi="Arial"/>
                <w:sz w:val="20"/>
                <w:szCs w:val="20"/>
                <w:color w:val="auto"/>
              </w:rPr>
              <w:t>Antitrust Filings</w:t>
            </w:r>
          </w:p>
        </w:tc>
        <w:tc>
          <w:tcPr>
            <w:tcW w:w="260" w:type="dxa"/>
            <w:vAlign w:val="bottom"/>
          </w:tcPr>
          <w:p>
            <w:pPr>
              <w:jc w:val="right"/>
              <w:spacing w:after="0"/>
              <w:rPr>
                <w:sz w:val="20"/>
                <w:szCs w:val="20"/>
                <w:color w:val="auto"/>
              </w:rPr>
            </w:pPr>
            <w:r>
              <w:rPr>
                <w:rFonts w:ascii="Arial" w:cs="Arial" w:eastAsia="Arial" w:hAnsi="Arial"/>
                <w:sz w:val="20"/>
                <w:szCs w:val="20"/>
                <w:color w:val="auto"/>
              </w:rPr>
              <w:t>50</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6.2</w:t>
            </w:r>
          </w:p>
        </w:tc>
        <w:tc>
          <w:tcPr>
            <w:tcW w:w="3360" w:type="dxa"/>
            <w:vAlign w:val="bottom"/>
            <w:gridSpan w:val="6"/>
          </w:tcPr>
          <w:p>
            <w:pPr>
              <w:ind w:left="60"/>
              <w:spacing w:after="0"/>
              <w:rPr>
                <w:sz w:val="20"/>
                <w:szCs w:val="20"/>
                <w:color w:val="auto"/>
              </w:rPr>
            </w:pPr>
            <w:r>
              <w:rPr>
                <w:rFonts w:ascii="Arial" w:cs="Arial" w:eastAsia="Arial" w:hAnsi="Arial"/>
                <w:sz w:val="20"/>
                <w:szCs w:val="20"/>
                <w:color w:val="auto"/>
                <w:w w:val="93"/>
              </w:rPr>
              <w:t>CD123 Molecules and CD123 Products</w:t>
            </w:r>
          </w:p>
        </w:tc>
        <w:tc>
          <w:tcPr>
            <w:tcW w:w="300" w:type="dxa"/>
            <w:vAlign w:val="bottom"/>
          </w:tcPr>
          <w:p>
            <w:pPr>
              <w:jc w:val="right"/>
              <w:spacing w:after="0"/>
              <w:rPr>
                <w:sz w:val="20"/>
                <w:szCs w:val="20"/>
                <w:color w:val="auto"/>
              </w:rPr>
            </w:pPr>
            <w:r>
              <w:rPr>
                <w:rFonts w:ascii="Arial" w:cs="Arial" w:eastAsia="Arial" w:hAnsi="Arial"/>
                <w:sz w:val="20"/>
                <w:szCs w:val="20"/>
                <w:color w:val="auto"/>
                <w:w w:val="98"/>
              </w:rPr>
              <w:t>52</w:t>
            </w: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6.3</w:t>
            </w:r>
          </w:p>
        </w:tc>
        <w:tc>
          <w:tcPr>
            <w:tcW w:w="3660" w:type="dxa"/>
            <w:vAlign w:val="bottom"/>
            <w:gridSpan w:val="7"/>
          </w:tcPr>
          <w:p>
            <w:pPr>
              <w:ind w:left="60"/>
              <w:spacing w:after="0"/>
              <w:rPr>
                <w:sz w:val="20"/>
                <w:szCs w:val="20"/>
                <w:color w:val="auto"/>
              </w:rPr>
            </w:pPr>
            <w:r>
              <w:rPr>
                <w:rFonts w:ascii="Arial" w:cs="Arial" w:eastAsia="Arial" w:hAnsi="Arial"/>
                <w:sz w:val="20"/>
                <w:szCs w:val="20"/>
                <w:color w:val="auto"/>
                <w:w w:val="90"/>
              </w:rPr>
              <w:t>Research Molecules and Research Products</w:t>
            </w:r>
          </w:p>
        </w:tc>
        <w:tc>
          <w:tcPr>
            <w:tcW w:w="4900" w:type="dxa"/>
            <w:vAlign w:val="bottom"/>
          </w:tcPr>
          <w:p>
            <w:pPr>
              <w:jc w:val="right"/>
              <w:ind w:right="4561"/>
              <w:spacing w:after="0"/>
              <w:rPr>
                <w:sz w:val="20"/>
                <w:szCs w:val="20"/>
                <w:color w:val="auto"/>
              </w:rPr>
            </w:pPr>
            <w:r>
              <w:rPr>
                <w:rFonts w:ascii="Arial" w:cs="Arial" w:eastAsia="Arial" w:hAnsi="Arial"/>
                <w:sz w:val="20"/>
                <w:szCs w:val="20"/>
                <w:color w:val="auto"/>
                <w:w w:val="98"/>
              </w:rPr>
              <w:t>52</w:t>
            </w:r>
          </w:p>
        </w:tc>
      </w:tr>
      <w:tr>
        <w:trPr>
          <w:trHeight w:val="297"/>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6.4</w:t>
            </w:r>
          </w:p>
        </w:tc>
        <w:tc>
          <w:tcPr>
            <w:tcW w:w="2100" w:type="dxa"/>
            <w:vAlign w:val="bottom"/>
            <w:gridSpan w:val="4"/>
          </w:tcPr>
          <w:p>
            <w:pPr>
              <w:ind w:left="60"/>
              <w:spacing w:after="0"/>
              <w:rPr>
                <w:sz w:val="20"/>
                <w:szCs w:val="20"/>
                <w:color w:val="auto"/>
              </w:rPr>
            </w:pPr>
            <w:r>
              <w:rPr>
                <w:rFonts w:ascii="Arial" w:cs="Arial" w:eastAsia="Arial" w:hAnsi="Arial"/>
                <w:sz w:val="20"/>
                <w:szCs w:val="20"/>
                <w:color w:val="auto"/>
                <w:w w:val="95"/>
              </w:rPr>
              <w:t>Performance Standards</w:t>
            </w:r>
          </w:p>
        </w:tc>
        <w:tc>
          <w:tcPr>
            <w:tcW w:w="660" w:type="dxa"/>
            <w:vAlign w:val="bottom"/>
          </w:tcPr>
          <w:p>
            <w:pPr>
              <w:jc w:val="right"/>
              <w:ind w:right="361"/>
              <w:spacing w:after="0"/>
              <w:rPr>
                <w:sz w:val="20"/>
                <w:szCs w:val="20"/>
                <w:color w:val="auto"/>
              </w:rPr>
            </w:pPr>
            <w:r>
              <w:rPr>
                <w:rFonts w:ascii="Arial" w:cs="Arial" w:eastAsia="Arial" w:hAnsi="Arial"/>
                <w:sz w:val="20"/>
                <w:szCs w:val="20"/>
                <w:color w:val="auto"/>
                <w:w w:val="80"/>
              </w:rPr>
              <w:t>52</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6.5</w:t>
            </w:r>
          </w:p>
        </w:tc>
        <w:tc>
          <w:tcPr>
            <w:tcW w:w="760" w:type="dxa"/>
            <w:vAlign w:val="bottom"/>
          </w:tcPr>
          <w:p>
            <w:pPr>
              <w:ind w:left="60"/>
              <w:spacing w:after="0"/>
              <w:rPr>
                <w:sz w:val="20"/>
                <w:szCs w:val="20"/>
                <w:color w:val="auto"/>
              </w:rPr>
            </w:pPr>
            <w:r>
              <w:rPr>
                <w:rFonts w:ascii="Arial" w:cs="Arial" w:eastAsia="Arial" w:hAnsi="Arial"/>
                <w:sz w:val="20"/>
                <w:szCs w:val="20"/>
                <w:color w:val="auto"/>
                <w:w w:val="91"/>
              </w:rPr>
              <w:t>Records</w:t>
            </w:r>
          </w:p>
        </w:tc>
        <w:tc>
          <w:tcPr>
            <w:tcW w:w="740" w:type="dxa"/>
            <w:vAlign w:val="bottom"/>
          </w:tcPr>
          <w:p>
            <w:pPr>
              <w:jc w:val="right"/>
              <w:ind w:right="301"/>
              <w:spacing w:after="0"/>
              <w:rPr>
                <w:sz w:val="20"/>
                <w:szCs w:val="20"/>
                <w:color w:val="auto"/>
              </w:rPr>
            </w:pPr>
            <w:r>
              <w:rPr>
                <w:rFonts w:ascii="Arial" w:cs="Arial" w:eastAsia="Arial" w:hAnsi="Arial"/>
                <w:sz w:val="20"/>
                <w:szCs w:val="20"/>
                <w:color w:val="auto"/>
              </w:rPr>
              <w:t>52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1"/>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6.6</w:t>
            </w:r>
          </w:p>
        </w:tc>
        <w:tc>
          <w:tcPr>
            <w:tcW w:w="2100" w:type="dxa"/>
            <w:vAlign w:val="bottom"/>
            <w:gridSpan w:val="4"/>
          </w:tcPr>
          <w:p>
            <w:pPr>
              <w:ind w:left="60"/>
              <w:spacing w:after="0"/>
              <w:rPr>
                <w:sz w:val="20"/>
                <w:szCs w:val="20"/>
                <w:color w:val="auto"/>
              </w:rPr>
            </w:pPr>
            <w:r>
              <w:rPr>
                <w:rFonts w:ascii="Arial" w:cs="Arial" w:eastAsia="Arial" w:hAnsi="Arial"/>
                <w:sz w:val="20"/>
                <w:szCs w:val="20"/>
                <w:color w:val="auto"/>
                <w:w w:val="96"/>
              </w:rPr>
              <w:t>Development Reporting</w:t>
            </w:r>
          </w:p>
        </w:tc>
        <w:tc>
          <w:tcPr>
            <w:tcW w:w="660" w:type="dxa"/>
            <w:vAlign w:val="bottom"/>
          </w:tcPr>
          <w:p>
            <w:pPr>
              <w:jc w:val="right"/>
              <w:ind w:right="301"/>
              <w:spacing w:after="0"/>
              <w:rPr>
                <w:sz w:val="20"/>
                <w:szCs w:val="20"/>
                <w:color w:val="auto"/>
              </w:rPr>
            </w:pPr>
            <w:r>
              <w:rPr>
                <w:rFonts w:ascii="Arial" w:cs="Arial" w:eastAsia="Arial" w:hAnsi="Arial"/>
                <w:sz w:val="20"/>
                <w:szCs w:val="20"/>
                <w:color w:val="auto"/>
              </w:rPr>
              <w:t>53</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6.7</w:t>
            </w:r>
          </w:p>
        </w:tc>
        <w:tc>
          <w:tcPr>
            <w:tcW w:w="1500" w:type="dxa"/>
            <w:vAlign w:val="bottom"/>
            <w:gridSpan w:val="2"/>
          </w:tcPr>
          <w:p>
            <w:pPr>
              <w:ind w:left="60"/>
              <w:spacing w:after="0"/>
              <w:rPr>
                <w:sz w:val="20"/>
                <w:szCs w:val="20"/>
                <w:color w:val="auto"/>
              </w:rPr>
            </w:pPr>
            <w:r>
              <w:rPr>
                <w:rFonts w:ascii="Arial" w:cs="Arial" w:eastAsia="Arial" w:hAnsi="Arial"/>
                <w:sz w:val="20"/>
                <w:szCs w:val="20"/>
                <w:color w:val="auto"/>
                <w:w w:val="99"/>
              </w:rPr>
              <w:t>Data Ownership</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53</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jc w:val="right"/>
              <w:ind w:right="1"/>
              <w:spacing w:after="0"/>
              <w:rPr>
                <w:sz w:val="20"/>
                <w:szCs w:val="20"/>
                <w:color w:val="auto"/>
              </w:rPr>
            </w:pPr>
            <w:r>
              <w:rPr>
                <w:rFonts w:ascii="Arial" w:cs="Arial" w:eastAsia="Arial" w:hAnsi="Arial"/>
                <w:sz w:val="20"/>
                <w:szCs w:val="20"/>
                <w:color w:val="auto"/>
                <w:w w:val="83"/>
              </w:rPr>
              <w:t>7.</w:t>
            </w:r>
          </w:p>
        </w:tc>
        <w:tc>
          <w:tcPr>
            <w:tcW w:w="1540" w:type="dxa"/>
            <w:vAlign w:val="bottom"/>
            <w:gridSpan w:val="2"/>
          </w:tcPr>
          <w:p>
            <w:pPr>
              <w:ind w:left="100"/>
              <w:spacing w:after="0"/>
              <w:rPr>
                <w:sz w:val="20"/>
                <w:szCs w:val="20"/>
                <w:color w:val="auto"/>
              </w:rPr>
            </w:pPr>
            <w:r>
              <w:rPr>
                <w:rFonts w:ascii="Arial" w:cs="Arial" w:eastAsia="Arial" w:hAnsi="Arial"/>
                <w:sz w:val="20"/>
                <w:szCs w:val="20"/>
                <w:color w:val="auto"/>
              </w:rPr>
              <w:t>REGULATORY</w:t>
            </w:r>
          </w:p>
        </w:tc>
        <w:tc>
          <w:tcPr>
            <w:tcW w:w="740" w:type="dxa"/>
            <w:vAlign w:val="bottom"/>
          </w:tcPr>
          <w:p>
            <w:pPr>
              <w:jc w:val="right"/>
              <w:ind w:right="381"/>
              <w:spacing w:after="0"/>
              <w:rPr>
                <w:sz w:val="20"/>
                <w:szCs w:val="20"/>
                <w:color w:val="auto"/>
              </w:rPr>
            </w:pPr>
            <w:r>
              <w:rPr>
                <w:rFonts w:ascii="Arial" w:cs="Arial" w:eastAsia="Arial" w:hAnsi="Arial"/>
                <w:sz w:val="20"/>
                <w:szCs w:val="20"/>
                <w:color w:val="auto"/>
              </w:rPr>
              <w:t>53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7.1</w:t>
            </w:r>
          </w:p>
        </w:tc>
        <w:tc>
          <w:tcPr>
            <w:tcW w:w="3360" w:type="dxa"/>
            <w:vAlign w:val="bottom"/>
            <w:gridSpan w:val="6"/>
          </w:tcPr>
          <w:p>
            <w:pPr>
              <w:ind w:left="60"/>
              <w:spacing w:after="0"/>
              <w:rPr>
                <w:sz w:val="20"/>
                <w:szCs w:val="20"/>
                <w:color w:val="auto"/>
              </w:rPr>
            </w:pPr>
            <w:r>
              <w:rPr>
                <w:rFonts w:ascii="Arial" w:cs="Arial" w:eastAsia="Arial" w:hAnsi="Arial"/>
                <w:sz w:val="20"/>
                <w:szCs w:val="20"/>
                <w:color w:val="auto"/>
                <w:w w:val="93"/>
              </w:rPr>
              <w:t>CD123 Molecules and CD123 Products</w:t>
            </w:r>
          </w:p>
        </w:tc>
        <w:tc>
          <w:tcPr>
            <w:tcW w:w="300" w:type="dxa"/>
            <w:vAlign w:val="bottom"/>
          </w:tcPr>
          <w:p>
            <w:pPr>
              <w:jc w:val="right"/>
              <w:spacing w:after="0"/>
              <w:rPr>
                <w:sz w:val="20"/>
                <w:szCs w:val="20"/>
                <w:color w:val="auto"/>
              </w:rPr>
            </w:pPr>
            <w:r>
              <w:rPr>
                <w:rFonts w:ascii="Arial" w:cs="Arial" w:eastAsia="Arial" w:hAnsi="Arial"/>
                <w:sz w:val="20"/>
                <w:szCs w:val="20"/>
                <w:color w:val="auto"/>
                <w:w w:val="98"/>
              </w:rPr>
              <w:t>53</w:t>
            </w:r>
          </w:p>
        </w:tc>
        <w:tc>
          <w:tcPr>
            <w:tcW w:w="49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7.2</w:t>
            </w:r>
          </w:p>
        </w:tc>
        <w:tc>
          <w:tcPr>
            <w:tcW w:w="3660" w:type="dxa"/>
            <w:vAlign w:val="bottom"/>
            <w:gridSpan w:val="7"/>
          </w:tcPr>
          <w:p>
            <w:pPr>
              <w:ind w:left="60"/>
              <w:spacing w:after="0"/>
              <w:rPr>
                <w:sz w:val="20"/>
                <w:szCs w:val="20"/>
                <w:color w:val="auto"/>
              </w:rPr>
            </w:pPr>
            <w:r>
              <w:rPr>
                <w:rFonts w:ascii="Arial" w:cs="Arial" w:eastAsia="Arial" w:hAnsi="Arial"/>
                <w:sz w:val="20"/>
                <w:szCs w:val="20"/>
                <w:color w:val="auto"/>
                <w:w w:val="90"/>
              </w:rPr>
              <w:t>Research Molecules and Research Products</w:t>
            </w:r>
          </w:p>
        </w:tc>
        <w:tc>
          <w:tcPr>
            <w:tcW w:w="4900" w:type="dxa"/>
            <w:vAlign w:val="bottom"/>
          </w:tcPr>
          <w:p>
            <w:pPr>
              <w:jc w:val="right"/>
              <w:ind w:right="4561"/>
              <w:spacing w:after="0"/>
              <w:rPr>
                <w:sz w:val="20"/>
                <w:szCs w:val="20"/>
                <w:color w:val="auto"/>
              </w:rPr>
            </w:pPr>
            <w:r>
              <w:rPr>
                <w:rFonts w:ascii="Arial" w:cs="Arial" w:eastAsia="Arial" w:hAnsi="Arial"/>
                <w:sz w:val="20"/>
                <w:szCs w:val="20"/>
                <w:color w:val="auto"/>
                <w:w w:val="98"/>
              </w:rPr>
              <w:t>54</w:t>
            </w: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7.3</w:t>
            </w:r>
          </w:p>
        </w:tc>
        <w:tc>
          <w:tcPr>
            <w:tcW w:w="2760" w:type="dxa"/>
            <w:vAlign w:val="bottom"/>
            <w:gridSpan w:val="5"/>
          </w:tcPr>
          <w:p>
            <w:pPr>
              <w:ind w:left="60"/>
              <w:spacing w:after="0"/>
              <w:rPr>
                <w:sz w:val="20"/>
                <w:szCs w:val="20"/>
                <w:color w:val="auto"/>
              </w:rPr>
            </w:pPr>
            <w:r>
              <w:rPr>
                <w:rFonts w:ascii="Arial" w:cs="Arial" w:eastAsia="Arial" w:hAnsi="Arial"/>
                <w:sz w:val="20"/>
                <w:szCs w:val="20"/>
                <w:color w:val="auto"/>
                <w:w w:val="93"/>
              </w:rPr>
              <w:t>Transfer of Regulatory Materials</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54</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7.4</w:t>
            </w:r>
          </w:p>
        </w:tc>
        <w:tc>
          <w:tcPr>
            <w:tcW w:w="1760" w:type="dxa"/>
            <w:vAlign w:val="bottom"/>
            <w:gridSpan w:val="3"/>
          </w:tcPr>
          <w:p>
            <w:pPr>
              <w:ind w:left="60"/>
              <w:spacing w:after="0"/>
              <w:rPr>
                <w:sz w:val="20"/>
                <w:szCs w:val="20"/>
                <w:color w:val="auto"/>
              </w:rPr>
            </w:pPr>
            <w:r>
              <w:rPr>
                <w:rFonts w:ascii="Arial" w:cs="Arial" w:eastAsia="Arial" w:hAnsi="Arial"/>
                <w:sz w:val="20"/>
                <w:szCs w:val="20"/>
                <w:color w:val="auto"/>
              </w:rPr>
              <w:t>Right of Reference</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w w:val="80"/>
              </w:rPr>
              <w:t>54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7.5</w:t>
            </w:r>
          </w:p>
        </w:tc>
        <w:tc>
          <w:tcPr>
            <w:tcW w:w="8560" w:type="dxa"/>
            <w:vAlign w:val="bottom"/>
            <w:gridSpan w:val="8"/>
          </w:tcPr>
          <w:p>
            <w:pPr>
              <w:ind w:left="40"/>
              <w:spacing w:after="0"/>
              <w:rPr>
                <w:sz w:val="20"/>
                <w:szCs w:val="20"/>
                <w:color w:val="auto"/>
              </w:rPr>
            </w:pPr>
            <w:r>
              <w:rPr>
                <w:rFonts w:ascii="Arial" w:cs="Arial" w:eastAsia="Arial" w:hAnsi="Arial"/>
                <w:sz w:val="20"/>
                <w:szCs w:val="20"/>
                <w:color w:val="auto"/>
              </w:rPr>
              <w:t>Adverse Event Reporting; Global Safety Database  55</w:t>
            </w: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7.6</w:t>
            </w:r>
          </w:p>
        </w:tc>
        <w:tc>
          <w:tcPr>
            <w:tcW w:w="760" w:type="dxa"/>
            <w:vAlign w:val="bottom"/>
          </w:tcPr>
          <w:p>
            <w:pPr>
              <w:ind w:left="60"/>
              <w:spacing w:after="0"/>
              <w:rPr>
                <w:sz w:val="20"/>
                <w:szCs w:val="20"/>
                <w:color w:val="auto"/>
              </w:rPr>
            </w:pPr>
            <w:r>
              <w:rPr>
                <w:rFonts w:ascii="Arial" w:cs="Arial" w:eastAsia="Arial" w:hAnsi="Arial"/>
                <w:sz w:val="20"/>
                <w:szCs w:val="20"/>
                <w:color w:val="auto"/>
              </w:rPr>
              <w:t>Recalls</w:t>
            </w:r>
          </w:p>
        </w:tc>
        <w:tc>
          <w:tcPr>
            <w:tcW w:w="740" w:type="dxa"/>
            <w:vAlign w:val="bottom"/>
          </w:tcPr>
          <w:p>
            <w:pPr>
              <w:jc w:val="right"/>
              <w:ind w:right="361"/>
              <w:spacing w:after="0"/>
              <w:rPr>
                <w:sz w:val="20"/>
                <w:szCs w:val="20"/>
                <w:color w:val="auto"/>
              </w:rPr>
            </w:pPr>
            <w:r>
              <w:rPr>
                <w:rFonts w:ascii="Arial" w:cs="Arial" w:eastAsia="Arial" w:hAnsi="Arial"/>
                <w:sz w:val="20"/>
                <w:szCs w:val="20"/>
                <w:color w:val="auto"/>
              </w:rPr>
              <w:t>55</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7.7</w:t>
            </w:r>
          </w:p>
        </w:tc>
        <w:tc>
          <w:tcPr>
            <w:tcW w:w="760" w:type="dxa"/>
            <w:vAlign w:val="bottom"/>
          </w:tcPr>
          <w:p>
            <w:pPr>
              <w:ind w:left="60"/>
              <w:spacing w:after="0"/>
              <w:rPr>
                <w:sz w:val="20"/>
                <w:szCs w:val="20"/>
                <w:color w:val="auto"/>
              </w:rPr>
            </w:pPr>
            <w:r>
              <w:rPr>
                <w:rFonts w:ascii="Arial" w:cs="Arial" w:eastAsia="Arial" w:hAnsi="Arial"/>
                <w:sz w:val="20"/>
                <w:szCs w:val="20"/>
                <w:color w:val="auto"/>
              </w:rPr>
              <w:t>Conflict</w:t>
            </w:r>
          </w:p>
        </w:tc>
        <w:tc>
          <w:tcPr>
            <w:tcW w:w="740" w:type="dxa"/>
            <w:vAlign w:val="bottom"/>
          </w:tcPr>
          <w:p>
            <w:pPr>
              <w:jc w:val="right"/>
              <w:ind w:right="301"/>
              <w:spacing w:after="0"/>
              <w:rPr>
                <w:sz w:val="20"/>
                <w:szCs w:val="20"/>
                <w:color w:val="auto"/>
              </w:rPr>
            </w:pPr>
            <w:r>
              <w:rPr>
                <w:rFonts w:ascii="Arial" w:cs="Arial" w:eastAsia="Arial" w:hAnsi="Arial"/>
                <w:sz w:val="20"/>
                <w:szCs w:val="20"/>
                <w:color w:val="auto"/>
              </w:rPr>
              <w:t>55</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97"/>
        </w:trPr>
        <w:tc>
          <w:tcPr>
            <w:tcW w:w="260" w:type="dxa"/>
            <w:vAlign w:val="bottom"/>
          </w:tcPr>
          <w:p>
            <w:pPr>
              <w:jc w:val="right"/>
              <w:ind w:right="1"/>
              <w:spacing w:after="0"/>
              <w:rPr>
                <w:sz w:val="20"/>
                <w:szCs w:val="20"/>
                <w:color w:val="auto"/>
              </w:rPr>
            </w:pPr>
            <w:r>
              <w:rPr>
                <w:rFonts w:ascii="Arial" w:cs="Arial" w:eastAsia="Arial" w:hAnsi="Arial"/>
                <w:sz w:val="20"/>
                <w:szCs w:val="20"/>
                <w:color w:val="auto"/>
                <w:w w:val="83"/>
              </w:rPr>
              <w:t>8.</w:t>
            </w:r>
          </w:p>
        </w:tc>
        <w:tc>
          <w:tcPr>
            <w:tcW w:w="2280" w:type="dxa"/>
            <w:vAlign w:val="bottom"/>
            <w:gridSpan w:val="3"/>
          </w:tcPr>
          <w:p>
            <w:pPr>
              <w:ind w:left="100"/>
              <w:spacing w:after="0"/>
              <w:rPr>
                <w:sz w:val="20"/>
                <w:szCs w:val="20"/>
                <w:color w:val="auto"/>
              </w:rPr>
            </w:pPr>
            <w:r>
              <w:rPr>
                <w:rFonts w:ascii="Arial" w:cs="Arial" w:eastAsia="Arial" w:hAnsi="Arial"/>
                <w:sz w:val="20"/>
                <w:szCs w:val="20"/>
                <w:color w:val="auto"/>
              </w:rPr>
              <w:t>COMMERCIALIZATION</w:t>
            </w:r>
          </w:p>
        </w:tc>
        <w:tc>
          <w:tcPr>
            <w:tcW w:w="600" w:type="dxa"/>
            <w:vAlign w:val="bottom"/>
            <w:gridSpan w:val="2"/>
          </w:tcPr>
          <w:p>
            <w:pPr>
              <w:jc w:val="right"/>
              <w:ind w:right="181"/>
              <w:spacing w:after="0"/>
              <w:rPr>
                <w:sz w:val="20"/>
                <w:szCs w:val="20"/>
                <w:color w:val="auto"/>
              </w:rPr>
            </w:pPr>
            <w:r>
              <w:rPr>
                <w:rFonts w:ascii="Arial" w:cs="Arial" w:eastAsia="Arial" w:hAnsi="Arial"/>
                <w:sz w:val="20"/>
                <w:szCs w:val="20"/>
                <w:color w:val="auto"/>
              </w:rPr>
              <w:t>55</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8.1</w:t>
            </w:r>
          </w:p>
        </w:tc>
        <w:tc>
          <w:tcPr>
            <w:tcW w:w="2100" w:type="dxa"/>
            <w:vAlign w:val="bottom"/>
            <w:gridSpan w:val="4"/>
          </w:tcPr>
          <w:p>
            <w:pPr>
              <w:ind w:left="60"/>
              <w:spacing w:after="0"/>
              <w:rPr>
                <w:sz w:val="20"/>
                <w:szCs w:val="20"/>
                <w:color w:val="auto"/>
              </w:rPr>
            </w:pPr>
            <w:r>
              <w:rPr>
                <w:rFonts w:ascii="Arial" w:cs="Arial" w:eastAsia="Arial" w:hAnsi="Arial"/>
                <w:sz w:val="20"/>
                <w:szCs w:val="20"/>
                <w:color w:val="auto"/>
                <w:w w:val="95"/>
              </w:rPr>
              <w:t>Responsibility/Diligence</w:t>
            </w:r>
          </w:p>
        </w:tc>
        <w:tc>
          <w:tcPr>
            <w:tcW w:w="660" w:type="dxa"/>
            <w:vAlign w:val="bottom"/>
          </w:tcPr>
          <w:p>
            <w:pPr>
              <w:jc w:val="right"/>
              <w:ind w:right="241"/>
              <w:spacing w:after="0"/>
              <w:rPr>
                <w:sz w:val="20"/>
                <w:szCs w:val="20"/>
                <w:color w:val="auto"/>
              </w:rPr>
            </w:pPr>
            <w:r>
              <w:rPr>
                <w:rFonts w:ascii="Arial" w:cs="Arial" w:eastAsia="Arial" w:hAnsi="Arial"/>
                <w:sz w:val="20"/>
                <w:szCs w:val="20"/>
                <w:color w:val="auto"/>
              </w:rPr>
              <w:t>55</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8.2</w:t>
            </w:r>
          </w:p>
        </w:tc>
        <w:tc>
          <w:tcPr>
            <w:tcW w:w="1500" w:type="dxa"/>
            <w:vAlign w:val="bottom"/>
            <w:gridSpan w:val="2"/>
          </w:tcPr>
          <w:p>
            <w:pPr>
              <w:ind w:left="60"/>
              <w:spacing w:after="0"/>
              <w:rPr>
                <w:sz w:val="20"/>
                <w:szCs w:val="20"/>
                <w:color w:val="auto"/>
              </w:rPr>
            </w:pPr>
            <w:r>
              <w:rPr>
                <w:rFonts w:ascii="Arial" w:cs="Arial" w:eastAsia="Arial" w:hAnsi="Arial"/>
                <w:sz w:val="20"/>
                <w:szCs w:val="20"/>
                <w:color w:val="auto"/>
              </w:rPr>
              <w:t>Trademarks  55</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97"/>
        </w:trPr>
        <w:tc>
          <w:tcPr>
            <w:tcW w:w="260" w:type="dxa"/>
            <w:vAlign w:val="bottom"/>
          </w:tcPr>
          <w:p>
            <w:pPr>
              <w:jc w:val="right"/>
              <w:ind w:right="1"/>
              <w:spacing w:after="0"/>
              <w:rPr>
                <w:sz w:val="20"/>
                <w:szCs w:val="20"/>
                <w:color w:val="auto"/>
              </w:rPr>
            </w:pPr>
            <w:r>
              <w:rPr>
                <w:rFonts w:ascii="Arial" w:cs="Arial" w:eastAsia="Arial" w:hAnsi="Arial"/>
                <w:sz w:val="20"/>
                <w:szCs w:val="20"/>
                <w:color w:val="auto"/>
                <w:w w:val="83"/>
              </w:rPr>
              <w:t>9.</w:t>
            </w:r>
          </w:p>
        </w:tc>
        <w:tc>
          <w:tcPr>
            <w:tcW w:w="2880" w:type="dxa"/>
            <w:vAlign w:val="bottom"/>
            <w:gridSpan w:val="5"/>
          </w:tcPr>
          <w:p>
            <w:pPr>
              <w:ind w:left="80"/>
              <w:spacing w:after="0"/>
              <w:rPr>
                <w:sz w:val="20"/>
                <w:szCs w:val="20"/>
                <w:color w:val="auto"/>
              </w:rPr>
            </w:pPr>
            <w:r>
              <w:rPr>
                <w:rFonts w:ascii="Arial" w:cs="Arial" w:eastAsia="Arial" w:hAnsi="Arial"/>
                <w:sz w:val="20"/>
                <w:szCs w:val="20"/>
                <w:color w:val="auto"/>
                <w:w w:val="97"/>
              </w:rPr>
              <w:t>MANUFACTURE AND SUPPLY</w:t>
            </w:r>
          </w:p>
        </w:tc>
        <w:tc>
          <w:tcPr>
            <w:tcW w:w="660" w:type="dxa"/>
            <w:vAlign w:val="bottom"/>
          </w:tcPr>
          <w:p>
            <w:pPr>
              <w:jc w:val="right"/>
              <w:ind w:right="221"/>
              <w:spacing w:after="0"/>
              <w:rPr>
                <w:sz w:val="20"/>
                <w:szCs w:val="20"/>
                <w:color w:val="auto"/>
              </w:rPr>
            </w:pPr>
            <w:r>
              <w:rPr>
                <w:rFonts w:ascii="Arial" w:cs="Arial" w:eastAsia="Arial" w:hAnsi="Arial"/>
                <w:sz w:val="20"/>
                <w:szCs w:val="20"/>
                <w:color w:val="auto"/>
              </w:rPr>
              <w:t>56</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9.1</w:t>
            </w:r>
          </w:p>
        </w:tc>
        <w:tc>
          <w:tcPr>
            <w:tcW w:w="2760" w:type="dxa"/>
            <w:vAlign w:val="bottom"/>
            <w:gridSpan w:val="5"/>
          </w:tcPr>
          <w:p>
            <w:pPr>
              <w:ind w:left="60"/>
              <w:spacing w:after="0"/>
              <w:rPr>
                <w:sz w:val="20"/>
                <w:szCs w:val="20"/>
                <w:color w:val="auto"/>
              </w:rPr>
            </w:pPr>
            <w:r>
              <w:rPr>
                <w:rFonts w:ascii="Arial" w:cs="Arial" w:eastAsia="Arial" w:hAnsi="Arial"/>
                <w:sz w:val="20"/>
                <w:szCs w:val="20"/>
                <w:color w:val="auto"/>
                <w:w w:val="92"/>
              </w:rPr>
              <w:t>MGD024 and MGD024 Products</w:t>
            </w:r>
          </w:p>
        </w:tc>
        <w:tc>
          <w:tcPr>
            <w:tcW w:w="600" w:type="dxa"/>
            <w:vAlign w:val="bottom"/>
          </w:tcPr>
          <w:p>
            <w:pPr>
              <w:jc w:val="right"/>
              <w:ind w:right="161"/>
              <w:spacing w:after="0"/>
              <w:rPr>
                <w:sz w:val="20"/>
                <w:szCs w:val="20"/>
                <w:color w:val="auto"/>
              </w:rPr>
            </w:pPr>
            <w:r>
              <w:rPr>
                <w:rFonts w:ascii="Arial" w:cs="Arial" w:eastAsia="Arial" w:hAnsi="Arial"/>
                <w:sz w:val="20"/>
                <w:szCs w:val="20"/>
                <w:color w:val="auto"/>
              </w:rPr>
              <w:t>56</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9.2</w:t>
            </w:r>
          </w:p>
        </w:tc>
        <w:tc>
          <w:tcPr>
            <w:tcW w:w="3660" w:type="dxa"/>
            <w:vAlign w:val="bottom"/>
            <w:gridSpan w:val="7"/>
          </w:tcPr>
          <w:p>
            <w:pPr>
              <w:ind w:left="60"/>
              <w:spacing w:after="0"/>
              <w:rPr>
                <w:sz w:val="20"/>
                <w:szCs w:val="20"/>
                <w:color w:val="auto"/>
              </w:rPr>
            </w:pPr>
            <w:r>
              <w:rPr>
                <w:rFonts w:ascii="Arial" w:cs="Arial" w:eastAsia="Arial" w:hAnsi="Arial"/>
                <w:sz w:val="20"/>
                <w:szCs w:val="20"/>
                <w:color w:val="auto"/>
                <w:w w:val="90"/>
              </w:rPr>
              <w:t>Research Molecules and Research Products</w:t>
            </w:r>
          </w:p>
        </w:tc>
        <w:tc>
          <w:tcPr>
            <w:tcW w:w="4900" w:type="dxa"/>
            <w:vAlign w:val="bottom"/>
          </w:tcPr>
          <w:p>
            <w:pPr>
              <w:jc w:val="right"/>
              <w:ind w:right="4561"/>
              <w:spacing w:after="0"/>
              <w:rPr>
                <w:sz w:val="20"/>
                <w:szCs w:val="20"/>
                <w:color w:val="auto"/>
              </w:rPr>
            </w:pPr>
            <w:r>
              <w:rPr>
                <w:rFonts w:ascii="Arial" w:cs="Arial" w:eastAsia="Arial" w:hAnsi="Arial"/>
                <w:sz w:val="20"/>
                <w:szCs w:val="20"/>
                <w:color w:val="auto"/>
                <w:w w:val="98"/>
              </w:rPr>
              <w:t>57</w:t>
            </w: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9.3</w:t>
            </w:r>
          </w:p>
        </w:tc>
        <w:tc>
          <w:tcPr>
            <w:tcW w:w="2760" w:type="dxa"/>
            <w:vAlign w:val="bottom"/>
            <w:gridSpan w:val="5"/>
          </w:tcPr>
          <w:p>
            <w:pPr>
              <w:ind w:left="60"/>
              <w:spacing w:after="0"/>
              <w:rPr>
                <w:sz w:val="20"/>
                <w:szCs w:val="20"/>
                <w:color w:val="auto"/>
              </w:rPr>
            </w:pPr>
            <w:r>
              <w:rPr>
                <w:rFonts w:ascii="Arial" w:cs="Arial" w:eastAsia="Arial" w:hAnsi="Arial"/>
                <w:sz w:val="20"/>
                <w:szCs w:val="20"/>
                <w:color w:val="auto"/>
              </w:rPr>
              <w:t>Observation by Gilead  57</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20"/>
                <w:szCs w:val="20"/>
                <w:color w:val="auto"/>
              </w:rPr>
              <w:t>9.4</w:t>
            </w:r>
          </w:p>
        </w:tc>
        <w:tc>
          <w:tcPr>
            <w:tcW w:w="3360" w:type="dxa"/>
            <w:vAlign w:val="bottom"/>
            <w:gridSpan w:val="6"/>
          </w:tcPr>
          <w:p>
            <w:pPr>
              <w:ind w:left="60"/>
              <w:spacing w:after="0"/>
              <w:rPr>
                <w:sz w:val="20"/>
                <w:szCs w:val="20"/>
                <w:color w:val="auto"/>
              </w:rPr>
            </w:pPr>
            <w:r>
              <w:rPr>
                <w:rFonts w:ascii="Arial" w:cs="Arial" w:eastAsia="Arial" w:hAnsi="Arial"/>
                <w:sz w:val="20"/>
                <w:szCs w:val="20"/>
                <w:color w:val="auto"/>
                <w:w w:val="93"/>
              </w:rPr>
              <w:t>Manufacturing Technology Transfer  58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ectPr>
          <w:pgSz w:w="11900" w:h="16838" w:orient="portrait"/>
          <w:cols w:equalWidth="0" w:num="1">
            <w:col w:w="9600"/>
          </w:cols>
          <w:pgMar w:left="1420" w:top="819" w:right="87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80" w:type="dxa"/>
            <w:vAlign w:val="bottom"/>
          </w:tcPr>
          <w:p>
            <w:pPr>
              <w:jc w:val="center"/>
              <w:ind w:right="2461"/>
              <w:spacing w:after="0"/>
              <w:rPr>
                <w:sz w:val="20"/>
                <w:szCs w:val="20"/>
                <w:color w:val="auto"/>
              </w:rPr>
            </w:pPr>
            <w:r>
              <w:rPr>
                <w:rFonts w:ascii="Arial" w:cs="Arial" w:eastAsia="Arial" w:hAnsi="Arial"/>
                <w:sz w:val="20"/>
                <w:szCs w:val="20"/>
                <w:b w:val="1"/>
                <w:bCs w:val="1"/>
                <w:color w:val="auto"/>
                <w:w w:val="98"/>
              </w:rPr>
              <w:t>TABLE OF CONTENTS</w:t>
            </w:r>
          </w:p>
        </w:tc>
      </w:tr>
      <w:tr>
        <w:trPr>
          <w:trHeight w:val="256"/>
        </w:trPr>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80" w:type="dxa"/>
            <w:vAlign w:val="bottom"/>
          </w:tcPr>
          <w:p>
            <w:pPr>
              <w:jc w:val="center"/>
              <w:ind w:right="2461"/>
              <w:spacing w:after="0"/>
              <w:rPr>
                <w:sz w:val="20"/>
                <w:szCs w:val="20"/>
                <w:color w:val="auto"/>
              </w:rPr>
            </w:pPr>
            <w:r>
              <w:rPr>
                <w:rFonts w:ascii="Arial" w:cs="Arial" w:eastAsia="Arial" w:hAnsi="Arial"/>
                <w:sz w:val="20"/>
                <w:szCs w:val="20"/>
                <w:b w:val="1"/>
                <w:bCs w:val="1"/>
                <w:color w:val="auto"/>
                <w:w w:val="88"/>
              </w:rPr>
              <w:t>(continued)</w:t>
            </w:r>
          </w:p>
        </w:tc>
      </w:tr>
      <w:tr>
        <w:trPr>
          <w:trHeight w:val="396"/>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18"/>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rPr>
              <w:t>9.5</w:t>
            </w:r>
          </w:p>
        </w:tc>
        <w:tc>
          <w:tcPr>
            <w:tcW w:w="7400" w:type="dxa"/>
            <w:vAlign w:val="bottom"/>
            <w:gridSpan w:val="5"/>
          </w:tcPr>
          <w:p>
            <w:pPr>
              <w:ind w:left="60"/>
              <w:spacing w:after="0"/>
              <w:rPr>
                <w:sz w:val="20"/>
                <w:szCs w:val="20"/>
                <w:color w:val="auto"/>
              </w:rPr>
            </w:pPr>
            <w:r>
              <w:rPr>
                <w:rFonts w:ascii="Arial" w:cs="Arial" w:eastAsia="Arial" w:hAnsi="Arial"/>
                <w:sz w:val="20"/>
                <w:szCs w:val="20"/>
                <w:color w:val="auto"/>
              </w:rPr>
              <w:t>MacroGenics Manufacturing Support  58</w:t>
            </w:r>
          </w:p>
        </w:tc>
      </w:tr>
      <w:tr>
        <w:trPr>
          <w:trHeight w:val="310"/>
        </w:trPr>
        <w:tc>
          <w:tcPr>
            <w:tcW w:w="340" w:type="dxa"/>
            <w:vAlign w:val="bottom"/>
          </w:tcPr>
          <w:p>
            <w:pPr>
              <w:spacing w:after="0"/>
              <w:rPr>
                <w:sz w:val="20"/>
                <w:szCs w:val="20"/>
                <w:color w:val="auto"/>
              </w:rPr>
            </w:pPr>
            <w:r>
              <w:rPr>
                <w:rFonts w:ascii="Arial" w:cs="Arial" w:eastAsia="Arial" w:hAnsi="Arial"/>
                <w:sz w:val="20"/>
                <w:szCs w:val="20"/>
                <w:color w:val="auto"/>
              </w:rPr>
              <w:t>10.</w:t>
            </w:r>
          </w:p>
        </w:tc>
        <w:tc>
          <w:tcPr>
            <w:tcW w:w="1320" w:type="dxa"/>
            <w:vAlign w:val="bottom"/>
            <w:gridSpan w:val="2"/>
          </w:tcPr>
          <w:p>
            <w:pPr>
              <w:ind w:left="100"/>
              <w:spacing w:after="0"/>
              <w:rPr>
                <w:sz w:val="20"/>
                <w:szCs w:val="20"/>
                <w:color w:val="auto"/>
              </w:rPr>
            </w:pPr>
            <w:r>
              <w:rPr>
                <w:rFonts w:ascii="Arial" w:cs="Arial" w:eastAsia="Arial" w:hAnsi="Arial"/>
                <w:sz w:val="20"/>
                <w:szCs w:val="20"/>
                <w:color w:val="auto"/>
              </w:rPr>
              <w:t>PAYMENTS</w:t>
            </w:r>
          </w:p>
        </w:tc>
        <w:tc>
          <w:tcPr>
            <w:tcW w:w="720" w:type="dxa"/>
            <w:vAlign w:val="bottom"/>
          </w:tcPr>
          <w:p>
            <w:pPr>
              <w:jc w:val="right"/>
              <w:ind w:right="401"/>
              <w:spacing w:after="0"/>
              <w:rPr>
                <w:sz w:val="20"/>
                <w:szCs w:val="20"/>
                <w:color w:val="auto"/>
              </w:rPr>
            </w:pPr>
            <w:r>
              <w:rPr>
                <w:rFonts w:ascii="Arial" w:cs="Arial" w:eastAsia="Arial" w:hAnsi="Arial"/>
                <w:sz w:val="20"/>
                <w:szCs w:val="20"/>
                <w:color w:val="auto"/>
                <w:w w:val="89"/>
              </w:rPr>
              <w:t>59</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10.1</w:t>
            </w:r>
          </w:p>
        </w:tc>
        <w:tc>
          <w:tcPr>
            <w:tcW w:w="1660" w:type="dxa"/>
            <w:vAlign w:val="bottom"/>
            <w:gridSpan w:val="3"/>
          </w:tcPr>
          <w:p>
            <w:pPr>
              <w:ind w:left="160"/>
              <w:spacing w:after="0"/>
              <w:rPr>
                <w:sz w:val="20"/>
                <w:szCs w:val="20"/>
                <w:color w:val="auto"/>
              </w:rPr>
            </w:pPr>
            <w:r>
              <w:rPr>
                <w:rFonts w:ascii="Arial" w:cs="Arial" w:eastAsia="Arial" w:hAnsi="Arial"/>
                <w:sz w:val="20"/>
                <w:szCs w:val="20"/>
                <w:color w:val="auto"/>
                <w:w w:val="98"/>
              </w:rPr>
              <w:t>Upfront Payment</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59</w:t>
            </w:r>
          </w:p>
        </w:tc>
        <w:tc>
          <w:tcPr>
            <w:tcW w:w="528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10.2</w:t>
            </w:r>
          </w:p>
        </w:tc>
        <w:tc>
          <w:tcPr>
            <w:tcW w:w="7400" w:type="dxa"/>
            <w:vAlign w:val="bottom"/>
            <w:gridSpan w:val="5"/>
          </w:tcPr>
          <w:p>
            <w:pPr>
              <w:ind w:left="160"/>
              <w:spacing w:after="0"/>
              <w:rPr>
                <w:sz w:val="20"/>
                <w:szCs w:val="20"/>
                <w:color w:val="auto"/>
              </w:rPr>
            </w:pPr>
            <w:r>
              <w:rPr>
                <w:rFonts w:ascii="Arial" w:cs="Arial" w:eastAsia="Arial" w:hAnsi="Arial"/>
                <w:sz w:val="20"/>
                <w:szCs w:val="20"/>
                <w:color w:val="auto"/>
              </w:rPr>
              <w:t>Development and Regulatory Milestone Payments  59</w:t>
            </w:r>
          </w:p>
        </w:tc>
      </w:tr>
      <w:tr>
        <w:trPr>
          <w:trHeight w:val="311"/>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10.3</w:t>
            </w:r>
          </w:p>
        </w:tc>
        <w:tc>
          <w:tcPr>
            <w:tcW w:w="7400" w:type="dxa"/>
            <w:vAlign w:val="bottom"/>
            <w:gridSpan w:val="5"/>
          </w:tcPr>
          <w:p>
            <w:pPr>
              <w:ind w:left="160"/>
              <w:spacing w:after="0"/>
              <w:rPr>
                <w:sz w:val="20"/>
                <w:szCs w:val="20"/>
                <w:color w:val="auto"/>
              </w:rPr>
            </w:pPr>
            <w:r>
              <w:rPr>
                <w:rFonts w:ascii="Arial" w:cs="Arial" w:eastAsia="Arial" w:hAnsi="Arial"/>
                <w:sz w:val="20"/>
                <w:szCs w:val="20"/>
                <w:color w:val="auto"/>
              </w:rPr>
              <w:t>Commercial Milestone Payments  61</w:t>
            </w:r>
          </w:p>
        </w:tc>
      </w:tr>
      <w:tr>
        <w:trPr>
          <w:trHeight w:val="297"/>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10.4</w:t>
            </w:r>
          </w:p>
        </w:tc>
        <w:tc>
          <w:tcPr>
            <w:tcW w:w="2120" w:type="dxa"/>
            <w:vAlign w:val="bottom"/>
            <w:gridSpan w:val="4"/>
          </w:tcPr>
          <w:p>
            <w:pPr>
              <w:ind w:left="160"/>
              <w:spacing w:after="0"/>
              <w:rPr>
                <w:sz w:val="20"/>
                <w:szCs w:val="20"/>
                <w:color w:val="auto"/>
              </w:rPr>
            </w:pPr>
            <w:r>
              <w:rPr>
                <w:rFonts w:ascii="Arial" w:cs="Arial" w:eastAsia="Arial" w:hAnsi="Arial"/>
                <w:sz w:val="20"/>
                <w:szCs w:val="20"/>
                <w:color w:val="auto"/>
                <w:w w:val="95"/>
              </w:rPr>
              <w:t>Royalties on Net Sales</w:t>
            </w:r>
          </w:p>
        </w:tc>
        <w:tc>
          <w:tcPr>
            <w:tcW w:w="5280" w:type="dxa"/>
            <w:vAlign w:val="bottom"/>
          </w:tcPr>
          <w:p>
            <w:pPr>
              <w:jc w:val="right"/>
              <w:ind w:right="4961"/>
              <w:spacing w:after="0"/>
              <w:rPr>
                <w:sz w:val="20"/>
                <w:szCs w:val="20"/>
                <w:color w:val="auto"/>
              </w:rPr>
            </w:pPr>
            <w:r>
              <w:rPr>
                <w:rFonts w:ascii="Arial" w:cs="Arial" w:eastAsia="Arial" w:hAnsi="Arial"/>
                <w:sz w:val="20"/>
                <w:szCs w:val="20"/>
                <w:color w:val="auto"/>
                <w:w w:val="89"/>
              </w:rPr>
              <w:t>61</w:t>
            </w:r>
          </w:p>
        </w:tc>
      </w:tr>
      <w:tr>
        <w:trPr>
          <w:trHeight w:val="311"/>
        </w:trPr>
        <w:tc>
          <w:tcPr>
            <w:tcW w:w="340" w:type="dxa"/>
            <w:vAlign w:val="bottom"/>
          </w:tcPr>
          <w:p>
            <w:pPr>
              <w:spacing w:after="0"/>
              <w:rPr>
                <w:sz w:val="20"/>
                <w:szCs w:val="20"/>
                <w:color w:val="auto"/>
              </w:rPr>
            </w:pPr>
            <w:r>
              <w:rPr>
                <w:rFonts w:ascii="Arial" w:cs="Arial" w:eastAsia="Arial" w:hAnsi="Arial"/>
                <w:sz w:val="20"/>
                <w:szCs w:val="20"/>
                <w:color w:val="auto"/>
              </w:rPr>
              <w:t>11.</w:t>
            </w:r>
          </w:p>
        </w:tc>
        <w:tc>
          <w:tcPr>
            <w:tcW w:w="8100" w:type="dxa"/>
            <w:vAlign w:val="bottom"/>
            <w:gridSpan w:val="6"/>
          </w:tcPr>
          <w:p>
            <w:pPr>
              <w:ind w:left="100"/>
              <w:spacing w:after="0"/>
              <w:rPr>
                <w:sz w:val="20"/>
                <w:szCs w:val="20"/>
                <w:color w:val="auto"/>
              </w:rPr>
            </w:pPr>
            <w:r>
              <w:rPr>
                <w:rFonts w:ascii="Arial" w:cs="Arial" w:eastAsia="Arial" w:hAnsi="Arial"/>
                <w:sz w:val="20"/>
                <w:szCs w:val="20"/>
                <w:color w:val="auto"/>
              </w:rPr>
              <w:t>PAYMENTS; REPORTS; RECORDS; AUDITS  63</w:t>
            </w:r>
          </w:p>
        </w:tc>
      </w:tr>
      <w:tr>
        <w:trPr>
          <w:trHeight w:val="310"/>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11.1</w:t>
            </w:r>
          </w:p>
        </w:tc>
        <w:tc>
          <w:tcPr>
            <w:tcW w:w="7400" w:type="dxa"/>
            <w:vAlign w:val="bottom"/>
            <w:gridSpan w:val="5"/>
          </w:tcPr>
          <w:p>
            <w:pPr>
              <w:ind w:left="140"/>
              <w:spacing w:after="0"/>
              <w:rPr>
                <w:sz w:val="20"/>
                <w:szCs w:val="20"/>
                <w:color w:val="auto"/>
              </w:rPr>
            </w:pPr>
            <w:r>
              <w:rPr>
                <w:rFonts w:ascii="Arial" w:cs="Arial" w:eastAsia="Arial" w:hAnsi="Arial"/>
                <w:sz w:val="20"/>
                <w:szCs w:val="20"/>
                <w:color w:val="auto"/>
              </w:rPr>
              <w:t>Development Costs, Plan Costs and Manufacturing Costs  63</w:t>
            </w:r>
          </w:p>
        </w:tc>
      </w:tr>
      <w:tr>
        <w:trPr>
          <w:trHeight w:val="297"/>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11.2</w:t>
            </w:r>
          </w:p>
        </w:tc>
        <w:tc>
          <w:tcPr>
            <w:tcW w:w="1660" w:type="dxa"/>
            <w:vAlign w:val="bottom"/>
            <w:gridSpan w:val="3"/>
          </w:tcPr>
          <w:p>
            <w:pPr>
              <w:ind w:left="140"/>
              <w:spacing w:after="0"/>
              <w:rPr>
                <w:sz w:val="20"/>
                <w:szCs w:val="20"/>
                <w:color w:val="auto"/>
              </w:rPr>
            </w:pPr>
            <w:r>
              <w:rPr>
                <w:rFonts w:ascii="Arial" w:cs="Arial" w:eastAsia="Arial" w:hAnsi="Arial"/>
                <w:sz w:val="20"/>
                <w:szCs w:val="20"/>
                <w:color w:val="auto"/>
                <w:w w:val="93"/>
              </w:rPr>
              <w:t>Royalty Payments</w:t>
            </w: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64</w:t>
            </w:r>
          </w:p>
        </w:tc>
        <w:tc>
          <w:tcPr>
            <w:tcW w:w="528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11.3</w:t>
            </w:r>
          </w:p>
        </w:tc>
        <w:tc>
          <w:tcPr>
            <w:tcW w:w="2120" w:type="dxa"/>
            <w:vAlign w:val="bottom"/>
            <w:gridSpan w:val="4"/>
          </w:tcPr>
          <w:p>
            <w:pPr>
              <w:ind w:left="140"/>
              <w:spacing w:after="0"/>
              <w:rPr>
                <w:sz w:val="20"/>
                <w:szCs w:val="20"/>
                <w:color w:val="auto"/>
              </w:rPr>
            </w:pPr>
            <w:r>
              <w:rPr>
                <w:rFonts w:ascii="Arial" w:cs="Arial" w:eastAsia="Arial" w:hAnsi="Arial"/>
                <w:sz w:val="20"/>
                <w:szCs w:val="20"/>
                <w:color w:val="auto"/>
                <w:w w:val="88"/>
              </w:rPr>
              <w:t>Payment Exchange Rate</w:t>
            </w:r>
          </w:p>
        </w:tc>
        <w:tc>
          <w:tcPr>
            <w:tcW w:w="5280" w:type="dxa"/>
            <w:vAlign w:val="bottom"/>
          </w:tcPr>
          <w:p>
            <w:pPr>
              <w:jc w:val="right"/>
              <w:ind w:right="4821"/>
              <w:spacing w:after="0"/>
              <w:rPr>
                <w:sz w:val="20"/>
                <w:szCs w:val="20"/>
                <w:color w:val="auto"/>
              </w:rPr>
            </w:pPr>
            <w:r>
              <w:rPr>
                <w:rFonts w:ascii="Arial" w:cs="Arial" w:eastAsia="Arial" w:hAnsi="Arial"/>
                <w:sz w:val="20"/>
                <w:szCs w:val="20"/>
                <w:color w:val="auto"/>
              </w:rPr>
              <w:t>64</w:t>
            </w:r>
          </w:p>
        </w:tc>
      </w:tr>
      <w:tr>
        <w:trPr>
          <w:trHeight w:val="297"/>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11.4</w:t>
            </w:r>
          </w:p>
        </w:tc>
        <w:tc>
          <w:tcPr>
            <w:tcW w:w="620" w:type="dxa"/>
            <w:vAlign w:val="bottom"/>
          </w:tcPr>
          <w:p>
            <w:pPr>
              <w:ind w:left="140"/>
              <w:spacing w:after="0"/>
              <w:rPr>
                <w:sz w:val="20"/>
                <w:szCs w:val="20"/>
                <w:color w:val="auto"/>
              </w:rPr>
            </w:pPr>
            <w:r>
              <w:rPr>
                <w:rFonts w:ascii="Arial" w:cs="Arial" w:eastAsia="Arial" w:hAnsi="Arial"/>
                <w:sz w:val="20"/>
                <w:szCs w:val="20"/>
                <w:color w:val="auto"/>
                <w:w w:val="84"/>
              </w:rPr>
              <w:t>Taxes</w:t>
            </w:r>
          </w:p>
        </w:tc>
        <w:tc>
          <w:tcPr>
            <w:tcW w:w="720" w:type="dxa"/>
            <w:vAlign w:val="bottom"/>
          </w:tcPr>
          <w:p>
            <w:pPr>
              <w:jc w:val="right"/>
              <w:ind w:right="241"/>
              <w:spacing w:after="0"/>
              <w:rPr>
                <w:sz w:val="20"/>
                <w:szCs w:val="20"/>
                <w:color w:val="auto"/>
              </w:rPr>
            </w:pPr>
            <w:r>
              <w:rPr>
                <w:rFonts w:ascii="Arial" w:cs="Arial" w:eastAsia="Arial" w:hAnsi="Arial"/>
                <w:sz w:val="20"/>
                <w:szCs w:val="20"/>
                <w:color w:val="auto"/>
              </w:rPr>
              <w:t>64</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11.5</w:t>
            </w:r>
          </w:p>
        </w:tc>
        <w:tc>
          <w:tcPr>
            <w:tcW w:w="1340" w:type="dxa"/>
            <w:vAlign w:val="bottom"/>
            <w:gridSpan w:val="2"/>
          </w:tcPr>
          <w:p>
            <w:pPr>
              <w:ind w:left="140"/>
              <w:spacing w:after="0"/>
              <w:rPr>
                <w:sz w:val="20"/>
                <w:szCs w:val="20"/>
                <w:color w:val="auto"/>
              </w:rPr>
            </w:pPr>
            <w:r>
              <w:rPr>
                <w:rFonts w:ascii="Arial" w:cs="Arial" w:eastAsia="Arial" w:hAnsi="Arial"/>
                <w:sz w:val="20"/>
                <w:szCs w:val="20"/>
                <w:color w:val="auto"/>
              </w:rPr>
              <w:t>Records  65</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311"/>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11.6</w:t>
            </w:r>
          </w:p>
        </w:tc>
        <w:tc>
          <w:tcPr>
            <w:tcW w:w="1340" w:type="dxa"/>
            <w:vAlign w:val="bottom"/>
            <w:gridSpan w:val="2"/>
          </w:tcPr>
          <w:p>
            <w:pPr>
              <w:ind w:left="140"/>
              <w:spacing w:after="0"/>
              <w:rPr>
                <w:sz w:val="20"/>
                <w:szCs w:val="20"/>
                <w:color w:val="auto"/>
              </w:rPr>
            </w:pPr>
            <w:r>
              <w:rPr>
                <w:rFonts w:ascii="Arial" w:cs="Arial" w:eastAsia="Arial" w:hAnsi="Arial"/>
                <w:sz w:val="20"/>
                <w:szCs w:val="20"/>
                <w:color w:val="auto"/>
              </w:rPr>
              <w:t>Audit Rights</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w w:val="80"/>
              </w:rPr>
              <w:t>65</w:t>
            </w:r>
          </w:p>
        </w:tc>
        <w:tc>
          <w:tcPr>
            <w:tcW w:w="4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20"/>
                <w:szCs w:val="20"/>
                <w:color w:val="auto"/>
                <w:w w:val="92"/>
              </w:rPr>
              <w:t>11.7</w:t>
            </w:r>
          </w:p>
        </w:tc>
        <w:tc>
          <w:tcPr>
            <w:tcW w:w="1340" w:type="dxa"/>
            <w:vAlign w:val="bottom"/>
            <w:gridSpan w:val="2"/>
          </w:tcPr>
          <w:p>
            <w:pPr>
              <w:ind w:left="140"/>
              <w:spacing w:after="0"/>
              <w:rPr>
                <w:sz w:val="20"/>
                <w:szCs w:val="20"/>
                <w:color w:val="auto"/>
              </w:rPr>
            </w:pPr>
            <w:r>
              <w:rPr>
                <w:rFonts w:ascii="Arial" w:cs="Arial" w:eastAsia="Arial" w:hAnsi="Arial"/>
                <w:sz w:val="20"/>
                <w:szCs w:val="20"/>
                <w:color w:val="auto"/>
                <w:w w:val="93"/>
              </w:rPr>
              <w:t>Confidentiality</w:t>
            </w:r>
          </w:p>
        </w:tc>
        <w:tc>
          <w:tcPr>
            <w:tcW w:w="780" w:type="dxa"/>
            <w:vAlign w:val="bottom"/>
            <w:gridSpan w:val="2"/>
          </w:tcPr>
          <w:p>
            <w:pPr>
              <w:jc w:val="right"/>
              <w:ind w:right="281"/>
              <w:spacing w:after="0"/>
              <w:rPr>
                <w:sz w:val="20"/>
                <w:szCs w:val="20"/>
                <w:color w:val="auto"/>
              </w:rPr>
            </w:pPr>
            <w:r>
              <w:rPr>
                <w:rFonts w:ascii="Arial" w:cs="Arial" w:eastAsia="Arial" w:hAnsi="Arial"/>
                <w:sz w:val="20"/>
                <w:szCs w:val="20"/>
                <w:color w:val="auto"/>
              </w:rPr>
              <w:t>66</w:t>
            </w:r>
          </w:p>
        </w:tc>
        <w:tc>
          <w:tcPr>
            <w:tcW w:w="5280" w:type="dxa"/>
            <w:vAlign w:val="bottom"/>
          </w:tcPr>
          <w:p>
            <w:pPr>
              <w:spacing w:after="0"/>
              <w:rPr>
                <w:sz w:val="24"/>
                <w:szCs w:val="24"/>
                <w:color w:val="auto"/>
              </w:rPr>
            </w:pPr>
          </w:p>
        </w:tc>
      </w:tr>
    </w:tbl>
    <w:p>
      <w:pPr>
        <w:spacing w:after="0" w:line="60" w:lineRule="exact"/>
        <w:rPr>
          <w:sz w:val="20"/>
          <w:szCs w:val="20"/>
          <w:color w:val="auto"/>
        </w:rPr>
      </w:pPr>
    </w:p>
    <w:p>
      <w:pPr>
        <w:ind w:left="660" w:right="5039" w:hanging="657"/>
        <w:spacing w:after="0" w:line="316" w:lineRule="auto"/>
        <w:tabs>
          <w:tab w:leader="none" w:pos="457"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CONFIDENTIALITY; PUBLICATION 66 12.1 Nondisclosure Obligation 66</w:t>
      </w:r>
    </w:p>
    <w:p>
      <w:pPr>
        <w:spacing w:after="0" w:line="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12.2  Publication  69</w:t>
      </w:r>
    </w:p>
    <w:p>
      <w:pPr>
        <w:spacing w:after="0" w:line="391" w:lineRule="exact"/>
        <w:rPr>
          <w:sz w:val="20"/>
          <w:szCs w:val="20"/>
          <w:color w:val="auto"/>
        </w:rPr>
      </w:pPr>
    </w:p>
    <w:p>
      <w:pPr>
        <w:ind w:left="660" w:right="6819" w:hanging="657"/>
        <w:spacing w:after="0" w:line="316" w:lineRule="auto"/>
        <w:tabs>
          <w:tab w:leader="none" w:pos="457" w:val="left"/>
        </w:tabs>
        <w:numPr>
          <w:ilvl w:val="0"/>
          <w:numId w:val="55"/>
        </w:numPr>
        <w:rPr>
          <w:rFonts w:ascii="Arial" w:cs="Arial" w:eastAsia="Arial" w:hAnsi="Arial"/>
          <w:sz w:val="20"/>
          <w:szCs w:val="20"/>
          <w:color w:val="auto"/>
        </w:rPr>
      </w:pPr>
      <w:r>
        <w:rPr>
          <w:rFonts w:ascii="Arial" w:cs="Arial" w:eastAsia="Arial" w:hAnsi="Arial"/>
          <w:sz w:val="20"/>
          <w:szCs w:val="20"/>
          <w:color w:val="auto"/>
        </w:rPr>
        <w:t>COMPLIANCE 70 13.1 General 70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00" w:type="dxa"/>
            <w:vAlign w:val="bottom"/>
          </w:tcPr>
          <w:p>
            <w:pPr>
              <w:jc w:val="right"/>
              <w:ind w:right="1"/>
              <w:spacing w:after="0"/>
              <w:rPr>
                <w:sz w:val="20"/>
                <w:szCs w:val="20"/>
                <w:color w:val="auto"/>
              </w:rPr>
            </w:pPr>
            <w:r>
              <w:rPr>
                <w:rFonts w:ascii="Arial" w:cs="Arial" w:eastAsia="Arial" w:hAnsi="Arial"/>
                <w:sz w:val="20"/>
                <w:szCs w:val="20"/>
                <w:color w:val="auto"/>
              </w:rPr>
              <w:t>13.2</w:t>
            </w:r>
          </w:p>
        </w:tc>
        <w:tc>
          <w:tcPr>
            <w:tcW w:w="6140" w:type="dxa"/>
            <w:vAlign w:val="bottom"/>
            <w:gridSpan w:val="2"/>
          </w:tcPr>
          <w:p>
            <w:pPr>
              <w:ind w:left="100"/>
              <w:spacing w:after="0"/>
              <w:rPr>
                <w:sz w:val="20"/>
                <w:szCs w:val="20"/>
                <w:color w:val="auto"/>
              </w:rPr>
            </w:pPr>
            <w:r>
              <w:rPr>
                <w:rFonts w:ascii="Arial" w:cs="Arial" w:eastAsia="Arial" w:hAnsi="Arial"/>
                <w:sz w:val="20"/>
                <w:szCs w:val="20"/>
                <w:color w:val="auto"/>
                <w:w w:val="90"/>
              </w:rPr>
              <w:t>Covenants, Representations and Warranties For Compliance with Laws  71</w:t>
            </w:r>
          </w:p>
        </w:tc>
      </w:tr>
      <w:tr>
        <w:trPr>
          <w:trHeight w:val="310"/>
        </w:trPr>
        <w:tc>
          <w:tcPr>
            <w:tcW w:w="4500" w:type="dxa"/>
            <w:vAlign w:val="bottom"/>
            <w:gridSpan w:val="2"/>
          </w:tcPr>
          <w:p>
            <w:pPr>
              <w:spacing w:after="0"/>
              <w:rPr>
                <w:sz w:val="20"/>
                <w:szCs w:val="20"/>
                <w:color w:val="auto"/>
              </w:rPr>
            </w:pPr>
            <w:r>
              <w:rPr>
                <w:rFonts w:ascii="Arial" w:cs="Arial" w:eastAsia="Arial" w:hAnsi="Arial"/>
                <w:sz w:val="20"/>
                <w:szCs w:val="20"/>
                <w:color w:val="auto"/>
                <w:w w:val="98"/>
              </w:rPr>
              <w:t>14.  REPRESENTATIONS AND WARRANTIES  74</w:t>
            </w:r>
          </w:p>
        </w:tc>
        <w:tc>
          <w:tcPr>
            <w:tcW w:w="2740" w:type="dxa"/>
            <w:vAlign w:val="bottom"/>
          </w:tcPr>
          <w:p>
            <w:pPr>
              <w:spacing w:after="0"/>
              <w:rPr>
                <w:sz w:val="24"/>
                <w:szCs w:val="24"/>
                <w:color w:val="auto"/>
              </w:rPr>
            </w:pPr>
          </w:p>
        </w:tc>
      </w:tr>
      <w:tr>
        <w:trPr>
          <w:trHeight w:val="297"/>
        </w:trPr>
        <w:tc>
          <w:tcPr>
            <w:tcW w:w="1100" w:type="dxa"/>
            <w:vAlign w:val="bottom"/>
          </w:tcPr>
          <w:p>
            <w:pPr>
              <w:jc w:val="right"/>
              <w:ind w:right="1"/>
              <w:spacing w:after="0"/>
              <w:rPr>
                <w:sz w:val="20"/>
                <w:szCs w:val="20"/>
                <w:color w:val="auto"/>
              </w:rPr>
            </w:pPr>
            <w:r>
              <w:rPr>
                <w:rFonts w:ascii="Arial" w:cs="Arial" w:eastAsia="Arial" w:hAnsi="Arial"/>
                <w:sz w:val="20"/>
                <w:szCs w:val="20"/>
                <w:color w:val="auto"/>
              </w:rPr>
              <w:t>14.1</w:t>
            </w:r>
          </w:p>
        </w:tc>
        <w:tc>
          <w:tcPr>
            <w:tcW w:w="6140" w:type="dxa"/>
            <w:vAlign w:val="bottom"/>
            <w:gridSpan w:val="2"/>
          </w:tcPr>
          <w:p>
            <w:pPr>
              <w:ind w:left="100"/>
              <w:spacing w:after="0"/>
              <w:rPr>
                <w:sz w:val="20"/>
                <w:szCs w:val="20"/>
                <w:color w:val="auto"/>
              </w:rPr>
            </w:pPr>
            <w:r>
              <w:rPr>
                <w:rFonts w:ascii="Arial" w:cs="Arial" w:eastAsia="Arial" w:hAnsi="Arial"/>
                <w:sz w:val="20"/>
                <w:szCs w:val="20"/>
                <w:color w:val="auto"/>
              </w:rPr>
              <w:t>Representations and Warranties of MacroGenics  74</w:t>
            </w:r>
          </w:p>
        </w:tc>
      </w:tr>
      <w:tr>
        <w:trPr>
          <w:trHeight w:val="310"/>
        </w:trPr>
        <w:tc>
          <w:tcPr>
            <w:tcW w:w="1100" w:type="dxa"/>
            <w:vAlign w:val="bottom"/>
          </w:tcPr>
          <w:p>
            <w:pPr>
              <w:jc w:val="right"/>
              <w:ind w:right="1"/>
              <w:spacing w:after="0"/>
              <w:rPr>
                <w:sz w:val="20"/>
                <w:szCs w:val="20"/>
                <w:color w:val="auto"/>
              </w:rPr>
            </w:pPr>
            <w:r>
              <w:rPr>
                <w:rFonts w:ascii="Arial" w:cs="Arial" w:eastAsia="Arial" w:hAnsi="Arial"/>
                <w:sz w:val="20"/>
                <w:szCs w:val="20"/>
                <w:color w:val="auto"/>
              </w:rPr>
              <w:t>14.2</w:t>
            </w:r>
          </w:p>
        </w:tc>
        <w:tc>
          <w:tcPr>
            <w:tcW w:w="3400" w:type="dxa"/>
            <w:vAlign w:val="bottom"/>
          </w:tcPr>
          <w:p>
            <w:pPr>
              <w:ind w:left="100"/>
              <w:spacing w:after="0"/>
              <w:rPr>
                <w:sz w:val="20"/>
                <w:szCs w:val="20"/>
                <w:color w:val="auto"/>
              </w:rPr>
            </w:pPr>
            <w:r>
              <w:rPr>
                <w:rFonts w:ascii="Arial" w:cs="Arial" w:eastAsia="Arial" w:hAnsi="Arial"/>
                <w:sz w:val="20"/>
                <w:szCs w:val="20"/>
                <w:color w:val="auto"/>
                <w:w w:val="88"/>
              </w:rPr>
              <w:t>Representations and Warranties of Gilead</w:t>
            </w:r>
          </w:p>
        </w:tc>
        <w:tc>
          <w:tcPr>
            <w:tcW w:w="2740" w:type="dxa"/>
            <w:vAlign w:val="bottom"/>
          </w:tcPr>
          <w:p>
            <w:pPr>
              <w:jc w:val="right"/>
              <w:ind w:right="2261"/>
              <w:spacing w:after="0"/>
              <w:rPr>
                <w:sz w:val="20"/>
                <w:szCs w:val="20"/>
                <w:color w:val="auto"/>
              </w:rPr>
            </w:pPr>
            <w:r>
              <w:rPr>
                <w:rFonts w:ascii="Arial" w:cs="Arial" w:eastAsia="Arial" w:hAnsi="Arial"/>
                <w:sz w:val="20"/>
                <w:szCs w:val="20"/>
                <w:color w:val="auto"/>
              </w:rPr>
              <w:t>77</w:t>
            </w:r>
          </w:p>
        </w:tc>
      </w:tr>
      <w:tr>
        <w:trPr>
          <w:trHeight w:val="310"/>
        </w:trPr>
        <w:tc>
          <w:tcPr>
            <w:tcW w:w="1100" w:type="dxa"/>
            <w:vAlign w:val="bottom"/>
          </w:tcPr>
          <w:p>
            <w:pPr>
              <w:jc w:val="right"/>
              <w:ind w:right="1"/>
              <w:spacing w:after="0"/>
              <w:rPr>
                <w:sz w:val="20"/>
                <w:szCs w:val="20"/>
                <w:color w:val="auto"/>
              </w:rPr>
            </w:pPr>
            <w:r>
              <w:rPr>
                <w:rFonts w:ascii="Arial" w:cs="Arial" w:eastAsia="Arial" w:hAnsi="Arial"/>
                <w:sz w:val="20"/>
                <w:szCs w:val="20"/>
                <w:color w:val="auto"/>
              </w:rPr>
              <w:t>14.3</w:t>
            </w:r>
          </w:p>
        </w:tc>
        <w:tc>
          <w:tcPr>
            <w:tcW w:w="3400" w:type="dxa"/>
            <w:vAlign w:val="bottom"/>
          </w:tcPr>
          <w:p>
            <w:pPr>
              <w:ind w:left="100"/>
              <w:spacing w:after="0"/>
              <w:rPr>
                <w:sz w:val="20"/>
                <w:szCs w:val="20"/>
                <w:color w:val="auto"/>
              </w:rPr>
            </w:pPr>
            <w:r>
              <w:rPr>
                <w:rFonts w:ascii="Arial" w:cs="Arial" w:eastAsia="Arial" w:hAnsi="Arial"/>
                <w:sz w:val="20"/>
                <w:szCs w:val="20"/>
                <w:color w:val="auto"/>
                <w:w w:val="93"/>
              </w:rPr>
              <w:t>Mutual Representations and Warranties</w:t>
            </w:r>
          </w:p>
        </w:tc>
        <w:tc>
          <w:tcPr>
            <w:tcW w:w="2740" w:type="dxa"/>
            <w:vAlign w:val="bottom"/>
          </w:tcPr>
          <w:p>
            <w:pPr>
              <w:jc w:val="right"/>
              <w:ind w:right="2421"/>
              <w:spacing w:after="0"/>
              <w:rPr>
                <w:sz w:val="20"/>
                <w:szCs w:val="20"/>
                <w:color w:val="auto"/>
              </w:rPr>
            </w:pPr>
            <w:r>
              <w:rPr>
                <w:rFonts w:ascii="Arial" w:cs="Arial" w:eastAsia="Arial" w:hAnsi="Arial"/>
                <w:sz w:val="20"/>
                <w:szCs w:val="20"/>
                <w:color w:val="auto"/>
                <w:w w:val="89"/>
              </w:rPr>
              <w:t>78</w:t>
            </w:r>
          </w:p>
        </w:tc>
      </w:tr>
      <w:tr>
        <w:trPr>
          <w:trHeight w:val="297"/>
        </w:trPr>
        <w:tc>
          <w:tcPr>
            <w:tcW w:w="1100" w:type="dxa"/>
            <w:vAlign w:val="bottom"/>
          </w:tcPr>
          <w:p>
            <w:pPr>
              <w:jc w:val="right"/>
              <w:ind w:right="1"/>
              <w:spacing w:after="0"/>
              <w:rPr>
                <w:sz w:val="20"/>
                <w:szCs w:val="20"/>
                <w:color w:val="auto"/>
              </w:rPr>
            </w:pPr>
            <w:r>
              <w:rPr>
                <w:rFonts w:ascii="Arial" w:cs="Arial" w:eastAsia="Arial" w:hAnsi="Arial"/>
                <w:sz w:val="20"/>
                <w:szCs w:val="20"/>
                <w:color w:val="auto"/>
              </w:rPr>
              <w:t>14.4</w:t>
            </w:r>
          </w:p>
        </w:tc>
        <w:tc>
          <w:tcPr>
            <w:tcW w:w="3400" w:type="dxa"/>
            <w:vAlign w:val="bottom"/>
          </w:tcPr>
          <w:p>
            <w:pPr>
              <w:ind w:left="100"/>
              <w:spacing w:after="0"/>
              <w:rPr>
                <w:sz w:val="20"/>
                <w:szCs w:val="20"/>
                <w:color w:val="auto"/>
              </w:rPr>
            </w:pPr>
            <w:r>
              <w:rPr>
                <w:rFonts w:ascii="Arial" w:cs="Arial" w:eastAsia="Arial" w:hAnsi="Arial"/>
                <w:sz w:val="20"/>
                <w:szCs w:val="20"/>
                <w:color w:val="auto"/>
              </w:rPr>
              <w:t>Covenant  78</w:t>
            </w:r>
          </w:p>
        </w:tc>
        <w:tc>
          <w:tcPr>
            <w:tcW w:w="2740" w:type="dxa"/>
            <w:vAlign w:val="bottom"/>
          </w:tcPr>
          <w:p>
            <w:pPr>
              <w:spacing w:after="0"/>
              <w:rPr>
                <w:sz w:val="24"/>
                <w:szCs w:val="24"/>
                <w:color w:val="auto"/>
              </w:rPr>
            </w:pPr>
          </w:p>
        </w:tc>
      </w:tr>
      <w:tr>
        <w:trPr>
          <w:trHeight w:val="310"/>
        </w:trPr>
        <w:tc>
          <w:tcPr>
            <w:tcW w:w="1100" w:type="dxa"/>
            <w:vAlign w:val="bottom"/>
          </w:tcPr>
          <w:p>
            <w:pPr>
              <w:jc w:val="right"/>
              <w:ind w:right="1"/>
              <w:spacing w:after="0"/>
              <w:rPr>
                <w:sz w:val="20"/>
                <w:szCs w:val="20"/>
                <w:color w:val="auto"/>
              </w:rPr>
            </w:pPr>
            <w:r>
              <w:rPr>
                <w:rFonts w:ascii="Arial" w:cs="Arial" w:eastAsia="Arial" w:hAnsi="Arial"/>
                <w:sz w:val="20"/>
                <w:szCs w:val="20"/>
                <w:color w:val="auto"/>
              </w:rPr>
              <w:t>14.5</w:t>
            </w:r>
          </w:p>
        </w:tc>
        <w:tc>
          <w:tcPr>
            <w:tcW w:w="3400" w:type="dxa"/>
            <w:vAlign w:val="bottom"/>
          </w:tcPr>
          <w:p>
            <w:pPr>
              <w:ind w:left="100"/>
              <w:spacing w:after="0"/>
              <w:rPr>
                <w:sz w:val="20"/>
                <w:szCs w:val="20"/>
                <w:color w:val="auto"/>
              </w:rPr>
            </w:pPr>
            <w:r>
              <w:rPr>
                <w:rFonts w:ascii="Arial" w:cs="Arial" w:eastAsia="Arial" w:hAnsi="Arial"/>
                <w:sz w:val="20"/>
                <w:szCs w:val="20"/>
                <w:color w:val="auto"/>
                <w:w w:val="91"/>
              </w:rPr>
              <w:t>No Other Representations or Warranties</w:t>
            </w:r>
          </w:p>
        </w:tc>
        <w:tc>
          <w:tcPr>
            <w:tcW w:w="2740" w:type="dxa"/>
            <w:vAlign w:val="bottom"/>
          </w:tcPr>
          <w:p>
            <w:pPr>
              <w:jc w:val="right"/>
              <w:ind w:right="2381"/>
              <w:spacing w:after="0"/>
              <w:rPr>
                <w:sz w:val="20"/>
                <w:szCs w:val="20"/>
                <w:color w:val="auto"/>
              </w:rPr>
            </w:pPr>
            <w:r>
              <w:rPr>
                <w:rFonts w:ascii="Arial" w:cs="Arial" w:eastAsia="Arial" w:hAnsi="Arial"/>
                <w:sz w:val="20"/>
                <w:szCs w:val="20"/>
                <w:color w:val="auto"/>
              </w:rPr>
              <w:t>79</w:t>
            </w:r>
          </w:p>
        </w:tc>
      </w:tr>
    </w:tbl>
    <w:p>
      <w:pPr>
        <w:spacing w:after="0" w:line="47" w:lineRule="exact"/>
        <w:rPr>
          <w:sz w:val="20"/>
          <w:szCs w:val="20"/>
          <w:color w:val="auto"/>
        </w:rPr>
      </w:pPr>
    </w:p>
    <w:p>
      <w:pPr>
        <w:ind w:left="440" w:hanging="437"/>
        <w:spacing w:after="0"/>
        <w:tabs>
          <w:tab w:leader="none" w:pos="4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INDEMNIFICATION  79</w:t>
      </w:r>
    </w:p>
    <w:p>
      <w:pPr>
        <w:spacing w:after="0" w:line="80"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15.1  By Gilead  79</w:t>
      </w:r>
    </w:p>
    <w:p>
      <w:pPr>
        <w:spacing w:after="0" w:line="80"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15.2  By MacroGenics  80</w:t>
      </w:r>
    </w:p>
    <w:p>
      <w:pPr>
        <w:spacing w:after="0" w:line="67"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15.3  Indemnification Procedure  80</w:t>
      </w:r>
    </w:p>
    <w:p>
      <w:pPr>
        <w:spacing w:after="0" w:line="80"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15.4  Settlement  81</w:t>
      </w:r>
    </w:p>
    <w:p>
      <w:pPr>
        <w:sectPr>
          <w:pgSz w:w="11900" w:h="16838" w:orient="portrait"/>
          <w:cols w:equalWidth="0" w:num="1">
            <w:col w:w="9039"/>
          </w:cols>
          <w:pgMar w:left="1420" w:top="800"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gridSpan w:val="4"/>
          </w:tcPr>
          <w:p>
            <w:pPr>
              <w:jc w:val="right"/>
              <w:ind w:right="2761"/>
              <w:spacing w:after="0"/>
              <w:rPr>
                <w:sz w:val="20"/>
                <w:szCs w:val="20"/>
                <w:color w:val="auto"/>
              </w:rPr>
            </w:pPr>
            <w:r>
              <w:rPr>
                <w:rFonts w:ascii="Arial" w:cs="Arial" w:eastAsia="Arial" w:hAnsi="Arial"/>
                <w:sz w:val="20"/>
                <w:szCs w:val="20"/>
                <w:b w:val="1"/>
                <w:bCs w:val="1"/>
                <w:color w:val="auto"/>
              </w:rPr>
              <w:t>TABLE OF CONTENTS</w:t>
            </w:r>
          </w:p>
        </w:tc>
      </w:tr>
      <w:tr>
        <w:trPr>
          <w:trHeight w:val="256"/>
        </w:trPr>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0" w:type="dxa"/>
            <w:vAlign w:val="bottom"/>
            <w:gridSpan w:val="2"/>
          </w:tcPr>
          <w:p>
            <w:pPr>
              <w:ind w:left="200"/>
              <w:spacing w:after="0"/>
              <w:rPr>
                <w:sz w:val="20"/>
                <w:szCs w:val="20"/>
                <w:color w:val="auto"/>
              </w:rPr>
            </w:pPr>
            <w:r>
              <w:rPr>
                <w:rFonts w:ascii="Arial" w:cs="Arial" w:eastAsia="Arial" w:hAnsi="Arial"/>
                <w:sz w:val="20"/>
                <w:szCs w:val="20"/>
                <w:b w:val="1"/>
                <w:bCs w:val="1"/>
                <w:color w:val="auto"/>
              </w:rPr>
              <w:t>(continued)</w:t>
            </w:r>
          </w:p>
        </w:tc>
      </w:tr>
      <w:tr>
        <w:trPr>
          <w:trHeight w:val="418"/>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05"/>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15.5</w:t>
            </w:r>
          </w:p>
        </w:tc>
        <w:tc>
          <w:tcPr>
            <w:tcW w:w="880" w:type="dxa"/>
            <w:vAlign w:val="bottom"/>
          </w:tcPr>
          <w:p>
            <w:pPr>
              <w:ind w:left="60"/>
              <w:spacing w:after="0"/>
              <w:rPr>
                <w:sz w:val="20"/>
                <w:szCs w:val="20"/>
                <w:color w:val="auto"/>
              </w:rPr>
            </w:pPr>
            <w:r>
              <w:rPr>
                <w:rFonts w:ascii="Arial" w:cs="Arial" w:eastAsia="Arial" w:hAnsi="Arial"/>
                <w:sz w:val="20"/>
                <w:szCs w:val="20"/>
                <w:color w:val="auto"/>
                <w:w w:val="91"/>
              </w:rPr>
              <w:t>Insurance</w:t>
            </w:r>
          </w:p>
        </w:tc>
        <w:tc>
          <w:tcPr>
            <w:tcW w:w="360" w:type="dxa"/>
            <w:vAlign w:val="bottom"/>
          </w:tcPr>
          <w:p>
            <w:pPr>
              <w:jc w:val="right"/>
              <w:spacing w:after="0"/>
              <w:rPr>
                <w:sz w:val="20"/>
                <w:szCs w:val="20"/>
                <w:color w:val="auto"/>
              </w:rPr>
            </w:pPr>
            <w:r>
              <w:rPr>
                <w:rFonts w:ascii="Arial" w:cs="Arial" w:eastAsia="Arial" w:hAnsi="Arial"/>
                <w:sz w:val="20"/>
                <w:szCs w:val="20"/>
                <w:color w:val="auto"/>
              </w:rPr>
              <w:t>81</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15.6</w:t>
            </w:r>
          </w:p>
        </w:tc>
        <w:tc>
          <w:tcPr>
            <w:tcW w:w="1940" w:type="dxa"/>
            <w:vAlign w:val="bottom"/>
            <w:gridSpan w:val="4"/>
          </w:tcPr>
          <w:p>
            <w:pPr>
              <w:ind w:left="60"/>
              <w:spacing w:after="0"/>
              <w:rPr>
                <w:sz w:val="20"/>
                <w:szCs w:val="20"/>
                <w:color w:val="auto"/>
              </w:rPr>
            </w:pPr>
            <w:r>
              <w:rPr>
                <w:rFonts w:ascii="Arial" w:cs="Arial" w:eastAsia="Arial" w:hAnsi="Arial"/>
                <w:sz w:val="20"/>
                <w:szCs w:val="20"/>
                <w:color w:val="auto"/>
              </w:rPr>
              <w:t>Limitation of Liability</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81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40" w:type="dxa"/>
            <w:vAlign w:val="bottom"/>
          </w:tcPr>
          <w:p>
            <w:pPr>
              <w:jc w:val="right"/>
              <w:spacing w:after="0"/>
              <w:rPr>
                <w:sz w:val="20"/>
                <w:szCs w:val="20"/>
                <w:color w:val="auto"/>
              </w:rPr>
            </w:pPr>
            <w:r>
              <w:rPr>
                <w:rFonts w:ascii="Arial" w:cs="Arial" w:eastAsia="Arial" w:hAnsi="Arial"/>
                <w:sz w:val="20"/>
                <w:szCs w:val="20"/>
                <w:color w:val="auto"/>
                <w:w w:val="86"/>
              </w:rPr>
              <w:t>16.</w:t>
            </w:r>
          </w:p>
        </w:tc>
        <w:tc>
          <w:tcPr>
            <w:tcW w:w="2740" w:type="dxa"/>
            <w:vAlign w:val="bottom"/>
            <w:gridSpan w:val="5"/>
          </w:tcPr>
          <w:p>
            <w:pPr>
              <w:ind w:left="100"/>
              <w:spacing w:after="0"/>
              <w:rPr>
                <w:sz w:val="20"/>
                <w:szCs w:val="20"/>
                <w:color w:val="auto"/>
              </w:rPr>
            </w:pPr>
            <w:r>
              <w:rPr>
                <w:rFonts w:ascii="Arial" w:cs="Arial" w:eastAsia="Arial" w:hAnsi="Arial"/>
                <w:sz w:val="20"/>
                <w:szCs w:val="20"/>
                <w:color w:val="auto"/>
                <w:w w:val="99"/>
              </w:rPr>
              <w:t>INTELLECTUAL PROPERTY</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81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16.1</w:t>
            </w:r>
          </w:p>
        </w:tc>
        <w:tc>
          <w:tcPr>
            <w:tcW w:w="3560" w:type="dxa"/>
            <w:vAlign w:val="bottom"/>
            <w:gridSpan w:val="7"/>
          </w:tcPr>
          <w:p>
            <w:pPr>
              <w:ind w:left="60"/>
              <w:spacing w:after="0"/>
              <w:rPr>
                <w:sz w:val="20"/>
                <w:szCs w:val="20"/>
                <w:color w:val="auto"/>
              </w:rPr>
            </w:pPr>
            <w:r>
              <w:rPr>
                <w:rFonts w:ascii="Arial" w:cs="Arial" w:eastAsia="Arial" w:hAnsi="Arial"/>
                <w:sz w:val="20"/>
                <w:szCs w:val="20"/>
                <w:color w:val="auto"/>
              </w:rPr>
              <w:t>Ownership of Intellectual Property  81</w:t>
            </w:r>
          </w:p>
        </w:tc>
        <w:tc>
          <w:tcPr>
            <w:tcW w:w="3740" w:type="dxa"/>
            <w:vAlign w:val="bottom"/>
          </w:tcPr>
          <w:p>
            <w:pPr>
              <w:spacing w:after="0"/>
              <w:rPr>
                <w:sz w:val="24"/>
                <w:szCs w:val="24"/>
                <w:color w:val="auto"/>
              </w:rPr>
            </w:pPr>
          </w:p>
        </w:tc>
      </w:tr>
      <w:tr>
        <w:trPr>
          <w:trHeight w:val="311"/>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16.2</w:t>
            </w:r>
          </w:p>
        </w:tc>
        <w:tc>
          <w:tcPr>
            <w:tcW w:w="7300" w:type="dxa"/>
            <w:vAlign w:val="bottom"/>
            <w:gridSpan w:val="8"/>
          </w:tcPr>
          <w:p>
            <w:pPr>
              <w:ind w:left="60"/>
              <w:spacing w:after="0"/>
              <w:rPr>
                <w:sz w:val="20"/>
                <w:szCs w:val="20"/>
                <w:color w:val="auto"/>
              </w:rPr>
            </w:pPr>
            <w:r>
              <w:rPr>
                <w:rFonts w:ascii="Arial" w:cs="Arial" w:eastAsia="Arial" w:hAnsi="Arial"/>
                <w:sz w:val="20"/>
                <w:szCs w:val="20"/>
                <w:color w:val="auto"/>
              </w:rPr>
              <w:t>Patent and Trademark Filing, Prosecution and Maintenance  83</w:t>
            </w:r>
          </w:p>
        </w:tc>
      </w:tr>
      <w:tr>
        <w:trPr>
          <w:trHeight w:val="297"/>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16.3</w:t>
            </w:r>
          </w:p>
        </w:tc>
        <w:tc>
          <w:tcPr>
            <w:tcW w:w="2700" w:type="dxa"/>
            <w:vAlign w:val="bottom"/>
            <w:gridSpan w:val="6"/>
          </w:tcPr>
          <w:p>
            <w:pPr>
              <w:ind w:left="60"/>
              <w:spacing w:after="0"/>
              <w:rPr>
                <w:sz w:val="20"/>
                <w:szCs w:val="20"/>
                <w:color w:val="auto"/>
              </w:rPr>
            </w:pPr>
            <w:r>
              <w:rPr>
                <w:rFonts w:ascii="Arial" w:cs="Arial" w:eastAsia="Arial" w:hAnsi="Arial"/>
                <w:sz w:val="20"/>
                <w:szCs w:val="20"/>
                <w:color w:val="auto"/>
                <w:w w:val="92"/>
              </w:rPr>
              <w:t>Patent Prosecution Cooperation</w:t>
            </w:r>
          </w:p>
        </w:tc>
        <w:tc>
          <w:tcPr>
            <w:tcW w:w="860" w:type="dxa"/>
            <w:vAlign w:val="bottom"/>
          </w:tcPr>
          <w:p>
            <w:pPr>
              <w:jc w:val="right"/>
              <w:ind w:right="501"/>
              <w:spacing w:after="0"/>
              <w:rPr>
                <w:sz w:val="20"/>
                <w:szCs w:val="20"/>
                <w:color w:val="auto"/>
              </w:rPr>
            </w:pPr>
            <w:r>
              <w:rPr>
                <w:rFonts w:ascii="Arial" w:cs="Arial" w:eastAsia="Arial" w:hAnsi="Arial"/>
                <w:sz w:val="20"/>
                <w:szCs w:val="20"/>
                <w:color w:val="auto"/>
              </w:rPr>
              <w:t>85</w:t>
            </w:r>
          </w:p>
        </w:tc>
        <w:tc>
          <w:tcPr>
            <w:tcW w:w="3740" w:type="dxa"/>
            <w:vAlign w:val="bottom"/>
          </w:tcPr>
          <w:p>
            <w:pPr>
              <w:spacing w:after="0"/>
              <w:rPr>
                <w:sz w:val="24"/>
                <w:szCs w:val="24"/>
                <w:color w:val="auto"/>
              </w:rPr>
            </w:pPr>
          </w:p>
        </w:tc>
      </w:tr>
      <w:tr>
        <w:trPr>
          <w:trHeight w:val="311"/>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16.4</w:t>
            </w:r>
          </w:p>
        </w:tc>
        <w:tc>
          <w:tcPr>
            <w:tcW w:w="1240" w:type="dxa"/>
            <w:vAlign w:val="bottom"/>
            <w:gridSpan w:val="2"/>
          </w:tcPr>
          <w:p>
            <w:pPr>
              <w:ind w:left="60"/>
              <w:spacing w:after="0"/>
              <w:rPr>
                <w:sz w:val="20"/>
                <w:szCs w:val="20"/>
                <w:color w:val="auto"/>
              </w:rPr>
            </w:pPr>
            <w:r>
              <w:rPr>
                <w:rFonts w:ascii="Arial" w:cs="Arial" w:eastAsia="Arial" w:hAnsi="Arial"/>
                <w:sz w:val="20"/>
                <w:szCs w:val="20"/>
                <w:color w:val="auto"/>
              </w:rPr>
              <w:t>Enforcement</w:t>
            </w:r>
          </w:p>
        </w:tc>
        <w:tc>
          <w:tcPr>
            <w:tcW w:w="240" w:type="dxa"/>
            <w:vAlign w:val="bottom"/>
          </w:tcPr>
          <w:p>
            <w:pPr>
              <w:jc w:val="right"/>
              <w:spacing w:after="0"/>
              <w:rPr>
                <w:sz w:val="20"/>
                <w:szCs w:val="20"/>
                <w:color w:val="auto"/>
              </w:rPr>
            </w:pPr>
            <w:r>
              <w:rPr>
                <w:rFonts w:ascii="Arial" w:cs="Arial" w:eastAsia="Arial" w:hAnsi="Arial"/>
                <w:sz w:val="20"/>
                <w:szCs w:val="20"/>
                <w:color w:val="auto"/>
                <w:w w:val="98"/>
              </w:rPr>
              <w:t>85</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16.5</w:t>
            </w:r>
          </w:p>
        </w:tc>
        <w:tc>
          <w:tcPr>
            <w:tcW w:w="880" w:type="dxa"/>
            <w:vAlign w:val="bottom"/>
          </w:tcPr>
          <w:p>
            <w:pPr>
              <w:ind w:left="60"/>
              <w:spacing w:after="0"/>
              <w:rPr>
                <w:sz w:val="20"/>
                <w:szCs w:val="20"/>
                <w:color w:val="auto"/>
              </w:rPr>
            </w:pPr>
            <w:r>
              <w:rPr>
                <w:rFonts w:ascii="Arial" w:cs="Arial" w:eastAsia="Arial" w:hAnsi="Arial"/>
                <w:sz w:val="20"/>
                <w:szCs w:val="20"/>
                <w:color w:val="auto"/>
              </w:rPr>
              <w:t>Defense</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w w:val="89"/>
              </w:rPr>
              <w:t>88</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16.6</w:t>
            </w:r>
          </w:p>
        </w:tc>
        <w:tc>
          <w:tcPr>
            <w:tcW w:w="1240" w:type="dxa"/>
            <w:vAlign w:val="bottom"/>
            <w:gridSpan w:val="2"/>
          </w:tcPr>
          <w:p>
            <w:pPr>
              <w:ind w:left="60"/>
              <w:spacing w:after="0"/>
              <w:rPr>
                <w:sz w:val="20"/>
                <w:szCs w:val="20"/>
                <w:color w:val="auto"/>
              </w:rPr>
            </w:pPr>
            <w:r>
              <w:rPr>
                <w:rFonts w:ascii="Arial" w:cs="Arial" w:eastAsia="Arial" w:hAnsi="Arial"/>
                <w:sz w:val="20"/>
                <w:szCs w:val="20"/>
                <w:color w:val="auto"/>
                <w:w w:val="95"/>
              </w:rPr>
              <w:t>Patent Listing</w:t>
            </w:r>
          </w:p>
        </w:tc>
        <w:tc>
          <w:tcPr>
            <w:tcW w:w="700" w:type="dxa"/>
            <w:vAlign w:val="bottom"/>
            <w:gridSpan w:val="2"/>
          </w:tcPr>
          <w:p>
            <w:pPr>
              <w:jc w:val="right"/>
              <w:ind w:right="281"/>
              <w:spacing w:after="0"/>
              <w:rPr>
                <w:sz w:val="20"/>
                <w:szCs w:val="20"/>
                <w:color w:val="auto"/>
              </w:rPr>
            </w:pPr>
            <w:r>
              <w:rPr>
                <w:rFonts w:ascii="Arial" w:cs="Arial" w:eastAsia="Arial" w:hAnsi="Arial"/>
                <w:sz w:val="20"/>
                <w:szCs w:val="20"/>
                <w:color w:val="auto"/>
              </w:rPr>
              <w:t>89</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16.7</w:t>
            </w:r>
          </w:p>
        </w:tc>
        <w:tc>
          <w:tcPr>
            <w:tcW w:w="1940" w:type="dxa"/>
            <w:vAlign w:val="bottom"/>
            <w:gridSpan w:val="4"/>
          </w:tcPr>
          <w:p>
            <w:pPr>
              <w:ind w:left="60"/>
              <w:spacing w:after="0"/>
              <w:rPr>
                <w:sz w:val="20"/>
                <w:szCs w:val="20"/>
                <w:color w:val="auto"/>
              </w:rPr>
            </w:pPr>
            <w:r>
              <w:rPr>
                <w:rFonts w:ascii="Arial" w:cs="Arial" w:eastAsia="Arial" w:hAnsi="Arial"/>
                <w:sz w:val="20"/>
                <w:szCs w:val="20"/>
                <w:color w:val="auto"/>
                <w:w w:val="87"/>
              </w:rPr>
              <w:t>Patent Term Extensions</w:t>
            </w:r>
          </w:p>
        </w:tc>
        <w:tc>
          <w:tcPr>
            <w:tcW w:w="480" w:type="dxa"/>
            <w:vAlign w:val="bottom"/>
          </w:tcPr>
          <w:p>
            <w:pPr>
              <w:jc w:val="right"/>
              <w:ind w:right="1"/>
              <w:spacing w:after="0"/>
              <w:rPr>
                <w:sz w:val="20"/>
                <w:szCs w:val="20"/>
                <w:color w:val="auto"/>
              </w:rPr>
            </w:pPr>
            <w:r>
              <w:rPr>
                <w:rFonts w:ascii="Arial" w:cs="Arial" w:eastAsia="Arial" w:hAnsi="Arial"/>
                <w:sz w:val="20"/>
                <w:szCs w:val="20"/>
                <w:color w:val="auto"/>
              </w:rPr>
              <w:t>89</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40" w:type="dxa"/>
            <w:vAlign w:val="bottom"/>
          </w:tcPr>
          <w:p>
            <w:pPr>
              <w:jc w:val="right"/>
              <w:spacing w:after="0"/>
              <w:rPr>
                <w:sz w:val="20"/>
                <w:szCs w:val="20"/>
                <w:color w:val="auto"/>
              </w:rPr>
            </w:pPr>
            <w:r>
              <w:rPr>
                <w:rFonts w:ascii="Arial" w:cs="Arial" w:eastAsia="Arial" w:hAnsi="Arial"/>
                <w:sz w:val="20"/>
                <w:szCs w:val="20"/>
                <w:color w:val="auto"/>
                <w:w w:val="86"/>
              </w:rPr>
              <w:t>17.</w:t>
            </w:r>
          </w:p>
        </w:tc>
        <w:tc>
          <w:tcPr>
            <w:tcW w:w="2280" w:type="dxa"/>
            <w:vAlign w:val="bottom"/>
            <w:gridSpan w:val="4"/>
          </w:tcPr>
          <w:p>
            <w:pPr>
              <w:ind w:left="100"/>
              <w:spacing w:after="0"/>
              <w:rPr>
                <w:sz w:val="20"/>
                <w:szCs w:val="20"/>
                <w:color w:val="auto"/>
              </w:rPr>
            </w:pPr>
            <w:r>
              <w:rPr>
                <w:rFonts w:ascii="Arial" w:cs="Arial" w:eastAsia="Arial" w:hAnsi="Arial"/>
                <w:sz w:val="20"/>
                <w:szCs w:val="20"/>
                <w:color w:val="auto"/>
                <w:w w:val="97"/>
              </w:rPr>
              <w:t>DISPUTE RESOLUTION</w:t>
            </w: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89</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17.1</w:t>
            </w:r>
          </w:p>
        </w:tc>
        <w:tc>
          <w:tcPr>
            <w:tcW w:w="3560" w:type="dxa"/>
            <w:vAlign w:val="bottom"/>
            <w:gridSpan w:val="7"/>
          </w:tcPr>
          <w:p>
            <w:pPr>
              <w:ind w:left="60"/>
              <w:spacing w:after="0"/>
              <w:rPr>
                <w:sz w:val="20"/>
                <w:szCs w:val="20"/>
                <w:color w:val="auto"/>
              </w:rPr>
            </w:pPr>
            <w:r>
              <w:rPr>
                <w:rFonts w:ascii="Arial" w:cs="Arial" w:eastAsia="Arial" w:hAnsi="Arial"/>
                <w:sz w:val="20"/>
                <w:szCs w:val="20"/>
                <w:color w:val="auto"/>
                <w:w w:val="95"/>
              </w:rPr>
              <w:t>Exclusive Dispute Resolution Mechanism</w:t>
            </w:r>
          </w:p>
        </w:tc>
        <w:tc>
          <w:tcPr>
            <w:tcW w:w="3740" w:type="dxa"/>
            <w:vAlign w:val="bottom"/>
          </w:tcPr>
          <w:p>
            <w:pPr>
              <w:jc w:val="right"/>
              <w:ind w:right="3421"/>
              <w:spacing w:after="0"/>
              <w:rPr>
                <w:sz w:val="20"/>
                <w:szCs w:val="20"/>
                <w:color w:val="auto"/>
              </w:rPr>
            </w:pPr>
            <w:r>
              <w:rPr>
                <w:rFonts w:ascii="Arial" w:cs="Arial" w:eastAsia="Arial" w:hAnsi="Arial"/>
                <w:sz w:val="20"/>
                <w:szCs w:val="20"/>
                <w:color w:val="auto"/>
                <w:w w:val="89"/>
              </w:rPr>
              <w:t>89</w:t>
            </w:r>
          </w:p>
        </w:tc>
      </w:tr>
      <w:tr>
        <w:trPr>
          <w:trHeight w:val="311"/>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17.2</w:t>
            </w:r>
          </w:p>
        </w:tc>
        <w:tc>
          <w:tcPr>
            <w:tcW w:w="2700" w:type="dxa"/>
            <w:vAlign w:val="bottom"/>
            <w:gridSpan w:val="6"/>
          </w:tcPr>
          <w:p>
            <w:pPr>
              <w:ind w:left="60"/>
              <w:spacing w:after="0"/>
              <w:rPr>
                <w:sz w:val="20"/>
                <w:szCs w:val="20"/>
                <w:color w:val="auto"/>
              </w:rPr>
            </w:pPr>
            <w:r>
              <w:rPr>
                <w:rFonts w:ascii="Arial" w:cs="Arial" w:eastAsia="Arial" w:hAnsi="Arial"/>
                <w:sz w:val="20"/>
                <w:szCs w:val="20"/>
                <w:color w:val="auto"/>
                <w:w w:val="90"/>
              </w:rPr>
              <w:t>Resolution by Executive Officers</w:t>
            </w:r>
          </w:p>
        </w:tc>
        <w:tc>
          <w:tcPr>
            <w:tcW w:w="860" w:type="dxa"/>
            <w:vAlign w:val="bottom"/>
          </w:tcPr>
          <w:p>
            <w:pPr>
              <w:ind w:left="200"/>
              <w:spacing w:after="0"/>
              <w:rPr>
                <w:sz w:val="20"/>
                <w:szCs w:val="20"/>
                <w:color w:val="auto"/>
              </w:rPr>
            </w:pPr>
            <w:r>
              <w:rPr>
                <w:rFonts w:ascii="Arial" w:cs="Arial" w:eastAsia="Arial" w:hAnsi="Arial"/>
                <w:sz w:val="20"/>
                <w:szCs w:val="20"/>
                <w:color w:val="auto"/>
              </w:rPr>
              <w:t>89</w:t>
            </w:r>
          </w:p>
        </w:tc>
        <w:tc>
          <w:tcPr>
            <w:tcW w:w="374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17.3</w:t>
            </w:r>
          </w:p>
        </w:tc>
        <w:tc>
          <w:tcPr>
            <w:tcW w:w="7300" w:type="dxa"/>
            <w:vAlign w:val="bottom"/>
            <w:gridSpan w:val="8"/>
          </w:tcPr>
          <w:p>
            <w:pPr>
              <w:ind w:left="60"/>
              <w:spacing w:after="0"/>
              <w:rPr>
                <w:sz w:val="20"/>
                <w:szCs w:val="20"/>
                <w:color w:val="auto"/>
              </w:rPr>
            </w:pPr>
            <w:r>
              <w:rPr>
                <w:rFonts w:ascii="Arial" w:cs="Arial" w:eastAsia="Arial" w:hAnsi="Arial"/>
                <w:sz w:val="20"/>
                <w:szCs w:val="20"/>
                <w:color w:val="auto"/>
              </w:rPr>
              <w:t>Expedited Arbitration for Incidental Payment Disputes  90</w:t>
            </w:r>
          </w:p>
        </w:tc>
      </w:tr>
      <w:tr>
        <w:trPr>
          <w:trHeight w:val="311"/>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17.4</w:t>
            </w:r>
          </w:p>
        </w:tc>
        <w:tc>
          <w:tcPr>
            <w:tcW w:w="3560" w:type="dxa"/>
            <w:vAlign w:val="bottom"/>
            <w:gridSpan w:val="7"/>
          </w:tcPr>
          <w:p>
            <w:pPr>
              <w:ind w:left="60"/>
              <w:spacing w:after="0"/>
              <w:rPr>
                <w:sz w:val="20"/>
                <w:szCs w:val="20"/>
                <w:color w:val="auto"/>
              </w:rPr>
            </w:pPr>
            <w:r>
              <w:rPr>
                <w:rFonts w:ascii="Arial" w:cs="Arial" w:eastAsia="Arial" w:hAnsi="Arial"/>
                <w:sz w:val="20"/>
                <w:szCs w:val="20"/>
                <w:color w:val="auto"/>
                <w:w w:val="91"/>
              </w:rPr>
              <w:t>Jurisdiction; Venue; Service of Process  90</w:t>
            </w: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17.5</w:t>
            </w:r>
          </w:p>
        </w:tc>
        <w:tc>
          <w:tcPr>
            <w:tcW w:w="1480" w:type="dxa"/>
            <w:vAlign w:val="bottom"/>
            <w:gridSpan w:val="3"/>
          </w:tcPr>
          <w:p>
            <w:pPr>
              <w:ind w:left="60"/>
              <w:spacing w:after="0"/>
              <w:rPr>
                <w:sz w:val="20"/>
                <w:szCs w:val="20"/>
                <w:color w:val="auto"/>
              </w:rPr>
            </w:pPr>
            <w:r>
              <w:rPr>
                <w:rFonts w:ascii="Arial" w:cs="Arial" w:eastAsia="Arial" w:hAnsi="Arial"/>
                <w:sz w:val="20"/>
                <w:szCs w:val="20"/>
                <w:color w:val="auto"/>
              </w:rPr>
              <w:t>Governing Law</w:t>
            </w:r>
          </w:p>
        </w:tc>
        <w:tc>
          <w:tcPr>
            <w:tcW w:w="460" w:type="dxa"/>
            <w:vAlign w:val="bottom"/>
          </w:tcPr>
          <w:p>
            <w:pPr>
              <w:jc w:val="right"/>
              <w:ind w:right="141"/>
              <w:spacing w:after="0"/>
              <w:rPr>
                <w:sz w:val="20"/>
                <w:szCs w:val="20"/>
                <w:color w:val="auto"/>
              </w:rPr>
            </w:pPr>
            <w:r>
              <w:rPr>
                <w:rFonts w:ascii="Arial" w:cs="Arial" w:eastAsia="Arial" w:hAnsi="Arial"/>
                <w:sz w:val="20"/>
                <w:szCs w:val="20"/>
                <w:color w:val="auto"/>
                <w:w w:val="89"/>
              </w:rPr>
              <w:t>91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17.6</w:t>
            </w:r>
          </w:p>
        </w:tc>
        <w:tc>
          <w:tcPr>
            <w:tcW w:w="2420" w:type="dxa"/>
            <w:vAlign w:val="bottom"/>
            <w:gridSpan w:val="5"/>
          </w:tcPr>
          <w:p>
            <w:pPr>
              <w:ind w:left="60"/>
              <w:spacing w:after="0"/>
              <w:rPr>
                <w:sz w:val="20"/>
                <w:szCs w:val="20"/>
                <w:color w:val="auto"/>
              </w:rPr>
            </w:pPr>
            <w:r>
              <w:rPr>
                <w:rFonts w:ascii="Arial" w:cs="Arial" w:eastAsia="Arial" w:hAnsi="Arial"/>
                <w:sz w:val="20"/>
                <w:szCs w:val="20"/>
                <w:color w:val="auto"/>
              </w:rPr>
              <w:t>Waiver of Jury Trial  91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17.7</w:t>
            </w:r>
          </w:p>
        </w:tc>
        <w:tc>
          <w:tcPr>
            <w:tcW w:w="1480" w:type="dxa"/>
            <w:vAlign w:val="bottom"/>
            <w:gridSpan w:val="3"/>
          </w:tcPr>
          <w:p>
            <w:pPr>
              <w:ind w:left="60"/>
              <w:spacing w:after="0"/>
              <w:rPr>
                <w:sz w:val="20"/>
                <w:szCs w:val="20"/>
                <w:color w:val="auto"/>
              </w:rPr>
            </w:pPr>
            <w:r>
              <w:rPr>
                <w:rFonts w:ascii="Arial" w:cs="Arial" w:eastAsia="Arial" w:hAnsi="Arial"/>
                <w:sz w:val="20"/>
                <w:szCs w:val="20"/>
                <w:color w:val="auto"/>
                <w:w w:val="99"/>
              </w:rPr>
              <w:t>Equitable Relief</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91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0"/>
        </w:trPr>
        <w:tc>
          <w:tcPr>
            <w:tcW w:w="340" w:type="dxa"/>
            <w:vAlign w:val="bottom"/>
          </w:tcPr>
          <w:p>
            <w:pPr>
              <w:jc w:val="right"/>
              <w:spacing w:after="0"/>
              <w:rPr>
                <w:sz w:val="20"/>
                <w:szCs w:val="20"/>
                <w:color w:val="auto"/>
              </w:rPr>
            </w:pPr>
            <w:r>
              <w:rPr>
                <w:rFonts w:ascii="Arial" w:cs="Arial" w:eastAsia="Arial" w:hAnsi="Arial"/>
                <w:sz w:val="20"/>
                <w:szCs w:val="20"/>
                <w:color w:val="auto"/>
                <w:w w:val="86"/>
              </w:rPr>
              <w:t>18.</w:t>
            </w:r>
          </w:p>
        </w:tc>
        <w:tc>
          <w:tcPr>
            <w:tcW w:w="2740" w:type="dxa"/>
            <w:vAlign w:val="bottom"/>
            <w:gridSpan w:val="5"/>
          </w:tcPr>
          <w:p>
            <w:pPr>
              <w:ind w:left="100"/>
              <w:spacing w:after="0"/>
              <w:rPr>
                <w:sz w:val="20"/>
                <w:szCs w:val="20"/>
                <w:color w:val="auto"/>
              </w:rPr>
            </w:pPr>
            <w:r>
              <w:rPr>
                <w:rFonts w:ascii="Arial" w:cs="Arial" w:eastAsia="Arial" w:hAnsi="Arial"/>
                <w:sz w:val="20"/>
                <w:szCs w:val="20"/>
                <w:color w:val="auto"/>
              </w:rPr>
              <w:t>TERM AND TERMINATION</w:t>
            </w:r>
          </w:p>
        </w:tc>
        <w:tc>
          <w:tcPr>
            <w:tcW w:w="480" w:type="dxa"/>
            <w:vAlign w:val="bottom"/>
          </w:tcPr>
          <w:p>
            <w:pPr>
              <w:jc w:val="right"/>
              <w:ind w:right="181"/>
              <w:spacing w:after="0"/>
              <w:rPr>
                <w:sz w:val="20"/>
                <w:szCs w:val="20"/>
                <w:color w:val="auto"/>
              </w:rPr>
            </w:pPr>
            <w:r>
              <w:rPr>
                <w:rFonts w:ascii="Arial" w:cs="Arial" w:eastAsia="Arial" w:hAnsi="Arial"/>
                <w:sz w:val="20"/>
                <w:szCs w:val="20"/>
                <w:color w:val="auto"/>
                <w:w w:val="80"/>
              </w:rPr>
              <w:t>91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18.1</w:t>
            </w:r>
          </w:p>
        </w:tc>
        <w:tc>
          <w:tcPr>
            <w:tcW w:w="880" w:type="dxa"/>
            <w:vAlign w:val="bottom"/>
          </w:tcPr>
          <w:p>
            <w:pPr>
              <w:ind w:left="60"/>
              <w:spacing w:after="0"/>
              <w:rPr>
                <w:sz w:val="20"/>
                <w:szCs w:val="20"/>
                <w:color w:val="auto"/>
              </w:rPr>
            </w:pPr>
            <w:r>
              <w:rPr>
                <w:rFonts w:ascii="Arial" w:cs="Arial" w:eastAsia="Arial" w:hAnsi="Arial"/>
                <w:sz w:val="20"/>
                <w:szCs w:val="20"/>
                <w:color w:val="auto"/>
                <w:w w:val="99"/>
              </w:rPr>
              <w:t>Term  91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18.2</w:t>
            </w:r>
          </w:p>
        </w:tc>
        <w:tc>
          <w:tcPr>
            <w:tcW w:w="2700" w:type="dxa"/>
            <w:vAlign w:val="bottom"/>
            <w:gridSpan w:val="6"/>
          </w:tcPr>
          <w:p>
            <w:pPr>
              <w:ind w:left="60"/>
              <w:spacing w:after="0"/>
              <w:rPr>
                <w:sz w:val="20"/>
                <w:szCs w:val="20"/>
                <w:color w:val="auto"/>
              </w:rPr>
            </w:pPr>
            <w:r>
              <w:rPr>
                <w:rFonts w:ascii="Arial" w:cs="Arial" w:eastAsia="Arial" w:hAnsi="Arial"/>
                <w:sz w:val="20"/>
                <w:szCs w:val="20"/>
                <w:color w:val="auto"/>
                <w:w w:val="93"/>
              </w:rPr>
              <w:t>Termination for Material Breach</w:t>
            </w:r>
          </w:p>
        </w:tc>
        <w:tc>
          <w:tcPr>
            <w:tcW w:w="860" w:type="dxa"/>
            <w:vAlign w:val="bottom"/>
          </w:tcPr>
          <w:p>
            <w:pPr>
              <w:jc w:val="right"/>
              <w:ind w:right="441"/>
              <w:spacing w:after="0"/>
              <w:rPr>
                <w:sz w:val="20"/>
                <w:szCs w:val="20"/>
                <w:color w:val="auto"/>
              </w:rPr>
            </w:pPr>
            <w:r>
              <w:rPr>
                <w:rFonts w:ascii="Arial" w:cs="Arial" w:eastAsia="Arial" w:hAnsi="Arial"/>
                <w:sz w:val="20"/>
                <w:szCs w:val="20"/>
                <w:color w:val="auto"/>
              </w:rPr>
              <w:t>91</w:t>
            </w: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18.3</w:t>
            </w:r>
          </w:p>
        </w:tc>
        <w:tc>
          <w:tcPr>
            <w:tcW w:w="2420" w:type="dxa"/>
            <w:vAlign w:val="bottom"/>
            <w:gridSpan w:val="5"/>
          </w:tcPr>
          <w:p>
            <w:pPr>
              <w:ind w:left="60"/>
              <w:spacing w:after="0"/>
              <w:rPr>
                <w:sz w:val="20"/>
                <w:szCs w:val="20"/>
                <w:color w:val="auto"/>
              </w:rPr>
            </w:pPr>
            <w:r>
              <w:rPr>
                <w:rFonts w:ascii="Arial" w:cs="Arial" w:eastAsia="Arial" w:hAnsi="Arial"/>
                <w:sz w:val="20"/>
                <w:szCs w:val="20"/>
                <w:color w:val="auto"/>
                <w:w w:val="91"/>
              </w:rPr>
              <w:t>Termination for Convenience</w:t>
            </w:r>
          </w:p>
        </w:tc>
        <w:tc>
          <w:tcPr>
            <w:tcW w:w="1140" w:type="dxa"/>
            <w:vAlign w:val="bottom"/>
            <w:gridSpan w:val="2"/>
          </w:tcPr>
          <w:p>
            <w:pPr>
              <w:jc w:val="right"/>
              <w:ind w:right="681"/>
              <w:spacing w:after="0"/>
              <w:rPr>
                <w:sz w:val="20"/>
                <w:szCs w:val="20"/>
                <w:color w:val="auto"/>
              </w:rPr>
            </w:pPr>
            <w:r>
              <w:rPr>
                <w:rFonts w:ascii="Arial" w:cs="Arial" w:eastAsia="Arial" w:hAnsi="Arial"/>
                <w:sz w:val="20"/>
                <w:szCs w:val="20"/>
                <w:color w:val="auto"/>
              </w:rPr>
              <w:t>92</w:t>
            </w:r>
          </w:p>
        </w:tc>
        <w:tc>
          <w:tcPr>
            <w:tcW w:w="374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18.4</w:t>
            </w:r>
          </w:p>
        </w:tc>
        <w:tc>
          <w:tcPr>
            <w:tcW w:w="2700" w:type="dxa"/>
            <w:vAlign w:val="bottom"/>
            <w:gridSpan w:val="6"/>
          </w:tcPr>
          <w:p>
            <w:pPr>
              <w:ind w:left="60"/>
              <w:spacing w:after="0"/>
              <w:rPr>
                <w:sz w:val="20"/>
                <w:szCs w:val="20"/>
                <w:color w:val="auto"/>
              </w:rPr>
            </w:pPr>
            <w:r>
              <w:rPr>
                <w:rFonts w:ascii="Arial" w:cs="Arial" w:eastAsia="Arial" w:hAnsi="Arial"/>
                <w:sz w:val="20"/>
                <w:szCs w:val="20"/>
                <w:color w:val="auto"/>
                <w:w w:val="97"/>
              </w:rPr>
              <w:t>Termination for Force Majeure</w:t>
            </w:r>
          </w:p>
        </w:tc>
        <w:tc>
          <w:tcPr>
            <w:tcW w:w="860" w:type="dxa"/>
            <w:vAlign w:val="bottom"/>
          </w:tcPr>
          <w:p>
            <w:pPr>
              <w:jc w:val="right"/>
              <w:ind w:right="561"/>
              <w:spacing w:after="0"/>
              <w:rPr>
                <w:sz w:val="20"/>
                <w:szCs w:val="20"/>
                <w:color w:val="auto"/>
              </w:rPr>
            </w:pPr>
            <w:r>
              <w:rPr>
                <w:rFonts w:ascii="Arial" w:cs="Arial" w:eastAsia="Arial" w:hAnsi="Arial"/>
                <w:sz w:val="20"/>
                <w:szCs w:val="20"/>
                <w:color w:val="auto"/>
                <w:w w:val="80"/>
              </w:rPr>
              <w:t>92</w:t>
            </w: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18.5</w:t>
            </w:r>
          </w:p>
        </w:tc>
        <w:tc>
          <w:tcPr>
            <w:tcW w:w="2420" w:type="dxa"/>
            <w:vAlign w:val="bottom"/>
            <w:gridSpan w:val="5"/>
          </w:tcPr>
          <w:p>
            <w:pPr>
              <w:ind w:left="60"/>
              <w:spacing w:after="0"/>
              <w:rPr>
                <w:sz w:val="20"/>
                <w:szCs w:val="20"/>
                <w:color w:val="auto"/>
              </w:rPr>
            </w:pPr>
            <w:r>
              <w:rPr>
                <w:rFonts w:ascii="Arial" w:cs="Arial" w:eastAsia="Arial" w:hAnsi="Arial"/>
                <w:sz w:val="20"/>
                <w:szCs w:val="20"/>
                <w:color w:val="auto"/>
                <w:w w:val="97"/>
              </w:rPr>
              <w:t>Termination for Bankruptcy</w:t>
            </w:r>
          </w:p>
        </w:tc>
        <w:tc>
          <w:tcPr>
            <w:tcW w:w="280" w:type="dxa"/>
            <w:vAlign w:val="bottom"/>
          </w:tcPr>
          <w:p>
            <w:pPr>
              <w:jc w:val="right"/>
              <w:spacing w:after="0"/>
              <w:rPr>
                <w:sz w:val="20"/>
                <w:szCs w:val="20"/>
                <w:color w:val="auto"/>
              </w:rPr>
            </w:pPr>
            <w:r>
              <w:rPr>
                <w:rFonts w:ascii="Arial" w:cs="Arial" w:eastAsia="Arial" w:hAnsi="Arial"/>
                <w:sz w:val="20"/>
                <w:szCs w:val="20"/>
                <w:color w:val="auto"/>
                <w:w w:val="98"/>
              </w:rPr>
              <w:t>92</w:t>
            </w: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18.6</w:t>
            </w:r>
          </w:p>
        </w:tc>
        <w:tc>
          <w:tcPr>
            <w:tcW w:w="2700" w:type="dxa"/>
            <w:vAlign w:val="bottom"/>
            <w:gridSpan w:val="6"/>
          </w:tcPr>
          <w:p>
            <w:pPr>
              <w:ind w:left="60"/>
              <w:spacing w:after="0"/>
              <w:rPr>
                <w:sz w:val="20"/>
                <w:szCs w:val="20"/>
                <w:color w:val="auto"/>
              </w:rPr>
            </w:pPr>
            <w:r>
              <w:rPr>
                <w:rFonts w:ascii="Arial" w:cs="Arial" w:eastAsia="Arial" w:hAnsi="Arial"/>
                <w:sz w:val="20"/>
                <w:szCs w:val="20"/>
                <w:color w:val="auto"/>
                <w:w w:val="89"/>
              </w:rPr>
              <w:t>Termination for Patent Challenge</w:t>
            </w:r>
          </w:p>
        </w:tc>
        <w:tc>
          <w:tcPr>
            <w:tcW w:w="860" w:type="dxa"/>
            <w:vAlign w:val="bottom"/>
          </w:tcPr>
          <w:p>
            <w:pPr>
              <w:ind w:left="180"/>
              <w:spacing w:after="0"/>
              <w:rPr>
                <w:sz w:val="20"/>
                <w:szCs w:val="20"/>
                <w:color w:val="auto"/>
              </w:rPr>
            </w:pPr>
            <w:r>
              <w:rPr>
                <w:rFonts w:ascii="Arial" w:cs="Arial" w:eastAsia="Arial" w:hAnsi="Arial"/>
                <w:sz w:val="20"/>
                <w:szCs w:val="20"/>
                <w:color w:val="auto"/>
              </w:rPr>
              <w:t>92</w:t>
            </w:r>
          </w:p>
        </w:tc>
        <w:tc>
          <w:tcPr>
            <w:tcW w:w="374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18.7</w:t>
            </w:r>
          </w:p>
        </w:tc>
        <w:tc>
          <w:tcPr>
            <w:tcW w:w="3560" w:type="dxa"/>
            <w:vAlign w:val="bottom"/>
            <w:gridSpan w:val="7"/>
          </w:tcPr>
          <w:p>
            <w:pPr>
              <w:ind w:left="60"/>
              <w:spacing w:after="0"/>
              <w:rPr>
                <w:sz w:val="20"/>
                <w:szCs w:val="20"/>
                <w:color w:val="auto"/>
              </w:rPr>
            </w:pPr>
            <w:r>
              <w:rPr>
                <w:rFonts w:ascii="Arial" w:cs="Arial" w:eastAsia="Arial" w:hAnsi="Arial"/>
                <w:sz w:val="20"/>
                <w:szCs w:val="20"/>
                <w:color w:val="auto"/>
                <w:w w:val="93"/>
              </w:rPr>
              <w:t>Termination by Gilead for Safety Reasons</w:t>
            </w:r>
          </w:p>
        </w:tc>
        <w:tc>
          <w:tcPr>
            <w:tcW w:w="3740" w:type="dxa"/>
            <w:vAlign w:val="bottom"/>
          </w:tcPr>
          <w:p>
            <w:pPr>
              <w:jc w:val="right"/>
              <w:ind w:right="3421"/>
              <w:spacing w:after="0"/>
              <w:rPr>
                <w:sz w:val="20"/>
                <w:szCs w:val="20"/>
                <w:color w:val="auto"/>
              </w:rPr>
            </w:pPr>
            <w:r>
              <w:rPr>
                <w:rFonts w:ascii="Arial" w:cs="Arial" w:eastAsia="Arial" w:hAnsi="Arial"/>
                <w:sz w:val="20"/>
                <w:szCs w:val="20"/>
                <w:color w:val="auto"/>
                <w:w w:val="89"/>
              </w:rPr>
              <w:t>93</w:t>
            </w: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18.8</w:t>
            </w:r>
          </w:p>
        </w:tc>
        <w:tc>
          <w:tcPr>
            <w:tcW w:w="3560" w:type="dxa"/>
            <w:vAlign w:val="bottom"/>
            <w:gridSpan w:val="7"/>
          </w:tcPr>
          <w:p>
            <w:pPr>
              <w:ind w:left="40"/>
              <w:spacing w:after="0"/>
              <w:rPr>
                <w:sz w:val="20"/>
                <w:szCs w:val="20"/>
                <w:color w:val="auto"/>
              </w:rPr>
            </w:pPr>
            <w:r>
              <w:rPr>
                <w:rFonts w:ascii="Arial" w:cs="Arial" w:eastAsia="Arial" w:hAnsi="Arial"/>
                <w:sz w:val="20"/>
                <w:szCs w:val="20"/>
                <w:color w:val="auto"/>
                <w:w w:val="93"/>
              </w:rPr>
              <w:t>Alternative Remedy in Lieu of Termination</w:t>
            </w:r>
          </w:p>
        </w:tc>
        <w:tc>
          <w:tcPr>
            <w:tcW w:w="3740" w:type="dxa"/>
            <w:vAlign w:val="bottom"/>
          </w:tcPr>
          <w:p>
            <w:pPr>
              <w:jc w:val="right"/>
              <w:ind w:right="3321"/>
              <w:spacing w:after="0"/>
              <w:rPr>
                <w:sz w:val="20"/>
                <w:szCs w:val="20"/>
                <w:color w:val="auto"/>
              </w:rPr>
            </w:pPr>
            <w:r>
              <w:rPr>
                <w:rFonts w:ascii="Arial" w:cs="Arial" w:eastAsia="Arial" w:hAnsi="Arial"/>
                <w:sz w:val="20"/>
                <w:szCs w:val="20"/>
                <w:color w:val="auto"/>
              </w:rPr>
              <w:t>93</w:t>
            </w:r>
          </w:p>
        </w:tc>
      </w:tr>
      <w:tr>
        <w:trPr>
          <w:trHeight w:val="297"/>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rPr>
              <w:t>18.9</w:t>
            </w:r>
          </w:p>
        </w:tc>
        <w:tc>
          <w:tcPr>
            <w:tcW w:w="1940" w:type="dxa"/>
            <w:vAlign w:val="bottom"/>
            <w:gridSpan w:val="4"/>
          </w:tcPr>
          <w:p>
            <w:pPr>
              <w:ind w:left="60"/>
              <w:spacing w:after="0"/>
              <w:rPr>
                <w:sz w:val="20"/>
                <w:szCs w:val="20"/>
                <w:color w:val="auto"/>
              </w:rPr>
            </w:pPr>
            <w:r>
              <w:rPr>
                <w:rFonts w:ascii="Arial" w:cs="Arial" w:eastAsia="Arial" w:hAnsi="Arial"/>
                <w:sz w:val="20"/>
                <w:szCs w:val="20"/>
                <w:color w:val="auto"/>
                <w:w w:val="92"/>
              </w:rPr>
              <w:t>Effects of Termination.</w:t>
            </w:r>
          </w:p>
        </w:tc>
        <w:tc>
          <w:tcPr>
            <w:tcW w:w="480" w:type="dxa"/>
            <w:vAlign w:val="bottom"/>
          </w:tcPr>
          <w:p>
            <w:pPr>
              <w:jc w:val="right"/>
              <w:ind w:right="41"/>
              <w:spacing w:after="0"/>
              <w:rPr>
                <w:sz w:val="20"/>
                <w:szCs w:val="20"/>
                <w:color w:val="auto"/>
              </w:rPr>
            </w:pPr>
            <w:r>
              <w:rPr>
                <w:rFonts w:ascii="Arial" w:cs="Arial" w:eastAsia="Arial" w:hAnsi="Arial"/>
                <w:sz w:val="20"/>
                <w:szCs w:val="20"/>
                <w:color w:val="auto"/>
              </w:rPr>
              <w:t>94</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20"/>
                <w:szCs w:val="20"/>
                <w:color w:val="auto"/>
                <w:w w:val="91"/>
              </w:rPr>
              <w:t>18.10</w:t>
            </w:r>
          </w:p>
        </w:tc>
        <w:tc>
          <w:tcPr>
            <w:tcW w:w="1940" w:type="dxa"/>
            <w:vAlign w:val="bottom"/>
            <w:gridSpan w:val="4"/>
          </w:tcPr>
          <w:p>
            <w:pPr>
              <w:jc w:val="center"/>
              <w:spacing w:after="0"/>
              <w:rPr>
                <w:sz w:val="20"/>
                <w:szCs w:val="20"/>
                <w:color w:val="auto"/>
              </w:rPr>
            </w:pPr>
            <w:r>
              <w:rPr>
                <w:rFonts w:ascii="Arial" w:cs="Arial" w:eastAsia="Arial" w:hAnsi="Arial"/>
                <w:sz w:val="20"/>
                <w:szCs w:val="20"/>
                <w:color w:val="auto"/>
                <w:w w:val="92"/>
              </w:rPr>
              <w:t>Surviving Provisions</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96</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60" w:lineRule="exact"/>
        <w:rPr>
          <w:sz w:val="20"/>
          <w:szCs w:val="20"/>
          <w:color w:val="auto"/>
        </w:rPr>
      </w:pPr>
    </w:p>
    <w:p>
      <w:pPr>
        <w:ind w:left="660" w:right="6279" w:hanging="657"/>
        <w:spacing w:after="0" w:line="316" w:lineRule="auto"/>
        <w:tabs>
          <w:tab w:leader="none" w:pos="457" w:val="left"/>
        </w:tabs>
        <w:numPr>
          <w:ilvl w:val="0"/>
          <w:numId w:val="57"/>
        </w:numPr>
        <w:rPr>
          <w:rFonts w:ascii="Arial" w:cs="Arial" w:eastAsia="Arial" w:hAnsi="Arial"/>
          <w:sz w:val="20"/>
          <w:szCs w:val="20"/>
          <w:color w:val="auto"/>
        </w:rPr>
      </w:pPr>
      <w:r>
        <w:rPr>
          <w:rFonts w:ascii="Arial" w:cs="Arial" w:eastAsia="Arial" w:hAnsi="Arial"/>
          <w:sz w:val="20"/>
          <w:szCs w:val="20"/>
          <w:color w:val="auto"/>
        </w:rPr>
        <w:t>MISCELLANEOUS 97 19.1 Force Majeure 97</w:t>
      </w:r>
    </w:p>
    <w:p>
      <w:pPr>
        <w:spacing w:after="0" w:line="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19.2  Standstill  97</w:t>
      </w:r>
    </w:p>
    <w:p>
      <w:pPr>
        <w:sectPr>
          <w:pgSz w:w="11900" w:h="16838" w:orient="portrait"/>
          <w:cols w:equalWidth="0" w:num="1">
            <w:col w:w="9039"/>
          </w:cols>
          <w:pgMar w:left="1420" w:top="791" w:right="1440" w:bottom="1440" w:gutter="0" w:footer="0" w:header="0"/>
        </w:sectPr>
      </w:pPr>
    </w:p>
    <w:bookmarkStart w:id="118" w:name="page119"/>
    <w:bookmarkEnd w:id="118"/>
    <w:p>
      <w:pPr>
        <w:jc w:val="center"/>
        <w:ind w:right="580"/>
        <w:spacing w:after="0"/>
        <w:rPr>
          <w:sz w:val="20"/>
          <w:szCs w:val="20"/>
          <w:color w:val="auto"/>
        </w:rPr>
      </w:pPr>
      <w:r>
        <w:rPr>
          <w:rFonts w:ascii="Arial" w:cs="Arial" w:eastAsia="Arial" w:hAnsi="Arial"/>
          <w:sz w:val="20"/>
          <w:szCs w:val="20"/>
          <w:b w:val="1"/>
          <w:bCs w:val="1"/>
          <w:color w:val="auto"/>
        </w:rPr>
        <w:t>TABLE OF CONTENTS</w:t>
      </w:r>
    </w:p>
    <w:p>
      <w:pPr>
        <w:jc w:val="center"/>
        <w:ind w:right="580"/>
        <w:spacing w:after="0"/>
        <w:rPr>
          <w:sz w:val="20"/>
          <w:szCs w:val="20"/>
          <w:color w:val="auto"/>
        </w:rPr>
      </w:pPr>
      <w:r>
        <w:rPr>
          <w:rFonts w:ascii="Arial" w:cs="Arial" w:eastAsia="Arial" w:hAnsi="Arial"/>
          <w:sz w:val="20"/>
          <w:szCs w:val="20"/>
          <w:b w:val="1"/>
          <w:bCs w:val="1"/>
          <w:color w:val="auto"/>
        </w:rPr>
        <w:t>(continued)</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72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05"/>
        </w:trPr>
        <w:tc>
          <w:tcPr>
            <w:tcW w:w="480" w:type="dxa"/>
            <w:vAlign w:val="bottom"/>
          </w:tcPr>
          <w:p>
            <w:pPr>
              <w:spacing w:after="0"/>
              <w:rPr>
                <w:sz w:val="20"/>
                <w:szCs w:val="20"/>
                <w:color w:val="auto"/>
              </w:rPr>
            </w:pPr>
            <w:r>
              <w:rPr>
                <w:rFonts w:ascii="Arial" w:cs="Arial" w:eastAsia="Arial" w:hAnsi="Arial"/>
                <w:sz w:val="20"/>
                <w:szCs w:val="20"/>
                <w:color w:val="auto"/>
              </w:rPr>
              <w:t>19.3</w:t>
            </w:r>
          </w:p>
        </w:tc>
        <w:tc>
          <w:tcPr>
            <w:tcW w:w="8460" w:type="dxa"/>
            <w:vAlign w:val="bottom"/>
            <w:gridSpan w:val="5"/>
          </w:tcPr>
          <w:p>
            <w:pPr>
              <w:ind w:left="60"/>
              <w:spacing w:after="0"/>
              <w:rPr>
                <w:sz w:val="20"/>
                <w:szCs w:val="20"/>
                <w:color w:val="auto"/>
              </w:rPr>
            </w:pPr>
            <w:r>
              <w:rPr>
                <w:rFonts w:ascii="Arial" w:cs="Arial" w:eastAsia="Arial" w:hAnsi="Arial"/>
                <w:sz w:val="20"/>
                <w:szCs w:val="20"/>
                <w:color w:val="auto"/>
              </w:rPr>
              <w:t>Section 365(n) of the Bankruptcy Code  98</w:t>
            </w:r>
          </w:p>
        </w:tc>
      </w:tr>
      <w:tr>
        <w:trPr>
          <w:trHeight w:val="405"/>
        </w:trPr>
        <w:tc>
          <w:tcPr>
            <w:tcW w:w="480" w:type="dxa"/>
            <w:vAlign w:val="bottom"/>
          </w:tcPr>
          <w:p>
            <w:pPr>
              <w:spacing w:after="0"/>
              <w:rPr>
                <w:sz w:val="20"/>
                <w:szCs w:val="20"/>
                <w:color w:val="auto"/>
              </w:rPr>
            </w:pPr>
            <w:r>
              <w:rPr>
                <w:rFonts w:ascii="Arial" w:cs="Arial" w:eastAsia="Arial" w:hAnsi="Arial"/>
                <w:sz w:val="20"/>
                <w:szCs w:val="20"/>
                <w:color w:val="auto"/>
              </w:rPr>
              <w:t>19.4</w:t>
            </w:r>
          </w:p>
        </w:tc>
        <w:tc>
          <w:tcPr>
            <w:tcW w:w="2740" w:type="dxa"/>
            <w:vAlign w:val="bottom"/>
            <w:gridSpan w:val="4"/>
          </w:tcPr>
          <w:p>
            <w:pPr>
              <w:ind w:left="60"/>
              <w:spacing w:after="0"/>
              <w:rPr>
                <w:sz w:val="20"/>
                <w:szCs w:val="20"/>
                <w:color w:val="auto"/>
              </w:rPr>
            </w:pPr>
            <w:r>
              <w:rPr>
                <w:rFonts w:ascii="Arial" w:cs="Arial" w:eastAsia="Arial" w:hAnsi="Arial"/>
                <w:sz w:val="20"/>
                <w:szCs w:val="20"/>
                <w:color w:val="auto"/>
                <w:w w:val="95"/>
              </w:rPr>
              <w:t>Assignment; Change of Control</w:t>
            </w:r>
          </w:p>
        </w:tc>
        <w:tc>
          <w:tcPr>
            <w:tcW w:w="5720" w:type="dxa"/>
            <w:vAlign w:val="bottom"/>
          </w:tcPr>
          <w:p>
            <w:pPr>
              <w:jc w:val="right"/>
              <w:ind w:right="5381"/>
              <w:spacing w:after="0"/>
              <w:rPr>
                <w:sz w:val="20"/>
                <w:szCs w:val="20"/>
                <w:color w:val="auto"/>
              </w:rPr>
            </w:pPr>
            <w:r>
              <w:rPr>
                <w:rFonts w:ascii="Arial" w:cs="Arial" w:eastAsia="Arial" w:hAnsi="Arial"/>
                <w:sz w:val="20"/>
                <w:szCs w:val="20"/>
                <w:color w:val="auto"/>
                <w:w w:val="98"/>
              </w:rPr>
              <w:t>99</w:t>
            </w:r>
          </w:p>
        </w:tc>
      </w:tr>
      <w:tr>
        <w:trPr>
          <w:trHeight w:val="310"/>
        </w:trPr>
        <w:tc>
          <w:tcPr>
            <w:tcW w:w="480" w:type="dxa"/>
            <w:vAlign w:val="bottom"/>
          </w:tcPr>
          <w:p>
            <w:pPr>
              <w:spacing w:after="0"/>
              <w:rPr>
                <w:sz w:val="20"/>
                <w:szCs w:val="20"/>
                <w:color w:val="auto"/>
              </w:rPr>
            </w:pPr>
            <w:r>
              <w:rPr>
                <w:rFonts w:ascii="Arial" w:cs="Arial" w:eastAsia="Arial" w:hAnsi="Arial"/>
                <w:sz w:val="20"/>
                <w:szCs w:val="20"/>
                <w:color w:val="auto"/>
              </w:rPr>
              <w:t>19.5</w:t>
            </w:r>
          </w:p>
        </w:tc>
        <w:tc>
          <w:tcPr>
            <w:tcW w:w="1200" w:type="dxa"/>
            <w:vAlign w:val="bottom"/>
            <w:gridSpan w:val="2"/>
          </w:tcPr>
          <w:p>
            <w:pPr>
              <w:ind w:left="60"/>
              <w:spacing w:after="0"/>
              <w:rPr>
                <w:sz w:val="20"/>
                <w:szCs w:val="20"/>
                <w:color w:val="auto"/>
              </w:rPr>
            </w:pPr>
            <w:r>
              <w:rPr>
                <w:rFonts w:ascii="Arial" w:cs="Arial" w:eastAsia="Arial" w:hAnsi="Arial"/>
                <w:sz w:val="20"/>
                <w:szCs w:val="20"/>
                <w:color w:val="auto"/>
              </w:rPr>
              <w:t>Severability</w:t>
            </w:r>
          </w:p>
        </w:tc>
        <w:tc>
          <w:tcPr>
            <w:tcW w:w="1060" w:type="dxa"/>
            <w:vAlign w:val="bottom"/>
          </w:tcPr>
          <w:p>
            <w:pPr>
              <w:jc w:val="right"/>
              <w:ind w:right="661"/>
              <w:spacing w:after="0"/>
              <w:rPr>
                <w:sz w:val="20"/>
                <w:szCs w:val="20"/>
                <w:color w:val="auto"/>
              </w:rPr>
            </w:pPr>
            <w:r>
              <w:rPr>
                <w:rFonts w:ascii="Arial" w:cs="Arial" w:eastAsia="Arial" w:hAnsi="Arial"/>
                <w:sz w:val="20"/>
                <w:szCs w:val="20"/>
                <w:color w:val="auto"/>
                <w:w w:val="83"/>
              </w:rPr>
              <w:t>100</w:t>
            </w:r>
          </w:p>
        </w:tc>
        <w:tc>
          <w:tcPr>
            <w:tcW w:w="48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311"/>
        </w:trPr>
        <w:tc>
          <w:tcPr>
            <w:tcW w:w="480" w:type="dxa"/>
            <w:vAlign w:val="bottom"/>
          </w:tcPr>
          <w:p>
            <w:pPr>
              <w:spacing w:after="0"/>
              <w:rPr>
                <w:sz w:val="20"/>
                <w:szCs w:val="20"/>
                <w:color w:val="auto"/>
              </w:rPr>
            </w:pPr>
            <w:r>
              <w:rPr>
                <w:rFonts w:ascii="Arial" w:cs="Arial" w:eastAsia="Arial" w:hAnsi="Arial"/>
                <w:sz w:val="20"/>
                <w:szCs w:val="20"/>
                <w:color w:val="auto"/>
              </w:rPr>
              <w:t>19.6</w:t>
            </w:r>
          </w:p>
        </w:tc>
        <w:tc>
          <w:tcPr>
            <w:tcW w:w="840" w:type="dxa"/>
            <w:vAlign w:val="bottom"/>
          </w:tcPr>
          <w:p>
            <w:pPr>
              <w:ind w:left="60"/>
              <w:spacing w:after="0"/>
              <w:rPr>
                <w:sz w:val="20"/>
                <w:szCs w:val="20"/>
                <w:color w:val="auto"/>
              </w:rPr>
            </w:pPr>
            <w:r>
              <w:rPr>
                <w:rFonts w:ascii="Arial" w:cs="Arial" w:eastAsia="Arial" w:hAnsi="Arial"/>
                <w:sz w:val="20"/>
                <w:szCs w:val="20"/>
                <w:color w:val="auto"/>
              </w:rPr>
              <w:t>Notices</w:t>
            </w:r>
          </w:p>
        </w:tc>
        <w:tc>
          <w:tcPr>
            <w:tcW w:w="360" w:type="dxa"/>
            <w:vAlign w:val="bottom"/>
          </w:tcPr>
          <w:p>
            <w:pPr>
              <w:jc w:val="right"/>
              <w:spacing w:after="0"/>
              <w:rPr>
                <w:sz w:val="20"/>
                <w:szCs w:val="20"/>
                <w:color w:val="auto"/>
              </w:rPr>
            </w:pPr>
            <w:r>
              <w:rPr>
                <w:rFonts w:ascii="Arial" w:cs="Arial" w:eastAsia="Arial" w:hAnsi="Arial"/>
                <w:sz w:val="20"/>
                <w:szCs w:val="20"/>
                <w:color w:val="auto"/>
                <w:w w:val="89"/>
              </w:rPr>
              <w:t>100</w:t>
            </w: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297"/>
        </w:trPr>
        <w:tc>
          <w:tcPr>
            <w:tcW w:w="480" w:type="dxa"/>
            <w:vAlign w:val="bottom"/>
          </w:tcPr>
          <w:p>
            <w:pPr>
              <w:spacing w:after="0"/>
              <w:rPr>
                <w:sz w:val="20"/>
                <w:szCs w:val="20"/>
                <w:color w:val="auto"/>
              </w:rPr>
            </w:pPr>
            <w:r>
              <w:rPr>
                <w:rFonts w:ascii="Arial" w:cs="Arial" w:eastAsia="Arial" w:hAnsi="Arial"/>
                <w:sz w:val="20"/>
                <w:szCs w:val="20"/>
                <w:color w:val="auto"/>
              </w:rPr>
              <w:t>19.7</w:t>
            </w:r>
          </w:p>
        </w:tc>
        <w:tc>
          <w:tcPr>
            <w:tcW w:w="8460" w:type="dxa"/>
            <w:vAlign w:val="bottom"/>
            <w:gridSpan w:val="5"/>
          </w:tcPr>
          <w:p>
            <w:pPr>
              <w:ind w:left="40"/>
              <w:spacing w:after="0"/>
              <w:rPr>
                <w:sz w:val="20"/>
                <w:szCs w:val="20"/>
                <w:color w:val="auto"/>
              </w:rPr>
            </w:pPr>
            <w:r>
              <w:rPr>
                <w:rFonts w:ascii="Arial" w:cs="Arial" w:eastAsia="Arial" w:hAnsi="Arial"/>
                <w:sz w:val="20"/>
                <w:szCs w:val="20"/>
                <w:color w:val="auto"/>
              </w:rPr>
              <w:t>Applicable Intellectual Property Law/Governing Law  100</w:t>
            </w:r>
          </w:p>
        </w:tc>
      </w:tr>
      <w:tr>
        <w:trPr>
          <w:trHeight w:val="311"/>
        </w:trPr>
        <w:tc>
          <w:tcPr>
            <w:tcW w:w="480" w:type="dxa"/>
            <w:vAlign w:val="bottom"/>
          </w:tcPr>
          <w:p>
            <w:pPr>
              <w:spacing w:after="0"/>
              <w:rPr>
                <w:sz w:val="20"/>
                <w:szCs w:val="20"/>
                <w:color w:val="auto"/>
              </w:rPr>
            </w:pPr>
            <w:r>
              <w:rPr>
                <w:rFonts w:ascii="Arial" w:cs="Arial" w:eastAsia="Arial" w:hAnsi="Arial"/>
                <w:sz w:val="20"/>
                <w:szCs w:val="20"/>
                <w:color w:val="auto"/>
              </w:rPr>
              <w:t>19.8</w:t>
            </w:r>
          </w:p>
        </w:tc>
        <w:tc>
          <w:tcPr>
            <w:tcW w:w="2740" w:type="dxa"/>
            <w:vAlign w:val="bottom"/>
            <w:gridSpan w:val="4"/>
          </w:tcPr>
          <w:p>
            <w:pPr>
              <w:ind w:left="60"/>
              <w:spacing w:after="0"/>
              <w:rPr>
                <w:sz w:val="20"/>
                <w:szCs w:val="20"/>
                <w:color w:val="auto"/>
              </w:rPr>
            </w:pPr>
            <w:r>
              <w:rPr>
                <w:rFonts w:ascii="Arial" w:cs="Arial" w:eastAsia="Arial" w:hAnsi="Arial"/>
                <w:sz w:val="20"/>
                <w:szCs w:val="20"/>
                <w:color w:val="auto"/>
                <w:w w:val="93"/>
              </w:rPr>
              <w:t>Entire Agreement; Amendments</w:t>
            </w:r>
          </w:p>
        </w:tc>
        <w:tc>
          <w:tcPr>
            <w:tcW w:w="5720" w:type="dxa"/>
            <w:vAlign w:val="bottom"/>
          </w:tcPr>
          <w:p>
            <w:pPr>
              <w:jc w:val="right"/>
              <w:ind w:right="5241"/>
              <w:spacing w:after="0"/>
              <w:rPr>
                <w:sz w:val="20"/>
                <w:szCs w:val="20"/>
                <w:color w:val="auto"/>
              </w:rPr>
            </w:pPr>
            <w:r>
              <w:rPr>
                <w:rFonts w:ascii="Arial" w:cs="Arial" w:eastAsia="Arial" w:hAnsi="Arial"/>
                <w:sz w:val="20"/>
                <w:szCs w:val="20"/>
                <w:color w:val="auto"/>
              </w:rPr>
              <w:t>101</w:t>
            </w:r>
          </w:p>
        </w:tc>
      </w:tr>
      <w:tr>
        <w:trPr>
          <w:trHeight w:val="310"/>
        </w:trPr>
        <w:tc>
          <w:tcPr>
            <w:tcW w:w="480" w:type="dxa"/>
            <w:vAlign w:val="bottom"/>
          </w:tcPr>
          <w:p>
            <w:pPr>
              <w:spacing w:after="0"/>
              <w:rPr>
                <w:sz w:val="20"/>
                <w:szCs w:val="20"/>
                <w:color w:val="auto"/>
              </w:rPr>
            </w:pPr>
            <w:r>
              <w:rPr>
                <w:rFonts w:ascii="Arial" w:cs="Arial" w:eastAsia="Arial" w:hAnsi="Arial"/>
                <w:sz w:val="20"/>
                <w:szCs w:val="20"/>
                <w:color w:val="auto"/>
              </w:rPr>
              <w:t>19.9</w:t>
            </w:r>
          </w:p>
        </w:tc>
        <w:tc>
          <w:tcPr>
            <w:tcW w:w="840" w:type="dxa"/>
            <w:vAlign w:val="bottom"/>
          </w:tcPr>
          <w:p>
            <w:pPr>
              <w:ind w:left="60"/>
              <w:spacing w:after="0"/>
              <w:rPr>
                <w:sz w:val="20"/>
                <w:szCs w:val="20"/>
                <w:color w:val="auto"/>
              </w:rPr>
            </w:pPr>
            <w:r>
              <w:rPr>
                <w:rFonts w:ascii="Arial" w:cs="Arial" w:eastAsia="Arial" w:hAnsi="Arial"/>
                <w:sz w:val="20"/>
                <w:szCs w:val="20"/>
                <w:color w:val="auto"/>
                <w:w w:val="89"/>
              </w:rPr>
              <w:t>Headings</w:t>
            </w:r>
          </w:p>
        </w:tc>
        <w:tc>
          <w:tcPr>
            <w:tcW w:w="1420" w:type="dxa"/>
            <w:vAlign w:val="bottom"/>
            <w:gridSpan w:val="2"/>
          </w:tcPr>
          <w:p>
            <w:pPr>
              <w:jc w:val="right"/>
              <w:ind w:right="861"/>
              <w:spacing w:after="0"/>
              <w:rPr>
                <w:sz w:val="20"/>
                <w:szCs w:val="20"/>
                <w:color w:val="auto"/>
              </w:rPr>
            </w:pPr>
            <w:r>
              <w:rPr>
                <w:rFonts w:ascii="Arial" w:cs="Arial" w:eastAsia="Arial" w:hAnsi="Arial"/>
                <w:sz w:val="20"/>
                <w:szCs w:val="20"/>
                <w:color w:val="auto"/>
              </w:rPr>
              <w:t>101</w:t>
            </w:r>
          </w:p>
        </w:tc>
        <w:tc>
          <w:tcPr>
            <w:tcW w:w="48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297"/>
        </w:trPr>
        <w:tc>
          <w:tcPr>
            <w:tcW w:w="480" w:type="dxa"/>
            <w:vAlign w:val="bottom"/>
          </w:tcPr>
          <w:p>
            <w:pPr>
              <w:spacing w:after="0"/>
              <w:rPr>
                <w:sz w:val="20"/>
                <w:szCs w:val="20"/>
                <w:color w:val="auto"/>
              </w:rPr>
            </w:pPr>
            <w:r>
              <w:rPr>
                <w:rFonts w:ascii="Arial" w:cs="Arial" w:eastAsia="Arial" w:hAnsi="Arial"/>
                <w:sz w:val="20"/>
                <w:szCs w:val="20"/>
                <w:color w:val="auto"/>
                <w:w w:val="91"/>
              </w:rPr>
              <w:t>19.10</w:t>
            </w:r>
          </w:p>
        </w:tc>
        <w:tc>
          <w:tcPr>
            <w:tcW w:w="2260" w:type="dxa"/>
            <w:vAlign w:val="bottom"/>
            <w:gridSpan w:val="3"/>
          </w:tcPr>
          <w:p>
            <w:pPr>
              <w:ind w:left="160"/>
              <w:spacing w:after="0"/>
              <w:rPr>
                <w:sz w:val="20"/>
                <w:szCs w:val="20"/>
                <w:color w:val="auto"/>
              </w:rPr>
            </w:pPr>
            <w:r>
              <w:rPr>
                <w:rFonts w:ascii="Arial" w:cs="Arial" w:eastAsia="Arial" w:hAnsi="Arial"/>
                <w:sz w:val="20"/>
                <w:szCs w:val="20"/>
                <w:color w:val="auto"/>
                <w:w w:val="94"/>
              </w:rPr>
              <w:t>Independent Contractors</w:t>
            </w:r>
          </w:p>
        </w:tc>
        <w:tc>
          <w:tcPr>
            <w:tcW w:w="480" w:type="dxa"/>
            <w:vAlign w:val="bottom"/>
          </w:tcPr>
          <w:p>
            <w:pPr>
              <w:jc w:val="right"/>
              <w:ind w:right="41"/>
              <w:spacing w:after="0"/>
              <w:rPr>
                <w:sz w:val="20"/>
                <w:szCs w:val="20"/>
                <w:color w:val="auto"/>
              </w:rPr>
            </w:pPr>
            <w:r>
              <w:rPr>
                <w:rFonts w:ascii="Arial" w:cs="Arial" w:eastAsia="Arial" w:hAnsi="Arial"/>
                <w:sz w:val="20"/>
                <w:szCs w:val="20"/>
                <w:color w:val="auto"/>
                <w:w w:val="95"/>
              </w:rPr>
              <w:t>101</w:t>
            </w:r>
          </w:p>
        </w:tc>
        <w:tc>
          <w:tcPr>
            <w:tcW w:w="5720" w:type="dxa"/>
            <w:vAlign w:val="bottom"/>
          </w:tcPr>
          <w:p>
            <w:pPr>
              <w:spacing w:after="0"/>
              <w:rPr>
                <w:sz w:val="24"/>
                <w:szCs w:val="24"/>
                <w:color w:val="auto"/>
              </w:rPr>
            </w:pPr>
          </w:p>
        </w:tc>
      </w:tr>
      <w:tr>
        <w:trPr>
          <w:trHeight w:val="310"/>
        </w:trPr>
        <w:tc>
          <w:tcPr>
            <w:tcW w:w="480" w:type="dxa"/>
            <w:vAlign w:val="bottom"/>
          </w:tcPr>
          <w:p>
            <w:pPr>
              <w:spacing w:after="0"/>
              <w:rPr>
                <w:sz w:val="20"/>
                <w:szCs w:val="20"/>
                <w:color w:val="auto"/>
              </w:rPr>
            </w:pPr>
            <w:r>
              <w:rPr>
                <w:rFonts w:ascii="Arial" w:cs="Arial" w:eastAsia="Arial" w:hAnsi="Arial"/>
                <w:sz w:val="20"/>
                <w:szCs w:val="20"/>
                <w:color w:val="auto"/>
                <w:w w:val="91"/>
              </w:rPr>
              <w:t>19.11</w:t>
            </w:r>
          </w:p>
        </w:tc>
        <w:tc>
          <w:tcPr>
            <w:tcW w:w="8460" w:type="dxa"/>
            <w:vAlign w:val="bottom"/>
            <w:gridSpan w:val="5"/>
          </w:tcPr>
          <w:p>
            <w:pPr>
              <w:ind w:left="140"/>
              <w:spacing w:after="0"/>
              <w:rPr>
                <w:sz w:val="20"/>
                <w:szCs w:val="20"/>
                <w:color w:val="auto"/>
              </w:rPr>
            </w:pPr>
            <w:r>
              <w:rPr>
                <w:rFonts w:ascii="Arial" w:cs="Arial" w:eastAsia="Arial" w:hAnsi="Arial"/>
                <w:sz w:val="20"/>
                <w:szCs w:val="20"/>
                <w:color w:val="auto"/>
              </w:rPr>
              <w:t>No Third Party Beneficiary Rights  101</w:t>
            </w:r>
          </w:p>
        </w:tc>
      </w:tr>
      <w:tr>
        <w:trPr>
          <w:trHeight w:val="311"/>
        </w:trPr>
        <w:tc>
          <w:tcPr>
            <w:tcW w:w="480" w:type="dxa"/>
            <w:vAlign w:val="bottom"/>
          </w:tcPr>
          <w:p>
            <w:pPr>
              <w:spacing w:after="0"/>
              <w:rPr>
                <w:sz w:val="20"/>
                <w:szCs w:val="20"/>
                <w:color w:val="auto"/>
              </w:rPr>
            </w:pPr>
            <w:r>
              <w:rPr>
                <w:rFonts w:ascii="Arial" w:cs="Arial" w:eastAsia="Arial" w:hAnsi="Arial"/>
                <w:sz w:val="20"/>
                <w:szCs w:val="20"/>
                <w:color w:val="auto"/>
                <w:w w:val="91"/>
              </w:rPr>
              <w:t>19.12</w:t>
            </w:r>
          </w:p>
        </w:tc>
        <w:tc>
          <w:tcPr>
            <w:tcW w:w="2260" w:type="dxa"/>
            <w:vAlign w:val="bottom"/>
            <w:gridSpan w:val="3"/>
          </w:tcPr>
          <w:p>
            <w:pPr>
              <w:ind w:left="160"/>
              <w:spacing w:after="0"/>
              <w:rPr>
                <w:sz w:val="20"/>
                <w:szCs w:val="20"/>
                <w:color w:val="auto"/>
              </w:rPr>
            </w:pPr>
            <w:r>
              <w:rPr>
                <w:rFonts w:ascii="Arial" w:cs="Arial" w:eastAsia="Arial" w:hAnsi="Arial"/>
                <w:sz w:val="20"/>
                <w:szCs w:val="20"/>
                <w:color w:val="auto"/>
                <w:w w:val="93"/>
              </w:rPr>
              <w:t>Performance by Affiliates</w:t>
            </w:r>
          </w:p>
        </w:tc>
        <w:tc>
          <w:tcPr>
            <w:tcW w:w="480" w:type="dxa"/>
            <w:vAlign w:val="bottom"/>
          </w:tcPr>
          <w:p>
            <w:pPr>
              <w:jc w:val="right"/>
              <w:spacing w:after="0"/>
              <w:rPr>
                <w:sz w:val="20"/>
                <w:szCs w:val="20"/>
                <w:color w:val="auto"/>
              </w:rPr>
            </w:pPr>
            <w:r>
              <w:rPr>
                <w:rFonts w:ascii="Arial" w:cs="Arial" w:eastAsia="Arial" w:hAnsi="Arial"/>
                <w:sz w:val="20"/>
                <w:szCs w:val="20"/>
                <w:color w:val="auto"/>
              </w:rPr>
              <w:t>101</w:t>
            </w:r>
          </w:p>
        </w:tc>
        <w:tc>
          <w:tcPr>
            <w:tcW w:w="5720" w:type="dxa"/>
            <w:vAlign w:val="bottom"/>
          </w:tcPr>
          <w:p>
            <w:pPr>
              <w:spacing w:after="0"/>
              <w:rPr>
                <w:sz w:val="24"/>
                <w:szCs w:val="24"/>
                <w:color w:val="auto"/>
              </w:rPr>
            </w:pPr>
          </w:p>
        </w:tc>
      </w:tr>
      <w:tr>
        <w:trPr>
          <w:trHeight w:val="297"/>
        </w:trPr>
        <w:tc>
          <w:tcPr>
            <w:tcW w:w="480" w:type="dxa"/>
            <w:vAlign w:val="bottom"/>
          </w:tcPr>
          <w:p>
            <w:pPr>
              <w:spacing w:after="0"/>
              <w:rPr>
                <w:sz w:val="20"/>
                <w:szCs w:val="20"/>
                <w:color w:val="auto"/>
              </w:rPr>
            </w:pPr>
            <w:r>
              <w:rPr>
                <w:rFonts w:ascii="Arial" w:cs="Arial" w:eastAsia="Arial" w:hAnsi="Arial"/>
                <w:sz w:val="20"/>
                <w:szCs w:val="20"/>
                <w:color w:val="auto"/>
                <w:w w:val="91"/>
              </w:rPr>
              <w:t>19.13</w:t>
            </w:r>
          </w:p>
        </w:tc>
        <w:tc>
          <w:tcPr>
            <w:tcW w:w="840" w:type="dxa"/>
            <w:vAlign w:val="bottom"/>
          </w:tcPr>
          <w:p>
            <w:pPr>
              <w:ind w:left="160"/>
              <w:spacing w:after="0"/>
              <w:rPr>
                <w:sz w:val="20"/>
                <w:szCs w:val="20"/>
                <w:color w:val="auto"/>
              </w:rPr>
            </w:pPr>
            <w:r>
              <w:rPr>
                <w:rFonts w:ascii="Arial" w:cs="Arial" w:eastAsia="Arial" w:hAnsi="Arial"/>
                <w:sz w:val="20"/>
                <w:szCs w:val="20"/>
                <w:color w:val="auto"/>
              </w:rPr>
              <w:t>Waiver</w:t>
            </w:r>
          </w:p>
        </w:tc>
        <w:tc>
          <w:tcPr>
            <w:tcW w:w="1420" w:type="dxa"/>
            <w:vAlign w:val="bottom"/>
            <w:gridSpan w:val="2"/>
          </w:tcPr>
          <w:p>
            <w:pPr>
              <w:jc w:val="right"/>
              <w:ind w:right="941"/>
              <w:spacing w:after="0"/>
              <w:rPr>
                <w:sz w:val="20"/>
                <w:szCs w:val="20"/>
                <w:color w:val="auto"/>
              </w:rPr>
            </w:pPr>
            <w:r>
              <w:rPr>
                <w:rFonts w:ascii="Arial" w:cs="Arial" w:eastAsia="Arial" w:hAnsi="Arial"/>
                <w:sz w:val="20"/>
                <w:szCs w:val="20"/>
                <w:color w:val="auto"/>
              </w:rPr>
              <w:t>101</w:t>
            </w:r>
          </w:p>
        </w:tc>
        <w:tc>
          <w:tcPr>
            <w:tcW w:w="48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311"/>
        </w:trPr>
        <w:tc>
          <w:tcPr>
            <w:tcW w:w="480" w:type="dxa"/>
            <w:vAlign w:val="bottom"/>
          </w:tcPr>
          <w:p>
            <w:pPr>
              <w:spacing w:after="0"/>
              <w:rPr>
                <w:sz w:val="20"/>
                <w:szCs w:val="20"/>
                <w:color w:val="auto"/>
              </w:rPr>
            </w:pPr>
            <w:r>
              <w:rPr>
                <w:rFonts w:ascii="Arial" w:cs="Arial" w:eastAsia="Arial" w:hAnsi="Arial"/>
                <w:sz w:val="20"/>
                <w:szCs w:val="20"/>
                <w:color w:val="auto"/>
                <w:w w:val="91"/>
              </w:rPr>
              <w:t>19.14</w:t>
            </w:r>
          </w:p>
        </w:tc>
        <w:tc>
          <w:tcPr>
            <w:tcW w:w="2740" w:type="dxa"/>
            <w:vAlign w:val="bottom"/>
            <w:gridSpan w:val="4"/>
          </w:tcPr>
          <w:p>
            <w:pPr>
              <w:ind w:left="160"/>
              <w:spacing w:after="0"/>
              <w:rPr>
                <w:sz w:val="20"/>
                <w:szCs w:val="20"/>
                <w:color w:val="auto"/>
              </w:rPr>
            </w:pPr>
            <w:r>
              <w:rPr>
                <w:rFonts w:ascii="Arial" w:cs="Arial" w:eastAsia="Arial" w:hAnsi="Arial"/>
                <w:sz w:val="20"/>
                <w:szCs w:val="20"/>
                <w:color w:val="auto"/>
              </w:rPr>
              <w:t>Cumulative Remedies  101</w:t>
            </w:r>
          </w:p>
        </w:tc>
        <w:tc>
          <w:tcPr>
            <w:tcW w:w="5720" w:type="dxa"/>
            <w:vAlign w:val="bottom"/>
          </w:tcPr>
          <w:p>
            <w:pPr>
              <w:spacing w:after="0"/>
              <w:rPr>
                <w:sz w:val="24"/>
                <w:szCs w:val="24"/>
                <w:color w:val="auto"/>
              </w:rPr>
            </w:pPr>
          </w:p>
        </w:tc>
      </w:tr>
      <w:tr>
        <w:trPr>
          <w:trHeight w:val="297"/>
        </w:trPr>
        <w:tc>
          <w:tcPr>
            <w:tcW w:w="480" w:type="dxa"/>
            <w:vAlign w:val="bottom"/>
          </w:tcPr>
          <w:p>
            <w:pPr>
              <w:spacing w:after="0"/>
              <w:rPr>
                <w:sz w:val="20"/>
                <w:szCs w:val="20"/>
                <w:color w:val="auto"/>
              </w:rPr>
            </w:pPr>
            <w:r>
              <w:rPr>
                <w:rFonts w:ascii="Arial" w:cs="Arial" w:eastAsia="Arial" w:hAnsi="Arial"/>
                <w:sz w:val="20"/>
                <w:szCs w:val="20"/>
                <w:color w:val="auto"/>
                <w:w w:val="91"/>
              </w:rPr>
              <w:t>19.15</w:t>
            </w:r>
          </w:p>
        </w:tc>
        <w:tc>
          <w:tcPr>
            <w:tcW w:w="2740" w:type="dxa"/>
            <w:vAlign w:val="bottom"/>
            <w:gridSpan w:val="4"/>
          </w:tcPr>
          <w:p>
            <w:pPr>
              <w:ind w:left="160"/>
              <w:spacing w:after="0"/>
              <w:rPr>
                <w:sz w:val="20"/>
                <w:szCs w:val="20"/>
                <w:color w:val="auto"/>
              </w:rPr>
            </w:pPr>
            <w:r>
              <w:rPr>
                <w:rFonts w:ascii="Arial" w:cs="Arial" w:eastAsia="Arial" w:hAnsi="Arial"/>
                <w:sz w:val="20"/>
                <w:szCs w:val="20"/>
                <w:color w:val="auto"/>
                <w:w w:val="94"/>
              </w:rPr>
              <w:t>Waiver of Rule of Construction</w:t>
            </w:r>
          </w:p>
        </w:tc>
        <w:tc>
          <w:tcPr>
            <w:tcW w:w="5720" w:type="dxa"/>
            <w:vAlign w:val="bottom"/>
          </w:tcPr>
          <w:p>
            <w:pPr>
              <w:jc w:val="right"/>
              <w:ind w:right="5221"/>
              <w:spacing w:after="0"/>
              <w:rPr>
                <w:sz w:val="20"/>
                <w:szCs w:val="20"/>
                <w:color w:val="auto"/>
              </w:rPr>
            </w:pPr>
            <w:r>
              <w:rPr>
                <w:rFonts w:ascii="Arial" w:cs="Arial" w:eastAsia="Arial" w:hAnsi="Arial"/>
                <w:sz w:val="20"/>
                <w:szCs w:val="20"/>
                <w:color w:val="auto"/>
              </w:rPr>
              <w:t>101</w:t>
            </w:r>
          </w:p>
        </w:tc>
      </w:tr>
      <w:tr>
        <w:trPr>
          <w:trHeight w:val="311"/>
        </w:trPr>
        <w:tc>
          <w:tcPr>
            <w:tcW w:w="480" w:type="dxa"/>
            <w:vAlign w:val="bottom"/>
          </w:tcPr>
          <w:p>
            <w:pPr>
              <w:spacing w:after="0"/>
              <w:rPr>
                <w:sz w:val="20"/>
                <w:szCs w:val="20"/>
                <w:color w:val="auto"/>
              </w:rPr>
            </w:pPr>
            <w:r>
              <w:rPr>
                <w:rFonts w:ascii="Arial" w:cs="Arial" w:eastAsia="Arial" w:hAnsi="Arial"/>
                <w:sz w:val="20"/>
                <w:szCs w:val="20"/>
                <w:color w:val="auto"/>
                <w:w w:val="91"/>
              </w:rPr>
              <w:t>19.16</w:t>
            </w:r>
          </w:p>
        </w:tc>
        <w:tc>
          <w:tcPr>
            <w:tcW w:w="1200" w:type="dxa"/>
            <w:vAlign w:val="bottom"/>
            <w:gridSpan w:val="2"/>
          </w:tcPr>
          <w:p>
            <w:pPr>
              <w:ind w:left="160"/>
              <w:spacing w:after="0"/>
              <w:rPr>
                <w:sz w:val="20"/>
                <w:szCs w:val="20"/>
                <w:color w:val="auto"/>
              </w:rPr>
            </w:pPr>
            <w:r>
              <w:rPr>
                <w:rFonts w:ascii="Arial" w:cs="Arial" w:eastAsia="Arial" w:hAnsi="Arial"/>
                <w:sz w:val="20"/>
                <w:szCs w:val="20"/>
                <w:color w:val="auto"/>
                <w:w w:val="88"/>
              </w:rPr>
              <w:t>Counterparts</w:t>
            </w:r>
          </w:p>
        </w:tc>
        <w:tc>
          <w:tcPr>
            <w:tcW w:w="1060" w:type="dxa"/>
            <w:vAlign w:val="bottom"/>
          </w:tcPr>
          <w:p>
            <w:pPr>
              <w:jc w:val="right"/>
              <w:ind w:right="481"/>
              <w:spacing w:after="0"/>
              <w:rPr>
                <w:sz w:val="20"/>
                <w:szCs w:val="20"/>
                <w:color w:val="auto"/>
              </w:rPr>
            </w:pPr>
            <w:r>
              <w:rPr>
                <w:rFonts w:ascii="Arial" w:cs="Arial" w:eastAsia="Arial" w:hAnsi="Arial"/>
                <w:sz w:val="20"/>
                <w:szCs w:val="20"/>
                <w:color w:val="auto"/>
              </w:rPr>
              <w:t>101</w:t>
            </w:r>
          </w:p>
        </w:tc>
        <w:tc>
          <w:tcPr>
            <w:tcW w:w="48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310"/>
        </w:trPr>
        <w:tc>
          <w:tcPr>
            <w:tcW w:w="480" w:type="dxa"/>
            <w:vAlign w:val="bottom"/>
          </w:tcPr>
          <w:p>
            <w:pPr>
              <w:spacing w:after="0"/>
              <w:rPr>
                <w:sz w:val="20"/>
                <w:szCs w:val="20"/>
                <w:color w:val="auto"/>
              </w:rPr>
            </w:pPr>
            <w:r>
              <w:rPr>
                <w:rFonts w:ascii="Arial" w:cs="Arial" w:eastAsia="Arial" w:hAnsi="Arial"/>
                <w:sz w:val="20"/>
                <w:szCs w:val="20"/>
                <w:color w:val="auto"/>
                <w:w w:val="91"/>
              </w:rPr>
              <w:t>19.17</w:t>
            </w:r>
          </w:p>
        </w:tc>
        <w:tc>
          <w:tcPr>
            <w:tcW w:w="2260" w:type="dxa"/>
            <w:vAlign w:val="bottom"/>
            <w:gridSpan w:val="3"/>
          </w:tcPr>
          <w:p>
            <w:pPr>
              <w:ind w:left="160"/>
              <w:spacing w:after="0"/>
              <w:rPr>
                <w:sz w:val="20"/>
                <w:szCs w:val="20"/>
                <w:color w:val="auto"/>
              </w:rPr>
            </w:pPr>
            <w:r>
              <w:rPr>
                <w:rFonts w:ascii="Arial" w:cs="Arial" w:eastAsia="Arial" w:hAnsi="Arial"/>
                <w:sz w:val="20"/>
                <w:szCs w:val="20"/>
                <w:color w:val="auto"/>
                <w:w w:val="94"/>
              </w:rPr>
              <w:t>Further Assurances  102</w:t>
            </w:r>
          </w:p>
        </w:tc>
        <w:tc>
          <w:tcPr>
            <w:tcW w:w="48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297"/>
        </w:trPr>
        <w:tc>
          <w:tcPr>
            <w:tcW w:w="480" w:type="dxa"/>
            <w:vAlign w:val="bottom"/>
          </w:tcPr>
          <w:p>
            <w:pPr>
              <w:spacing w:after="0"/>
              <w:rPr>
                <w:sz w:val="20"/>
                <w:szCs w:val="20"/>
                <w:color w:val="auto"/>
              </w:rPr>
            </w:pPr>
            <w:r>
              <w:rPr>
                <w:rFonts w:ascii="Arial" w:cs="Arial" w:eastAsia="Arial" w:hAnsi="Arial"/>
                <w:sz w:val="20"/>
                <w:szCs w:val="20"/>
                <w:color w:val="auto"/>
                <w:w w:val="91"/>
              </w:rPr>
              <w:t>19.18</w:t>
            </w:r>
          </w:p>
        </w:tc>
        <w:tc>
          <w:tcPr>
            <w:tcW w:w="1200" w:type="dxa"/>
            <w:vAlign w:val="bottom"/>
            <w:gridSpan w:val="2"/>
          </w:tcPr>
          <w:p>
            <w:pPr>
              <w:ind w:left="160"/>
              <w:spacing w:after="0"/>
              <w:rPr>
                <w:sz w:val="20"/>
                <w:szCs w:val="20"/>
                <w:color w:val="auto"/>
              </w:rPr>
            </w:pPr>
            <w:r>
              <w:rPr>
                <w:rFonts w:ascii="Arial" w:cs="Arial" w:eastAsia="Arial" w:hAnsi="Arial"/>
                <w:sz w:val="20"/>
                <w:szCs w:val="20"/>
                <w:color w:val="auto"/>
                <w:w w:val="90"/>
              </w:rPr>
              <w:t>Construction</w:t>
            </w:r>
          </w:p>
        </w:tc>
        <w:tc>
          <w:tcPr>
            <w:tcW w:w="1060" w:type="dxa"/>
            <w:vAlign w:val="bottom"/>
          </w:tcPr>
          <w:p>
            <w:pPr>
              <w:jc w:val="right"/>
              <w:ind w:right="481"/>
              <w:spacing w:after="0"/>
              <w:rPr>
                <w:sz w:val="20"/>
                <w:szCs w:val="20"/>
                <w:color w:val="auto"/>
              </w:rPr>
            </w:pPr>
            <w:r>
              <w:rPr>
                <w:rFonts w:ascii="Arial" w:cs="Arial" w:eastAsia="Arial" w:hAnsi="Arial"/>
                <w:sz w:val="20"/>
                <w:szCs w:val="20"/>
                <w:color w:val="auto"/>
              </w:rPr>
              <w:t>102</w:t>
            </w:r>
          </w:p>
        </w:tc>
        <w:tc>
          <w:tcPr>
            <w:tcW w:w="480" w:type="dxa"/>
            <w:vAlign w:val="bottom"/>
          </w:tcPr>
          <w:p>
            <w:pPr>
              <w:spacing w:after="0"/>
              <w:rPr>
                <w:sz w:val="24"/>
                <w:szCs w:val="24"/>
                <w:color w:val="auto"/>
              </w:rPr>
            </w:pPr>
          </w:p>
        </w:tc>
        <w:tc>
          <w:tcPr>
            <w:tcW w:w="5720" w:type="dxa"/>
            <w:vAlign w:val="bottom"/>
          </w:tcPr>
          <w:p>
            <w:pPr>
              <w:spacing w:after="0"/>
              <w:rPr>
                <w:sz w:val="24"/>
                <w:szCs w:val="24"/>
                <w:color w:val="auto"/>
              </w:rPr>
            </w:pPr>
          </w:p>
        </w:tc>
      </w:tr>
    </w:tbl>
    <w:p>
      <w:pPr>
        <w:sectPr>
          <w:pgSz w:w="11900" w:h="16838" w:orient="portrait"/>
          <w:cols w:equalWidth="0" w:num="1">
            <w:col w:w="9580"/>
          </w:cols>
          <w:pgMar w:left="1440" w:top="813" w:right="879" w:bottom="1440" w:gutter="0" w:footer="0" w:header="0"/>
        </w:sectPr>
      </w:pPr>
    </w:p>
    <w:bookmarkStart w:id="119" w:name="page120"/>
    <w:bookmarkEnd w:id="119"/>
    <w:p>
      <w:pPr>
        <w:ind w:left="20"/>
        <w:spacing w:after="0"/>
        <w:rPr>
          <w:sz w:val="20"/>
          <w:szCs w:val="20"/>
          <w:color w:val="auto"/>
        </w:rPr>
      </w:pPr>
      <w:r>
        <w:rPr>
          <w:rFonts w:ascii="Arial" w:cs="Arial" w:eastAsia="Arial" w:hAnsi="Arial"/>
          <w:sz w:val="20"/>
          <w:szCs w:val="20"/>
          <w:b w:val="1"/>
          <w:bCs w:val="1"/>
          <w:color w:val="auto"/>
        </w:rPr>
        <w:t>Schedules</w:t>
      </w:r>
    </w:p>
    <w:p>
      <w:pPr>
        <w:spacing w:after="0" w:line="229"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0"/>
          <w:szCs w:val="20"/>
          <w:b w:val="1"/>
          <w:bCs w:val="1"/>
          <w:color w:val="auto"/>
        </w:rPr>
        <w:t>Schedule 1.72</w:t>
      </w:r>
      <w:r>
        <w:rPr>
          <w:sz w:val="20"/>
          <w:szCs w:val="20"/>
          <w:color w:val="auto"/>
        </w:rPr>
        <w:tab/>
      </w:r>
      <w:r>
        <w:rPr>
          <w:rFonts w:ascii="Arial" w:cs="Arial" w:eastAsia="Arial" w:hAnsi="Arial"/>
          <w:sz w:val="16"/>
          <w:szCs w:val="16"/>
          <w:b w:val="1"/>
          <w:bCs w:val="1"/>
          <w:color w:val="auto"/>
        </w:rPr>
        <w:t>Knowledge Parties</w:t>
      </w:r>
    </w:p>
    <w:p>
      <w:pPr>
        <w:spacing w:after="0" w:line="26"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0"/>
          <w:szCs w:val="20"/>
          <w:b w:val="1"/>
          <w:bCs w:val="1"/>
          <w:color w:val="auto"/>
        </w:rPr>
        <w:t>Schedule 1.80</w:t>
      </w:r>
      <w:r>
        <w:rPr>
          <w:sz w:val="20"/>
          <w:szCs w:val="20"/>
          <w:color w:val="auto"/>
        </w:rPr>
        <w:tab/>
      </w:r>
      <w:r>
        <w:rPr>
          <w:rFonts w:ascii="Arial" w:cs="Arial" w:eastAsia="Arial" w:hAnsi="Arial"/>
          <w:sz w:val="16"/>
          <w:szCs w:val="16"/>
          <w:b w:val="1"/>
          <w:bCs w:val="1"/>
          <w:color w:val="auto"/>
        </w:rPr>
        <w:t>MacroGenics Licensed Patents</w:t>
      </w:r>
    </w:p>
    <w:p>
      <w:pPr>
        <w:spacing w:after="0" w:line="8"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0"/>
          <w:szCs w:val="20"/>
          <w:b w:val="1"/>
          <w:bCs w:val="1"/>
          <w:color w:val="auto"/>
        </w:rPr>
        <w:t>Schedule 1.86</w:t>
      </w:r>
      <w:r>
        <w:rPr>
          <w:sz w:val="20"/>
          <w:szCs w:val="20"/>
          <w:color w:val="auto"/>
        </w:rPr>
        <w:tab/>
      </w:r>
      <w:r>
        <w:rPr>
          <w:rFonts w:ascii="Arial" w:cs="Arial" w:eastAsia="Arial" w:hAnsi="Arial"/>
          <w:sz w:val="18"/>
          <w:szCs w:val="18"/>
          <w:b w:val="1"/>
          <w:bCs w:val="1"/>
          <w:color w:val="auto"/>
        </w:rPr>
        <w:t>MacroGenics Platform</w:t>
      </w:r>
    </w:p>
    <w:p>
      <w:pPr>
        <w:spacing w:after="0" w:line="4"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0"/>
          <w:szCs w:val="20"/>
          <w:b w:val="1"/>
          <w:bCs w:val="1"/>
          <w:color w:val="auto"/>
        </w:rPr>
        <w:t>Schedule 1.88</w:t>
      </w:r>
      <w:r>
        <w:rPr>
          <w:sz w:val="20"/>
          <w:szCs w:val="20"/>
          <w:color w:val="auto"/>
        </w:rPr>
        <w:tab/>
      </w:r>
      <w:r>
        <w:rPr>
          <w:rFonts w:ascii="Arial" w:cs="Arial" w:eastAsia="Arial" w:hAnsi="Arial"/>
          <w:sz w:val="18"/>
          <w:szCs w:val="18"/>
          <w:b w:val="1"/>
          <w:bCs w:val="1"/>
          <w:color w:val="auto"/>
        </w:rPr>
        <w:t>MacroGenics Platform Trademarks</w:t>
      </w:r>
    </w:p>
    <w:p>
      <w:pPr>
        <w:spacing w:after="0" w:line="13"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0"/>
          <w:szCs w:val="20"/>
          <w:b w:val="1"/>
          <w:bCs w:val="1"/>
          <w:color w:val="auto"/>
        </w:rPr>
        <w:t>Schedule 1.114</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-70485</wp:posOffset>
            </wp:positionV>
            <wp:extent cx="31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20"/>
        <w:spacing w:after="0"/>
        <w:tabs>
          <w:tab w:leader="none" w:pos="1440" w:val="left"/>
        </w:tabs>
        <w:rPr>
          <w:sz w:val="20"/>
          <w:szCs w:val="20"/>
          <w:color w:val="auto"/>
        </w:rPr>
      </w:pPr>
      <w:r>
        <w:rPr>
          <w:rFonts w:ascii="Arial" w:cs="Arial" w:eastAsia="Arial" w:hAnsi="Arial"/>
          <w:sz w:val="20"/>
          <w:szCs w:val="20"/>
          <w:b w:val="1"/>
          <w:bCs w:val="1"/>
          <w:color w:val="auto"/>
        </w:rPr>
        <w:t>Schedule 1.118</w:t>
      </w:r>
      <w:r>
        <w:rPr>
          <w:sz w:val="20"/>
          <w:szCs w:val="20"/>
          <w:color w:val="auto"/>
        </w:rPr>
        <w:tab/>
      </w:r>
      <w:r>
        <w:rPr>
          <w:rFonts w:ascii="Arial" w:cs="Arial" w:eastAsia="Arial" w:hAnsi="Arial"/>
          <w:sz w:val="20"/>
          <w:szCs w:val="20"/>
          <w:color w:val="auto"/>
        </w:rPr>
        <w:t>[***]</w:t>
      </w:r>
    </w:p>
    <w:tbl>
      <w:tblPr>
        <w:tblLayout w:type="fixed"/>
        <w:tblInd w:w="20" w:type="dxa"/>
        <w:tblCellMar>
          <w:top w:w="0" w:type="dxa"/>
          <w:left w:w="0" w:type="dxa"/>
          <w:bottom w:w="0" w:type="dxa"/>
          <w:right w:w="0" w:type="dxa"/>
        </w:tblCellMar>
      </w:tblPr>
      <w:tr>
        <w:trPr>
          <w:trHeight w:val="221"/>
        </w:trPr>
        <w:tc>
          <w:tcPr>
            <w:tcW w:w="5740" w:type="dxa"/>
            <w:vAlign w:val="bottom"/>
            <w:gridSpan w:val="2"/>
          </w:tcPr>
          <w:p>
            <w:pPr>
              <w:spacing w:after="0" w:line="221" w:lineRule="exact"/>
              <w:rPr>
                <w:sz w:val="20"/>
                <w:szCs w:val="20"/>
                <w:color w:val="auto"/>
              </w:rPr>
            </w:pPr>
            <w:r>
              <w:rPr>
                <w:rFonts w:ascii="Arial" w:cs="Arial" w:eastAsia="Arial" w:hAnsi="Arial"/>
                <w:sz w:val="20"/>
                <w:szCs w:val="20"/>
                <w:b w:val="1"/>
                <w:bCs w:val="1"/>
                <w:color w:val="auto"/>
              </w:rPr>
              <w:t>Schedule 1.151  Existing Upstream License Agreements</w:t>
            </w:r>
          </w:p>
        </w:tc>
      </w:tr>
      <w:tr>
        <w:trPr>
          <w:trHeight w:val="243"/>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Schedule 3.7</w:t>
            </w:r>
          </w:p>
        </w:tc>
        <w:tc>
          <w:tcPr>
            <w:tcW w:w="4580" w:type="dxa"/>
            <w:vAlign w:val="bottom"/>
          </w:tcPr>
          <w:p>
            <w:pPr>
              <w:ind w:left="100"/>
              <w:spacing w:after="0"/>
              <w:rPr>
                <w:sz w:val="20"/>
                <w:szCs w:val="20"/>
                <w:color w:val="auto"/>
              </w:rPr>
            </w:pPr>
            <w:r>
              <w:rPr>
                <w:rFonts w:ascii="Arial" w:cs="Arial" w:eastAsia="Arial" w:hAnsi="Arial"/>
                <w:sz w:val="20"/>
                <w:szCs w:val="20"/>
                <w:b w:val="1"/>
                <w:bCs w:val="1"/>
                <w:color w:val="auto"/>
                <w:w w:val="87"/>
              </w:rPr>
              <w:t>Existing Upstream License Agreements Amendments</w:t>
            </w:r>
          </w:p>
        </w:tc>
      </w:tr>
      <w:tr>
        <w:trPr>
          <w:trHeight w:val="243"/>
        </w:trPr>
        <w:tc>
          <w:tcPr>
            <w:tcW w:w="5740" w:type="dxa"/>
            <w:vAlign w:val="bottom"/>
            <w:gridSpan w:val="2"/>
          </w:tcPr>
          <w:p>
            <w:pPr>
              <w:spacing w:after="0"/>
              <w:rPr>
                <w:sz w:val="20"/>
                <w:szCs w:val="20"/>
                <w:color w:val="auto"/>
              </w:rPr>
            </w:pPr>
            <w:r>
              <w:rPr>
                <w:rFonts w:ascii="Arial" w:cs="Arial" w:eastAsia="Arial" w:hAnsi="Arial"/>
                <w:sz w:val="20"/>
                <w:szCs w:val="20"/>
                <w:b w:val="1"/>
                <w:bCs w:val="1"/>
                <w:color w:val="auto"/>
              </w:rPr>
              <w:t>Schedule 4.1(a)  CD123 Development Plan</w:t>
            </w:r>
          </w:p>
        </w:tc>
      </w:tr>
      <w:tr>
        <w:trPr>
          <w:trHeight w:val="230"/>
        </w:trPr>
        <w:tc>
          <w:tcPr>
            <w:tcW w:w="5740" w:type="dxa"/>
            <w:vAlign w:val="bottom"/>
            <w:gridSpan w:val="2"/>
          </w:tcPr>
          <w:p>
            <w:pPr>
              <w:spacing w:after="0"/>
              <w:rPr>
                <w:sz w:val="20"/>
                <w:szCs w:val="20"/>
                <w:color w:val="auto"/>
              </w:rPr>
            </w:pPr>
            <w:r>
              <w:rPr>
                <w:rFonts w:ascii="Arial" w:cs="Arial" w:eastAsia="Arial" w:hAnsi="Arial"/>
                <w:sz w:val="20"/>
                <w:szCs w:val="20"/>
                <w:b w:val="1"/>
                <w:bCs w:val="1"/>
                <w:color w:val="auto"/>
              </w:rPr>
              <w:t>Schedule 4.1(b)  Clinical Protocol Synopsis</w:t>
            </w:r>
          </w:p>
        </w:tc>
      </w:tr>
      <w:tr>
        <w:trPr>
          <w:trHeight w:val="243"/>
        </w:trPr>
        <w:tc>
          <w:tcPr>
            <w:tcW w:w="1160" w:type="dxa"/>
            <w:vAlign w:val="bottom"/>
          </w:tcPr>
          <w:p>
            <w:pPr>
              <w:spacing w:after="0"/>
              <w:rPr>
                <w:sz w:val="20"/>
                <w:szCs w:val="20"/>
                <w:color w:val="auto"/>
              </w:rPr>
            </w:pPr>
            <w:r>
              <w:rPr>
                <w:rFonts w:ascii="Arial" w:cs="Arial" w:eastAsia="Arial" w:hAnsi="Arial"/>
                <w:sz w:val="20"/>
                <w:szCs w:val="20"/>
                <w:b w:val="1"/>
                <w:bCs w:val="1"/>
                <w:color w:val="auto"/>
                <w:w w:val="93"/>
              </w:rPr>
              <w:t>Schedule 5.2</w:t>
            </w:r>
          </w:p>
        </w:tc>
        <w:tc>
          <w:tcPr>
            <w:tcW w:w="4580" w:type="dxa"/>
            <w:vAlign w:val="bottom"/>
          </w:tcPr>
          <w:p>
            <w:pPr>
              <w:ind w:left="100"/>
              <w:spacing w:after="0"/>
              <w:rPr>
                <w:sz w:val="20"/>
                <w:szCs w:val="20"/>
                <w:color w:val="auto"/>
              </w:rPr>
            </w:pPr>
            <w:r>
              <w:rPr>
                <w:rFonts w:ascii="Arial" w:cs="Arial" w:eastAsia="Arial" w:hAnsi="Arial"/>
                <w:sz w:val="20"/>
                <w:szCs w:val="20"/>
                <w:b w:val="1"/>
                <w:bCs w:val="1"/>
                <w:color w:val="auto"/>
              </w:rPr>
              <w:t>Research Plan</w:t>
            </w:r>
          </w:p>
        </w:tc>
      </w:tr>
      <w:tr>
        <w:trPr>
          <w:trHeight w:val="0"/>
        </w:trPr>
        <w:tc>
          <w:tcPr>
            <w:tcW w:w="5740" w:type="dxa"/>
            <w:vAlign w:val="bottom"/>
            <w:gridSpan w:val="2"/>
          </w:tcPr>
          <w:p>
            <w:pPr>
              <w:spacing w:after="0"/>
              <w:rPr>
                <w:sz w:val="20"/>
                <w:szCs w:val="20"/>
                <w:color w:val="auto"/>
              </w:rPr>
            </w:pPr>
            <w:r>
              <w:rPr>
                <w:rFonts w:ascii="Arial" w:cs="Arial" w:eastAsia="Arial" w:hAnsi="Arial"/>
                <w:sz w:val="20"/>
                <w:szCs w:val="20"/>
                <w:b w:val="1"/>
                <w:bCs w:val="1"/>
                <w:color w:val="auto"/>
              </w:rPr>
              <w:t>Schedule 9.1(a)(i)  Existing CMO Agreements</w:t>
            </w:r>
          </w:p>
        </w:tc>
      </w:tr>
    </w:tbl>
    <w:p>
      <w:pPr>
        <w:spacing w:after="0" w:line="243" w:lineRule="exact"/>
        <w:rPr>
          <w:sz w:val="20"/>
          <w:szCs w:val="20"/>
          <w:color w:val="auto"/>
        </w:rPr>
      </w:pPr>
    </w:p>
    <w:p>
      <w:pPr>
        <w:ind w:left="20" w:right="3379"/>
        <w:spacing w:after="0" w:line="250" w:lineRule="auto"/>
        <w:rPr>
          <w:sz w:val="20"/>
          <w:szCs w:val="20"/>
          <w:color w:val="auto"/>
        </w:rPr>
      </w:pPr>
      <w:r>
        <w:rPr>
          <w:rFonts w:ascii="Arial" w:cs="Arial" w:eastAsia="Arial" w:hAnsi="Arial"/>
          <w:sz w:val="20"/>
          <w:szCs w:val="20"/>
          <w:b w:val="1"/>
          <w:bCs w:val="1"/>
          <w:color w:val="auto"/>
        </w:rPr>
        <w:t>Schedule 9.1(a)(iii) Clinical Supply Agreement Key Terms Schedule 10.4(c)(iii) Special Offset and Indemnification Schedule 12.1(f) Third Party Confidential Information Schedule 12.3(a) Press Release</w:t>
      </w:r>
    </w:p>
    <w:p>
      <w:pPr>
        <w:ind w:left="20"/>
        <w:spacing w:after="0"/>
        <w:tabs>
          <w:tab w:leader="none" w:pos="1360" w:val="left"/>
        </w:tabs>
        <w:rPr>
          <w:sz w:val="20"/>
          <w:szCs w:val="20"/>
          <w:color w:val="auto"/>
        </w:rPr>
      </w:pPr>
      <w:r>
        <w:rPr>
          <w:rFonts w:ascii="Arial" w:cs="Arial" w:eastAsia="Arial" w:hAnsi="Arial"/>
          <w:sz w:val="20"/>
          <w:szCs w:val="20"/>
          <w:b w:val="1"/>
          <w:bCs w:val="1"/>
          <w:color w:val="auto"/>
        </w:rPr>
        <w:t>Schedule 14.1</w:t>
      </w:r>
      <w:r>
        <w:rPr>
          <w:sz w:val="20"/>
          <w:szCs w:val="20"/>
          <w:color w:val="auto"/>
        </w:rPr>
        <w:tab/>
      </w:r>
      <w:r>
        <w:rPr>
          <w:rFonts w:ascii="Arial" w:cs="Arial" w:eastAsia="Arial" w:hAnsi="Arial"/>
          <w:sz w:val="16"/>
          <w:szCs w:val="16"/>
          <w:b w:val="1"/>
          <w:bCs w:val="1"/>
          <w:color w:val="auto"/>
        </w:rPr>
        <w:t>Exceptions to the Representations and Warranties of MacroGenics</w:t>
      </w:r>
    </w:p>
    <w:p>
      <w:pPr>
        <w:sectPr>
          <w:pgSz w:w="11900" w:h="16838" w:orient="portrait"/>
          <w:cols w:equalWidth="0" w:num="1">
            <w:col w:w="9019"/>
          </w:cols>
          <w:pgMar w:left="1440" w:top="1102"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Confidential Execution</w:t>
      </w:r>
    </w:p>
    <w:p>
      <w:pPr>
        <w:jc w:val="right"/>
        <w:spacing w:after="0"/>
        <w:rPr>
          <w:sz w:val="20"/>
          <w:szCs w:val="20"/>
          <w:color w:val="auto"/>
        </w:rPr>
      </w:pPr>
      <w:r>
        <w:rPr>
          <w:rFonts w:ascii="Arial" w:cs="Arial" w:eastAsia="Arial" w:hAnsi="Arial"/>
          <w:sz w:val="18"/>
          <w:szCs w:val="18"/>
          <w:b w:val="1"/>
          <w:bCs w:val="1"/>
          <w:color w:val="auto"/>
        </w:rPr>
        <w:t>Copy</w:t>
      </w:r>
    </w:p>
    <w:p>
      <w:pPr>
        <w:spacing w:after="0" w:line="200" w:lineRule="exact"/>
        <w:rPr>
          <w:sz w:val="20"/>
          <w:szCs w:val="20"/>
          <w:color w:val="auto"/>
        </w:rPr>
      </w:pPr>
    </w:p>
    <w:p>
      <w:pPr>
        <w:spacing w:after="0" w:line="244"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COLLABORATION AND LICENSE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Collaboration and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October 14, 2022 (the “</w:t>
      </w:r>
      <w:r>
        <w:rPr>
          <w:rFonts w:ascii="Arial" w:cs="Arial" w:eastAsia="Arial" w:hAnsi="Arial"/>
          <w:sz w:val="18"/>
          <w:szCs w:val="18"/>
          <w:b w:val="1"/>
          <w:bCs w:val="1"/>
          <w:color w:val="auto"/>
        </w:rPr>
        <w:t>Effective</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is entered into by and between MacroGenics, Inc., a Delaware corporation with a place of business at 9704</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Center Drive, Rockville, MD 20850 (“</w:t>
      </w:r>
      <w:r>
        <w:rPr>
          <w:rFonts w:ascii="Arial" w:cs="Arial" w:eastAsia="Arial" w:hAnsi="Arial"/>
          <w:sz w:val="18"/>
          <w:szCs w:val="18"/>
          <w:b w:val="1"/>
          <w:bCs w:val="1"/>
          <w:color w:val="auto"/>
        </w:rPr>
        <w:t>MacroGenics</w:t>
      </w:r>
      <w:r>
        <w:rPr>
          <w:rFonts w:ascii="Arial" w:cs="Arial" w:eastAsia="Arial" w:hAnsi="Arial"/>
          <w:sz w:val="18"/>
          <w:szCs w:val="18"/>
          <w:color w:val="auto"/>
        </w:rPr>
        <w:t>”), and Gilead Sciences, Inc., a Delaware corporation with</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 place of business at 333 Lakeside Drive, Foster City, CA 94404 (“</w:t>
      </w:r>
      <w:r>
        <w:rPr>
          <w:rFonts w:ascii="Arial" w:cs="Arial" w:eastAsia="Arial" w:hAnsi="Arial"/>
          <w:sz w:val="20"/>
          <w:szCs w:val="20"/>
          <w:b w:val="1"/>
          <w:bCs w:val="1"/>
          <w:color w:val="auto"/>
        </w:rPr>
        <w:t>Gilead</w:t>
      </w:r>
      <w:r>
        <w:rPr>
          <w:rFonts w:ascii="Arial" w:cs="Arial" w:eastAsia="Arial" w:hAnsi="Arial"/>
          <w:sz w:val="20"/>
          <w:szCs w:val="20"/>
          <w:color w:val="auto"/>
        </w:rPr>
        <w:t>”). MacroGenics and Gilead may be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77"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MacroGenics has expertise in, and platforms for, the discovery, development and commercialization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products for the treatment of patients with cancer;</w:t>
      </w:r>
    </w:p>
    <w:p>
      <w:pPr>
        <w:spacing w:after="0" w:line="190" w:lineRule="exact"/>
        <w:rPr>
          <w:sz w:val="20"/>
          <w:szCs w:val="20"/>
          <w:color w:val="auto"/>
        </w:rPr>
      </w:pPr>
    </w:p>
    <w:p>
      <w:pPr>
        <w:jc w:val="both"/>
        <w:ind w:firstLine="647"/>
        <w:spacing w:after="0" w:line="21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MacroGenics has discovered and is developing a proprietary program that includes a therapeutic bi-specific DART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molecule that is directed to each of CD3 and CD123 and is coded by MacroGenics as MGD024 (as further defined below), for the treatment of multiple hematologic malignancies;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Gilead has expertise in the research, development and commercialization of pharmaceutical products;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MacroGenics desires to grant, and Gilead desires to receive, an exclusive option, exercisable during a</w:t>
      </w:r>
    </w:p>
    <w:p>
      <w:pPr>
        <w:spacing w:after="0" w:line="4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specified period, to obtain an exclusive license under the MacroGenics CD123 Technology for the development, commercialization and other exploitation of CD123 Molecules and CD123 Products, including MGD024, in the Field in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Territory (with each capitalized term as defined below), pursuant to the terms and conditions set forth in this Agreement;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additionally desire to pursue up to two (2) collaborative research programs pursuant to</w:t>
      </w:r>
    </w:p>
    <w:p>
      <w:pPr>
        <w:spacing w:after="0" w:line="18" w:lineRule="exact"/>
        <w:rPr>
          <w:sz w:val="20"/>
          <w:szCs w:val="20"/>
          <w:color w:val="auto"/>
        </w:rPr>
      </w:pPr>
    </w:p>
    <w:p>
      <w:pPr>
        <w:jc w:val="both"/>
        <w:spacing w:after="0" w:line="185" w:lineRule="auto"/>
        <w:rPr>
          <w:sz w:val="20"/>
          <w:szCs w:val="20"/>
          <w:color w:val="auto"/>
        </w:rPr>
      </w:pPr>
      <w:r>
        <w:rPr>
          <w:rFonts w:ascii="Arial" w:cs="Arial" w:eastAsia="Arial" w:hAnsi="Arial"/>
          <w:sz w:val="18"/>
          <w:szCs w:val="18"/>
          <w:color w:val="auto"/>
        </w:rPr>
        <w:t>which the Parties would identify, discover and develop bi-specific antibodies based on MacroGenics’ proprietary DART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TRIDENT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platforms and targeting specified Research Target Combinations nominated by Gilead, all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a Research Plan for the given Research Program (with each capitalized term as defined below); and</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MacroGenics desires to grant to Gilead, and Gilead desires to receive, upon Gilead’s exercise of its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Research Program Opt-In for a given Research Program, an exclusive license under the MacroGenics Research Technology to research, develop, commercialize and otherwise exploit Research Molecules and Research Products in the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Field in the Territory (with each capitalized term as defined below), pursuant to the terms and conditions set forth in this Agreement.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and the mutual covenants herein contained,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Parties hereby agree as follows:</w:t>
      </w:r>
    </w:p>
    <w:p>
      <w:pPr>
        <w:spacing w:after="0" w:line="221"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right="80" w:firstLine="5"/>
        <w:spacing w:after="0" w:line="239" w:lineRule="auto"/>
        <w:tabs>
          <w:tab w:leader="none" w:pos="346"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 Unless specifically set forth to the contrary herein, the following capitalized terms, whether used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singular or plural, shall have the respective meanings set forth below:</w:t>
      </w:r>
    </w:p>
    <w:p>
      <w:pPr>
        <w:sectPr>
          <w:pgSz w:w="11900" w:h="16838" w:orient="portrait"/>
          <w:cols w:equalWidth="0" w:num="1">
            <w:col w:w="9600"/>
          </w:cols>
          <w:pgMar w:left="1420" w:top="744" w:right="879" w:bottom="1440" w:gutter="0" w:footer="0" w:header="0"/>
        </w:sectPr>
      </w:pPr>
    </w:p>
    <w:bookmarkStart w:id="121" w:name="page122"/>
    <w:bookmarkEnd w:id="121"/>
    <w:p>
      <w:pPr>
        <w:ind w:left="1020" w:right="20" w:firstLine="648"/>
        <w:spacing w:after="0" w:line="308" w:lineRule="auto"/>
        <w:rPr>
          <w:sz w:val="20"/>
          <w:szCs w:val="20"/>
          <w:color w:val="auto"/>
        </w:rPr>
      </w:pPr>
      <w:r>
        <w:rPr>
          <w:rFonts w:ascii="Arial" w:cs="Arial" w:eastAsia="Arial" w:hAnsi="Arial"/>
          <w:sz w:val="19"/>
          <w:szCs w:val="19"/>
          <w:color w:val="auto"/>
        </w:rPr>
        <w:t>1.1 “</w:t>
      </w:r>
      <w:r>
        <w:rPr>
          <w:rFonts w:ascii="Arial" w:cs="Arial" w:eastAsia="Arial" w:hAnsi="Arial"/>
          <w:sz w:val="19"/>
          <w:szCs w:val="19"/>
          <w:b w:val="1"/>
          <w:bCs w:val="1"/>
          <w:color w:val="auto"/>
        </w:rPr>
        <w:t>Accounting Standards</w:t>
      </w:r>
      <w:r>
        <w:rPr>
          <w:rFonts w:ascii="Arial" w:cs="Arial" w:eastAsia="Arial" w:hAnsi="Arial"/>
          <w:sz w:val="19"/>
          <w:szCs w:val="19"/>
          <w:color w:val="auto"/>
        </w:rPr>
        <w:t>” means, with respect to a Person, the International Financial Reporting Standards or GAAP, as applicable, as generally and consistently applied throughout such Person’s organization.</w:t>
      </w:r>
    </w:p>
    <w:p>
      <w:pPr>
        <w:spacing w:after="0" w:line="141" w:lineRule="exact"/>
        <w:rPr>
          <w:sz w:val="20"/>
          <w:szCs w:val="20"/>
          <w:color w:val="auto"/>
        </w:rPr>
      </w:pPr>
    </w:p>
    <w:p>
      <w:pPr>
        <w:ind w:left="1020" w:right="160" w:firstLine="648"/>
        <w:spacing w:after="0" w:line="249" w:lineRule="auto"/>
        <w:rPr>
          <w:sz w:val="20"/>
          <w:szCs w:val="20"/>
          <w:color w:val="auto"/>
        </w:rPr>
      </w:pPr>
      <w:r>
        <w:rPr>
          <w:rFonts w:ascii="Arial" w:cs="Arial" w:eastAsia="Arial" w:hAnsi="Arial"/>
          <w:sz w:val="19"/>
          <w:szCs w:val="19"/>
          <w:color w:val="auto"/>
        </w:rPr>
        <w:t>1.2 “</w:t>
      </w:r>
      <w:r>
        <w:rPr>
          <w:rFonts w:ascii="Arial" w:cs="Arial" w:eastAsia="Arial" w:hAnsi="Arial"/>
          <w:sz w:val="19"/>
          <w:szCs w:val="19"/>
          <w:b w:val="1"/>
          <w:bCs w:val="1"/>
          <w:color w:val="auto"/>
        </w:rPr>
        <w:t>Acquirer</w:t>
      </w:r>
      <w:r>
        <w:rPr>
          <w:rFonts w:ascii="Arial" w:cs="Arial" w:eastAsia="Arial" w:hAnsi="Arial"/>
          <w:sz w:val="19"/>
          <w:szCs w:val="19"/>
          <w:color w:val="auto"/>
        </w:rPr>
        <w:t>” means any Third Party who acquires a Party through a Change of Control transaction and, as of immediately before such Change of Control transaction, any of such Third Party’s Affiliates.</w:t>
      </w:r>
    </w:p>
    <w:p>
      <w:pPr>
        <w:spacing w:after="0" w:line="208" w:lineRule="exact"/>
        <w:rPr>
          <w:sz w:val="20"/>
          <w:szCs w:val="20"/>
          <w:color w:val="auto"/>
        </w:rPr>
      </w:pPr>
    </w:p>
    <w:p>
      <w:pPr>
        <w:ind w:left="1020" w:firstLine="647"/>
        <w:spacing w:after="0" w:line="267" w:lineRule="auto"/>
        <w:rPr>
          <w:sz w:val="20"/>
          <w:szCs w:val="20"/>
          <w:color w:val="auto"/>
        </w:rPr>
      </w:pPr>
      <w:r>
        <w:rPr>
          <w:rFonts w:ascii="Arial" w:cs="Arial" w:eastAsia="Arial" w:hAnsi="Arial"/>
          <w:sz w:val="20"/>
          <w:szCs w:val="20"/>
          <w:color w:val="auto"/>
        </w:rPr>
        <w:t>1.3 “</w:t>
      </w:r>
      <w:r>
        <w:rPr>
          <w:rFonts w:ascii="Arial" w:cs="Arial" w:eastAsia="Arial" w:hAnsi="Arial"/>
          <w:sz w:val="20"/>
          <w:szCs w:val="20"/>
          <w:b w:val="1"/>
          <w:bCs w:val="1"/>
          <w:color w:val="auto"/>
        </w:rPr>
        <w:t>Action</w:t>
      </w:r>
      <w:r>
        <w:rPr>
          <w:rFonts w:ascii="Arial" w:cs="Arial" w:eastAsia="Arial" w:hAnsi="Arial"/>
          <w:sz w:val="20"/>
          <w:szCs w:val="20"/>
          <w:color w:val="auto"/>
        </w:rPr>
        <w:t>” means any claim, action, suit, arbitration, inquiry, audit, proceeding or investigation by or before, or otherwise involving, any governmental authority.</w:t>
      </w:r>
    </w:p>
    <w:p>
      <w:pPr>
        <w:spacing w:after="0" w:line="179"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Party, any person or entity controlling, controlled by or under</w:t>
      </w:r>
    </w:p>
    <w:p>
      <w:pPr>
        <w:spacing w:after="0" w:line="6" w:lineRule="exact"/>
        <w:rPr>
          <w:sz w:val="20"/>
          <w:szCs w:val="20"/>
          <w:color w:val="auto"/>
        </w:rPr>
      </w:pPr>
    </w:p>
    <w:p>
      <w:pPr>
        <w:ind w:left="1020" w:right="20"/>
        <w:spacing w:after="0" w:line="226" w:lineRule="auto"/>
        <w:rPr>
          <w:sz w:val="20"/>
          <w:szCs w:val="20"/>
          <w:color w:val="auto"/>
        </w:rPr>
      </w:pPr>
      <w:r>
        <w:rPr>
          <w:rFonts w:ascii="Arial" w:cs="Arial" w:eastAsia="Arial" w:hAnsi="Arial"/>
          <w:sz w:val="18"/>
          <w:szCs w:val="18"/>
          <w:color w:val="auto"/>
        </w:rPr>
        <w:t>common control with such Party, for as long as such control exists. For purposes of this Section 1.4 (Affiliate), “control” means (a) in the case of a corporate entity, direct or indirect ownership of at least fifty percent (50%) or more of the</w:t>
      </w:r>
    </w:p>
    <w:p>
      <w:pPr>
        <w:ind w:left="1020"/>
        <w:spacing w:after="0" w:line="236" w:lineRule="auto"/>
        <w:rPr>
          <w:sz w:val="20"/>
          <w:szCs w:val="20"/>
          <w:color w:val="auto"/>
        </w:rPr>
      </w:pPr>
      <w:r>
        <w:rPr>
          <w:rFonts w:ascii="Arial" w:cs="Arial" w:eastAsia="Arial" w:hAnsi="Arial"/>
          <w:sz w:val="18"/>
          <w:szCs w:val="18"/>
          <w:color w:val="auto"/>
        </w:rPr>
        <w:t>stock or shares having the right to vote for the election of directors of such corporate entity and (b) in the case of an</w:t>
      </w:r>
    </w:p>
    <w:p>
      <w:pPr>
        <w:spacing w:after="0" w:line="1" w:lineRule="exact"/>
        <w:rPr>
          <w:sz w:val="20"/>
          <w:szCs w:val="20"/>
          <w:color w:val="auto"/>
        </w:rPr>
      </w:pPr>
    </w:p>
    <w:p>
      <w:pPr>
        <w:jc w:val="both"/>
        <w:ind w:left="1020" w:right="60"/>
        <w:spacing w:after="0" w:line="250" w:lineRule="auto"/>
        <w:rPr>
          <w:sz w:val="20"/>
          <w:szCs w:val="20"/>
          <w:color w:val="auto"/>
        </w:rPr>
      </w:pPr>
      <w:r>
        <w:rPr>
          <w:rFonts w:ascii="Arial" w:cs="Arial" w:eastAsia="Arial" w:hAnsi="Arial"/>
          <w:sz w:val="18"/>
          <w:szCs w:val="18"/>
          <w:color w:val="auto"/>
        </w:rPr>
        <w:t>entity that is not a corporate entity, the possession, directly or indirectly, of the power to direct, or cause the direction of, the management or policies of such entity, whether through the ownership of voting securities, by contract or otherwise.</w:t>
      </w:r>
    </w:p>
    <w:p>
      <w:pPr>
        <w:spacing w:after="0" w:line="170" w:lineRule="exact"/>
        <w:rPr>
          <w:sz w:val="20"/>
          <w:szCs w:val="20"/>
          <w:color w:val="auto"/>
        </w:rPr>
      </w:pPr>
    </w:p>
    <w:p>
      <w:pPr>
        <w:jc w:val="center"/>
        <w:ind w:right="-799"/>
        <w:spacing w:after="0"/>
        <w:tabs>
          <w:tab w:leader="none" w:pos="1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means the individual appointed by each Party from within their respective</w:t>
      </w:r>
    </w:p>
    <w:p>
      <w:pPr>
        <w:spacing w:after="0" w:line="4" w:lineRule="exact"/>
        <w:rPr>
          <w:sz w:val="20"/>
          <w:szCs w:val="20"/>
          <w:color w:val="auto"/>
        </w:rPr>
      </w:pPr>
    </w:p>
    <w:p>
      <w:pPr>
        <w:ind w:left="1020" w:right="220"/>
        <w:spacing w:after="0" w:line="227" w:lineRule="auto"/>
        <w:rPr>
          <w:sz w:val="20"/>
          <w:szCs w:val="20"/>
          <w:color w:val="auto"/>
        </w:rPr>
      </w:pPr>
      <w:r>
        <w:rPr>
          <w:rFonts w:ascii="Arial" w:cs="Arial" w:eastAsia="Arial" w:hAnsi="Arial"/>
          <w:sz w:val="20"/>
          <w:szCs w:val="20"/>
          <w:color w:val="auto"/>
        </w:rPr>
        <w:t>organization to coordinate and facilitate the communication, interaction and cooperation of the Parties pursuant to this Agreement.</w:t>
      </w:r>
    </w:p>
    <w:p>
      <w:pPr>
        <w:spacing w:after="0" w:line="179"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Allowable Overruns</w:t>
      </w:r>
      <w:r>
        <w:rPr>
          <w:rFonts w:ascii="Arial" w:cs="Arial" w:eastAsia="Arial" w:hAnsi="Arial"/>
          <w:sz w:val="18"/>
          <w:szCs w:val="18"/>
          <w:color w:val="auto"/>
        </w:rPr>
        <w:t>” means, for a given Calendar Year, any FTE Costs or Out-of-Pocket Costs incurred</w:t>
      </w:r>
    </w:p>
    <w:p>
      <w:pPr>
        <w:spacing w:after="0" w:line="6" w:lineRule="exact"/>
        <w:rPr>
          <w:sz w:val="20"/>
          <w:szCs w:val="20"/>
          <w:color w:val="auto"/>
        </w:rPr>
      </w:pPr>
    </w:p>
    <w:p>
      <w:pPr>
        <w:ind w:left="1020" w:right="20"/>
        <w:spacing w:after="0" w:line="220" w:lineRule="auto"/>
        <w:rPr>
          <w:sz w:val="20"/>
          <w:szCs w:val="20"/>
          <w:color w:val="auto"/>
        </w:rPr>
      </w:pPr>
      <w:r>
        <w:rPr>
          <w:rFonts w:ascii="Arial" w:cs="Arial" w:eastAsia="Arial" w:hAnsi="Arial"/>
          <w:sz w:val="20"/>
          <w:szCs w:val="20"/>
          <w:color w:val="auto"/>
        </w:rPr>
        <w:t>by or on behalf of MacroGenics in the performance of activities under the CD123 Development Plan, a Research Plan or the Manufacturing Transition Plan, in each case, that are [***].</w:t>
      </w:r>
    </w:p>
    <w:p>
      <w:pPr>
        <w:spacing w:after="0" w:line="272" w:lineRule="exact"/>
        <w:rPr>
          <w:sz w:val="20"/>
          <w:szCs w:val="20"/>
          <w:color w:val="auto"/>
        </w:rPr>
      </w:pPr>
    </w:p>
    <w:p>
      <w:pPr>
        <w:ind w:left="1020" w:right="20" w:firstLine="648"/>
        <w:spacing w:after="0" w:line="24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the U.S. Foreign Corrupt Practices Act, the U.S. Travel Act, the U.S. Anti-Kickback Statute, the UK Bribery Act 2010, and any other laws that prohibit the corrupt payment, offer, promise or</w:t>
      </w:r>
    </w:p>
    <w:p>
      <w:pPr>
        <w:spacing w:after="0" w:line="1" w:lineRule="exact"/>
        <w:rPr>
          <w:sz w:val="20"/>
          <w:szCs w:val="20"/>
          <w:color w:val="auto"/>
        </w:rPr>
      </w:pPr>
    </w:p>
    <w:p>
      <w:pPr>
        <w:ind w:left="1020" w:right="140"/>
        <w:spacing w:after="0" w:line="226" w:lineRule="auto"/>
        <w:rPr>
          <w:sz w:val="20"/>
          <w:szCs w:val="20"/>
          <w:color w:val="auto"/>
        </w:rPr>
      </w:pPr>
      <w:r>
        <w:rPr>
          <w:rFonts w:ascii="Arial" w:cs="Arial" w:eastAsia="Arial" w:hAnsi="Arial"/>
          <w:sz w:val="18"/>
          <w:szCs w:val="18"/>
          <w:color w:val="auto"/>
        </w:rPr>
        <w:t>authorization of the payment or transfer of anything of value (including gifts or entertainment), directly or indirectly, to any Government Official, commercial entity, or any other Person to obtain an improper business, in each case, as</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amended.</w:t>
      </w:r>
    </w:p>
    <w:p>
      <w:pPr>
        <w:spacing w:after="0" w:line="182"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Antitrust Law</w:t>
      </w:r>
      <w:r>
        <w:rPr>
          <w:rFonts w:ascii="Arial" w:cs="Arial" w:eastAsia="Arial" w:hAnsi="Arial"/>
          <w:sz w:val="18"/>
          <w:szCs w:val="18"/>
          <w:color w:val="auto"/>
        </w:rPr>
        <w:t>” means any Applicable Law and Regulations that are designed to prohibit, restrict or</w:t>
      </w:r>
    </w:p>
    <w:p>
      <w:pPr>
        <w:spacing w:after="0" w:line="6" w:lineRule="exact"/>
        <w:rPr>
          <w:sz w:val="20"/>
          <w:szCs w:val="20"/>
          <w:color w:val="auto"/>
        </w:rPr>
      </w:pPr>
    </w:p>
    <w:p>
      <w:pPr>
        <w:ind w:left="1020" w:right="100"/>
        <w:spacing w:after="0" w:line="220" w:lineRule="auto"/>
        <w:rPr>
          <w:sz w:val="20"/>
          <w:szCs w:val="20"/>
          <w:color w:val="auto"/>
        </w:rPr>
      </w:pPr>
      <w:r>
        <w:rPr>
          <w:rFonts w:ascii="Arial" w:cs="Arial" w:eastAsia="Arial" w:hAnsi="Arial"/>
          <w:sz w:val="20"/>
          <w:szCs w:val="20"/>
          <w:color w:val="auto"/>
        </w:rPr>
        <w:t>regulate actions having the purpose or effect of monopolization, lessening of competition or restraint of trade, including the HSR Act.</w:t>
      </w:r>
    </w:p>
    <w:p>
      <w:pPr>
        <w:spacing w:after="0" w:line="204" w:lineRule="exact"/>
        <w:rPr>
          <w:sz w:val="20"/>
          <w:szCs w:val="20"/>
          <w:color w:val="auto"/>
        </w:rPr>
      </w:pPr>
    </w:p>
    <w:p>
      <w:pPr>
        <w:ind w:left="1020" w:right="80" w:firstLine="648"/>
        <w:spacing w:after="0" w:line="239"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Applicable Laws and Regulations</w:t>
      </w:r>
      <w:r>
        <w:rPr>
          <w:rFonts w:ascii="Arial" w:cs="Arial" w:eastAsia="Arial" w:hAnsi="Arial"/>
          <w:sz w:val="18"/>
          <w:szCs w:val="18"/>
          <w:color w:val="auto"/>
        </w:rPr>
        <w:t>” means all international, national, federal, state, regional, provincial, municipal and local government laws, rules, treaties (including tax treaties), and regulations that apply to either Party or</w:t>
      </w:r>
    </w:p>
    <w:p>
      <w:pPr>
        <w:ind w:left="1020"/>
        <w:spacing w:after="0" w:line="223" w:lineRule="auto"/>
        <w:rPr>
          <w:sz w:val="20"/>
          <w:szCs w:val="20"/>
          <w:color w:val="auto"/>
        </w:rPr>
      </w:pPr>
      <w:r>
        <w:rPr>
          <w:rFonts w:ascii="Arial" w:cs="Arial" w:eastAsia="Arial" w:hAnsi="Arial"/>
          <w:sz w:val="19"/>
          <w:szCs w:val="19"/>
          <w:color w:val="auto"/>
        </w:rPr>
        <w:t>to the conduct of any Development, Manufacturing or Commercialization activities or Regulatory Activities, in each</w:t>
      </w:r>
    </w:p>
    <w:p>
      <w:pPr>
        <w:spacing w:after="0" w:line="1" w:lineRule="exact"/>
        <w:rPr>
          <w:sz w:val="20"/>
          <w:szCs w:val="20"/>
          <w:color w:val="auto"/>
        </w:rPr>
      </w:pPr>
    </w:p>
    <w:p>
      <w:pPr>
        <w:ind w:left="1020" w:right="20"/>
        <w:spacing w:after="0" w:line="255" w:lineRule="auto"/>
        <w:rPr>
          <w:sz w:val="20"/>
          <w:szCs w:val="20"/>
          <w:color w:val="auto"/>
        </w:rPr>
      </w:pPr>
      <w:r>
        <w:rPr>
          <w:rFonts w:ascii="Arial" w:cs="Arial" w:eastAsia="Arial" w:hAnsi="Arial"/>
          <w:sz w:val="16"/>
          <w:szCs w:val="16"/>
          <w:color w:val="auto"/>
        </w:rPr>
        <w:t>case, under this Agreement including cGMP, GCP, GBPS, and the laws, rules and regulations of the ICH, the United States and any country in the applicable Territory, each as may be then in effect, as applicable and amended from time to</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time.</w:t>
      </w:r>
    </w:p>
    <w:p>
      <w:pPr>
        <w:spacing w:after="0" w:line="194" w:lineRule="exact"/>
        <w:rPr>
          <w:sz w:val="20"/>
          <w:szCs w:val="20"/>
          <w:color w:val="auto"/>
        </w:rPr>
      </w:pPr>
    </w:p>
    <w:p>
      <w:pPr>
        <w:ind w:left="1020" w:right="160" w:firstLine="648"/>
        <w:spacing w:after="0" w:line="269"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b w:val="1"/>
          <w:bCs w:val="1"/>
          <w:color w:val="auto"/>
        </w:rPr>
        <w:t>Biosimilar Product</w:t>
      </w:r>
      <w:r>
        <w:rPr>
          <w:rFonts w:ascii="Arial" w:cs="Arial" w:eastAsia="Arial" w:hAnsi="Arial"/>
          <w:sz w:val="16"/>
          <w:szCs w:val="16"/>
          <w:color w:val="auto"/>
        </w:rPr>
        <w:t>” means, with respect to a Licensed Product sold in a country, a product that: (a) is marketed by a Third Party that has not obtained the rights to such product as a Sublicensee or distributor of, or through</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any other contractual relationship with, Gilead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00"/>
          </w:cols>
          <w:pgMar w:left="400" w:top="1399" w:right="899" w:bottom="1440" w:gutter="0" w:footer="0" w:header="0"/>
        </w:sectPr>
      </w:pPr>
    </w:p>
    <w:bookmarkStart w:id="122" w:name="page123"/>
    <w:bookmarkEnd w:id="122"/>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Affiliates or Sublicensees; and (b) has been granted Regulatory Approval as a biosimilar or interchangeable biological product by the applicable Regulatory Authority with such Licensed Product as the reference product, including any</w:t>
      </w:r>
    </w:p>
    <w:p>
      <w:pPr>
        <w:ind w:left="1020"/>
        <w:spacing w:after="0" w:line="226" w:lineRule="auto"/>
        <w:rPr>
          <w:sz w:val="20"/>
          <w:szCs w:val="20"/>
          <w:color w:val="auto"/>
        </w:rPr>
      </w:pPr>
      <w:r>
        <w:rPr>
          <w:rFonts w:ascii="Arial" w:cs="Arial" w:eastAsia="Arial" w:hAnsi="Arial"/>
          <w:sz w:val="18"/>
          <w:szCs w:val="18"/>
          <w:color w:val="auto"/>
        </w:rPr>
        <w:t>product authorized for sale in (i) the U.S. pursuant to an application under Section 351(k) of the US Public Health Service Act (42 U.S.C. § 262(k)), as may be amended, or any subsequent or superseding law, statute or regulation and</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(ii) in any other country or jurisdiction pursuant to the equivalent of such provision.</w:t>
      </w:r>
    </w:p>
    <w:p>
      <w:pPr>
        <w:spacing w:after="0" w:line="194" w:lineRule="exact"/>
        <w:rPr>
          <w:sz w:val="20"/>
          <w:szCs w:val="20"/>
          <w:color w:val="auto"/>
        </w:rPr>
      </w:pPr>
    </w:p>
    <w:p>
      <w:pPr>
        <w:ind w:left="1020" w:right="260" w:firstLine="648"/>
        <w:spacing w:after="0" w:line="24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BLA</w:t>
      </w:r>
      <w:r>
        <w:rPr>
          <w:rFonts w:ascii="Arial" w:cs="Arial" w:eastAsia="Arial" w:hAnsi="Arial"/>
          <w:sz w:val="18"/>
          <w:szCs w:val="18"/>
          <w:color w:val="auto"/>
        </w:rPr>
        <w:t>” means a Biologics License Application or New Drug Application (“</w:t>
      </w:r>
      <w:r>
        <w:rPr>
          <w:rFonts w:ascii="Arial" w:cs="Arial" w:eastAsia="Arial" w:hAnsi="Arial"/>
          <w:sz w:val="18"/>
          <w:szCs w:val="18"/>
          <w:b w:val="1"/>
          <w:bCs w:val="1"/>
          <w:color w:val="auto"/>
        </w:rPr>
        <w:t>NDA</w:t>
      </w:r>
      <w:r>
        <w:rPr>
          <w:rFonts w:ascii="Arial" w:cs="Arial" w:eastAsia="Arial" w:hAnsi="Arial"/>
          <w:sz w:val="18"/>
          <w:szCs w:val="18"/>
          <w:color w:val="auto"/>
        </w:rPr>
        <w:t>”) filed with the FDA for marketing approval of a Licensed Product or any successor applications or procedures, and all supplements and</w:t>
      </w:r>
    </w:p>
    <w:p>
      <w:pPr>
        <w:spacing w:after="0" w:line="1" w:lineRule="exact"/>
        <w:rPr>
          <w:sz w:val="20"/>
          <w:szCs w:val="20"/>
          <w:color w:val="auto"/>
        </w:rPr>
      </w:pPr>
    </w:p>
    <w:p>
      <w:pPr>
        <w:ind w:left="1020" w:right="340"/>
        <w:spacing w:after="0" w:line="226" w:lineRule="auto"/>
        <w:rPr>
          <w:sz w:val="20"/>
          <w:szCs w:val="20"/>
          <w:color w:val="auto"/>
        </w:rPr>
      </w:pPr>
      <w:r>
        <w:rPr>
          <w:rFonts w:ascii="Arial" w:cs="Arial" w:eastAsia="Arial" w:hAnsi="Arial"/>
          <w:sz w:val="18"/>
          <w:szCs w:val="18"/>
          <w:color w:val="auto"/>
        </w:rPr>
        <w:t>amendments that may be filed with respect to the foregoing, or similar filings with applicable Regulatory Authorities outside of the U.S., for approval to commercially market, import and sell a Licensed Product. The term BLA shall</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exclude Pricing and Reimbursement Approvals.</w:t>
      </w:r>
    </w:p>
    <w:p>
      <w:pPr>
        <w:spacing w:after="0" w:line="207" w:lineRule="exact"/>
        <w:rPr>
          <w:sz w:val="20"/>
          <w:szCs w:val="20"/>
          <w:color w:val="auto"/>
        </w:rPr>
      </w:pPr>
    </w:p>
    <w:p>
      <w:pPr>
        <w:ind w:left="1020" w:right="160" w:firstLine="648"/>
        <w:spacing w:after="0" w:line="294"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banking institutions in Washington, DC and Foster City, California are open for business, excluding (a) any Saturday or Sunday, (b) December 26 through December 31 and (c) the seven (7) day period that begins on a Sunday and ends on a Saturday during which period July 4th occurs.</w:t>
      </w:r>
    </w:p>
    <w:p>
      <w:pPr>
        <w:spacing w:after="0" w:line="171" w:lineRule="exact"/>
        <w:rPr>
          <w:sz w:val="20"/>
          <w:szCs w:val="20"/>
          <w:color w:val="auto"/>
        </w:rPr>
      </w:pPr>
    </w:p>
    <w:p>
      <w:pPr>
        <w:ind w:left="1020" w:right="140" w:firstLine="648"/>
        <w:spacing w:after="0" w:line="278"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b w:val="1"/>
          <w:bCs w:val="1"/>
          <w:color w:val="auto"/>
        </w:rPr>
        <w:t>Calendar Quarter</w:t>
      </w:r>
      <w:r>
        <w:rPr>
          <w:rFonts w:ascii="Arial" w:cs="Arial" w:eastAsia="Arial" w:hAnsi="Arial"/>
          <w:sz w:val="16"/>
          <w:szCs w:val="16"/>
          <w:color w:val="auto"/>
        </w:rPr>
        <w:t>” means the respective periods of three (3) consecutive calendar months ending on March 31, June 30, September 30 and December 31, except that the first Calendar Quarter of the Term shall commence</w:t>
      </w:r>
    </w:p>
    <w:p>
      <w:pPr>
        <w:spacing w:after="0" w:line="1" w:lineRule="exact"/>
        <w:rPr>
          <w:sz w:val="20"/>
          <w:szCs w:val="20"/>
          <w:color w:val="auto"/>
        </w:rPr>
      </w:pPr>
    </w:p>
    <w:p>
      <w:pPr>
        <w:ind w:left="1020" w:right="20"/>
        <w:spacing w:after="0" w:line="220" w:lineRule="auto"/>
        <w:rPr>
          <w:sz w:val="20"/>
          <w:szCs w:val="20"/>
          <w:color w:val="auto"/>
        </w:rPr>
      </w:pPr>
      <w:r>
        <w:rPr>
          <w:rFonts w:ascii="Arial" w:cs="Arial" w:eastAsia="Arial" w:hAnsi="Arial"/>
          <w:sz w:val="20"/>
          <w:szCs w:val="20"/>
          <w:color w:val="auto"/>
        </w:rPr>
        <w:t>on the Effective Date and end on the day immediately prior to the first to occur of January 1, April 1, July 1 or October 1 after the Effective Date, and the last Calendar Quarter shall end on the last day of the Term.</w:t>
      </w:r>
    </w:p>
    <w:p>
      <w:pPr>
        <w:spacing w:after="0" w:line="204" w:lineRule="exact"/>
        <w:rPr>
          <w:sz w:val="20"/>
          <w:szCs w:val="20"/>
          <w:color w:val="auto"/>
        </w:rPr>
      </w:pPr>
    </w:p>
    <w:p>
      <w:pPr>
        <w:ind w:left="1020" w:right="200" w:firstLine="648"/>
        <w:spacing w:after="0" w:line="269" w:lineRule="auto"/>
        <w:rPr>
          <w:sz w:val="20"/>
          <w:szCs w:val="20"/>
          <w:color w:val="auto"/>
        </w:rPr>
      </w:pPr>
      <w:r>
        <w:rPr>
          <w:rFonts w:ascii="Arial" w:cs="Arial" w:eastAsia="Arial" w:hAnsi="Arial"/>
          <w:sz w:val="16"/>
          <w:szCs w:val="16"/>
          <w:color w:val="auto"/>
        </w:rPr>
        <w:t>1.14 “</w:t>
      </w:r>
      <w:r>
        <w:rPr>
          <w:rFonts w:ascii="Arial" w:cs="Arial" w:eastAsia="Arial" w:hAnsi="Arial"/>
          <w:sz w:val="16"/>
          <w:szCs w:val="16"/>
          <w:b w:val="1"/>
          <w:bCs w:val="1"/>
          <w:color w:val="auto"/>
        </w:rPr>
        <w:t>Calendar Year</w:t>
      </w:r>
      <w:r>
        <w:rPr>
          <w:rFonts w:ascii="Arial" w:cs="Arial" w:eastAsia="Arial" w:hAnsi="Arial"/>
          <w:sz w:val="16"/>
          <w:szCs w:val="16"/>
          <w:color w:val="auto"/>
        </w:rPr>
        <w:t>” means the respective periods of twelve (12) months commencing on January 1 and ending on December 31, except that the first Calendar Year of the Term shall commence on the Effective Date and end</w:t>
      </w:r>
    </w:p>
    <w:p>
      <w:pPr>
        <w:spacing w:after="0" w:line="1" w:lineRule="exact"/>
        <w:rPr>
          <w:sz w:val="20"/>
          <w:szCs w:val="20"/>
          <w:color w:val="auto"/>
        </w:rPr>
      </w:pPr>
    </w:p>
    <w:p>
      <w:pPr>
        <w:ind w:left="1020" w:right="180"/>
        <w:spacing w:after="0" w:line="227" w:lineRule="auto"/>
        <w:rPr>
          <w:sz w:val="20"/>
          <w:szCs w:val="20"/>
          <w:color w:val="auto"/>
        </w:rPr>
      </w:pPr>
      <w:r>
        <w:rPr>
          <w:rFonts w:ascii="Arial" w:cs="Arial" w:eastAsia="Arial" w:hAnsi="Arial"/>
          <w:sz w:val="20"/>
          <w:szCs w:val="20"/>
          <w:color w:val="auto"/>
        </w:rPr>
        <w:t>on December 31 of the year in which the Effective Date occurs and the last Calendar Year of the Term shall commence on January 1 of the year in which the Term ends and end on the last day of the Term.</w:t>
      </w:r>
    </w:p>
    <w:p>
      <w:pPr>
        <w:spacing w:after="0" w:line="20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Cancer Target</w:t>
      </w:r>
      <w:r>
        <w:rPr>
          <w:rFonts w:ascii="Arial" w:cs="Arial" w:eastAsia="Arial" w:hAnsi="Arial"/>
          <w:sz w:val="18"/>
          <w:szCs w:val="18"/>
          <w:color w:val="auto"/>
        </w:rPr>
        <w:t>” means an [***].</w:t>
      </w:r>
    </w:p>
    <w:p>
      <w:pPr>
        <w:spacing w:after="0" w:line="218"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CD123 Data Package</w:t>
      </w:r>
      <w:r>
        <w:rPr>
          <w:rFonts w:ascii="Arial" w:cs="Arial" w:eastAsia="Arial" w:hAnsi="Arial"/>
          <w:sz w:val="18"/>
          <w:szCs w:val="18"/>
          <w:color w:val="auto"/>
        </w:rPr>
        <w:t>” means, individually or collectively, as the context requires, the [***] and the</w:t>
      </w:r>
    </w:p>
    <w:p>
      <w:pPr>
        <w:spacing w:after="0" w:line="4"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spacing w:after="0" w:line="275" w:lineRule="exact"/>
        <w:rPr>
          <w:sz w:val="20"/>
          <w:szCs w:val="20"/>
          <w:color w:val="auto"/>
        </w:rPr>
      </w:pPr>
    </w:p>
    <w:p>
      <w:pPr>
        <w:ind w:left="1020" w:right="80" w:firstLine="648"/>
        <w:spacing w:after="0" w:line="239" w:lineRule="auto"/>
        <w:rPr>
          <w:sz w:val="20"/>
          <w:szCs w:val="20"/>
          <w:color w:val="auto"/>
        </w:rPr>
      </w:pPr>
      <w:r>
        <w:rPr>
          <w:rFonts w:ascii="Arial" w:cs="Arial" w:eastAsia="Arial" w:hAnsi="Arial"/>
          <w:sz w:val="20"/>
          <w:szCs w:val="20"/>
          <w:color w:val="auto"/>
        </w:rPr>
        <w:t>1.17 “</w:t>
      </w:r>
      <w:r>
        <w:rPr>
          <w:rFonts w:ascii="Arial" w:cs="Arial" w:eastAsia="Arial" w:hAnsi="Arial"/>
          <w:sz w:val="20"/>
          <w:szCs w:val="20"/>
          <w:b w:val="1"/>
          <w:bCs w:val="1"/>
          <w:color w:val="auto"/>
        </w:rPr>
        <w:t>CD123 Molecule</w:t>
      </w:r>
      <w:r>
        <w:rPr>
          <w:rFonts w:ascii="Arial" w:cs="Arial" w:eastAsia="Arial" w:hAnsi="Arial"/>
          <w:sz w:val="20"/>
          <w:szCs w:val="20"/>
          <w:color w:val="auto"/>
        </w:rPr>
        <w:t>” means (a) MGD024 and (b) [***] that (i) is [***] or [***] Effective Date or during the Term and (ii) [***]. For the avoidance of doubt, for purposes of this definition, a [***] shall include [***] that [***] MacroGenics’ proprietary DART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platform or TRIDENT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platform.</w:t>
      </w:r>
    </w:p>
    <w:p>
      <w:pPr>
        <w:spacing w:after="0" w:line="106" w:lineRule="exact"/>
        <w:rPr>
          <w:sz w:val="20"/>
          <w:szCs w:val="20"/>
          <w:color w:val="auto"/>
        </w:rPr>
      </w:pPr>
    </w:p>
    <w:p>
      <w:pPr>
        <w:ind w:left="1020" w:right="100" w:firstLine="648"/>
        <w:spacing w:after="0" w:line="232" w:lineRule="auto"/>
        <w:rPr>
          <w:sz w:val="20"/>
          <w:szCs w:val="20"/>
          <w:color w:val="auto"/>
        </w:rPr>
      </w:pPr>
      <w:r>
        <w:rPr>
          <w:rFonts w:ascii="Arial" w:cs="Arial" w:eastAsia="Arial" w:hAnsi="Arial"/>
          <w:sz w:val="20"/>
          <w:szCs w:val="20"/>
          <w:color w:val="auto"/>
        </w:rPr>
        <w:t>1.18 “</w:t>
      </w:r>
      <w:r>
        <w:rPr>
          <w:rFonts w:ascii="Arial" w:cs="Arial" w:eastAsia="Arial" w:hAnsi="Arial"/>
          <w:sz w:val="20"/>
          <w:szCs w:val="20"/>
          <w:b w:val="1"/>
          <w:bCs w:val="1"/>
          <w:color w:val="auto"/>
        </w:rPr>
        <w:t>CD123 Option Exercise Fee</w:t>
      </w:r>
      <w:r>
        <w:rPr>
          <w:rFonts w:ascii="Arial" w:cs="Arial" w:eastAsia="Arial" w:hAnsi="Arial"/>
          <w:sz w:val="20"/>
          <w:szCs w:val="20"/>
          <w:color w:val="auto"/>
        </w:rPr>
        <w:t>” means (a) [***] with respect to the exercise of the CD123 Option during the [***]; and (b) [***] with respect to the exercise of the CD123 Option during the [***].</w:t>
      </w:r>
    </w:p>
    <w:p>
      <w:pPr>
        <w:spacing w:after="0" w:line="271" w:lineRule="exact"/>
        <w:rPr>
          <w:sz w:val="20"/>
          <w:szCs w:val="20"/>
          <w:color w:val="auto"/>
        </w:rPr>
      </w:pPr>
    </w:p>
    <w:p>
      <w:pPr>
        <w:ind w:left="1020" w:right="460" w:firstLine="648"/>
        <w:spacing w:after="0" w:line="264" w:lineRule="auto"/>
        <w:rPr>
          <w:sz w:val="20"/>
          <w:szCs w:val="20"/>
          <w:color w:val="auto"/>
        </w:rPr>
      </w:pPr>
      <w:r>
        <w:rPr>
          <w:rFonts w:ascii="Arial" w:cs="Arial" w:eastAsia="Arial" w:hAnsi="Arial"/>
          <w:sz w:val="19"/>
          <w:szCs w:val="19"/>
          <w:color w:val="auto"/>
        </w:rPr>
        <w:t>1.19 “</w:t>
      </w:r>
      <w:r>
        <w:rPr>
          <w:rFonts w:ascii="Arial" w:cs="Arial" w:eastAsia="Arial" w:hAnsi="Arial"/>
          <w:sz w:val="19"/>
          <w:szCs w:val="19"/>
          <w:b w:val="1"/>
          <w:bCs w:val="1"/>
          <w:color w:val="auto"/>
        </w:rPr>
        <w:t>CD123 Product</w:t>
      </w:r>
      <w:r>
        <w:rPr>
          <w:rFonts w:ascii="Arial" w:cs="Arial" w:eastAsia="Arial" w:hAnsi="Arial"/>
          <w:sz w:val="19"/>
          <w:szCs w:val="19"/>
          <w:color w:val="auto"/>
        </w:rPr>
        <w:t>” means, subject to Section 4.13 (CD123 Development Program Termination), any product that contains or incorporates a CD123 Molecule, alone or in combination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20"/>
          </w:cols>
          <w:pgMar w:left="400" w:top="1440" w:right="879" w:bottom="1440" w:gutter="0" w:footer="0" w:header="0"/>
        </w:sectPr>
      </w:pPr>
    </w:p>
    <w:bookmarkStart w:id="123" w:name="page124"/>
    <w:bookmarkEnd w:id="123"/>
    <w:p>
      <w:pPr>
        <w:spacing w:after="0" w:line="19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one (1) or more therapeutically active ingredients, including all forms, formulations, dosages and delivery modes thereof.</w:t>
      </w:r>
    </w:p>
    <w:p>
      <w:pPr>
        <w:spacing w:after="0" w:line="221"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cGCP</w:t>
      </w:r>
      <w:r>
        <w:rPr>
          <w:rFonts w:ascii="Arial" w:cs="Arial" w:eastAsia="Arial" w:hAnsi="Arial"/>
          <w:sz w:val="16"/>
          <w:szCs w:val="16"/>
          <w:color w:val="auto"/>
        </w:rPr>
        <w:t>” means the current standards, practices and procedures promulgated or endorsed by the FDA as</w:t>
      </w:r>
    </w:p>
    <w:p>
      <w:pPr>
        <w:spacing w:after="0" w:line="6" w:lineRule="exact"/>
        <w:rPr>
          <w:sz w:val="20"/>
          <w:szCs w:val="20"/>
          <w:color w:val="auto"/>
        </w:rPr>
      </w:pPr>
    </w:p>
    <w:p>
      <w:pPr>
        <w:ind w:left="1020" w:right="420"/>
        <w:spacing w:after="0" w:line="226" w:lineRule="auto"/>
        <w:rPr>
          <w:sz w:val="20"/>
          <w:szCs w:val="20"/>
          <w:color w:val="auto"/>
        </w:rPr>
      </w:pPr>
      <w:r>
        <w:rPr>
          <w:rFonts w:ascii="Arial" w:cs="Arial" w:eastAsia="Arial" w:hAnsi="Arial"/>
          <w:sz w:val="18"/>
          <w:szCs w:val="18"/>
          <w:color w:val="auto"/>
        </w:rPr>
        <w:t>set forth in the guidelines adopted by the ICH, titled “guidance for Industry E6 Good clinical Practice: Consolidated Guidance,” (or any successor document) including related regulatory requirements imposed by the FDA and the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equivalent legal requirements in other applicable jurisdictions, all as the same may be amended from time to time.</w:t>
      </w:r>
    </w:p>
    <w:p>
      <w:pPr>
        <w:spacing w:after="0" w:line="205" w:lineRule="exact"/>
        <w:rPr>
          <w:sz w:val="20"/>
          <w:szCs w:val="20"/>
          <w:color w:val="auto"/>
        </w:rPr>
      </w:pPr>
    </w:p>
    <w:p>
      <w:pPr>
        <w:ind w:left="1020" w:right="60" w:firstLine="648"/>
        <w:spacing w:after="0" w:line="247"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cGMP</w:t>
      </w:r>
      <w:r>
        <w:rPr>
          <w:rFonts w:ascii="Arial" w:cs="Arial" w:eastAsia="Arial" w:hAnsi="Arial"/>
          <w:sz w:val="18"/>
          <w:szCs w:val="18"/>
          <w:color w:val="auto"/>
        </w:rPr>
        <w:t>” means current Good Manufacturing Practices as set forth in the FDCA and the Public Health Service Act (the “</w:t>
      </w:r>
      <w:r>
        <w:rPr>
          <w:rFonts w:ascii="Arial" w:cs="Arial" w:eastAsia="Arial" w:hAnsi="Arial"/>
          <w:sz w:val="18"/>
          <w:szCs w:val="18"/>
          <w:b w:val="1"/>
          <w:bCs w:val="1"/>
          <w:color w:val="auto"/>
        </w:rPr>
        <w:t>PHS Act</w:t>
      </w:r>
      <w:r>
        <w:rPr>
          <w:rFonts w:ascii="Arial" w:cs="Arial" w:eastAsia="Arial" w:hAnsi="Arial"/>
          <w:sz w:val="18"/>
          <w:szCs w:val="18"/>
          <w:color w:val="auto"/>
        </w:rPr>
        <w:t>”), and in applicable regulations, including 21 C.F.R. Parts 210, 211, 314 and 600, as in effect</w:t>
      </w:r>
    </w:p>
    <w:p>
      <w:pPr>
        <w:spacing w:after="0" w:line="1" w:lineRule="exact"/>
        <w:rPr>
          <w:sz w:val="20"/>
          <w:szCs w:val="20"/>
          <w:color w:val="auto"/>
        </w:rPr>
      </w:pPr>
    </w:p>
    <w:p>
      <w:pPr>
        <w:ind w:left="1020" w:right="60"/>
        <w:spacing w:after="0" w:line="226" w:lineRule="auto"/>
        <w:rPr>
          <w:sz w:val="20"/>
          <w:szCs w:val="20"/>
          <w:color w:val="auto"/>
        </w:rPr>
      </w:pPr>
      <w:r>
        <w:rPr>
          <w:rFonts w:ascii="Arial" w:cs="Arial" w:eastAsia="Arial" w:hAnsi="Arial"/>
          <w:sz w:val="18"/>
          <w:szCs w:val="18"/>
          <w:color w:val="auto"/>
        </w:rPr>
        <w:t>at the time when any Licensed Product is being manufactured for clinical development or commercial use, when any Licensed Product is being sold or when any clinical trial regarding a Licensed Product is being conducted, provided, and</w:t>
      </w:r>
    </w:p>
    <w:p>
      <w:pPr>
        <w:ind w:left="1020"/>
        <w:spacing w:after="0" w:line="236" w:lineRule="auto"/>
        <w:rPr>
          <w:sz w:val="20"/>
          <w:szCs w:val="20"/>
          <w:color w:val="auto"/>
        </w:rPr>
      </w:pPr>
      <w:r>
        <w:rPr>
          <w:rFonts w:ascii="Arial" w:cs="Arial" w:eastAsia="Arial" w:hAnsi="Arial"/>
          <w:sz w:val="18"/>
          <w:szCs w:val="18"/>
          <w:color w:val="auto"/>
        </w:rPr>
        <w:t>to the extent applicable to such clinical trial, as such regulations are interpreted and enforced by the FDA, including as</w:t>
      </w:r>
    </w:p>
    <w:p>
      <w:pPr>
        <w:spacing w:after="0" w:line="1" w:lineRule="exact"/>
        <w:rPr>
          <w:sz w:val="20"/>
          <w:szCs w:val="20"/>
          <w:color w:val="auto"/>
        </w:rPr>
      </w:pPr>
    </w:p>
    <w:p>
      <w:pPr>
        <w:ind w:left="1020" w:right="320"/>
        <w:spacing w:after="0" w:line="255" w:lineRule="auto"/>
        <w:rPr>
          <w:sz w:val="20"/>
          <w:szCs w:val="20"/>
          <w:color w:val="auto"/>
        </w:rPr>
      </w:pPr>
      <w:r>
        <w:rPr>
          <w:rFonts w:ascii="Arial" w:cs="Arial" w:eastAsia="Arial" w:hAnsi="Arial"/>
          <w:sz w:val="16"/>
          <w:szCs w:val="16"/>
          <w:color w:val="auto"/>
        </w:rPr>
        <w:t>set forth in applicable guidance documents issued by the FDA, and in accordance with applicable, generally accepted industry standards, and the equivalent legal requirements in other applicable jurisdictions, all as the same may be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amended from time to time.</w:t>
      </w:r>
    </w:p>
    <w:p>
      <w:pPr>
        <w:spacing w:after="0" w:line="194" w:lineRule="exact"/>
        <w:rPr>
          <w:sz w:val="20"/>
          <w:szCs w:val="20"/>
          <w:color w:val="auto"/>
        </w:rPr>
      </w:pPr>
    </w:p>
    <w:p>
      <w:pPr>
        <w:ind w:left="1020" w:right="380" w:firstLine="648"/>
        <w:spacing w:after="0" w:line="247"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Change of Control</w:t>
      </w:r>
      <w:r>
        <w:rPr>
          <w:rFonts w:ascii="Arial" w:cs="Arial" w:eastAsia="Arial" w:hAnsi="Arial"/>
          <w:sz w:val="18"/>
          <w:szCs w:val="18"/>
          <w:color w:val="auto"/>
        </w:rPr>
        <w:t>” means, with respect to a Party, that: (a) any Third Party acquires directly or indirectly the beneficial ownership of any voting security of such Party, or if the percentage ownership of such Third</w:t>
      </w:r>
    </w:p>
    <w:p>
      <w:pPr>
        <w:spacing w:after="0" w:line="1" w:lineRule="exact"/>
        <w:rPr>
          <w:sz w:val="20"/>
          <w:szCs w:val="20"/>
          <w:color w:val="auto"/>
        </w:rPr>
      </w:pPr>
    </w:p>
    <w:p>
      <w:pPr>
        <w:ind w:left="1020" w:right="160"/>
        <w:spacing w:after="0" w:line="255" w:lineRule="auto"/>
        <w:rPr>
          <w:sz w:val="20"/>
          <w:szCs w:val="20"/>
          <w:color w:val="auto"/>
        </w:rPr>
      </w:pPr>
      <w:r>
        <w:rPr>
          <w:rFonts w:ascii="Arial" w:cs="Arial" w:eastAsia="Arial" w:hAnsi="Arial"/>
          <w:sz w:val="16"/>
          <w:szCs w:val="16"/>
          <w:color w:val="auto"/>
        </w:rPr>
        <w:t>Party in the voting securities of such Party is increased through stock redemption, cancellation or other recapitalization, and immediately after such acquisition or increase such Third Party is, directly or indirectly, the beneficial owner of</w:t>
      </w:r>
    </w:p>
    <w:p>
      <w:pPr>
        <w:ind w:left="1020"/>
        <w:spacing w:after="0" w:line="223" w:lineRule="auto"/>
        <w:rPr>
          <w:sz w:val="20"/>
          <w:szCs w:val="20"/>
          <w:color w:val="auto"/>
        </w:rPr>
      </w:pPr>
      <w:r>
        <w:rPr>
          <w:rFonts w:ascii="Arial" w:cs="Arial" w:eastAsia="Arial" w:hAnsi="Arial"/>
          <w:sz w:val="19"/>
          <w:szCs w:val="19"/>
          <w:color w:val="auto"/>
        </w:rPr>
        <w:t>voting securities representing more than fifty percent (50%) of the total voting power of all of the then outstanding</w:t>
      </w:r>
    </w:p>
    <w:p>
      <w:pPr>
        <w:ind w:left="1020" w:right="400"/>
        <w:spacing w:after="0" w:line="226" w:lineRule="auto"/>
        <w:rPr>
          <w:sz w:val="20"/>
          <w:szCs w:val="20"/>
          <w:color w:val="auto"/>
        </w:rPr>
      </w:pPr>
      <w:r>
        <w:rPr>
          <w:rFonts w:ascii="Arial" w:cs="Arial" w:eastAsia="Arial" w:hAnsi="Arial"/>
          <w:sz w:val="18"/>
          <w:szCs w:val="18"/>
          <w:color w:val="auto"/>
        </w:rPr>
        <w:t>voting securities of such Party; (b) a merger, consolidation, recapitalization, or reorganization of such Party is consummated that would result in stockholders or equity holders of such Party immediately prior to such transaction</w:t>
      </w:r>
    </w:p>
    <w:p>
      <w:pPr>
        <w:ind w:left="1020"/>
        <w:spacing w:after="0" w:line="213" w:lineRule="auto"/>
        <w:rPr>
          <w:sz w:val="20"/>
          <w:szCs w:val="20"/>
          <w:color w:val="auto"/>
        </w:rPr>
      </w:pPr>
      <w:r>
        <w:rPr>
          <w:rFonts w:ascii="Arial" w:cs="Arial" w:eastAsia="Arial" w:hAnsi="Arial"/>
          <w:sz w:val="20"/>
          <w:szCs w:val="20"/>
          <w:color w:val="auto"/>
        </w:rPr>
        <w:t>owning more than fifty percent (50%) of the outstanding securities of the surviving entity (or its parent entity)</w:t>
      </w:r>
    </w:p>
    <w:p>
      <w:pPr>
        <w:ind w:left="1020" w:right="120"/>
        <w:spacing w:after="0" w:line="226" w:lineRule="auto"/>
        <w:rPr>
          <w:sz w:val="20"/>
          <w:szCs w:val="20"/>
          <w:color w:val="auto"/>
        </w:rPr>
      </w:pPr>
      <w:r>
        <w:rPr>
          <w:rFonts w:ascii="Arial" w:cs="Arial" w:eastAsia="Arial" w:hAnsi="Arial"/>
          <w:sz w:val="18"/>
          <w:szCs w:val="18"/>
          <w:color w:val="auto"/>
        </w:rPr>
        <w:t>immediately following such transaction; (c) the stockholders or equity holders of such Party approve a plan of complete liquidation of such Party, or an agreement for the sale or disposition by such Party of all or substantially of such Party’s</w:t>
      </w:r>
    </w:p>
    <w:p>
      <w:pPr>
        <w:spacing w:after="0" w:line="2" w:lineRule="exact"/>
        <w:rPr>
          <w:sz w:val="20"/>
          <w:szCs w:val="20"/>
          <w:color w:val="auto"/>
        </w:rPr>
      </w:pPr>
    </w:p>
    <w:p>
      <w:pPr>
        <w:ind w:left="1020" w:right="40"/>
        <w:spacing w:after="0" w:line="255" w:lineRule="auto"/>
        <w:rPr>
          <w:sz w:val="20"/>
          <w:szCs w:val="20"/>
          <w:color w:val="auto"/>
        </w:rPr>
      </w:pPr>
      <w:r>
        <w:rPr>
          <w:rFonts w:ascii="Arial" w:cs="Arial" w:eastAsia="Arial" w:hAnsi="Arial"/>
          <w:sz w:val="16"/>
          <w:szCs w:val="16"/>
          <w:color w:val="auto"/>
        </w:rPr>
        <w:t>assets, other than pursuant to the transaction described above or to an Affiliate; or (d) the sale or transfer to a Third Party of (i) all or substantially all of such Party’s assets taken as a whole or (ii) a majority of such Party’s assets which relate to</w:t>
      </w:r>
    </w:p>
    <w:p>
      <w:pPr>
        <w:ind w:left="1020"/>
        <w:spacing w:after="0" w:line="235" w:lineRule="auto"/>
        <w:rPr>
          <w:sz w:val="20"/>
          <w:szCs w:val="20"/>
          <w:color w:val="auto"/>
        </w:rPr>
      </w:pPr>
      <w:r>
        <w:rPr>
          <w:rFonts w:ascii="Arial" w:cs="Arial" w:eastAsia="Arial" w:hAnsi="Arial"/>
          <w:sz w:val="18"/>
          <w:szCs w:val="18"/>
          <w:color w:val="auto"/>
        </w:rPr>
        <w:t>this Agreement, is effected. Notwithstanding the foregoing, the following will not constitute a Change of Control: (i) a</w:t>
      </w:r>
    </w:p>
    <w:p>
      <w:pPr>
        <w:ind w:left="1020" w:right="100"/>
        <w:spacing w:after="0" w:line="226" w:lineRule="auto"/>
        <w:rPr>
          <w:sz w:val="20"/>
          <w:szCs w:val="20"/>
          <w:color w:val="auto"/>
        </w:rPr>
      </w:pPr>
      <w:r>
        <w:rPr>
          <w:rFonts w:ascii="Arial" w:cs="Arial" w:eastAsia="Arial" w:hAnsi="Arial"/>
          <w:sz w:val="18"/>
          <w:szCs w:val="18"/>
          <w:color w:val="auto"/>
        </w:rPr>
        <w:t>sale of capital stock to underwriters in an underwritten public offering of a Party’s capital stock solely for the purpose of financing, or (ii) the acquisition of securities of a Party by any Person or group of Persons that acquires such Party’s</w:t>
      </w:r>
    </w:p>
    <w:p>
      <w:pPr>
        <w:spacing w:after="0" w:line="2" w:lineRule="exact"/>
        <w:rPr>
          <w:sz w:val="20"/>
          <w:szCs w:val="20"/>
          <w:color w:val="auto"/>
        </w:rPr>
      </w:pPr>
    </w:p>
    <w:p>
      <w:pPr>
        <w:ind w:left="1020" w:right="300"/>
        <w:spacing w:after="0" w:line="227" w:lineRule="auto"/>
        <w:rPr>
          <w:sz w:val="20"/>
          <w:szCs w:val="20"/>
          <w:color w:val="auto"/>
        </w:rPr>
      </w:pPr>
      <w:r>
        <w:rPr>
          <w:rFonts w:ascii="Arial" w:cs="Arial" w:eastAsia="Arial" w:hAnsi="Arial"/>
          <w:sz w:val="20"/>
          <w:szCs w:val="20"/>
          <w:color w:val="auto"/>
        </w:rPr>
        <w:t>securities in a transaction or series of related transactions the primary purpose of which is to obtain financing for such Party through the issuance of equity securities.</w:t>
      </w:r>
    </w:p>
    <w:p>
      <w:pPr>
        <w:spacing w:after="0" w:line="17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color w:val="323232"/>
        </w:rPr>
        <w:t>“</w:t>
      </w:r>
      <w:r>
        <w:rPr>
          <w:rFonts w:ascii="Arial" w:cs="Arial" w:eastAsia="Arial" w:hAnsi="Arial"/>
          <w:sz w:val="18"/>
          <w:szCs w:val="18"/>
          <w:b w:val="1"/>
          <w:bCs w:val="1"/>
          <w:color w:val="323232"/>
        </w:rPr>
        <w:t>Clinical Study Report</w:t>
      </w:r>
      <w:r>
        <w:rPr>
          <w:rFonts w:ascii="Arial" w:cs="Arial" w:eastAsia="Arial" w:hAnsi="Arial"/>
          <w:sz w:val="18"/>
          <w:szCs w:val="18"/>
          <w:color w:val="323232"/>
        </w:rPr>
        <w:t>” means, with respect to a Clinical Trial, a report containing the results of such</w:t>
      </w:r>
    </w:p>
    <w:p>
      <w:pPr>
        <w:spacing w:after="0" w:line="6" w:lineRule="exact"/>
        <w:rPr>
          <w:sz w:val="20"/>
          <w:szCs w:val="20"/>
          <w:color w:val="auto"/>
        </w:rPr>
      </w:pPr>
    </w:p>
    <w:p>
      <w:pPr>
        <w:ind w:left="1020" w:right="220"/>
        <w:spacing w:after="0" w:line="226" w:lineRule="auto"/>
        <w:rPr>
          <w:sz w:val="20"/>
          <w:szCs w:val="20"/>
          <w:color w:val="auto"/>
        </w:rPr>
      </w:pPr>
      <w:r>
        <w:rPr>
          <w:rFonts w:ascii="Arial" w:cs="Arial" w:eastAsia="Arial" w:hAnsi="Arial"/>
          <w:sz w:val="18"/>
          <w:szCs w:val="18"/>
          <w:color w:val="323232"/>
        </w:rPr>
        <w:t>Clinical Trial that is consistent in content and format with Applicable Laws and Regulations and with the guidelines of the International Conference on Harmonisation of Technical Requirements for Registration of Pharmaceuticals for</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323232"/>
        </w:rPr>
        <w:t>Human Use (ICH) on Structure and Content of Clinical Study Reports.</w:t>
      </w:r>
    </w:p>
    <w:p>
      <w:pPr>
        <w:spacing w:after="0" w:line="207" w:lineRule="exact"/>
        <w:rPr>
          <w:sz w:val="20"/>
          <w:szCs w:val="20"/>
          <w:color w:val="auto"/>
        </w:rPr>
      </w:pPr>
    </w:p>
    <w:p>
      <w:pPr>
        <w:ind w:left="1020" w:right="520" w:firstLine="648"/>
        <w:spacing w:after="0" w:line="267" w:lineRule="auto"/>
        <w:rPr>
          <w:sz w:val="20"/>
          <w:szCs w:val="20"/>
          <w:color w:val="auto"/>
        </w:rPr>
      </w:pPr>
      <w:r>
        <w:rPr>
          <w:rFonts w:ascii="Arial" w:cs="Arial" w:eastAsia="Arial" w:hAnsi="Arial"/>
          <w:sz w:val="20"/>
          <w:szCs w:val="20"/>
          <w:color w:val="auto"/>
        </w:rPr>
        <w:t>1.24 “</w:t>
      </w:r>
      <w:r>
        <w:rPr>
          <w:rFonts w:ascii="Arial" w:cs="Arial" w:eastAsia="Arial" w:hAnsi="Arial"/>
          <w:sz w:val="20"/>
          <w:szCs w:val="20"/>
          <w:b w:val="1"/>
          <w:bCs w:val="1"/>
          <w:color w:val="auto"/>
        </w:rPr>
        <w:t>Clinical Trial</w:t>
      </w:r>
      <w:r>
        <w:rPr>
          <w:rFonts w:ascii="Arial" w:cs="Arial" w:eastAsia="Arial" w:hAnsi="Arial"/>
          <w:sz w:val="20"/>
          <w:szCs w:val="20"/>
          <w:color w:val="auto"/>
        </w:rPr>
        <w:t>” means a Phase 1 Clinical Trial [***], Phase 2 Clinical Trial, Phase 3 Clinical Trial, Pivotal Clinical Trial or Phase 4 Clinical Trial, as applicable.</w:t>
      </w:r>
    </w:p>
    <w:p>
      <w:pPr>
        <w:spacing w:after="0" w:line="204" w:lineRule="exact"/>
        <w:rPr>
          <w:sz w:val="20"/>
          <w:szCs w:val="20"/>
          <w:color w:val="auto"/>
        </w:rPr>
      </w:pPr>
    </w:p>
    <w:p>
      <w:pPr>
        <w:ind w:left="1020" w:right="940" w:firstLine="648"/>
        <w:spacing w:after="0" w:line="267" w:lineRule="auto"/>
        <w:rPr>
          <w:sz w:val="20"/>
          <w:szCs w:val="20"/>
          <w:color w:val="auto"/>
        </w:rPr>
      </w:pPr>
      <w:r>
        <w:rPr>
          <w:rFonts w:ascii="Arial" w:cs="Arial" w:eastAsia="Arial" w:hAnsi="Arial"/>
          <w:sz w:val="20"/>
          <w:szCs w:val="20"/>
          <w:color w:val="auto"/>
        </w:rPr>
        <w:t>1.25 “</w:t>
      </w:r>
      <w:r>
        <w:rPr>
          <w:rFonts w:ascii="Arial" w:cs="Arial" w:eastAsia="Arial" w:hAnsi="Arial"/>
          <w:sz w:val="20"/>
          <w:szCs w:val="20"/>
          <w:b w:val="1"/>
          <w:bCs w:val="1"/>
          <w:color w:val="auto"/>
        </w:rPr>
        <w:t>Collaboration Term</w:t>
      </w:r>
      <w:r>
        <w:rPr>
          <w:rFonts w:ascii="Arial" w:cs="Arial" w:eastAsia="Arial" w:hAnsi="Arial"/>
          <w:sz w:val="20"/>
          <w:szCs w:val="20"/>
          <w:color w:val="auto"/>
        </w:rPr>
        <w:t>” means, individually or collectively, as the context requires, the CD123 Development Term and each Research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40"/>
          </w:cols>
          <w:pgMar w:left="400" w:top="1440" w:right="859" w:bottom="1440" w:gutter="0" w:footer="0" w:header="0"/>
        </w:sectPr>
      </w:pPr>
    </w:p>
    <w:bookmarkStart w:id="124" w:name="page125"/>
    <w:bookmarkEnd w:id="124"/>
    <w:p>
      <w:pPr>
        <w:spacing w:after="0" w:line="189" w:lineRule="exact"/>
        <w:rPr>
          <w:sz w:val="20"/>
          <w:szCs w:val="20"/>
          <w:color w:val="auto"/>
        </w:rPr>
      </w:pPr>
    </w:p>
    <w:p>
      <w:pPr>
        <w:ind w:left="1020" w:firstLine="648"/>
        <w:spacing w:after="0" w:line="247"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any single product comprising both (i) a Licensed Molecule and (ii) one or more other therapies or pharmaceutically active compounds or substances that is not a Licensed Molecule and, for</w:t>
      </w:r>
    </w:p>
    <w:p>
      <w:pPr>
        <w:spacing w:after="0" w:line="1" w:lineRule="exact"/>
        <w:rPr>
          <w:sz w:val="20"/>
          <w:szCs w:val="20"/>
          <w:color w:val="auto"/>
        </w:rPr>
      </w:pPr>
    </w:p>
    <w:p>
      <w:pPr>
        <w:ind w:left="1020" w:right="20"/>
        <w:spacing w:after="0" w:line="255" w:lineRule="auto"/>
        <w:rPr>
          <w:sz w:val="20"/>
          <w:szCs w:val="20"/>
          <w:color w:val="auto"/>
        </w:rPr>
      </w:pPr>
      <w:r>
        <w:rPr>
          <w:rFonts w:ascii="Arial" w:cs="Arial" w:eastAsia="Arial" w:hAnsi="Arial"/>
          <w:sz w:val="16"/>
          <w:szCs w:val="16"/>
          <w:color w:val="auto"/>
        </w:rPr>
        <w:t>[***]; (b) any Licensed Product sold together with one or more other therapies or products that are not Licensed Products for a single invoice price; or (c) any Licensed Product sold as part of a bundle with one or more other therapies,</w:t>
      </w:r>
    </w:p>
    <w:p>
      <w:pPr>
        <w:ind w:left="1020"/>
        <w:spacing w:after="0" w:line="235" w:lineRule="auto"/>
        <w:rPr>
          <w:sz w:val="20"/>
          <w:szCs w:val="20"/>
          <w:color w:val="auto"/>
        </w:rPr>
      </w:pPr>
      <w:r>
        <w:rPr>
          <w:rFonts w:ascii="Arial" w:cs="Arial" w:eastAsia="Arial" w:hAnsi="Arial"/>
          <w:sz w:val="18"/>
          <w:szCs w:val="18"/>
          <w:color w:val="auto"/>
        </w:rPr>
        <w:t>products or services that are not Licensed Products, where the sale of the Licensed Product is only available from the</w:t>
      </w:r>
    </w:p>
    <w:p>
      <w:pPr>
        <w:ind w:left="1020" w:right="540"/>
        <w:spacing w:after="0" w:line="226" w:lineRule="auto"/>
        <w:rPr>
          <w:sz w:val="20"/>
          <w:szCs w:val="20"/>
          <w:color w:val="auto"/>
        </w:rPr>
      </w:pPr>
      <w:r>
        <w:rPr>
          <w:rFonts w:ascii="Arial" w:cs="Arial" w:eastAsia="Arial" w:hAnsi="Arial"/>
          <w:sz w:val="18"/>
          <w:szCs w:val="18"/>
          <w:color w:val="auto"/>
        </w:rPr>
        <w:t>seller with the purchase of such other therapies, products or services, for a single invoice price, to the extent not described in clause (a) or (b). The Licensed Molecule or Licensed Product portion of any Combination Product, as</w:t>
      </w:r>
    </w:p>
    <w:p>
      <w:pPr>
        <w:ind w:left="1020"/>
        <w:spacing w:after="0" w:line="236" w:lineRule="auto"/>
        <w:rPr>
          <w:sz w:val="20"/>
          <w:szCs w:val="20"/>
          <w:color w:val="auto"/>
        </w:rPr>
      </w:pPr>
      <w:r>
        <w:rPr>
          <w:rFonts w:ascii="Arial" w:cs="Arial" w:eastAsia="Arial" w:hAnsi="Arial"/>
          <w:sz w:val="18"/>
          <w:szCs w:val="18"/>
          <w:color w:val="auto"/>
        </w:rPr>
        <w:t>applicable, shall be deemed the “</w:t>
      </w:r>
      <w:r>
        <w:rPr>
          <w:rFonts w:ascii="Arial" w:cs="Arial" w:eastAsia="Arial" w:hAnsi="Arial"/>
          <w:sz w:val="18"/>
          <w:szCs w:val="18"/>
          <w:b w:val="1"/>
          <w:bCs w:val="1"/>
          <w:color w:val="auto"/>
        </w:rPr>
        <w:t>Licensed Component</w:t>
      </w:r>
      <w:r>
        <w:rPr>
          <w:rFonts w:ascii="Arial" w:cs="Arial" w:eastAsia="Arial" w:hAnsi="Arial"/>
          <w:sz w:val="18"/>
          <w:szCs w:val="18"/>
          <w:color w:val="auto"/>
        </w:rPr>
        <w:t>” and the other portion of such Combination Product shall be</w:t>
      </w:r>
    </w:p>
    <w:p>
      <w:pPr>
        <w:spacing w:after="0" w:line="1" w:lineRule="exact"/>
        <w:rPr>
          <w:sz w:val="20"/>
          <w:szCs w:val="20"/>
          <w:color w:val="auto"/>
        </w:rPr>
      </w:pPr>
    </w:p>
    <w:p>
      <w:pPr>
        <w:ind w:left="1020"/>
        <w:spacing w:after="0" w:line="255" w:lineRule="auto"/>
        <w:rPr>
          <w:sz w:val="20"/>
          <w:szCs w:val="20"/>
          <w:color w:val="auto"/>
        </w:rPr>
      </w:pPr>
      <w:r>
        <w:rPr>
          <w:rFonts w:ascii="Arial" w:cs="Arial" w:eastAsia="Arial" w:hAnsi="Arial"/>
          <w:sz w:val="16"/>
          <w:szCs w:val="16"/>
          <w:color w:val="auto"/>
        </w:rPr>
        <w:t>deemed the “</w:t>
      </w:r>
      <w:r>
        <w:rPr>
          <w:rFonts w:ascii="Arial" w:cs="Arial" w:eastAsia="Arial" w:hAnsi="Arial"/>
          <w:sz w:val="16"/>
          <w:szCs w:val="16"/>
          <w:b w:val="1"/>
          <w:bCs w:val="1"/>
          <w:color w:val="auto"/>
        </w:rPr>
        <w:t>Other Component</w:t>
      </w:r>
      <w:r>
        <w:rPr>
          <w:rFonts w:ascii="Arial" w:cs="Arial" w:eastAsia="Arial" w:hAnsi="Arial"/>
          <w:sz w:val="16"/>
          <w:szCs w:val="16"/>
          <w:color w:val="auto"/>
        </w:rPr>
        <w:t>”, and each Combination Product shall be deemed a Licensed Product hereunder. For clarity, the co-administration of separate products comprising a Licensed Product containing a Licensed Molecule and no</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Other Component, on the one hand, with another therapy or pharmaceutically active compound or substance on the other</w:t>
      </w:r>
    </w:p>
    <w:p>
      <w:pPr>
        <w:spacing w:after="0" w:line="19" w:lineRule="exact"/>
        <w:rPr>
          <w:sz w:val="20"/>
          <w:szCs w:val="20"/>
          <w:color w:val="auto"/>
        </w:rPr>
      </w:pPr>
    </w:p>
    <w:p>
      <w:pPr>
        <w:jc w:val="both"/>
        <w:ind w:left="1020" w:right="620"/>
        <w:spacing w:after="0" w:line="312" w:lineRule="auto"/>
        <w:rPr>
          <w:sz w:val="20"/>
          <w:szCs w:val="20"/>
          <w:color w:val="auto"/>
        </w:rPr>
      </w:pPr>
      <w:r>
        <w:rPr>
          <w:rFonts w:ascii="Arial" w:cs="Arial" w:eastAsia="Arial" w:hAnsi="Arial"/>
          <w:sz w:val="16"/>
          <w:szCs w:val="16"/>
          <w:color w:val="auto"/>
        </w:rPr>
        <w:t>hand shall either be (i) a Combination Product, if sold together as reflected in clause (b) or (c) or (ii) two separate products, one a Licensed Product and the other, a product that does not generate Net Sales under this Agreement.</w:t>
      </w:r>
    </w:p>
    <w:p>
      <w:pPr>
        <w:spacing w:after="0" w:line="123"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Commercialization</w:t>
      </w:r>
      <w:r>
        <w:rPr>
          <w:rFonts w:ascii="Arial" w:cs="Arial" w:eastAsia="Arial" w:hAnsi="Arial"/>
          <w:sz w:val="18"/>
          <w:szCs w:val="18"/>
          <w:color w:val="auto"/>
        </w:rPr>
        <w:t>” or “</w:t>
      </w:r>
      <w:r>
        <w:rPr>
          <w:rFonts w:ascii="Arial" w:cs="Arial" w:eastAsia="Arial" w:hAnsi="Arial"/>
          <w:sz w:val="18"/>
          <w:szCs w:val="18"/>
          <w:b w:val="1"/>
          <w:bCs w:val="1"/>
          <w:color w:val="auto"/>
        </w:rPr>
        <w:t>Commercialize</w:t>
      </w:r>
      <w:r>
        <w:rPr>
          <w:rFonts w:ascii="Arial" w:cs="Arial" w:eastAsia="Arial" w:hAnsi="Arial"/>
          <w:sz w:val="18"/>
          <w:szCs w:val="18"/>
          <w:color w:val="auto"/>
        </w:rPr>
        <w:t>” means activities taken before or after obtaining Regulatory</w:t>
      </w:r>
    </w:p>
    <w:p>
      <w:pPr>
        <w:spacing w:after="0" w:line="6" w:lineRule="exact"/>
        <w:rPr>
          <w:sz w:val="20"/>
          <w:szCs w:val="20"/>
          <w:color w:val="auto"/>
        </w:rPr>
      </w:pPr>
    </w:p>
    <w:p>
      <w:pPr>
        <w:ind w:left="1020" w:right="280"/>
        <w:spacing w:after="0" w:line="226" w:lineRule="auto"/>
        <w:rPr>
          <w:sz w:val="20"/>
          <w:szCs w:val="20"/>
          <w:color w:val="auto"/>
        </w:rPr>
      </w:pPr>
      <w:r>
        <w:rPr>
          <w:rFonts w:ascii="Arial" w:cs="Arial" w:eastAsia="Arial" w:hAnsi="Arial"/>
          <w:sz w:val="18"/>
          <w:szCs w:val="18"/>
          <w:color w:val="auto"/>
        </w:rPr>
        <w:t>Approval relating specifically to the pre-launch, launch, promotion, marketing, sales force recruitment, sale and distribution of a pharmaceutical product and post-launch medical activities, including: (a) distribution for commercial</w:t>
      </w:r>
    </w:p>
    <w:p>
      <w:pPr>
        <w:ind w:left="1020"/>
        <w:spacing w:after="0" w:line="236" w:lineRule="auto"/>
        <w:rPr>
          <w:sz w:val="20"/>
          <w:szCs w:val="20"/>
          <w:color w:val="auto"/>
        </w:rPr>
      </w:pPr>
      <w:r>
        <w:rPr>
          <w:rFonts w:ascii="Arial" w:cs="Arial" w:eastAsia="Arial" w:hAnsi="Arial"/>
          <w:sz w:val="18"/>
          <w:szCs w:val="18"/>
          <w:color w:val="auto"/>
        </w:rPr>
        <w:t>sale; (b) strategic marketing, sales force, detailing, advertising, and market and product support; (c) medical education</w:t>
      </w:r>
    </w:p>
    <w:p>
      <w:pPr>
        <w:spacing w:after="0" w:line="1" w:lineRule="exact"/>
        <w:rPr>
          <w:sz w:val="20"/>
          <w:szCs w:val="20"/>
          <w:color w:val="auto"/>
        </w:rPr>
      </w:pPr>
    </w:p>
    <w:p>
      <w:pPr>
        <w:ind w:left="1020" w:right="80"/>
        <w:spacing w:after="0" w:line="226" w:lineRule="auto"/>
        <w:rPr>
          <w:sz w:val="20"/>
          <w:szCs w:val="20"/>
          <w:color w:val="auto"/>
        </w:rPr>
      </w:pPr>
      <w:r>
        <w:rPr>
          <w:rFonts w:ascii="Arial" w:cs="Arial" w:eastAsia="Arial" w:hAnsi="Arial"/>
          <w:sz w:val="18"/>
          <w:szCs w:val="18"/>
          <w:color w:val="auto"/>
        </w:rPr>
        <w:t>and liaison and any Phase 4 Clinical Trials unless required as a condition for Regulatory Approval, to the extent permitted by this Agreement; (d) all customer support and product distribution, invoicing and sales activities; and (e) all</w:t>
      </w:r>
    </w:p>
    <w:p>
      <w:pPr>
        <w:spacing w:after="0" w:line="2" w:lineRule="exact"/>
        <w:rPr>
          <w:sz w:val="20"/>
          <w:szCs w:val="20"/>
          <w:color w:val="auto"/>
        </w:rPr>
      </w:pPr>
    </w:p>
    <w:p>
      <w:pPr>
        <w:ind w:left="1020" w:right="1040"/>
        <w:spacing w:after="0" w:line="250" w:lineRule="auto"/>
        <w:rPr>
          <w:sz w:val="20"/>
          <w:szCs w:val="20"/>
          <w:color w:val="auto"/>
        </w:rPr>
      </w:pPr>
      <w:r>
        <w:rPr>
          <w:rFonts w:ascii="Arial" w:cs="Arial" w:eastAsia="Arial" w:hAnsi="Arial"/>
          <w:sz w:val="18"/>
          <w:szCs w:val="18"/>
          <w:color w:val="auto"/>
        </w:rPr>
        <w:t>post-approval regulatory activities, including those necessary to maintain Regulatory Approvals. For clarity, “</w:t>
      </w:r>
      <w:r>
        <w:rPr>
          <w:rFonts w:ascii="Arial" w:cs="Arial" w:eastAsia="Arial" w:hAnsi="Arial"/>
          <w:sz w:val="18"/>
          <w:szCs w:val="18"/>
          <w:b w:val="1"/>
          <w:bCs w:val="1"/>
          <w:color w:val="auto"/>
        </w:rPr>
        <w:t>Commercialization</w:t>
      </w:r>
      <w:r>
        <w:rPr>
          <w:rFonts w:ascii="Arial" w:cs="Arial" w:eastAsia="Arial" w:hAnsi="Arial"/>
          <w:sz w:val="18"/>
          <w:szCs w:val="18"/>
          <w:color w:val="auto"/>
        </w:rPr>
        <w:t>” or “</w:t>
      </w:r>
      <w:r>
        <w:rPr>
          <w:rFonts w:ascii="Arial" w:cs="Arial" w:eastAsia="Arial" w:hAnsi="Arial"/>
          <w:sz w:val="18"/>
          <w:szCs w:val="18"/>
          <w:b w:val="1"/>
          <w:bCs w:val="1"/>
          <w:color w:val="auto"/>
        </w:rPr>
        <w:t>Commercialize</w:t>
      </w:r>
      <w:r>
        <w:rPr>
          <w:rFonts w:ascii="Arial" w:cs="Arial" w:eastAsia="Arial" w:hAnsi="Arial"/>
          <w:sz w:val="18"/>
          <w:szCs w:val="18"/>
          <w:color w:val="auto"/>
        </w:rPr>
        <w:t>” does not include Development or Manufacturing activities.</w:t>
      </w:r>
    </w:p>
    <w:p>
      <w:pPr>
        <w:spacing w:after="0" w:line="195" w:lineRule="exact"/>
        <w:rPr>
          <w:sz w:val="20"/>
          <w:szCs w:val="20"/>
          <w:color w:val="auto"/>
        </w:rPr>
      </w:pPr>
    </w:p>
    <w:p>
      <w:pPr>
        <w:ind w:left="1020" w:right="20" w:firstLine="648"/>
        <w:spacing w:after="0" w:line="269" w:lineRule="auto"/>
        <w:rPr>
          <w:sz w:val="20"/>
          <w:szCs w:val="20"/>
          <w:color w:val="auto"/>
        </w:rPr>
      </w:pPr>
      <w:r>
        <w:rPr>
          <w:rFonts w:ascii="Arial" w:cs="Arial" w:eastAsia="Arial" w:hAnsi="Arial"/>
          <w:sz w:val="16"/>
          <w:szCs w:val="16"/>
          <w:color w:val="auto"/>
        </w:rPr>
        <w:t>1.28 “</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the efforts to be expended by a Party with respect to any objective or activity under this Agreement, that measure of efforts and resources that is consistent with the</w:t>
      </w:r>
    </w:p>
    <w:p>
      <w:pPr>
        <w:ind w:left="1020"/>
        <w:spacing w:after="0" w:line="236" w:lineRule="auto"/>
        <w:rPr>
          <w:sz w:val="20"/>
          <w:szCs w:val="20"/>
          <w:color w:val="auto"/>
        </w:rPr>
      </w:pPr>
      <w:r>
        <w:rPr>
          <w:rFonts w:ascii="Arial" w:cs="Arial" w:eastAsia="Arial" w:hAnsi="Arial"/>
          <w:sz w:val="18"/>
          <w:szCs w:val="18"/>
          <w:color w:val="auto"/>
        </w:rPr>
        <w:t>efforts and resources used by pharmaceutical or biopharmaceutical companies, as applicable, of comparable size and</w:t>
      </w:r>
    </w:p>
    <w:p>
      <w:pPr>
        <w:ind w:left="1020" w:right="240"/>
        <w:spacing w:after="0" w:line="226" w:lineRule="auto"/>
        <w:rPr>
          <w:sz w:val="20"/>
          <w:szCs w:val="20"/>
          <w:color w:val="auto"/>
        </w:rPr>
      </w:pPr>
      <w:r>
        <w:rPr>
          <w:rFonts w:ascii="Arial" w:cs="Arial" w:eastAsia="Arial" w:hAnsi="Arial"/>
          <w:sz w:val="18"/>
          <w:szCs w:val="18"/>
          <w:color w:val="auto"/>
        </w:rPr>
        <w:t>resources to such Party for a similar biological or pharmaceutical product owned by it or to which it has rights, which product is at a similar stage in its development or product life and is of similar market potential taking into account all</w:t>
      </w:r>
    </w:p>
    <w:p>
      <w:pPr>
        <w:ind w:left="1020"/>
        <w:spacing w:after="0" w:line="224" w:lineRule="auto"/>
        <w:rPr>
          <w:sz w:val="20"/>
          <w:szCs w:val="20"/>
          <w:color w:val="auto"/>
        </w:rPr>
      </w:pPr>
      <w:r>
        <w:rPr>
          <w:rFonts w:ascii="Arial" w:cs="Arial" w:eastAsia="Arial" w:hAnsi="Arial"/>
          <w:sz w:val="19"/>
          <w:szCs w:val="19"/>
          <w:color w:val="auto"/>
        </w:rPr>
        <w:t>relevant factors, including efficacy, safety, approved labeling, the competitiveness of alternative products in the</w:t>
      </w:r>
    </w:p>
    <w:p>
      <w:pPr>
        <w:ind w:left="1020" w:right="280"/>
        <w:spacing w:after="0" w:line="226" w:lineRule="auto"/>
        <w:rPr>
          <w:sz w:val="20"/>
          <w:szCs w:val="20"/>
          <w:color w:val="auto"/>
        </w:rPr>
      </w:pPr>
      <w:r>
        <w:rPr>
          <w:rFonts w:ascii="Arial" w:cs="Arial" w:eastAsia="Arial" w:hAnsi="Arial"/>
          <w:sz w:val="18"/>
          <w:szCs w:val="18"/>
          <w:color w:val="auto"/>
        </w:rPr>
        <w:t>marketplace, the patent and other proprietary position of the product and the likelihood of Regulatory Approval given the regulatory structure involved. Commercially Reasonable Efforts will be determined on a country-by-country and</w:t>
      </w:r>
    </w:p>
    <w:p>
      <w:pPr>
        <w:ind w:left="1020"/>
        <w:spacing w:after="0" w:line="236" w:lineRule="auto"/>
        <w:rPr>
          <w:sz w:val="20"/>
          <w:szCs w:val="20"/>
          <w:color w:val="auto"/>
        </w:rPr>
      </w:pPr>
      <w:r>
        <w:rPr>
          <w:rFonts w:ascii="Arial" w:cs="Arial" w:eastAsia="Arial" w:hAnsi="Arial"/>
          <w:sz w:val="18"/>
          <w:szCs w:val="18"/>
          <w:color w:val="auto"/>
        </w:rPr>
        <w:t>indication-by-indication basis for the applicable Licensed Molecule or Licensed Product, and it is anticipated that the</w:t>
      </w:r>
    </w:p>
    <w:p>
      <w:pPr>
        <w:spacing w:after="0" w:line="1" w:lineRule="exact"/>
        <w:rPr>
          <w:sz w:val="20"/>
          <w:szCs w:val="20"/>
          <w:color w:val="auto"/>
        </w:rPr>
      </w:pPr>
    </w:p>
    <w:p>
      <w:pPr>
        <w:ind w:left="1020" w:right="100"/>
        <w:spacing w:after="0" w:line="220" w:lineRule="auto"/>
        <w:rPr>
          <w:sz w:val="20"/>
          <w:szCs w:val="20"/>
          <w:color w:val="auto"/>
        </w:rPr>
      </w:pPr>
      <w:r>
        <w:rPr>
          <w:rFonts w:ascii="Arial" w:cs="Arial" w:eastAsia="Arial" w:hAnsi="Arial"/>
          <w:sz w:val="20"/>
          <w:szCs w:val="20"/>
          <w:color w:val="auto"/>
        </w:rPr>
        <w:t>level of effort will change over time, reflecting changes in the status of such Licensed Molecule or Licensed Product (as applicable) and the market or country involved.</w:t>
      </w:r>
    </w:p>
    <w:p>
      <w:pPr>
        <w:spacing w:after="0" w:line="204" w:lineRule="exact"/>
        <w:rPr>
          <w:sz w:val="20"/>
          <w:szCs w:val="20"/>
          <w:color w:val="auto"/>
        </w:rPr>
      </w:pPr>
    </w:p>
    <w:p>
      <w:pPr>
        <w:ind w:left="1020" w:right="360" w:firstLine="648"/>
        <w:spacing w:after="0" w:line="267" w:lineRule="auto"/>
        <w:rPr>
          <w:sz w:val="20"/>
          <w:szCs w:val="20"/>
          <w:color w:val="auto"/>
        </w:rPr>
      </w:pPr>
      <w:r>
        <w:rPr>
          <w:rFonts w:ascii="Arial" w:cs="Arial" w:eastAsia="Arial" w:hAnsi="Arial"/>
          <w:sz w:val="20"/>
          <w:szCs w:val="20"/>
          <w:color w:val="auto"/>
        </w:rPr>
        <w:t>1.29 “</w:t>
      </w:r>
      <w:r>
        <w:rPr>
          <w:rFonts w:ascii="Arial" w:cs="Arial" w:eastAsia="Arial" w:hAnsi="Arial"/>
          <w:sz w:val="20"/>
          <w:szCs w:val="20"/>
          <w:b w:val="1"/>
          <w:bCs w:val="1"/>
          <w:color w:val="auto"/>
        </w:rPr>
        <w:t>Competing Activity</w:t>
      </w:r>
      <w:r>
        <w:rPr>
          <w:rFonts w:ascii="Arial" w:cs="Arial" w:eastAsia="Arial" w:hAnsi="Arial"/>
          <w:sz w:val="20"/>
          <w:szCs w:val="20"/>
          <w:color w:val="auto"/>
        </w:rPr>
        <w:t>” means the [***] of any compound or product that (a) contains a molecule that [***] or (b) [***].</w:t>
      </w:r>
    </w:p>
    <w:p>
      <w:pPr>
        <w:spacing w:after="0" w:line="271"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Completion</w:t>
      </w:r>
      <w:r>
        <w:rPr>
          <w:rFonts w:ascii="Arial" w:cs="Arial" w:eastAsia="Arial" w:hAnsi="Arial"/>
          <w:sz w:val="18"/>
          <w:szCs w:val="18"/>
          <w:color w:val="auto"/>
        </w:rPr>
        <w:t>” means the [***] in either the [***], as applicable.</w:t>
      </w:r>
    </w:p>
    <w:p>
      <w:pPr>
        <w:spacing w:after="0" w:line="324" w:lineRule="exact"/>
        <w:rPr>
          <w:sz w:val="20"/>
          <w:szCs w:val="20"/>
          <w:color w:val="auto"/>
        </w:rPr>
      </w:pPr>
    </w:p>
    <w:p>
      <w:pPr>
        <w:ind w:left="1020" w:right="160" w:firstLine="647"/>
        <w:spacing w:after="0" w:line="230" w:lineRule="auto"/>
        <w:rPr>
          <w:sz w:val="20"/>
          <w:szCs w:val="20"/>
          <w:color w:val="auto"/>
        </w:rPr>
      </w:pPr>
      <w:r>
        <w:rPr>
          <w:rFonts w:ascii="Arial" w:cs="Arial" w:eastAsia="Arial" w:hAnsi="Arial"/>
          <w:sz w:val="20"/>
          <w:szCs w:val="20"/>
          <w:color w:val="auto"/>
        </w:rPr>
        <w:t>1.31 “</w:t>
      </w:r>
      <w:r>
        <w:rPr>
          <w:rFonts w:ascii="Arial" w:cs="Arial" w:eastAsia="Arial" w:hAnsi="Arial"/>
          <w:sz w:val="20"/>
          <w:szCs w:val="20"/>
          <w:b w:val="1"/>
          <w:bCs w:val="1"/>
          <w:color w:val="auto"/>
        </w:rPr>
        <w:t>Compulsory License</w:t>
      </w:r>
      <w:r>
        <w:rPr>
          <w:rFonts w:ascii="Arial" w:cs="Arial" w:eastAsia="Arial" w:hAnsi="Arial"/>
          <w:sz w:val="20"/>
          <w:szCs w:val="20"/>
          <w:color w:val="auto"/>
        </w:rPr>
        <w:t>” means, with respect to a Licensed Product in a country or territory, a license, or rights granted to a Third Party by a governmental agency within such country or territory to sell or offer for sale such Licensed Product in such country or territory under any Patents or Know-How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20"/>
          </w:cols>
          <w:pgMar w:left="400" w:top="1440" w:right="879" w:bottom="1440" w:gutter="0" w:footer="0" w:header="0"/>
        </w:sectPr>
      </w:pPr>
    </w:p>
    <w:bookmarkStart w:id="125" w:name="page126"/>
    <w:bookmarkEnd w:id="125"/>
    <w:p>
      <w:pPr>
        <w:spacing w:after="0" w:line="195" w:lineRule="exact"/>
        <w:rPr>
          <w:sz w:val="20"/>
          <w:szCs w:val="20"/>
          <w:color w:val="auto"/>
        </w:rPr>
      </w:pPr>
    </w:p>
    <w:p>
      <w:pPr>
        <w:ind w:left="1020" w:right="560"/>
        <w:spacing w:after="0" w:line="236" w:lineRule="auto"/>
        <w:rPr>
          <w:sz w:val="20"/>
          <w:szCs w:val="20"/>
          <w:color w:val="auto"/>
        </w:rPr>
      </w:pPr>
      <w:r>
        <w:rPr>
          <w:rFonts w:ascii="Arial" w:cs="Arial" w:eastAsia="Arial" w:hAnsi="Arial"/>
          <w:sz w:val="20"/>
          <w:szCs w:val="20"/>
          <w:color w:val="auto"/>
        </w:rPr>
        <w:t>owned or controlled by either Party or its Affiliates, without direct or indirect authorization from such Party or its Affiliates.</w:t>
      </w:r>
    </w:p>
    <w:p>
      <w:pPr>
        <w:spacing w:after="0" w:line="190"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Compulsory Licensee</w:t>
      </w:r>
      <w:r>
        <w:rPr>
          <w:rFonts w:ascii="Arial" w:cs="Arial" w:eastAsia="Arial" w:hAnsi="Arial"/>
          <w:sz w:val="16"/>
          <w:szCs w:val="16"/>
          <w:color w:val="auto"/>
        </w:rPr>
        <w:t>” means a Third Party granted a Compulsory License.</w:t>
      </w:r>
    </w:p>
    <w:p>
      <w:pPr>
        <w:spacing w:after="0" w:line="20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with respect to a Party, except as otherwise expressly provided in</w:t>
      </w:r>
    </w:p>
    <w:p>
      <w:pPr>
        <w:spacing w:after="0" w:line="6" w:lineRule="exact"/>
        <w:rPr>
          <w:sz w:val="20"/>
          <w:szCs w:val="20"/>
          <w:color w:val="auto"/>
        </w:rPr>
      </w:pPr>
    </w:p>
    <w:p>
      <w:pPr>
        <w:ind w:left="1020" w:right="340"/>
        <w:spacing w:after="0" w:line="226" w:lineRule="auto"/>
        <w:rPr>
          <w:sz w:val="20"/>
          <w:szCs w:val="20"/>
          <w:color w:val="auto"/>
        </w:rPr>
      </w:pPr>
      <w:r>
        <w:rPr>
          <w:rFonts w:ascii="Arial" w:cs="Arial" w:eastAsia="Arial" w:hAnsi="Arial"/>
          <w:sz w:val="18"/>
          <w:szCs w:val="18"/>
          <w:color w:val="auto"/>
        </w:rPr>
        <w:t>this Agreement, all information (including chemical or biological materials, chemical structures correspondence, customer lists, data, formulae, improvements, inventions, Know-How, processes, Regulatory Approvals, Regulatory</w:t>
      </w:r>
    </w:p>
    <w:p>
      <w:pPr>
        <w:spacing w:after="0" w:line="2" w:lineRule="exact"/>
        <w:rPr>
          <w:sz w:val="20"/>
          <w:szCs w:val="20"/>
          <w:color w:val="auto"/>
        </w:rPr>
      </w:pPr>
    </w:p>
    <w:p>
      <w:pPr>
        <w:ind w:left="1020" w:right="140"/>
        <w:spacing w:after="0" w:line="255" w:lineRule="auto"/>
        <w:rPr>
          <w:sz w:val="20"/>
          <w:szCs w:val="20"/>
          <w:color w:val="auto"/>
        </w:rPr>
      </w:pPr>
      <w:r>
        <w:rPr>
          <w:rFonts w:ascii="Arial" w:cs="Arial" w:eastAsia="Arial" w:hAnsi="Arial"/>
          <w:sz w:val="16"/>
          <w:szCs w:val="16"/>
          <w:color w:val="auto"/>
        </w:rPr>
        <w:t>Submissions and other regulatory filings, reports, strategies, techniques or other information) that is disclosed by or on behalf of such Party or any of its Affiliates to the other Party or any of its Affiliates pursuant to this Agreement or the</w:t>
      </w:r>
    </w:p>
    <w:p>
      <w:pPr>
        <w:ind w:left="1020"/>
        <w:spacing w:after="0" w:line="235" w:lineRule="auto"/>
        <w:rPr>
          <w:sz w:val="20"/>
          <w:szCs w:val="20"/>
          <w:color w:val="auto"/>
        </w:rPr>
      </w:pPr>
      <w:r>
        <w:rPr>
          <w:rFonts w:ascii="Arial" w:cs="Arial" w:eastAsia="Arial" w:hAnsi="Arial"/>
          <w:sz w:val="18"/>
          <w:szCs w:val="18"/>
          <w:color w:val="auto"/>
        </w:rPr>
        <w:t>Existing CDA, regardless of whether any of the foregoing are marked “confidential” or “proprietary” or communicated</w:t>
      </w:r>
    </w:p>
    <w:p>
      <w:pPr>
        <w:ind w:left="1020" w:right="340"/>
        <w:spacing w:after="0" w:line="226" w:lineRule="auto"/>
        <w:rPr>
          <w:sz w:val="20"/>
          <w:szCs w:val="20"/>
          <w:color w:val="auto"/>
        </w:rPr>
      </w:pPr>
      <w:r>
        <w:rPr>
          <w:rFonts w:ascii="Arial" w:cs="Arial" w:eastAsia="Arial" w:hAnsi="Arial"/>
          <w:sz w:val="18"/>
          <w:szCs w:val="18"/>
          <w:color w:val="auto"/>
        </w:rPr>
        <w:t>to the other Party by or on behalf of the Disclosing Party in oral, written, visual, graphic or electronic form. Without limiting the generality of the foregoing, and subject to the terms of Article 12 (Confidentiality; Publication): (a) the</w:t>
      </w:r>
    </w:p>
    <w:p>
      <w:pPr>
        <w:ind w:left="1020"/>
        <w:spacing w:after="0" w:line="236" w:lineRule="auto"/>
        <w:rPr>
          <w:sz w:val="20"/>
          <w:szCs w:val="20"/>
          <w:color w:val="auto"/>
        </w:rPr>
      </w:pPr>
      <w:r>
        <w:rPr>
          <w:rFonts w:ascii="Arial" w:cs="Arial" w:eastAsia="Arial" w:hAnsi="Arial"/>
          <w:sz w:val="18"/>
          <w:szCs w:val="18"/>
          <w:color w:val="auto"/>
        </w:rPr>
        <w:t>existence and terms of this Agreement will be the Confidential Information of both Parties (and both Parties will be</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deemed to be the Disclosing Party and the Receiving Party with respect thereto), (b) [***] will be (i) the Confidential Information of [***] (and [***] will be deemed to be the Disclosing Party and the Receiving Party with respect thereto),</w:t>
      </w:r>
    </w:p>
    <w:p>
      <w:pPr>
        <w:spacing w:after="0" w:line="2" w:lineRule="exact"/>
        <w:rPr>
          <w:sz w:val="20"/>
          <w:szCs w:val="20"/>
          <w:color w:val="auto"/>
        </w:rPr>
      </w:pPr>
    </w:p>
    <w:p>
      <w:pPr>
        <w:ind w:left="1020" w:right="20" w:firstLine="5"/>
        <w:spacing w:after="0" w:line="210" w:lineRule="auto"/>
        <w:tabs>
          <w:tab w:leader="none" w:pos="1311"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Confidential Information of [***] (and [***] the Disclosing Party with respect thereto) and (iii) the Confidential Information of [***] (and [***] the Disclosing Party and [***] the Receiving Party with respect thereto), (c) [***] the Confidential Information [***] (and [***] the Disclosing Party and the Receiving Party with respect thereto), (ii) the Confidential Information [***] (and [***] the Disclosing Party with respect thereto) and (iii) the Confidential Information [***] (and [***] Disclosing Party and [***] Receiving Party with respect thereto) and (d) [***] the Confidential Information [***] the Disclosing Party with respect thereto). For clarity, if any Confidential Information of either [***] as applicable, is [***], then such Confidential Information will remain the Confidential Information of such Party (and such Party will be deemed to be the Disclosing Party and the other Party will be the Receiving Party with respect thereto).</w:t>
      </w:r>
    </w:p>
    <w:p>
      <w:pPr>
        <w:spacing w:after="0" w:line="180"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Controls</w:t>
      </w:r>
      <w:r>
        <w:rPr>
          <w:rFonts w:ascii="Arial" w:cs="Arial" w:eastAsia="Arial" w:hAnsi="Arial"/>
          <w:sz w:val="18"/>
          <w:szCs w:val="18"/>
          <w:color w:val="auto"/>
        </w:rPr>
        <w:t>” or “</w:t>
      </w:r>
      <w:r>
        <w:rPr>
          <w:rFonts w:ascii="Arial" w:cs="Arial" w:eastAsia="Arial" w:hAnsi="Arial"/>
          <w:sz w:val="18"/>
          <w:szCs w:val="18"/>
          <w:b w:val="1"/>
          <w:bCs w:val="1"/>
          <w:color w:val="auto"/>
        </w:rPr>
        <w:t>Controlled by</w:t>
      </w:r>
      <w:r>
        <w:rPr>
          <w:rFonts w:ascii="Arial" w:cs="Arial" w:eastAsia="Arial" w:hAnsi="Arial"/>
          <w:sz w:val="18"/>
          <w:szCs w:val="18"/>
          <w:color w:val="auto"/>
        </w:rPr>
        <w:t>” means, subject to Section 3.8 (New Upstream License</w:t>
      </w:r>
    </w:p>
    <w:p>
      <w:pPr>
        <w:spacing w:after="0" w:line="6" w:lineRule="exact"/>
        <w:rPr>
          <w:sz w:val="20"/>
          <w:szCs w:val="20"/>
          <w:color w:val="auto"/>
        </w:rPr>
      </w:pPr>
    </w:p>
    <w:p>
      <w:pPr>
        <w:ind w:left="1020" w:right="220"/>
        <w:spacing w:after="0" w:line="226" w:lineRule="auto"/>
        <w:rPr>
          <w:sz w:val="20"/>
          <w:szCs w:val="20"/>
          <w:color w:val="auto"/>
        </w:rPr>
      </w:pPr>
      <w:r>
        <w:rPr>
          <w:rFonts w:ascii="Arial" w:cs="Arial" w:eastAsia="Arial" w:hAnsi="Arial"/>
          <w:sz w:val="18"/>
          <w:szCs w:val="18"/>
          <w:color w:val="auto"/>
        </w:rPr>
        <w:t xml:space="preserve">Agreements), with </w:t>
      </w:r>
      <w:r>
        <w:rPr>
          <w:rFonts w:ascii="Arial" w:cs="Arial" w:eastAsia="Arial" w:hAnsi="Arial"/>
          <w:sz w:val="18"/>
          <w:szCs w:val="18"/>
          <w:color w:val="323232"/>
        </w:rPr>
        <w:t>respect to (a) a product or component (including a molecule) thereof, the legal authority or right to</w:t>
      </w:r>
      <w:r>
        <w:rPr>
          <w:rFonts w:ascii="Arial" w:cs="Arial" w:eastAsia="Arial" w:hAnsi="Arial"/>
          <w:sz w:val="18"/>
          <w:szCs w:val="18"/>
          <w:color w:val="auto"/>
        </w:rPr>
        <w:t xml:space="preserve"> </w:t>
      </w:r>
      <w:r>
        <w:rPr>
          <w:rFonts w:ascii="Arial" w:cs="Arial" w:eastAsia="Arial" w:hAnsi="Arial"/>
          <w:sz w:val="18"/>
          <w:szCs w:val="18"/>
          <w:color w:val="323232"/>
        </w:rPr>
        <w:t>grant a license, sublicense, access, or right to use (as applicable) to the other Party under Patents that Cover or</w:t>
      </w:r>
    </w:p>
    <w:p>
      <w:pPr>
        <w:ind w:left="1020"/>
        <w:spacing w:after="0" w:line="236" w:lineRule="auto"/>
        <w:rPr>
          <w:sz w:val="20"/>
          <w:szCs w:val="20"/>
          <w:color w:val="auto"/>
        </w:rPr>
      </w:pPr>
      <w:r>
        <w:rPr>
          <w:rFonts w:ascii="Arial" w:cs="Arial" w:eastAsia="Arial" w:hAnsi="Arial"/>
          <w:sz w:val="18"/>
          <w:szCs w:val="18"/>
          <w:color w:val="323232"/>
        </w:rPr>
        <w:t xml:space="preserve">proprietary Know-How that is incorporated in or embodies such product or component on the terms set forth herein </w:t>
      </w:r>
      <w:r>
        <w:rPr>
          <w:rFonts w:ascii="Arial" w:cs="Arial" w:eastAsia="Arial" w:hAnsi="Arial"/>
          <w:sz w:val="18"/>
          <w:szCs w:val="18"/>
          <w:color w:val="000000"/>
        </w:rPr>
        <w:t>or</w:t>
      </w:r>
    </w:p>
    <w:p>
      <w:pPr>
        <w:spacing w:after="0" w:line="1" w:lineRule="exact"/>
        <w:rPr>
          <w:sz w:val="20"/>
          <w:szCs w:val="20"/>
          <w:color w:val="auto"/>
        </w:rPr>
      </w:pPr>
    </w:p>
    <w:p>
      <w:pPr>
        <w:ind w:left="1020" w:right="20" w:firstLine="6"/>
        <w:spacing w:after="0" w:line="235"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any Patent, Know-How or other intellectual property right, the extent of the ability of a Party or its Affiliates, as applicable (whether through ownership or license, other than pursuant to this Agreement) to grant to the other Party or its Affiliates access to, or a license or sublicense of, such item or right as provided for herein without violating the terms of any agreement or other arrangement with any Third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 Party or any of its Affiliates shall be deemed not to “Control” any Patent, Know-How or other intellectual property right if such Patent, Know- How or other intellectual property right is owned or in-licensed by an Acquirer of a Party that becomes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400" w:top="1440" w:right="939" w:bottom="1440" w:gutter="0" w:footer="0" w:header="0"/>
        </w:sectPr>
      </w:pPr>
    </w:p>
    <w:bookmarkStart w:id="126" w:name="page127"/>
    <w:bookmarkEnd w:id="126"/>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Affiliate of such Party (or that merges or consolidates with such Party) on or after the Effective Date as a result of a Change of Control of such Party, except to the extent, and only to the extent that, such Patent, Know-How or other</w:t>
      </w:r>
    </w:p>
    <w:p>
      <w:pPr>
        <w:ind w:left="1020"/>
        <w:spacing w:after="0" w:line="204" w:lineRule="auto"/>
        <w:rPr>
          <w:sz w:val="20"/>
          <w:szCs w:val="20"/>
          <w:color w:val="auto"/>
        </w:rPr>
      </w:pPr>
      <w:r>
        <w:rPr>
          <w:rFonts w:ascii="Arial" w:cs="Arial" w:eastAsia="Arial" w:hAnsi="Arial"/>
          <w:sz w:val="20"/>
          <w:szCs w:val="20"/>
          <w:color w:val="auto"/>
        </w:rPr>
        <w:t>intellectual property right is either (a) actually used by such Party or its Affiliates, or the Acquirer, to Develop, Manufacture, Commercialize or otherwise Exploit the Licensed Molecules or Licensed Products following the</w:t>
      </w:r>
    </w:p>
    <w:p>
      <w:pPr>
        <w:ind w:left="1020"/>
        <w:spacing w:after="0" w:line="235" w:lineRule="auto"/>
        <w:rPr>
          <w:sz w:val="20"/>
          <w:szCs w:val="20"/>
          <w:color w:val="auto"/>
        </w:rPr>
      </w:pPr>
      <w:r>
        <w:rPr>
          <w:rFonts w:ascii="Arial" w:cs="Arial" w:eastAsia="Arial" w:hAnsi="Arial"/>
          <w:sz w:val="18"/>
          <w:szCs w:val="18"/>
          <w:color w:val="auto"/>
        </w:rPr>
        <w:t>consummation of such Change of Control or (b) made, conceived or reduced to practice by the Acquirer or its Affiliates</w:t>
      </w:r>
    </w:p>
    <w:p>
      <w:pPr>
        <w:ind w:left="1020"/>
        <w:spacing w:after="0" w:line="220" w:lineRule="auto"/>
        <w:rPr>
          <w:sz w:val="20"/>
          <w:szCs w:val="20"/>
          <w:color w:val="auto"/>
        </w:rPr>
      </w:pPr>
      <w:r>
        <w:rPr>
          <w:rFonts w:ascii="Arial" w:cs="Arial" w:eastAsia="Arial" w:hAnsi="Arial"/>
          <w:sz w:val="20"/>
          <w:szCs w:val="20"/>
          <w:color w:val="auto"/>
        </w:rPr>
        <w:t>through the use of, or reference to, any Patent, Know- How or other intellectual property right of such Party or (c) was Controlled by such Party or its Affiliates prior to the applicable Change of Control.</w:t>
      </w:r>
    </w:p>
    <w:p>
      <w:pPr>
        <w:spacing w:after="0" w:line="204" w:lineRule="exact"/>
        <w:rPr>
          <w:sz w:val="20"/>
          <w:szCs w:val="20"/>
          <w:color w:val="auto"/>
        </w:rPr>
      </w:pPr>
    </w:p>
    <w:p>
      <w:pPr>
        <w:ind w:left="1020" w:right="140" w:firstLine="648"/>
        <w:spacing w:after="0" w:line="269" w:lineRule="auto"/>
        <w:rPr>
          <w:sz w:val="20"/>
          <w:szCs w:val="20"/>
          <w:color w:val="auto"/>
        </w:rPr>
      </w:pPr>
      <w:r>
        <w:rPr>
          <w:rFonts w:ascii="Arial" w:cs="Arial" w:eastAsia="Arial" w:hAnsi="Arial"/>
          <w:sz w:val="16"/>
          <w:szCs w:val="16"/>
          <w:color w:val="auto"/>
        </w:rPr>
        <w:t>1.35 “</w:t>
      </w:r>
      <w:r>
        <w:rPr>
          <w:rFonts w:ascii="Arial" w:cs="Arial" w:eastAsia="Arial" w:hAnsi="Arial"/>
          <w:sz w:val="16"/>
          <w:szCs w:val="16"/>
          <w:b w:val="1"/>
          <w:bCs w:val="1"/>
          <w:color w:val="auto"/>
        </w:rPr>
        <w:t>Cover</w:t>
      </w:r>
      <w:r>
        <w:rPr>
          <w:rFonts w:ascii="Arial" w:cs="Arial" w:eastAsia="Arial" w:hAnsi="Arial"/>
          <w:sz w:val="16"/>
          <w:szCs w:val="16"/>
          <w:color w:val="auto"/>
        </w:rPr>
        <w:t>” or “</w:t>
      </w:r>
      <w:r>
        <w:rPr>
          <w:rFonts w:ascii="Arial" w:cs="Arial" w:eastAsia="Arial" w:hAnsi="Arial"/>
          <w:sz w:val="16"/>
          <w:szCs w:val="16"/>
          <w:b w:val="1"/>
          <w:bCs w:val="1"/>
          <w:color w:val="auto"/>
        </w:rPr>
        <w:t>Covered</w:t>
      </w:r>
      <w:r>
        <w:rPr>
          <w:rFonts w:ascii="Arial" w:cs="Arial" w:eastAsia="Arial" w:hAnsi="Arial"/>
          <w:sz w:val="16"/>
          <w:szCs w:val="16"/>
          <w:color w:val="auto"/>
        </w:rPr>
        <w:t>” means, with respect to a product, technology, process or method, that, in the absence of possession of the right (by ownership, license or otherwise) under a Valid Claim, the practice or exploitation</w:t>
      </w:r>
    </w:p>
    <w:p>
      <w:pPr>
        <w:ind w:left="1020"/>
        <w:spacing w:after="0" w:line="236" w:lineRule="auto"/>
        <w:rPr>
          <w:sz w:val="20"/>
          <w:szCs w:val="20"/>
          <w:color w:val="auto"/>
        </w:rPr>
      </w:pPr>
      <w:r>
        <w:rPr>
          <w:rFonts w:ascii="Arial" w:cs="Arial" w:eastAsia="Arial" w:hAnsi="Arial"/>
          <w:sz w:val="18"/>
          <w:szCs w:val="18"/>
          <w:color w:val="auto"/>
        </w:rPr>
        <w:t>of such product, technology, process or method, in each case as applicable given the context, would infringe such Valid</w:t>
      </w:r>
    </w:p>
    <w:p>
      <w:pPr>
        <w:ind w:left="1020" w:right="440"/>
        <w:spacing w:after="0" w:line="220" w:lineRule="auto"/>
        <w:rPr>
          <w:sz w:val="20"/>
          <w:szCs w:val="20"/>
          <w:color w:val="auto"/>
        </w:rPr>
      </w:pPr>
      <w:r>
        <w:rPr>
          <w:rFonts w:ascii="Arial" w:cs="Arial" w:eastAsia="Arial" w:hAnsi="Arial"/>
          <w:sz w:val="20"/>
          <w:szCs w:val="20"/>
          <w:color w:val="auto"/>
        </w:rPr>
        <w:t>Claim (or, in the case of a Valid Claim that has not yet issued, would infringe such Valid Claim if it were to issue as currently pending).</w:t>
      </w:r>
    </w:p>
    <w:p>
      <w:pPr>
        <w:spacing w:after="0" w:line="204" w:lineRule="exact"/>
        <w:rPr>
          <w:sz w:val="20"/>
          <w:szCs w:val="20"/>
          <w:color w:val="auto"/>
        </w:rPr>
      </w:pPr>
    </w:p>
    <w:p>
      <w:pPr>
        <w:ind w:left="1020" w:right="200" w:firstLine="648"/>
        <w:spacing w:after="0" w:line="239"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CPI</w:t>
      </w:r>
      <w:r>
        <w:rPr>
          <w:rFonts w:ascii="Arial" w:cs="Arial" w:eastAsia="Arial" w:hAnsi="Arial"/>
          <w:sz w:val="18"/>
          <w:szCs w:val="18"/>
          <w:color w:val="auto"/>
        </w:rPr>
        <w:t>” means the Consumer Price Index-Urban Wage Earners and Clerical Workers, U.S. City Average, All Items, 1982-1984=100, published by the U.S. Department of Labor, Bureau of Labor Statistics (or its successor</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equivalent index) in the U.S.</w:t>
      </w:r>
    </w:p>
    <w:p>
      <w:pPr>
        <w:spacing w:after="0" w:line="194" w:lineRule="exact"/>
        <w:rPr>
          <w:sz w:val="20"/>
          <w:szCs w:val="20"/>
          <w:color w:val="auto"/>
        </w:rPr>
      </w:pPr>
    </w:p>
    <w:p>
      <w:pPr>
        <w:ind w:left="1020" w:right="80" w:firstLine="648"/>
        <w:spacing w:after="0" w:line="243" w:lineRule="auto"/>
        <w:rPr>
          <w:sz w:val="20"/>
          <w:szCs w:val="20"/>
          <w:color w:val="auto"/>
        </w:rPr>
      </w:pPr>
      <w:r>
        <w:rPr>
          <w:rFonts w:ascii="Arial" w:cs="Arial" w:eastAsia="Arial" w:hAnsi="Arial"/>
          <w:sz w:val="19"/>
          <w:szCs w:val="19"/>
          <w:color w:val="auto"/>
        </w:rPr>
        <w:t>1.37 “</w:t>
      </w:r>
      <w:r>
        <w:rPr>
          <w:rFonts w:ascii="Arial" w:cs="Arial" w:eastAsia="Arial" w:hAnsi="Arial"/>
          <w:sz w:val="19"/>
          <w:szCs w:val="19"/>
          <w:b w:val="1"/>
          <w:bCs w:val="1"/>
          <w:color w:val="auto"/>
        </w:rPr>
        <w:t>Data Exclusivity Period</w:t>
      </w:r>
      <w:r>
        <w:rPr>
          <w:rFonts w:ascii="Arial" w:cs="Arial" w:eastAsia="Arial" w:hAnsi="Arial"/>
          <w:sz w:val="19"/>
          <w:szCs w:val="19"/>
          <w:color w:val="auto"/>
        </w:rPr>
        <w:t>” means the period, if any, during which the applicable Regulatory Authority (including the FDA) prohibits reference, without the consent of the owner of a BLA, to the clinical and other data that is contained in such BLA and that is not published or publicly available outside of such BLA.</w:t>
      </w:r>
    </w:p>
    <w:p>
      <w:pPr>
        <w:spacing w:after="0" w:line="175"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Data Protection Laws</w:t>
      </w:r>
      <w:r>
        <w:rPr>
          <w:rFonts w:ascii="Arial" w:cs="Arial" w:eastAsia="Arial" w:hAnsi="Arial"/>
          <w:sz w:val="18"/>
          <w:szCs w:val="18"/>
          <w:color w:val="auto"/>
        </w:rPr>
        <w:t>” means all Applicable Law and Regulations relating to privacy, information</w:t>
      </w:r>
    </w:p>
    <w:p>
      <w:pPr>
        <w:spacing w:after="0" w:line="6"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security, cybersecurity, or data protection, including (a) the General Data Protection Regulation ((EU) 2016/679) and any national implementing law relating to the Processing of personal data or the privacy or security of electronic</w:t>
      </w:r>
    </w:p>
    <w:p>
      <w:pPr>
        <w:spacing w:after="0" w:line="2" w:lineRule="exact"/>
        <w:rPr>
          <w:sz w:val="20"/>
          <w:szCs w:val="20"/>
          <w:color w:val="auto"/>
        </w:rPr>
      </w:pPr>
    </w:p>
    <w:p>
      <w:pPr>
        <w:ind w:left="1020" w:right="280"/>
        <w:spacing w:after="0" w:line="226" w:lineRule="auto"/>
        <w:rPr>
          <w:sz w:val="20"/>
          <w:szCs w:val="20"/>
          <w:color w:val="auto"/>
        </w:rPr>
      </w:pPr>
      <w:r>
        <w:rPr>
          <w:rFonts w:ascii="Arial" w:cs="Arial" w:eastAsia="Arial" w:hAnsi="Arial"/>
          <w:sz w:val="18"/>
          <w:szCs w:val="18"/>
          <w:color w:val="auto"/>
        </w:rPr>
        <w:t>communications, including the Privacy and Electronic Communications Directive (2002/58/EC) and the Privacy and Electronic Communications (EC Directive) Regulations 2003 (SI 2003/2426) and (b) the Health Insurance Portability</w:t>
      </w:r>
    </w:p>
    <w:p>
      <w:pPr>
        <w:ind w:left="1020"/>
        <w:spacing w:after="0" w:line="236" w:lineRule="auto"/>
        <w:rPr>
          <w:sz w:val="20"/>
          <w:szCs w:val="20"/>
          <w:color w:val="auto"/>
        </w:rPr>
      </w:pPr>
      <w:r>
        <w:rPr>
          <w:rFonts w:ascii="Arial" w:cs="Arial" w:eastAsia="Arial" w:hAnsi="Arial"/>
          <w:sz w:val="18"/>
          <w:szCs w:val="18"/>
          <w:color w:val="auto"/>
        </w:rPr>
        <w:t>and Accountability Act of 1996, as amended by the Health Information Technology for Economic and Clinical Health</w:t>
      </w:r>
    </w:p>
    <w:p>
      <w:pPr>
        <w:spacing w:after="0" w:line="1" w:lineRule="exact"/>
        <w:rPr>
          <w:sz w:val="20"/>
          <w:szCs w:val="20"/>
          <w:color w:val="auto"/>
        </w:rPr>
      </w:pPr>
    </w:p>
    <w:p>
      <w:pPr>
        <w:ind w:left="1020" w:right="760"/>
        <w:spacing w:after="0" w:line="312" w:lineRule="auto"/>
        <w:rPr>
          <w:sz w:val="20"/>
          <w:szCs w:val="20"/>
          <w:color w:val="auto"/>
        </w:rPr>
      </w:pPr>
      <w:r>
        <w:rPr>
          <w:rFonts w:ascii="Arial" w:cs="Arial" w:eastAsia="Arial" w:hAnsi="Arial"/>
          <w:sz w:val="16"/>
          <w:szCs w:val="16"/>
          <w:color w:val="auto"/>
        </w:rPr>
        <w:t>Act adopted as part of the American Recovery and Reinvestment Act of 2009, and any regulations promulgated thereunder, and (c) FDA’s regulatory guidance pertaining to informed consent or cybersecurity requirements.</w:t>
      </w:r>
    </w:p>
    <w:p>
      <w:pPr>
        <w:spacing w:after="0" w:line="148" w:lineRule="exact"/>
        <w:rPr>
          <w:sz w:val="20"/>
          <w:szCs w:val="20"/>
          <w:color w:val="auto"/>
        </w:rPr>
      </w:pPr>
    </w:p>
    <w:p>
      <w:pPr>
        <w:ind w:left="1020" w:right="180" w:firstLine="648"/>
        <w:spacing w:after="0" w:line="239"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Develop</w:t>
      </w:r>
      <w:r>
        <w:rPr>
          <w:rFonts w:ascii="Arial" w:cs="Arial" w:eastAsia="Arial" w:hAnsi="Arial"/>
          <w:sz w:val="18"/>
          <w:szCs w:val="18"/>
          <w:color w:val="auto"/>
        </w:rPr>
        <w:t>” or “</w:t>
      </w:r>
      <w:r>
        <w:rPr>
          <w:rFonts w:ascii="Arial" w:cs="Arial" w:eastAsia="Arial" w:hAnsi="Arial"/>
          <w:sz w:val="18"/>
          <w:szCs w:val="18"/>
          <w:b w:val="1"/>
          <w:bCs w:val="1"/>
          <w:color w:val="auto"/>
        </w:rPr>
        <w:t>Development</w:t>
      </w:r>
      <w:r>
        <w:rPr>
          <w:rFonts w:ascii="Arial" w:cs="Arial" w:eastAsia="Arial" w:hAnsi="Arial"/>
          <w:sz w:val="18"/>
          <w:szCs w:val="18"/>
          <w:color w:val="auto"/>
        </w:rPr>
        <w:t>” means research, discovery, and preclinical and clinical drug or biological development activities, including toxicology, statistical analysis, preclinical studies and Clinical Trials (but excluding</w:t>
      </w:r>
    </w:p>
    <w:p>
      <w:pPr>
        <w:ind w:left="1020"/>
        <w:spacing w:after="0" w:line="236" w:lineRule="auto"/>
        <w:rPr>
          <w:sz w:val="20"/>
          <w:szCs w:val="20"/>
          <w:color w:val="auto"/>
        </w:rPr>
      </w:pPr>
      <w:r>
        <w:rPr>
          <w:rFonts w:ascii="Arial" w:cs="Arial" w:eastAsia="Arial" w:hAnsi="Arial"/>
          <w:sz w:val="18"/>
          <w:szCs w:val="18"/>
          <w:color w:val="auto"/>
        </w:rPr>
        <w:t>Phase 4 Clinical Trials unless required as a condition for Regulatory Approval) and pre-approval regulatory activities,</w:t>
      </w:r>
    </w:p>
    <w:p>
      <w:pPr>
        <w:ind w:left="1020" w:right="220"/>
        <w:spacing w:after="0" w:line="220" w:lineRule="auto"/>
        <w:rPr>
          <w:sz w:val="20"/>
          <w:szCs w:val="20"/>
          <w:color w:val="auto"/>
        </w:rPr>
      </w:pPr>
      <w:r>
        <w:rPr>
          <w:rFonts w:ascii="Arial" w:cs="Arial" w:eastAsia="Arial" w:hAnsi="Arial"/>
          <w:sz w:val="20"/>
          <w:szCs w:val="20"/>
          <w:color w:val="auto"/>
        </w:rPr>
        <w:t>including those in support of other Development activities. For clarity, “</w:t>
      </w:r>
      <w:r>
        <w:rPr>
          <w:rFonts w:ascii="Arial" w:cs="Arial" w:eastAsia="Arial" w:hAnsi="Arial"/>
          <w:sz w:val="20"/>
          <w:szCs w:val="20"/>
          <w:b w:val="1"/>
          <w:bCs w:val="1"/>
          <w:color w:val="auto"/>
        </w:rPr>
        <w:t>Develop</w:t>
      </w:r>
      <w:r>
        <w:rPr>
          <w:rFonts w:ascii="Arial" w:cs="Arial" w:eastAsia="Arial" w:hAnsi="Arial"/>
          <w:sz w:val="20"/>
          <w:szCs w:val="20"/>
          <w:color w:val="auto"/>
        </w:rPr>
        <w:t>” or “</w:t>
      </w:r>
      <w:r>
        <w:rPr>
          <w:rFonts w:ascii="Arial" w:cs="Arial" w:eastAsia="Arial" w:hAnsi="Arial"/>
          <w:sz w:val="20"/>
          <w:szCs w:val="20"/>
          <w:b w:val="1"/>
          <w:bCs w:val="1"/>
          <w:color w:val="auto"/>
        </w:rPr>
        <w:t>Development</w:t>
      </w:r>
      <w:r>
        <w:rPr>
          <w:rFonts w:ascii="Arial" w:cs="Arial" w:eastAsia="Arial" w:hAnsi="Arial"/>
          <w:sz w:val="20"/>
          <w:szCs w:val="20"/>
          <w:color w:val="auto"/>
        </w:rPr>
        <w:t>” does not include Manufacturing or Commercialization activities.</w:t>
      </w:r>
    </w:p>
    <w:p>
      <w:pPr>
        <w:spacing w:after="0" w:line="204" w:lineRule="exact"/>
        <w:rPr>
          <w:sz w:val="20"/>
          <w:szCs w:val="20"/>
          <w:color w:val="auto"/>
        </w:rPr>
      </w:pPr>
    </w:p>
    <w:p>
      <w:pPr>
        <w:ind w:left="1020" w:right="280" w:firstLine="647"/>
        <w:spacing w:after="0" w:line="269" w:lineRule="auto"/>
        <w:rPr>
          <w:sz w:val="20"/>
          <w:szCs w:val="20"/>
          <w:color w:val="auto"/>
        </w:rPr>
      </w:pPr>
      <w:r>
        <w:rPr>
          <w:rFonts w:ascii="Arial" w:cs="Arial" w:eastAsia="Arial" w:hAnsi="Arial"/>
          <w:sz w:val="16"/>
          <w:szCs w:val="16"/>
          <w:color w:val="auto"/>
        </w:rPr>
        <w:t>1.40 “</w:t>
      </w:r>
      <w:r>
        <w:rPr>
          <w:rFonts w:ascii="Arial" w:cs="Arial" w:eastAsia="Arial" w:hAnsi="Arial"/>
          <w:sz w:val="16"/>
          <w:szCs w:val="16"/>
          <w:b w:val="1"/>
          <w:bCs w:val="1"/>
          <w:color w:val="auto"/>
        </w:rPr>
        <w:t>Dispute</w:t>
      </w:r>
      <w:r>
        <w:rPr>
          <w:rFonts w:ascii="Arial" w:cs="Arial" w:eastAsia="Arial" w:hAnsi="Arial"/>
          <w:sz w:val="16"/>
          <w:szCs w:val="16"/>
          <w:color w:val="auto"/>
        </w:rPr>
        <w:t>” means any dispute, claim or controversy (other than matters that are within the decision-making authority of the JSC or a Party pursuant to Section 2.1(c) (Decision-Making), or are expressly stated herein to</w:t>
      </w:r>
    </w:p>
    <w:p>
      <w:pPr>
        <w:ind w:left="1020"/>
        <w:spacing w:after="0" w:line="236" w:lineRule="auto"/>
        <w:rPr>
          <w:sz w:val="20"/>
          <w:szCs w:val="20"/>
          <w:color w:val="auto"/>
        </w:rPr>
      </w:pPr>
      <w:r>
        <w:rPr>
          <w:rFonts w:ascii="Arial" w:cs="Arial" w:eastAsia="Arial" w:hAnsi="Arial"/>
          <w:sz w:val="18"/>
          <w:szCs w:val="18"/>
          <w:color w:val="auto"/>
        </w:rPr>
        <w:t>require the consent of both Parties or only one Party) arising from or related to this Agreement or to the interpretation,</w:t>
      </w:r>
    </w:p>
    <w:p>
      <w:pPr>
        <w:ind w:left="1020" w:right="140"/>
        <w:spacing w:after="0" w:line="220" w:lineRule="auto"/>
        <w:rPr>
          <w:sz w:val="20"/>
          <w:szCs w:val="20"/>
          <w:color w:val="auto"/>
        </w:rPr>
      </w:pPr>
      <w:r>
        <w:rPr>
          <w:rFonts w:ascii="Arial" w:cs="Arial" w:eastAsia="Arial" w:hAnsi="Arial"/>
          <w:sz w:val="20"/>
          <w:szCs w:val="20"/>
          <w:color w:val="auto"/>
        </w:rPr>
        <w:t>application, breach, termination or validity of this Agreement, including any claim of inducement of this Agreement by fraud or otherwise.</w:t>
      </w:r>
    </w:p>
    <w:p>
      <w:pPr>
        <w:spacing w:after="0" w:line="204" w:lineRule="exact"/>
        <w:rPr>
          <w:sz w:val="20"/>
          <w:szCs w:val="20"/>
          <w:color w:val="auto"/>
        </w:rPr>
      </w:pPr>
    </w:p>
    <w:p>
      <w:pPr>
        <w:jc w:val="center"/>
        <w:ind w:left="2000" w:right="80"/>
        <w:spacing w:after="0" w:line="232" w:lineRule="auto"/>
        <w:rPr>
          <w:sz w:val="20"/>
          <w:szCs w:val="20"/>
          <w:color w:val="auto"/>
        </w:rPr>
      </w:pPr>
      <w:r>
        <w:rPr>
          <w:rFonts w:ascii="Arial" w:cs="Arial" w:eastAsia="Arial" w:hAnsi="Arial"/>
          <w:sz w:val="20"/>
          <w:szCs w:val="20"/>
          <w:color w:val="auto"/>
        </w:rPr>
        <w:t>1.41  “</w:t>
      </w:r>
      <w:r>
        <w:rPr>
          <w:rFonts w:ascii="Arial" w:cs="Arial" w:eastAsia="Arial" w:hAnsi="Arial"/>
          <w:sz w:val="20"/>
          <w:szCs w:val="20"/>
          <w:b w:val="1"/>
          <w:bCs w:val="1"/>
          <w:color w:val="auto"/>
        </w:rPr>
        <w:t>Effector Target</w:t>
      </w:r>
      <w:r>
        <w:rPr>
          <w:rFonts w:ascii="Arial" w:cs="Arial" w:eastAsia="Arial" w:hAnsi="Arial"/>
          <w:sz w:val="20"/>
          <w:szCs w:val="20"/>
          <w:color w:val="auto"/>
        </w:rPr>
        <w:t>” means [***]: (a) [***] (b) [***] or (c) such other [***], in each case, [***], as further described in Section 5.1(c) ([***]) (such [***] in subsection (c), an “</w:t>
      </w:r>
      <w:r>
        <w:rPr>
          <w:rFonts w:ascii="Arial" w:cs="Arial" w:eastAsia="Arial" w:hAnsi="Arial"/>
          <w:sz w:val="20"/>
          <w:szCs w:val="20"/>
          <w:b w:val="1"/>
          <w:bCs w:val="1"/>
          <w:color w:val="auto"/>
        </w:rPr>
        <w:t>Other Effector Target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20"/>
          </w:cols>
          <w:pgMar w:left="400" w:top="1440" w:right="879" w:bottom="1440" w:gutter="0" w:footer="0" w:header="0"/>
        </w:sectPr>
      </w:pPr>
    </w:p>
    <w:bookmarkStart w:id="127" w:name="page128"/>
    <w:bookmarkEnd w:id="127"/>
    <w:p>
      <w:pPr>
        <w:spacing w:after="0" w:line="203" w:lineRule="exact"/>
        <w:rPr>
          <w:sz w:val="20"/>
          <w:szCs w:val="20"/>
          <w:color w:val="auto"/>
        </w:rPr>
      </w:pPr>
    </w:p>
    <w:p>
      <w:pPr>
        <w:ind w:left="1020" w:right="120" w:firstLine="648"/>
        <w:spacing w:after="0" w:line="260" w:lineRule="auto"/>
        <w:rPr>
          <w:sz w:val="20"/>
          <w:szCs w:val="20"/>
          <w:color w:val="auto"/>
        </w:rPr>
      </w:pPr>
      <w:r>
        <w:rPr>
          <w:rFonts w:ascii="Arial" w:cs="Arial" w:eastAsia="Arial" w:hAnsi="Arial"/>
          <w:sz w:val="20"/>
          <w:szCs w:val="20"/>
          <w:color w:val="auto"/>
        </w:rPr>
        <w:t>1.42 “</w:t>
      </w:r>
      <w:r>
        <w:rPr>
          <w:rFonts w:ascii="Arial" w:cs="Arial" w:eastAsia="Arial" w:hAnsi="Arial"/>
          <w:sz w:val="20"/>
          <w:szCs w:val="20"/>
          <w:b w:val="1"/>
          <w:bCs w:val="1"/>
          <w:color w:val="auto"/>
        </w:rPr>
        <w:t>Executive Officer</w:t>
      </w:r>
      <w:r>
        <w:rPr>
          <w:rFonts w:ascii="Arial" w:cs="Arial" w:eastAsia="Arial" w:hAnsi="Arial"/>
          <w:sz w:val="20"/>
          <w:szCs w:val="20"/>
          <w:color w:val="auto"/>
        </w:rPr>
        <w:t>” means, with respect to either Party, a senior executive designated by such Party for purposes of resolving Deadlocks at the JSC pursuant to Section 2.1(c) (Decision-Making) and Disputes pursuant to Section 17.2 (Resolution by Executive Officers).</w:t>
      </w:r>
    </w:p>
    <w:p>
      <w:pPr>
        <w:spacing w:after="0" w:line="198"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Existing CDA</w:t>
      </w:r>
      <w:r>
        <w:rPr>
          <w:rFonts w:ascii="Arial" w:cs="Arial" w:eastAsia="Arial" w:hAnsi="Arial"/>
          <w:sz w:val="18"/>
          <w:szCs w:val="18"/>
          <w:color w:val="auto"/>
        </w:rPr>
        <w:t>” means that certain Mutual Confidential Disclosure Agreement between the Parties,</w:t>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spacing w:after="0" w:line="302" w:lineRule="exact"/>
        <w:rPr>
          <w:sz w:val="20"/>
          <w:szCs w:val="20"/>
          <w:color w:val="auto"/>
        </w:rPr>
      </w:pPr>
    </w:p>
    <w:p>
      <w:pPr>
        <w:ind w:left="1020" w:right="280" w:firstLine="647"/>
        <w:spacing w:after="0" w:line="232" w:lineRule="auto"/>
        <w:rPr>
          <w:sz w:val="20"/>
          <w:szCs w:val="20"/>
          <w:color w:val="auto"/>
        </w:rPr>
      </w:pPr>
      <w:r>
        <w:rPr>
          <w:rFonts w:ascii="Arial" w:cs="Arial" w:eastAsia="Arial" w:hAnsi="Arial"/>
          <w:sz w:val="20"/>
          <w:szCs w:val="20"/>
          <w:color w:val="auto"/>
        </w:rPr>
        <w:t>1.44 “</w:t>
      </w:r>
      <w:r>
        <w:rPr>
          <w:rFonts w:ascii="Arial" w:cs="Arial" w:eastAsia="Arial" w:hAnsi="Arial"/>
          <w:sz w:val="20"/>
          <w:szCs w:val="20"/>
          <w:b w:val="1"/>
          <w:bCs w:val="1"/>
          <w:color w:val="auto"/>
        </w:rPr>
        <w:t>Exploit</w:t>
      </w:r>
      <w:r>
        <w:rPr>
          <w:rFonts w:ascii="Arial" w:cs="Arial" w:eastAsia="Arial" w:hAnsi="Arial"/>
          <w:sz w:val="20"/>
          <w:szCs w:val="20"/>
          <w:color w:val="auto"/>
        </w:rPr>
        <w:t>” or “</w:t>
      </w:r>
      <w:r>
        <w:rPr>
          <w:rFonts w:ascii="Arial" w:cs="Arial" w:eastAsia="Arial" w:hAnsi="Arial"/>
          <w:sz w:val="20"/>
          <w:szCs w:val="20"/>
          <w:b w:val="1"/>
          <w:bCs w:val="1"/>
          <w:color w:val="auto"/>
        </w:rPr>
        <w:t>Exploitation</w:t>
      </w:r>
      <w:r>
        <w:rPr>
          <w:rFonts w:ascii="Arial" w:cs="Arial" w:eastAsia="Arial" w:hAnsi="Arial"/>
          <w:sz w:val="20"/>
          <w:szCs w:val="20"/>
          <w:color w:val="auto"/>
        </w:rPr>
        <w:t>” means to research, develop, use, have used, sell, have sold, offer for sale, make, have made, distribute, import or otherwise exploit or have exploited.</w:t>
      </w:r>
    </w:p>
    <w:p>
      <w:pPr>
        <w:spacing w:after="0" w:line="25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or any successor agency</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thereto.</w:t>
      </w:r>
    </w:p>
    <w:p>
      <w:pPr>
        <w:spacing w:after="0" w:line="261"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FDCA</w:t>
      </w:r>
      <w:r>
        <w:rPr>
          <w:rFonts w:ascii="Arial" w:cs="Arial" w:eastAsia="Arial" w:hAnsi="Arial"/>
          <w:sz w:val="16"/>
          <w:szCs w:val="16"/>
          <w:color w:val="auto"/>
        </w:rPr>
        <w:t>” means the Federal Food, Drug and Cosmetic Act, as amended.</w:t>
      </w:r>
    </w:p>
    <w:p>
      <w:pPr>
        <w:spacing w:after="0" w:line="22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means any and all uses.</w:t>
      </w:r>
    </w:p>
    <w:p>
      <w:pPr>
        <w:spacing w:after="0" w:line="216" w:lineRule="exact"/>
        <w:rPr>
          <w:sz w:val="20"/>
          <w:szCs w:val="20"/>
          <w:color w:val="auto"/>
        </w:rPr>
      </w:pPr>
    </w:p>
    <w:p>
      <w:pPr>
        <w:ind w:left="1020" w:right="140" w:firstLine="648"/>
        <w:spacing w:after="0" w:line="239"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Licensed Product, the first sale of a such Licensed Product by Gilead, its Affiliates or its Sublicensees to a Third Party for end use or consumption of such Licensed</w:t>
      </w:r>
    </w:p>
    <w:p>
      <w:pPr>
        <w:ind w:left="1020"/>
        <w:spacing w:after="0" w:line="236" w:lineRule="auto"/>
        <w:rPr>
          <w:sz w:val="20"/>
          <w:szCs w:val="20"/>
          <w:color w:val="auto"/>
        </w:rPr>
      </w:pPr>
      <w:r>
        <w:rPr>
          <w:rFonts w:ascii="Arial" w:cs="Arial" w:eastAsia="Arial" w:hAnsi="Arial"/>
          <w:sz w:val="18"/>
          <w:szCs w:val="18"/>
          <w:color w:val="auto"/>
        </w:rPr>
        <w:t>Product in a country after Regulatory Approval has been granted by the Regulatory Authority for such Licensed Product</w:t>
      </w:r>
    </w:p>
    <w:p>
      <w:pPr>
        <w:ind w:left="1020" w:right="140"/>
        <w:spacing w:after="0" w:line="226" w:lineRule="auto"/>
        <w:rPr>
          <w:sz w:val="20"/>
          <w:szCs w:val="20"/>
          <w:color w:val="auto"/>
        </w:rPr>
      </w:pPr>
      <w:r>
        <w:rPr>
          <w:rFonts w:ascii="Arial" w:cs="Arial" w:eastAsia="Arial" w:hAnsi="Arial"/>
          <w:sz w:val="18"/>
          <w:szCs w:val="18"/>
          <w:color w:val="auto"/>
        </w:rPr>
        <w:t xml:space="preserve">in such country. First Commercial Sale excludes transfers of Licensed Product to Third Parties as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samples, as donations, for the performance of Clinical Trials or for similar purposes in accordance with Applicable Law and</w:t>
      </w:r>
    </w:p>
    <w:p>
      <w:pPr>
        <w:spacing w:after="0" w:line="2" w:lineRule="exact"/>
        <w:rPr>
          <w:sz w:val="20"/>
          <w:szCs w:val="20"/>
          <w:color w:val="auto"/>
        </w:rPr>
      </w:pPr>
    </w:p>
    <w:p>
      <w:pPr>
        <w:ind w:left="1020" w:right="440"/>
        <w:spacing w:after="0" w:line="227" w:lineRule="auto"/>
        <w:rPr>
          <w:sz w:val="20"/>
          <w:szCs w:val="20"/>
          <w:color w:val="auto"/>
        </w:rPr>
      </w:pPr>
      <w:r>
        <w:rPr>
          <w:rFonts w:ascii="Arial" w:cs="Arial" w:eastAsia="Arial" w:hAnsi="Arial"/>
          <w:sz w:val="20"/>
          <w:szCs w:val="20"/>
          <w:color w:val="auto"/>
        </w:rPr>
        <w:t>Regulations pertaining to any expanded access program, any compassionate sales or use program (including named patient program or single patient program) or any indigent program.</w:t>
      </w:r>
    </w:p>
    <w:p>
      <w:pPr>
        <w:spacing w:after="0" w:line="191" w:lineRule="exact"/>
        <w:rPr>
          <w:sz w:val="20"/>
          <w:szCs w:val="20"/>
          <w:color w:val="auto"/>
        </w:rPr>
      </w:pPr>
    </w:p>
    <w:p>
      <w:pPr>
        <w:ind w:left="1020" w:right="140" w:firstLine="648"/>
        <w:spacing w:after="0" w:line="284" w:lineRule="auto"/>
        <w:rPr>
          <w:sz w:val="20"/>
          <w:szCs w:val="20"/>
          <w:color w:val="auto"/>
        </w:rPr>
      </w:pPr>
      <w:r>
        <w:rPr>
          <w:rFonts w:ascii="Arial" w:cs="Arial" w:eastAsia="Arial" w:hAnsi="Arial"/>
          <w:sz w:val="20"/>
          <w:szCs w:val="20"/>
          <w:color w:val="auto"/>
        </w:rPr>
        <w:t>1.49 “</w:t>
      </w:r>
      <w:r>
        <w:rPr>
          <w:rFonts w:ascii="Arial" w:cs="Arial" w:eastAsia="Arial" w:hAnsi="Arial"/>
          <w:sz w:val="20"/>
          <w:szCs w:val="20"/>
          <w:b w:val="1"/>
          <w:bCs w:val="1"/>
          <w:color w:val="auto"/>
        </w:rPr>
        <w:t>Flotetuzumab</w:t>
      </w:r>
      <w:r>
        <w:rPr>
          <w:rFonts w:ascii="Arial" w:cs="Arial" w:eastAsia="Arial" w:hAnsi="Arial"/>
          <w:sz w:val="20"/>
          <w:szCs w:val="20"/>
          <w:color w:val="auto"/>
        </w:rPr>
        <w:t>” means the therapeutic bi-specific molecule which binds to CD3 and CD123 and which is generated from MacroGenics’ proprietary DART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platform, as further described in [***].</w:t>
      </w:r>
    </w:p>
    <w:p>
      <w:pPr>
        <w:spacing w:after="0" w:line="15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means [***] of work devoted to or in direct support of specified Development or Manufacturing</w:t>
      </w:r>
    </w:p>
    <w:p>
      <w:pPr>
        <w:spacing w:after="0" w:line="6" w:lineRule="exact"/>
        <w:rPr>
          <w:sz w:val="20"/>
          <w:szCs w:val="20"/>
          <w:color w:val="auto"/>
        </w:rPr>
      </w:pPr>
    </w:p>
    <w:p>
      <w:pPr>
        <w:ind w:left="1020" w:right="220"/>
        <w:spacing w:after="0" w:line="226" w:lineRule="auto"/>
        <w:rPr>
          <w:sz w:val="20"/>
          <w:szCs w:val="20"/>
          <w:color w:val="auto"/>
        </w:rPr>
      </w:pPr>
      <w:r>
        <w:rPr>
          <w:rFonts w:ascii="Arial" w:cs="Arial" w:eastAsia="Arial" w:hAnsi="Arial"/>
          <w:sz w:val="18"/>
          <w:szCs w:val="18"/>
          <w:color w:val="auto"/>
        </w:rPr>
        <w:t>activities, conducted by one or more qualified employees or full-time contractors of a Party or its Affiliate. For clarity, any individual contributing less than [***] per Calendar Year (or equivalent pro-rata portion thereof for the period</w:t>
      </w:r>
    </w:p>
    <w:p>
      <w:pPr>
        <w:ind w:left="1020"/>
        <w:spacing w:after="0" w:line="236" w:lineRule="auto"/>
        <w:rPr>
          <w:sz w:val="20"/>
          <w:szCs w:val="20"/>
          <w:color w:val="auto"/>
        </w:rPr>
      </w:pPr>
      <w:r>
        <w:rPr>
          <w:rFonts w:ascii="Arial" w:cs="Arial" w:eastAsia="Arial" w:hAnsi="Arial"/>
          <w:sz w:val="18"/>
          <w:szCs w:val="18"/>
          <w:color w:val="auto"/>
        </w:rPr>
        <w:t>beginning on the Effective Date and ending on the last day of the first Calendar Year) shall be deemed a fraction of an</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FTE on a pro-rata basis. Overtime and work on weekends, holidays and the like will not be counted with any multiplier (e.g., time-and-a-half or double time) toward the number of hours that are used to calculate the FTE contribution. For the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avoidance of doubt, no individual will count as more than one FTE for any year.</w:t>
      </w:r>
    </w:p>
    <w:p>
      <w:pPr>
        <w:spacing w:after="0" w:line="194" w:lineRule="exact"/>
        <w:rPr>
          <w:sz w:val="20"/>
          <w:szCs w:val="20"/>
          <w:color w:val="auto"/>
        </w:rPr>
      </w:pPr>
    </w:p>
    <w:p>
      <w:pPr>
        <w:ind w:left="1020" w:right="360" w:firstLine="648"/>
        <w:spacing w:after="0" w:line="247"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b w:val="1"/>
          <w:bCs w:val="1"/>
          <w:color w:val="auto"/>
        </w:rPr>
        <w:t>FTE Cost</w:t>
      </w:r>
      <w:r>
        <w:rPr>
          <w:rFonts w:ascii="Arial" w:cs="Arial" w:eastAsia="Arial" w:hAnsi="Arial"/>
          <w:sz w:val="18"/>
          <w:szCs w:val="18"/>
          <w:color w:val="auto"/>
        </w:rPr>
        <w:t>” means, with respect to any period, activity and a Party or its Affiliate, the FTE Rate multiplied by the number of FTEs expended by such Party or its Affiliate in the conduct of such activity during such</w:t>
      </w:r>
    </w:p>
    <w:p>
      <w:pPr>
        <w:spacing w:after="0" w:line="1" w:lineRule="exact"/>
        <w:rPr>
          <w:sz w:val="20"/>
          <w:szCs w:val="20"/>
          <w:color w:val="auto"/>
        </w:rPr>
      </w:pPr>
    </w:p>
    <w:p>
      <w:pPr>
        <w:ind w:left="1020" w:right="160"/>
        <w:spacing w:after="0" w:line="220" w:lineRule="auto"/>
        <w:rPr>
          <w:sz w:val="20"/>
          <w:szCs w:val="20"/>
          <w:color w:val="auto"/>
        </w:rPr>
      </w:pPr>
      <w:r>
        <w:rPr>
          <w:rFonts w:ascii="Arial" w:cs="Arial" w:eastAsia="Arial" w:hAnsi="Arial"/>
          <w:sz w:val="20"/>
          <w:szCs w:val="20"/>
          <w:color w:val="auto"/>
        </w:rPr>
        <w:t xml:space="preserve">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other Party shall not be charged more than once for any FTE Cost if such FTE Cost is already included as a component of other expenses payable under this Agreement.</w:t>
      </w:r>
    </w:p>
    <w:p>
      <w:pPr>
        <w:spacing w:after="0" w:line="191" w:lineRule="exact"/>
        <w:rPr>
          <w:sz w:val="20"/>
          <w:szCs w:val="20"/>
          <w:color w:val="auto"/>
        </w:rPr>
      </w:pPr>
    </w:p>
    <w:p>
      <w:pPr>
        <w:ind w:left="1020" w:firstLine="648"/>
        <w:spacing w:after="0" w:line="239" w:lineRule="auto"/>
        <w:rPr>
          <w:sz w:val="20"/>
          <w:szCs w:val="20"/>
          <w:color w:val="auto"/>
        </w:rPr>
      </w:pPr>
      <w:r>
        <w:rPr>
          <w:rFonts w:ascii="Arial" w:cs="Arial" w:eastAsia="Arial" w:hAnsi="Arial"/>
          <w:sz w:val="20"/>
          <w:szCs w:val="20"/>
          <w:color w:val="auto"/>
        </w:rPr>
        <w:t>1.52 “</w:t>
      </w:r>
      <w:r>
        <w:rPr>
          <w:rFonts w:ascii="Arial" w:cs="Arial" w:eastAsia="Arial" w:hAnsi="Arial"/>
          <w:sz w:val="20"/>
          <w:szCs w:val="20"/>
          <w:b w:val="1"/>
          <w:bCs w:val="1"/>
          <w:color w:val="auto"/>
        </w:rPr>
        <w:t>FTE Rate</w:t>
      </w:r>
      <w:r>
        <w:rPr>
          <w:rFonts w:ascii="Arial" w:cs="Arial" w:eastAsia="Arial" w:hAnsi="Arial"/>
          <w:sz w:val="20"/>
          <w:szCs w:val="20"/>
          <w:color w:val="auto"/>
        </w:rPr>
        <w:t>” means a rate of [***] per FTE per Calendar Year, pro-rated [***]. The FTE Rate includes all wages and salaries, employee benefits, bonus,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00"/>
          </w:cols>
          <w:pgMar w:left="400" w:top="1440" w:right="899" w:bottom="1440" w:gutter="0" w:footer="0" w:header="0"/>
        </w:sectPr>
      </w:pPr>
    </w:p>
    <w:bookmarkStart w:id="128" w:name="page129"/>
    <w:bookmarkEnd w:id="128"/>
    <w:p>
      <w:pPr>
        <w:spacing w:after="0" w:line="195" w:lineRule="exact"/>
        <w:rPr>
          <w:sz w:val="20"/>
          <w:szCs w:val="20"/>
          <w:color w:val="auto"/>
        </w:rPr>
      </w:pPr>
    </w:p>
    <w:p>
      <w:pPr>
        <w:jc w:val="both"/>
        <w:ind w:left="1020"/>
        <w:spacing w:after="0" w:line="244" w:lineRule="auto"/>
        <w:rPr>
          <w:sz w:val="20"/>
          <w:szCs w:val="20"/>
          <w:color w:val="auto"/>
        </w:rPr>
      </w:pPr>
      <w:r>
        <w:rPr>
          <w:rFonts w:ascii="Arial" w:cs="Arial" w:eastAsia="Arial" w:hAnsi="Arial"/>
          <w:sz w:val="18"/>
          <w:szCs w:val="18"/>
          <w:color w:val="auto"/>
        </w:rPr>
        <w:t>and entertainment, and other direct expenses expended in connection with an FTE’s performance of activities under this Agreement and excludes indirect allocations, including all general and administrative expenses, human resources,</w:t>
      </w:r>
    </w:p>
    <w:p>
      <w:pPr>
        <w:ind w:left="1020"/>
        <w:spacing w:after="0" w:line="220" w:lineRule="auto"/>
        <w:rPr>
          <w:sz w:val="20"/>
          <w:szCs w:val="20"/>
          <w:color w:val="auto"/>
        </w:rPr>
      </w:pPr>
      <w:r>
        <w:rPr>
          <w:rFonts w:ascii="Arial" w:cs="Arial" w:eastAsia="Arial" w:hAnsi="Arial"/>
          <w:sz w:val="20"/>
          <w:szCs w:val="20"/>
          <w:color w:val="auto"/>
        </w:rPr>
        <w:t>finance, occupancy and depreciation expended in connection with such FTE’s performance of activities under this Agreement.</w:t>
      </w:r>
    </w:p>
    <w:p>
      <w:pPr>
        <w:spacing w:after="0" w:line="17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Fully Burdened Manufacturing Cost</w:t>
      </w:r>
      <w:r>
        <w:rPr>
          <w:rFonts w:ascii="Arial" w:cs="Arial" w:eastAsia="Arial" w:hAnsi="Arial"/>
          <w:sz w:val="18"/>
          <w:szCs w:val="18"/>
          <w:color w:val="auto"/>
        </w:rPr>
        <w:t>” means, with respect to MGD024 or MGD024 Product, whether</w:t>
      </w:r>
    </w:p>
    <w:p>
      <w:pPr>
        <w:spacing w:after="0" w:line="6" w:lineRule="exact"/>
        <w:rPr>
          <w:sz w:val="20"/>
          <w:szCs w:val="20"/>
          <w:color w:val="auto"/>
        </w:rPr>
      </w:pPr>
    </w:p>
    <w:p>
      <w:pPr>
        <w:ind w:left="1020" w:right="460"/>
        <w:spacing w:after="0" w:line="226" w:lineRule="auto"/>
        <w:rPr>
          <w:sz w:val="20"/>
          <w:szCs w:val="20"/>
          <w:color w:val="auto"/>
        </w:rPr>
      </w:pPr>
      <w:r>
        <w:rPr>
          <w:rFonts w:ascii="Arial" w:cs="Arial" w:eastAsia="Arial" w:hAnsi="Arial"/>
          <w:sz w:val="18"/>
          <w:szCs w:val="18"/>
          <w:color w:val="auto"/>
        </w:rPr>
        <w:t>as active pharmaceutical ingredient or finished form, supplied by MacroGenics to Gilead pursuant to Section 9.1 (MGD024 and MGD024 Products): [***] of: (a) solely with respect to the MGD024 Drug Product (and, for clarity,</w:t>
      </w:r>
    </w:p>
    <w:p>
      <w:pPr>
        <w:ind w:left="1020"/>
        <w:spacing w:after="0" w:line="224" w:lineRule="auto"/>
        <w:rPr>
          <w:sz w:val="20"/>
          <w:szCs w:val="20"/>
          <w:color w:val="auto"/>
        </w:rPr>
      </w:pPr>
      <w:r>
        <w:rPr>
          <w:rFonts w:ascii="Arial" w:cs="Arial" w:eastAsia="Arial" w:hAnsi="Arial"/>
          <w:sz w:val="19"/>
          <w:szCs w:val="19"/>
          <w:color w:val="auto"/>
        </w:rPr>
        <w:t>neither the MGD024 Drug Substance nor any other component thereof), [***] in connection with the supply of</w:t>
      </w:r>
    </w:p>
    <w:p>
      <w:pPr>
        <w:ind w:left="1020" w:right="200"/>
        <w:spacing w:after="0" w:line="226" w:lineRule="auto"/>
        <w:rPr>
          <w:sz w:val="20"/>
          <w:szCs w:val="20"/>
          <w:color w:val="auto"/>
        </w:rPr>
      </w:pPr>
      <w:r>
        <w:rPr>
          <w:rFonts w:ascii="Arial" w:cs="Arial" w:eastAsia="Arial" w:hAnsi="Arial"/>
          <w:sz w:val="18"/>
          <w:szCs w:val="18"/>
          <w:color w:val="auto"/>
        </w:rPr>
        <w:t>MGD024 Drug Product (and, for clarity, not any component thereof), [***]; (b) [***], means: (i) the direct cost of raw materials (including reagents and associated warehousing costs), packaging and labeling materials (including vials),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-177800</wp:posOffset>
            </wp:positionV>
            <wp:extent cx="311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1020"/>
        <w:spacing w:after="0" w:line="236" w:lineRule="auto"/>
        <w:rPr>
          <w:sz w:val="20"/>
          <w:szCs w:val="20"/>
          <w:color w:val="auto"/>
        </w:rPr>
      </w:pPr>
      <w:r>
        <w:rPr>
          <w:rFonts w:ascii="Arial" w:cs="Arial" w:eastAsia="Arial" w:hAnsi="Arial"/>
          <w:sz w:val="18"/>
          <w:szCs w:val="18"/>
          <w:color w:val="auto"/>
        </w:rPr>
        <w:t>labor (as measured by FTE Costs and Out-of-Pocket Costs for consultants, contractors and other personnel performing</w:t>
      </w:r>
    </w:p>
    <w:p>
      <w:pPr>
        <w:spacing w:after="0" w:line="1" w:lineRule="exact"/>
        <w:rPr>
          <w:sz w:val="20"/>
          <w:szCs w:val="20"/>
          <w:color w:val="auto"/>
        </w:rPr>
      </w:pPr>
    </w:p>
    <w:p>
      <w:pPr>
        <w:ind w:left="1020" w:right="80"/>
        <w:spacing w:after="0" w:line="226" w:lineRule="auto"/>
        <w:rPr>
          <w:sz w:val="20"/>
          <w:szCs w:val="20"/>
          <w:color w:val="auto"/>
        </w:rPr>
      </w:pPr>
      <w:r>
        <w:rPr>
          <w:rFonts w:ascii="Arial" w:cs="Arial" w:eastAsia="Arial" w:hAnsi="Arial"/>
          <w:sz w:val="18"/>
          <w:szCs w:val="18"/>
          <w:color w:val="auto"/>
        </w:rPr>
        <w:t>manufacturing or supply activities), (ii) the direct cost of any quality assurance and control activities (including required stability monitoring) for MGD024 or MGD024 Product, (iii) operating costs of equipment and facilities and (iv)</w:t>
      </w:r>
    </w:p>
    <w:p>
      <w:pPr>
        <w:ind w:left="1020"/>
        <w:spacing w:after="0" w:line="236" w:lineRule="auto"/>
        <w:rPr>
          <w:sz w:val="20"/>
          <w:szCs w:val="20"/>
          <w:color w:val="auto"/>
        </w:rPr>
      </w:pPr>
      <w:r>
        <w:rPr>
          <w:rFonts w:ascii="Arial" w:cs="Arial" w:eastAsia="Arial" w:hAnsi="Arial"/>
          <w:sz w:val="18"/>
          <w:szCs w:val="18"/>
          <w:color w:val="auto"/>
        </w:rPr>
        <w:t>shipping costs (including all duties and import fees, as applicable), in each case (i) through (iv), as reasonably incurred</w:t>
      </w:r>
    </w:p>
    <w:p>
      <w:pPr>
        <w:spacing w:after="0" w:line="1" w:lineRule="exact"/>
        <w:rPr>
          <w:sz w:val="20"/>
          <w:szCs w:val="20"/>
          <w:color w:val="auto"/>
        </w:rPr>
      </w:pPr>
    </w:p>
    <w:p>
      <w:pPr>
        <w:ind w:left="1020" w:right="140"/>
        <w:spacing w:after="0" w:line="226" w:lineRule="auto"/>
        <w:rPr>
          <w:sz w:val="20"/>
          <w:szCs w:val="20"/>
          <w:color w:val="auto"/>
        </w:rPr>
      </w:pPr>
      <w:r>
        <w:rPr>
          <w:rFonts w:ascii="Arial" w:cs="Arial" w:eastAsia="Arial" w:hAnsi="Arial"/>
          <w:sz w:val="18"/>
          <w:szCs w:val="18"/>
          <w:color w:val="auto"/>
        </w:rPr>
        <w:t>by MacroGenics in connection with and reasonably allocated to the Manufacture of MGD024 or MGD024 Products. In no case shall Fully Burdened Manufacturing Costs include any amounts incurred due to the gross negligence or willful</w:t>
      </w:r>
    </w:p>
    <w:p>
      <w:pPr>
        <w:ind w:left="1020"/>
        <w:spacing w:after="0" w:line="236" w:lineRule="auto"/>
        <w:rPr>
          <w:sz w:val="20"/>
          <w:szCs w:val="20"/>
          <w:color w:val="auto"/>
        </w:rPr>
      </w:pPr>
      <w:r>
        <w:rPr>
          <w:rFonts w:ascii="Arial" w:cs="Arial" w:eastAsia="Arial" w:hAnsi="Arial"/>
          <w:sz w:val="18"/>
          <w:szCs w:val="18"/>
          <w:color w:val="auto"/>
        </w:rPr>
        <w:t>misconduct of MacroGenics, its Affiliates or any Third Party. All components of Fully Burdened Manufacturing Costs</w:t>
      </w:r>
    </w:p>
    <w:p>
      <w:pPr>
        <w:spacing w:after="0" w:line="1" w:lineRule="exact"/>
        <w:rPr>
          <w:sz w:val="20"/>
          <w:szCs w:val="20"/>
          <w:color w:val="auto"/>
        </w:rPr>
      </w:pPr>
    </w:p>
    <w:p>
      <w:pPr>
        <w:ind w:left="1020" w:right="20"/>
        <w:spacing w:after="0" w:line="226" w:lineRule="auto"/>
        <w:rPr>
          <w:sz w:val="20"/>
          <w:szCs w:val="20"/>
          <w:color w:val="auto"/>
        </w:rPr>
      </w:pPr>
      <w:r>
        <w:rPr>
          <w:rFonts w:ascii="Arial" w:cs="Arial" w:eastAsia="Arial" w:hAnsi="Arial"/>
          <w:sz w:val="18"/>
          <w:szCs w:val="18"/>
          <w:color w:val="auto"/>
        </w:rPr>
        <w:t>shall be allocated on a basis consistent with GAAP and consistent with the cost accounting policy applied by MacroGenics to other similar products that it produces. For clarity, Fully Burdened Manufacturing Costs will not include</w:t>
      </w:r>
    </w:p>
    <w:p>
      <w:pPr>
        <w:spacing w:after="0" w:line="2" w:lineRule="exact"/>
        <w:rPr>
          <w:sz w:val="20"/>
          <w:szCs w:val="20"/>
          <w:color w:val="auto"/>
        </w:rPr>
      </w:pPr>
    </w:p>
    <w:p>
      <w:pPr>
        <w:ind w:left="1020" w:right="40"/>
        <w:spacing w:after="0" w:line="227" w:lineRule="auto"/>
        <w:rPr>
          <w:sz w:val="20"/>
          <w:szCs w:val="20"/>
          <w:color w:val="auto"/>
        </w:rPr>
      </w:pPr>
      <w:r>
        <w:rPr>
          <w:rFonts w:ascii="Arial" w:cs="Arial" w:eastAsia="Arial" w:hAnsi="Arial"/>
          <w:sz w:val="20"/>
          <w:szCs w:val="20"/>
          <w:color w:val="auto"/>
        </w:rPr>
        <w:t>any cost or expense already paid for by Gilead pursuant to this Agreement or any other agreement between the Parties or their Affiliates.</w:t>
      </w:r>
    </w:p>
    <w:p>
      <w:pPr>
        <w:spacing w:after="0" w:line="191"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U.S. generally accepted accounting principles.</w:t>
      </w:r>
    </w:p>
    <w:p>
      <w:pPr>
        <w:spacing w:after="0" w:line="216" w:lineRule="exact"/>
        <w:rPr>
          <w:sz w:val="20"/>
          <w:szCs w:val="20"/>
          <w:color w:val="auto"/>
        </w:rPr>
      </w:pPr>
    </w:p>
    <w:p>
      <w:pPr>
        <w:ind w:left="1020" w:right="20" w:firstLine="648"/>
        <w:spacing w:after="0" w:line="239" w:lineRule="auto"/>
        <w:rPr>
          <w:sz w:val="20"/>
          <w:szCs w:val="20"/>
          <w:color w:val="auto"/>
        </w:rPr>
      </w:pPr>
      <w:r>
        <w:rPr>
          <w:rFonts w:ascii="Arial" w:cs="Arial" w:eastAsia="Arial" w:hAnsi="Arial"/>
          <w:sz w:val="20"/>
          <w:szCs w:val="20"/>
          <w:color w:val="auto"/>
        </w:rPr>
        <w:t>1.55 “</w:t>
      </w:r>
      <w:r>
        <w:rPr>
          <w:rFonts w:ascii="Arial" w:cs="Arial" w:eastAsia="Arial" w:hAnsi="Arial"/>
          <w:sz w:val="20"/>
          <w:szCs w:val="20"/>
          <w:b w:val="1"/>
          <w:bCs w:val="1"/>
          <w:color w:val="auto"/>
        </w:rPr>
        <w:t>GBPS</w:t>
      </w:r>
      <w:r>
        <w:rPr>
          <w:rFonts w:ascii="Arial" w:cs="Arial" w:eastAsia="Arial" w:hAnsi="Arial"/>
          <w:sz w:val="20"/>
          <w:szCs w:val="20"/>
          <w:color w:val="auto"/>
        </w:rPr>
        <w:t>” means the General Biological Products Standards as set forth in 21 C.F.R. Part 610, to the extent applicable.</w:t>
      </w:r>
    </w:p>
    <w:p>
      <w:pPr>
        <w:spacing w:after="0" w:line="190" w:lineRule="exact"/>
        <w:rPr>
          <w:sz w:val="20"/>
          <w:szCs w:val="20"/>
          <w:color w:val="auto"/>
        </w:rPr>
      </w:pPr>
    </w:p>
    <w:p>
      <w:pPr>
        <w:ind w:left="1020" w:right="880" w:firstLine="648"/>
        <w:spacing w:after="0" w:line="227" w:lineRule="auto"/>
        <w:rPr>
          <w:sz w:val="20"/>
          <w:szCs w:val="20"/>
          <w:color w:val="auto"/>
        </w:rPr>
      </w:pPr>
      <w:r>
        <w:rPr>
          <w:rFonts w:ascii="Arial" w:cs="Arial" w:eastAsia="Arial" w:hAnsi="Arial"/>
          <w:sz w:val="19"/>
          <w:szCs w:val="19"/>
          <w:color w:val="auto"/>
        </w:rPr>
        <w:t>1.56 “</w:t>
      </w:r>
      <w:r>
        <w:rPr>
          <w:rFonts w:ascii="Arial" w:cs="Arial" w:eastAsia="Arial" w:hAnsi="Arial"/>
          <w:sz w:val="19"/>
          <w:szCs w:val="19"/>
          <w:b w:val="1"/>
          <w:bCs w:val="1"/>
          <w:color w:val="auto"/>
        </w:rPr>
        <w:t>GCP</w:t>
      </w:r>
      <w:r>
        <w:rPr>
          <w:rFonts w:ascii="Arial" w:cs="Arial" w:eastAsia="Arial" w:hAnsi="Arial"/>
          <w:sz w:val="19"/>
          <w:szCs w:val="19"/>
          <w:color w:val="auto"/>
        </w:rPr>
        <w:t>” or “</w:t>
      </w:r>
      <w:r>
        <w:rPr>
          <w:rFonts w:ascii="Arial" w:cs="Arial" w:eastAsia="Arial" w:hAnsi="Arial"/>
          <w:sz w:val="19"/>
          <w:szCs w:val="19"/>
          <w:b w:val="1"/>
          <w:bCs w:val="1"/>
          <w:color w:val="auto"/>
        </w:rPr>
        <w:t>Good Clinical Practices</w:t>
      </w:r>
      <w:r>
        <w:rPr>
          <w:rFonts w:ascii="Arial" w:cs="Arial" w:eastAsia="Arial" w:hAnsi="Arial"/>
          <w:sz w:val="19"/>
          <w:szCs w:val="19"/>
          <w:color w:val="auto"/>
        </w:rPr>
        <w:t>” means current Good Clinical Practices as set forth in the Applicable Laws and Regulations, such as FDCA and the PHS Act and regulations set forth at 21</w:t>
      </w:r>
    </w:p>
    <w:p>
      <w:pPr>
        <w:ind w:left="1020"/>
        <w:spacing w:after="0" w:line="222" w:lineRule="auto"/>
        <w:rPr>
          <w:sz w:val="20"/>
          <w:szCs w:val="20"/>
          <w:color w:val="auto"/>
        </w:rPr>
      </w:pPr>
      <w:r>
        <w:rPr>
          <w:rFonts w:ascii="Arial" w:cs="Arial" w:eastAsia="Arial" w:hAnsi="Arial"/>
          <w:sz w:val="19"/>
          <w:szCs w:val="19"/>
          <w:color w:val="auto"/>
        </w:rPr>
        <w:t>C.F.R. Part 312, as well as (but not limited to) the requirements set forth in Directive 2001/20/EC of the European Parliament and of the Council of 4 April 2001 and Commission Directive 2005/28/EC of 8 April 2005, to the extent</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applicable to a clinical trial regarding any Licensed Product, as such obligations are interpreted and enforced by the applicable Regulatory Authority, and as interpreted under prevailing industry standards, including standards of medical</w:t>
      </w:r>
    </w:p>
    <w:p>
      <w:pPr>
        <w:ind w:left="1020"/>
        <w:spacing w:after="0" w:line="236" w:lineRule="auto"/>
        <w:rPr>
          <w:sz w:val="20"/>
          <w:szCs w:val="20"/>
          <w:color w:val="auto"/>
        </w:rPr>
      </w:pPr>
      <w:r>
        <w:rPr>
          <w:rFonts w:ascii="Arial" w:cs="Arial" w:eastAsia="Arial" w:hAnsi="Arial"/>
          <w:sz w:val="18"/>
          <w:szCs w:val="18"/>
          <w:color w:val="auto"/>
        </w:rPr>
        <w:t>ethics, applicable guidance documents issued by the FDA and any other Regulatory Authority, including ICH GCP, the</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informed consent requirements set forth in 21 C.F.R. Part 50 and the equivalent legal requirements in other applicable jurisdictions, the requirements relating to Institutional Review Boards set forth in 21 C.F.R. Part 56 and the equivalent</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legal requirements in other applicable jurisdictions, as the same may be amended from time to time.</w:t>
      </w:r>
    </w:p>
    <w:p>
      <w:pPr>
        <w:spacing w:after="0" w:line="194" w:lineRule="exact"/>
        <w:rPr>
          <w:sz w:val="20"/>
          <w:szCs w:val="20"/>
          <w:color w:val="auto"/>
        </w:rPr>
      </w:pPr>
    </w:p>
    <w:p>
      <w:pPr>
        <w:ind w:left="1020" w:right="160" w:firstLine="648"/>
        <w:spacing w:after="0" w:line="239" w:lineRule="auto"/>
        <w:rPr>
          <w:sz w:val="20"/>
          <w:szCs w:val="20"/>
          <w:color w:val="auto"/>
        </w:rPr>
      </w:pPr>
      <w:r>
        <w:rPr>
          <w:rFonts w:ascii="Arial" w:cs="Arial" w:eastAsia="Arial" w:hAnsi="Arial"/>
          <w:sz w:val="20"/>
          <w:szCs w:val="20"/>
          <w:color w:val="auto"/>
        </w:rPr>
        <w:t>1.57 “</w:t>
      </w:r>
      <w:r>
        <w:rPr>
          <w:rFonts w:ascii="Arial" w:cs="Arial" w:eastAsia="Arial" w:hAnsi="Arial"/>
          <w:sz w:val="20"/>
          <w:szCs w:val="20"/>
          <w:b w:val="1"/>
          <w:bCs w:val="1"/>
          <w:color w:val="auto"/>
        </w:rPr>
        <w:t>Gilead Agent Improvement IP</w:t>
      </w:r>
      <w:r>
        <w:rPr>
          <w:rFonts w:ascii="Arial" w:cs="Arial" w:eastAsia="Arial" w:hAnsi="Arial"/>
          <w:sz w:val="20"/>
          <w:szCs w:val="20"/>
          <w:color w:val="auto"/>
        </w:rPr>
        <w:t>” means the Gilead Agent Improvement Know-How and Gilead Agent Improvement Patents.</w:t>
      </w:r>
    </w:p>
    <w:p>
      <w:pPr>
        <w:spacing w:after="0" w:line="190" w:lineRule="exact"/>
        <w:rPr>
          <w:sz w:val="20"/>
          <w:szCs w:val="20"/>
          <w:color w:val="auto"/>
        </w:rPr>
      </w:pPr>
    </w:p>
    <w:p>
      <w:pPr>
        <w:ind w:left="1020" w:right="120" w:firstLine="647"/>
        <w:spacing w:after="0" w:line="239"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color w:val="auto"/>
        </w:rPr>
        <w:t>Gilead Licensed Know-How</w:t>
      </w:r>
      <w:r>
        <w:rPr>
          <w:rFonts w:ascii="Arial" w:cs="Arial" w:eastAsia="Arial" w:hAnsi="Arial"/>
          <w:sz w:val="18"/>
          <w:szCs w:val="18"/>
          <w:color w:val="auto"/>
        </w:rPr>
        <w:t>” means any Know-How (excluding any Patent or Jointly Owned Know-How) Controlled by Gilead or any of its Affiliates as of the Effective Date or at any time during the Collaboration Term</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that is necessary for MacroGenics to perform its obligations under the CD123 Development Plan or a Research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20"/>
          </w:cols>
          <w:pgMar w:left="400" w:top="1440" w:right="879" w:bottom="1440" w:gutter="0" w:footer="0" w:header="0"/>
        </w:sectPr>
      </w:pPr>
    </w:p>
    <w:bookmarkStart w:id="129" w:name="page130"/>
    <w:bookmarkEnd w:id="129"/>
    <w:p>
      <w:pPr>
        <w:spacing w:after="0" w:line="189" w:lineRule="exact"/>
        <w:rPr>
          <w:sz w:val="20"/>
          <w:szCs w:val="20"/>
          <w:color w:val="auto"/>
        </w:rPr>
      </w:pPr>
    </w:p>
    <w:p>
      <w:pPr>
        <w:ind w:left="1020" w:firstLine="648"/>
        <w:spacing w:after="0" w:line="243" w:lineRule="auto"/>
        <w:rPr>
          <w:sz w:val="20"/>
          <w:szCs w:val="20"/>
          <w:color w:val="auto"/>
        </w:rPr>
      </w:pPr>
      <w:r>
        <w:rPr>
          <w:rFonts w:ascii="Arial" w:cs="Arial" w:eastAsia="Arial" w:hAnsi="Arial"/>
          <w:sz w:val="19"/>
          <w:szCs w:val="19"/>
          <w:color w:val="auto"/>
        </w:rPr>
        <w:t>1.59 “</w:t>
      </w:r>
      <w:r>
        <w:rPr>
          <w:rFonts w:ascii="Arial" w:cs="Arial" w:eastAsia="Arial" w:hAnsi="Arial"/>
          <w:sz w:val="19"/>
          <w:szCs w:val="19"/>
          <w:b w:val="1"/>
          <w:bCs w:val="1"/>
          <w:color w:val="auto"/>
        </w:rPr>
        <w:t>Gilead Licensed Patents</w:t>
      </w:r>
      <w:r>
        <w:rPr>
          <w:rFonts w:ascii="Arial" w:cs="Arial" w:eastAsia="Arial" w:hAnsi="Arial"/>
          <w:sz w:val="19"/>
          <w:szCs w:val="19"/>
          <w:color w:val="auto"/>
        </w:rPr>
        <w:t>” means all Patents (excluding any Jointly Owned Patent) Controlled by Gilead or any of its Affiliates as of the Effective Date or at any time during the Collaboration Term that are necessary for MacroGenics to perform its obligations under the CD123 Development Plan or a Research Plan.</w:t>
      </w:r>
    </w:p>
    <w:p>
      <w:pPr>
        <w:spacing w:after="0" w:line="173"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Gilead Licensed Technology</w:t>
      </w:r>
      <w:r>
        <w:rPr>
          <w:rFonts w:ascii="Arial" w:cs="Arial" w:eastAsia="Arial" w:hAnsi="Arial"/>
          <w:sz w:val="16"/>
          <w:szCs w:val="16"/>
          <w:color w:val="auto"/>
        </w:rPr>
        <w:t>” means the Gilead Licensed Patents and the Gilead Licensed Know-How.</w:t>
      </w:r>
    </w:p>
    <w:p>
      <w:pPr>
        <w:spacing w:after="0" w:line="229" w:lineRule="exact"/>
        <w:rPr>
          <w:sz w:val="20"/>
          <w:szCs w:val="20"/>
          <w:color w:val="auto"/>
        </w:rPr>
      </w:pPr>
    </w:p>
    <w:p>
      <w:pPr>
        <w:ind w:left="1020" w:right="340" w:firstLine="648"/>
        <w:spacing w:after="0" w:line="269" w:lineRule="auto"/>
        <w:rPr>
          <w:sz w:val="20"/>
          <w:szCs w:val="20"/>
          <w:color w:val="auto"/>
        </w:rPr>
      </w:pPr>
      <w:r>
        <w:rPr>
          <w:rFonts w:ascii="Arial" w:cs="Arial" w:eastAsia="Arial" w:hAnsi="Arial"/>
          <w:sz w:val="16"/>
          <w:szCs w:val="16"/>
          <w:color w:val="auto"/>
        </w:rPr>
        <w:t>1.61 “</w:t>
      </w:r>
      <w:r>
        <w:rPr>
          <w:rFonts w:ascii="Arial" w:cs="Arial" w:eastAsia="Arial" w:hAnsi="Arial"/>
          <w:sz w:val="16"/>
          <w:szCs w:val="16"/>
          <w:b w:val="1"/>
          <w:bCs w:val="1"/>
          <w:color w:val="auto"/>
        </w:rPr>
        <w:t>GLP</w:t>
      </w:r>
      <w:r>
        <w:rPr>
          <w:rFonts w:ascii="Arial" w:cs="Arial" w:eastAsia="Arial" w:hAnsi="Arial"/>
          <w:sz w:val="16"/>
          <w:szCs w:val="16"/>
          <w:color w:val="auto"/>
        </w:rPr>
        <w:t>” or “</w:t>
      </w:r>
      <w:r>
        <w:rPr>
          <w:rFonts w:ascii="Arial" w:cs="Arial" w:eastAsia="Arial" w:hAnsi="Arial"/>
          <w:sz w:val="16"/>
          <w:szCs w:val="16"/>
          <w:b w:val="1"/>
          <w:bCs w:val="1"/>
          <w:color w:val="auto"/>
        </w:rPr>
        <w:t>Good Laboratory Practices</w:t>
      </w:r>
      <w:r>
        <w:rPr>
          <w:rFonts w:ascii="Arial" w:cs="Arial" w:eastAsia="Arial" w:hAnsi="Arial"/>
          <w:sz w:val="16"/>
          <w:szCs w:val="16"/>
          <w:color w:val="auto"/>
        </w:rPr>
        <w:t>” means the Good Laboratory Practices, set forth in the Applicable Laws and Regulations that govern the conduct of non-clinical safety studies and which seek to ensure the</w:t>
      </w:r>
    </w:p>
    <w:p>
      <w:pPr>
        <w:spacing w:after="0" w:line="1" w:lineRule="exact"/>
        <w:rPr>
          <w:sz w:val="20"/>
          <w:szCs w:val="20"/>
          <w:color w:val="auto"/>
        </w:rPr>
      </w:pPr>
    </w:p>
    <w:p>
      <w:pPr>
        <w:ind w:left="1020" w:right="500"/>
        <w:spacing w:after="0" w:line="239" w:lineRule="auto"/>
        <w:rPr>
          <w:sz w:val="20"/>
          <w:szCs w:val="20"/>
          <w:color w:val="auto"/>
        </w:rPr>
      </w:pPr>
      <w:r>
        <w:rPr>
          <w:rFonts w:ascii="Arial" w:cs="Arial" w:eastAsia="Arial" w:hAnsi="Arial"/>
          <w:sz w:val="19"/>
          <w:szCs w:val="19"/>
          <w:color w:val="auto"/>
        </w:rPr>
        <w:t>quality, integrity and reliability of study data, including those set forth in 21 C.F.R. Part 58 and the equivalent legal requirements in other applicable jurisdictions, as the same may be amended from time to time.</w:t>
      </w:r>
    </w:p>
    <w:p>
      <w:pPr>
        <w:spacing w:after="0" w:line="17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 means (a) any official, officer, employee, or representative of, or any Person</w:t>
      </w:r>
    </w:p>
    <w:p>
      <w:pPr>
        <w:spacing w:after="0" w:line="6" w:lineRule="exact"/>
        <w:rPr>
          <w:sz w:val="20"/>
          <w:szCs w:val="20"/>
          <w:color w:val="auto"/>
        </w:rPr>
      </w:pPr>
    </w:p>
    <w:p>
      <w:pPr>
        <w:ind w:left="1020" w:right="20"/>
        <w:spacing w:after="0" w:line="226" w:lineRule="auto"/>
        <w:rPr>
          <w:sz w:val="20"/>
          <w:szCs w:val="20"/>
          <w:color w:val="auto"/>
        </w:rPr>
      </w:pPr>
      <w:r>
        <w:rPr>
          <w:rFonts w:ascii="Arial" w:cs="Arial" w:eastAsia="Arial" w:hAnsi="Arial"/>
          <w:sz w:val="18"/>
          <w:szCs w:val="18"/>
          <w:color w:val="auto"/>
        </w:rPr>
        <w:t>acting in an official capacity for or on behalf of, any regional, federal, state, provincial, county, or municipal government or government department, agency, or other division, or any other Governmental Entity; (b) any officer, employee, or</w:t>
      </w:r>
    </w:p>
    <w:p>
      <w:pPr>
        <w:spacing w:after="0" w:line="2" w:lineRule="exact"/>
        <w:rPr>
          <w:sz w:val="20"/>
          <w:szCs w:val="20"/>
          <w:color w:val="auto"/>
        </w:rPr>
      </w:pPr>
    </w:p>
    <w:p>
      <w:pPr>
        <w:ind w:left="1020" w:right="180"/>
        <w:spacing w:after="0" w:line="255" w:lineRule="auto"/>
        <w:rPr>
          <w:sz w:val="20"/>
          <w:szCs w:val="20"/>
          <w:color w:val="auto"/>
        </w:rPr>
      </w:pPr>
      <w:r>
        <w:rPr>
          <w:rFonts w:ascii="Arial" w:cs="Arial" w:eastAsia="Arial" w:hAnsi="Arial"/>
          <w:sz w:val="16"/>
          <w:szCs w:val="16"/>
          <w:color w:val="auto"/>
        </w:rPr>
        <w:t>representative of any commercial enterprise that is owned or controlled by a government, including any state-owned or controlled veterinary, laboratory, or medical facility; (c) any officer, employee, or representative of any Governmental</w:t>
      </w:r>
    </w:p>
    <w:p>
      <w:pPr>
        <w:ind w:left="1020"/>
        <w:spacing w:after="0" w:line="235" w:lineRule="auto"/>
        <w:rPr>
          <w:sz w:val="20"/>
          <w:szCs w:val="20"/>
          <w:color w:val="auto"/>
        </w:rPr>
      </w:pPr>
      <w:r>
        <w:rPr>
          <w:rFonts w:ascii="Arial" w:cs="Arial" w:eastAsia="Arial" w:hAnsi="Arial"/>
          <w:sz w:val="18"/>
          <w:szCs w:val="18"/>
          <w:color w:val="auto"/>
        </w:rPr>
        <w:t>Entity; (d) any political party or party official or candidate for political office; (e) a Politically Exposed Person (PEP) as</w:t>
      </w:r>
    </w:p>
    <w:p>
      <w:pPr>
        <w:ind w:left="1020" w:right="20"/>
        <w:spacing w:after="0" w:line="226" w:lineRule="auto"/>
        <w:rPr>
          <w:sz w:val="20"/>
          <w:szCs w:val="20"/>
          <w:color w:val="auto"/>
        </w:rPr>
      </w:pPr>
      <w:r>
        <w:rPr>
          <w:rFonts w:ascii="Arial" w:cs="Arial" w:eastAsia="Arial" w:hAnsi="Arial"/>
          <w:sz w:val="18"/>
          <w:szCs w:val="18"/>
          <w:color w:val="auto"/>
        </w:rPr>
        <w:t>defined by the Financial Action Task Force (FATF), Groupe d’action Financière sur le Blanchiment de Capitaux (GAFI); or (f) any person acting in an official capacity for any government or Governmental Entity, or other government entity,</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enterprise, or organization identified above.</w:t>
      </w:r>
    </w:p>
    <w:p>
      <w:pPr>
        <w:spacing w:after="0" w:line="194" w:lineRule="exact"/>
        <w:rPr>
          <w:sz w:val="20"/>
          <w:szCs w:val="20"/>
          <w:color w:val="auto"/>
        </w:rPr>
      </w:pPr>
    </w:p>
    <w:p>
      <w:pPr>
        <w:jc w:val="both"/>
        <w:ind w:left="1020" w:right="40" w:firstLine="648"/>
        <w:spacing w:after="0" w:line="278" w:lineRule="auto"/>
        <w:rPr>
          <w:sz w:val="20"/>
          <w:szCs w:val="20"/>
          <w:color w:val="auto"/>
        </w:rPr>
      </w:pPr>
      <w:r>
        <w:rPr>
          <w:rFonts w:ascii="Arial" w:cs="Arial" w:eastAsia="Arial" w:hAnsi="Arial"/>
          <w:sz w:val="16"/>
          <w:szCs w:val="16"/>
          <w:color w:val="auto"/>
        </w:rPr>
        <w:t>1.63 “</w:t>
      </w:r>
      <w:r>
        <w:rPr>
          <w:rFonts w:ascii="Arial" w:cs="Arial" w:eastAsia="Arial" w:hAnsi="Arial"/>
          <w:sz w:val="16"/>
          <w:szCs w:val="16"/>
          <w:b w:val="1"/>
          <w:bCs w:val="1"/>
          <w:color w:val="auto"/>
        </w:rPr>
        <w:t>Governmental Entity</w:t>
      </w:r>
      <w:r>
        <w:rPr>
          <w:rFonts w:ascii="Arial" w:cs="Arial" w:eastAsia="Arial" w:hAnsi="Arial"/>
          <w:sz w:val="16"/>
          <w:szCs w:val="16"/>
          <w:color w:val="auto"/>
        </w:rPr>
        <w:t>” means any: (a) national, federal, state, county, local, municipal, foreign, or other government; (b) governmental or quasigovernmental authority of any nature (including any agency, board, body, branch,</w:t>
      </w:r>
    </w:p>
    <w:p>
      <w:pPr>
        <w:spacing w:after="0" w:line="1" w:lineRule="exact"/>
        <w:rPr>
          <w:sz w:val="20"/>
          <w:szCs w:val="20"/>
          <w:color w:val="auto"/>
        </w:rPr>
      </w:pPr>
    </w:p>
    <w:p>
      <w:pPr>
        <w:ind w:left="1020" w:right="680"/>
        <w:spacing w:after="0" w:line="226" w:lineRule="auto"/>
        <w:rPr>
          <w:sz w:val="20"/>
          <w:szCs w:val="20"/>
          <w:color w:val="auto"/>
        </w:rPr>
      </w:pPr>
      <w:r>
        <w:rPr>
          <w:rFonts w:ascii="Arial" w:cs="Arial" w:eastAsia="Arial" w:hAnsi="Arial"/>
          <w:sz w:val="18"/>
          <w:szCs w:val="18"/>
          <w:color w:val="auto"/>
        </w:rPr>
        <w:t>bureau, commission, council, department, entity, governmental division, instrumentality, office, officer, official, organization, representative, subdivision, unit, or political subdivision of any government, entity, or organization</w:t>
      </w:r>
    </w:p>
    <w:p>
      <w:pPr>
        <w:ind w:left="1020"/>
        <w:spacing w:after="0" w:line="236" w:lineRule="auto"/>
        <w:rPr>
          <w:sz w:val="20"/>
          <w:szCs w:val="20"/>
          <w:color w:val="auto"/>
        </w:rPr>
      </w:pPr>
      <w:r>
        <w:rPr>
          <w:rFonts w:ascii="Arial" w:cs="Arial" w:eastAsia="Arial" w:hAnsi="Arial"/>
          <w:sz w:val="18"/>
          <w:szCs w:val="18"/>
          <w:color w:val="auto"/>
        </w:rPr>
        <w:t>described in the foregoing clauses (a) or (b), and any court or other tribunal); (c) public international or multinational</w:t>
      </w:r>
    </w:p>
    <w:p>
      <w:pPr>
        <w:spacing w:after="0" w:line="1" w:lineRule="exact"/>
        <w:rPr>
          <w:sz w:val="20"/>
          <w:szCs w:val="20"/>
          <w:color w:val="auto"/>
        </w:rPr>
      </w:pPr>
    </w:p>
    <w:p>
      <w:pPr>
        <w:ind w:left="1020" w:right="100"/>
        <w:spacing w:after="0" w:line="226" w:lineRule="auto"/>
        <w:rPr>
          <w:sz w:val="20"/>
          <w:szCs w:val="20"/>
          <w:color w:val="auto"/>
        </w:rPr>
      </w:pPr>
      <w:r>
        <w:rPr>
          <w:rFonts w:ascii="Arial" w:cs="Arial" w:eastAsia="Arial" w:hAnsi="Arial"/>
          <w:sz w:val="18"/>
          <w:szCs w:val="18"/>
          <w:color w:val="auto"/>
        </w:rPr>
        <w:t>governmental organization or body; (d) entity or body exercising, or entitled to exercise, any executive, legislative, judicial, administrative, regulatory, police, military, or taxing authority or power of any nature (including any arbiter) or</w:t>
      </w:r>
    </w:p>
    <w:p>
      <w:pPr>
        <w:ind w:left="1020"/>
        <w:spacing w:after="0" w:line="236" w:lineRule="auto"/>
        <w:rPr>
          <w:sz w:val="20"/>
          <w:szCs w:val="20"/>
          <w:color w:val="auto"/>
        </w:rPr>
      </w:pPr>
      <w:r>
        <w:rPr>
          <w:rFonts w:ascii="Arial" w:cs="Arial" w:eastAsia="Arial" w:hAnsi="Arial"/>
          <w:sz w:val="18"/>
          <w:szCs w:val="18"/>
          <w:color w:val="auto"/>
        </w:rPr>
        <w:t>administrative functions of or pertaining to government; (e) any company, business, enterprise, or other entity owned, in</w:t>
      </w:r>
    </w:p>
    <w:p>
      <w:pPr>
        <w:spacing w:after="0" w:line="1" w:lineRule="exact"/>
        <w:rPr>
          <w:sz w:val="20"/>
          <w:szCs w:val="20"/>
          <w:color w:val="auto"/>
        </w:rPr>
      </w:pPr>
    </w:p>
    <w:p>
      <w:pPr>
        <w:ind w:left="1020" w:right="600"/>
        <w:spacing w:after="0" w:line="220" w:lineRule="auto"/>
        <w:rPr>
          <w:sz w:val="20"/>
          <w:szCs w:val="20"/>
          <w:color w:val="auto"/>
        </w:rPr>
      </w:pPr>
      <w:r>
        <w:rPr>
          <w:rFonts w:ascii="Arial" w:cs="Arial" w:eastAsia="Arial" w:hAnsi="Arial"/>
          <w:sz w:val="20"/>
          <w:szCs w:val="20"/>
          <w:color w:val="auto"/>
        </w:rPr>
        <w:t>whole or in part, or controlled by any government, entity, organization, or other Person described in the foregoing clauses (a), (b), (c), or (d) of this definition; or (f) any political party.</w:t>
      </w:r>
    </w:p>
    <w:p>
      <w:pPr>
        <w:spacing w:after="0" w:line="260"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(15 U.S.C.</w:t>
      </w:r>
    </w:p>
    <w:p>
      <w:pPr>
        <w:spacing w:after="0" w:line="4"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 18a).</w:t>
      </w:r>
    </w:p>
    <w:p>
      <w:pPr>
        <w:spacing w:after="0" w:line="275"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ICH</w:t>
      </w:r>
      <w:r>
        <w:rPr>
          <w:rFonts w:ascii="Arial" w:cs="Arial" w:eastAsia="Arial" w:hAnsi="Arial"/>
          <w:sz w:val="18"/>
          <w:szCs w:val="18"/>
          <w:color w:val="auto"/>
        </w:rPr>
        <w:t>” means the International Conference on Harmonisation.</w:t>
      </w:r>
    </w:p>
    <w:p>
      <w:pPr>
        <w:spacing w:after="0" w:line="216" w:lineRule="exact"/>
        <w:rPr>
          <w:sz w:val="20"/>
          <w:szCs w:val="20"/>
          <w:color w:val="auto"/>
        </w:rPr>
      </w:pPr>
    </w:p>
    <w:p>
      <w:pPr>
        <w:ind w:left="1020" w:right="80" w:firstLine="648"/>
        <w:spacing w:after="0" w:line="230" w:lineRule="auto"/>
        <w:rPr>
          <w:sz w:val="20"/>
          <w:szCs w:val="20"/>
          <w:color w:val="auto"/>
        </w:rPr>
      </w:pPr>
      <w:r>
        <w:rPr>
          <w:rFonts w:ascii="Arial" w:cs="Arial" w:eastAsia="Arial" w:hAnsi="Arial"/>
          <w:sz w:val="20"/>
          <w:szCs w:val="20"/>
          <w:color w:val="auto"/>
        </w:rPr>
        <w:t>1.66 “</w:t>
      </w:r>
      <w:r>
        <w:rPr>
          <w:rFonts w:ascii="Arial" w:cs="Arial" w:eastAsia="Arial" w:hAnsi="Arial"/>
          <w:sz w:val="20"/>
          <w:szCs w:val="20"/>
          <w:b w:val="1"/>
          <w:bCs w:val="1"/>
          <w:color w:val="auto"/>
        </w:rPr>
        <w:t>IND</w:t>
      </w:r>
      <w:r>
        <w:rPr>
          <w:rFonts w:ascii="Arial" w:cs="Arial" w:eastAsia="Arial" w:hAnsi="Arial"/>
          <w:sz w:val="20"/>
          <w:szCs w:val="20"/>
          <w:color w:val="auto"/>
        </w:rPr>
        <w:t>” means an Investigational New Drug application, or similar application or submission for approval to conduct human clinical investigations filed with or submitted to a Regulatory Authority in conformance with the requirements of such Regulatory Authority.</w:t>
      </w:r>
    </w:p>
    <w:p>
      <w:pPr>
        <w:spacing w:after="0" w:line="245"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with respect to solid tumors, any cancer with a particular organ of origin, [***] or</w:t>
      </w:r>
    </w:p>
    <w:p>
      <w:pPr>
        <w:spacing w:after="0" w:line="6" w:lineRule="exact"/>
        <w:rPr>
          <w:sz w:val="20"/>
          <w:szCs w:val="20"/>
          <w:color w:val="auto"/>
        </w:rPr>
      </w:pPr>
    </w:p>
    <w:p>
      <w:pPr>
        <w:ind w:left="1020" w:firstLine="5"/>
        <w:spacing w:after="0" w:line="212" w:lineRule="auto"/>
        <w:tabs>
          <w:tab w:leader="none" w:pos="13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with respect to non-solid tumors, [***]. For the sake of clarity, (i) [***], and regardless of prophylactic or therapeutic use, pediatric or adult use and irrespective of different formulation(s), dosage forms, dosage strengths or delivery system(s) used; (ii) [***] Indication with respect to any Indication for which a Clinical Trial for such pharmaceutical or biological product had already been initiated or Regulatory Approval obtained and (iii) [***] for purposes of this Agreement [***].</w:t>
      </w:r>
    </w:p>
    <w:p>
      <w:pPr>
        <w:spacing w:after="0" w:line="285"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Clinical Trial of a Licensed Product [***].</w:t>
      </w:r>
    </w:p>
    <w:p>
      <w:pPr>
        <w:spacing w:after="0" w:line="310" w:lineRule="exact"/>
        <w:rPr>
          <w:sz w:val="20"/>
          <w:szCs w:val="20"/>
          <w:color w:val="auto"/>
        </w:rPr>
      </w:pPr>
    </w:p>
    <w:p>
      <w:pPr>
        <w:ind w:left="1020" w:right="20" w:firstLine="648"/>
        <w:spacing w:after="0" w:line="239" w:lineRule="auto"/>
        <w:rPr>
          <w:sz w:val="20"/>
          <w:szCs w:val="20"/>
          <w:color w:val="auto"/>
        </w:rPr>
      </w:pPr>
      <w:r>
        <w:rPr>
          <w:rFonts w:ascii="Arial" w:cs="Arial" w:eastAsia="Arial" w:hAnsi="Arial"/>
          <w:sz w:val="20"/>
          <w:szCs w:val="20"/>
          <w:color w:val="auto"/>
        </w:rPr>
        <w:t>1.69 “</w:t>
      </w:r>
      <w:r>
        <w:rPr>
          <w:rFonts w:ascii="Arial" w:cs="Arial" w:eastAsia="Arial" w:hAnsi="Arial"/>
          <w:sz w:val="20"/>
          <w:szCs w:val="20"/>
          <w:b w:val="1"/>
          <w:bCs w:val="1"/>
          <w:color w:val="auto"/>
        </w:rPr>
        <w:t>Internal Program</w:t>
      </w:r>
      <w:r>
        <w:rPr>
          <w:rFonts w:ascii="Arial" w:cs="Arial" w:eastAsia="Arial" w:hAnsi="Arial"/>
          <w:sz w:val="20"/>
          <w:szCs w:val="20"/>
          <w:color w:val="auto"/>
        </w:rPr>
        <w:t>” means an internal development program conducted by MacroGenics or its Affiliates that [***].</w:t>
      </w:r>
    </w:p>
    <w:p>
      <w:pPr>
        <w:sectPr>
          <w:pgSz w:w="11900" w:h="16838" w:orient="portrait"/>
          <w:cols w:equalWidth="0" w:num="1">
            <w:col w:w="10620"/>
          </w:cols>
          <w:pgMar w:left="40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620"/>
          </w:cols>
          <w:pgMar w:left="400" w:top="1440" w:right="879" w:bottom="1440" w:gutter="0" w:footer="0" w:header="0"/>
          <w:type w:val="continuous"/>
        </w:sectPr>
      </w:pPr>
    </w:p>
    <w:bookmarkStart w:id="130" w:name="page131"/>
    <w:bookmarkEnd w:id="130"/>
    <w:p>
      <w:pPr>
        <w:spacing w:after="0" w:line="203"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Jointly Owned IP</w:t>
      </w:r>
      <w:r>
        <w:rPr>
          <w:rFonts w:ascii="Arial" w:cs="Arial" w:eastAsia="Arial" w:hAnsi="Arial"/>
          <w:sz w:val="18"/>
          <w:szCs w:val="18"/>
          <w:color w:val="auto"/>
        </w:rPr>
        <w:t>” means the Jointly Owned Know-How and the Jointly Owned Patents.</w:t>
      </w:r>
    </w:p>
    <w:p>
      <w:pPr>
        <w:spacing w:after="0" w:line="229" w:lineRule="exact"/>
        <w:rPr>
          <w:sz w:val="20"/>
          <w:szCs w:val="20"/>
          <w:color w:val="auto"/>
        </w:rPr>
      </w:pPr>
    </w:p>
    <w:p>
      <w:pPr>
        <w:ind w:left="1020" w:right="120" w:firstLine="648"/>
        <w:spacing w:after="0" w:line="239" w:lineRule="auto"/>
        <w:rPr>
          <w:sz w:val="20"/>
          <w:szCs w:val="20"/>
          <w:color w:val="auto"/>
        </w:rPr>
      </w:pPr>
      <w:r>
        <w:rPr>
          <w:rFonts w:ascii="Arial" w:cs="Arial" w:eastAsia="Arial" w:hAnsi="Arial"/>
          <w:sz w:val="18"/>
          <w:szCs w:val="18"/>
          <w:color w:val="auto"/>
        </w:rPr>
        <w:t>1.71 “</w:t>
      </w:r>
      <w:r>
        <w:rPr>
          <w:rFonts w:ascii="Arial" w:cs="Arial" w:eastAsia="Arial" w:hAnsi="Arial"/>
          <w:sz w:val="18"/>
          <w:szCs w:val="18"/>
          <w:b w:val="1"/>
          <w:bCs w:val="1"/>
          <w:color w:val="auto"/>
        </w:rPr>
        <w:t>Know-How</w:t>
      </w:r>
      <w:r>
        <w:rPr>
          <w:rFonts w:ascii="Arial" w:cs="Arial" w:eastAsia="Arial" w:hAnsi="Arial"/>
          <w:sz w:val="18"/>
          <w:szCs w:val="18"/>
          <w:color w:val="auto"/>
        </w:rPr>
        <w:t>” means (a) any proprietary scientific or technical information, results and data of any type whatsoever, in any tangible or intangible form whatsoever, including databases, practices, methods, techniques,</w:t>
      </w:r>
    </w:p>
    <w:p>
      <w:pPr>
        <w:ind w:left="1020"/>
        <w:spacing w:after="0" w:line="236" w:lineRule="auto"/>
        <w:rPr>
          <w:sz w:val="20"/>
          <w:szCs w:val="20"/>
          <w:color w:val="auto"/>
        </w:rPr>
      </w:pPr>
      <w:r>
        <w:rPr>
          <w:rFonts w:ascii="Arial" w:cs="Arial" w:eastAsia="Arial" w:hAnsi="Arial"/>
          <w:sz w:val="18"/>
          <w:szCs w:val="18"/>
          <w:color w:val="auto"/>
        </w:rPr>
        <w:t>specifications, formulations, formulae, knowledge, know-how, skill, experience, test data (including pharmacological,</w:t>
      </w:r>
    </w:p>
    <w:p>
      <w:pPr>
        <w:ind w:left="1020" w:right="20"/>
        <w:spacing w:after="0" w:line="226" w:lineRule="auto"/>
        <w:rPr>
          <w:sz w:val="20"/>
          <w:szCs w:val="20"/>
          <w:color w:val="auto"/>
        </w:rPr>
      </w:pPr>
      <w:r>
        <w:rPr>
          <w:rFonts w:ascii="Arial" w:cs="Arial" w:eastAsia="Arial" w:hAnsi="Arial"/>
          <w:sz w:val="18"/>
          <w:szCs w:val="18"/>
          <w:color w:val="auto"/>
        </w:rPr>
        <w:t>medicinal chemistry, biological, chemical, biochemical, toxicological and clinical test data), analytical and quality control data, stability data, studies and procedures, and manufacturing process and development information, results and</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data, and (b) any proprietary biological, chemical or physical materials.</w:t>
      </w:r>
    </w:p>
    <w:p>
      <w:pPr>
        <w:spacing w:after="0" w:line="194" w:lineRule="exact"/>
        <w:rPr>
          <w:sz w:val="20"/>
          <w:szCs w:val="20"/>
          <w:color w:val="auto"/>
        </w:rPr>
      </w:pPr>
    </w:p>
    <w:p>
      <w:pPr>
        <w:ind w:left="1020" w:right="60" w:firstLine="648"/>
        <w:spacing w:after="0" w:line="239" w:lineRule="auto"/>
        <w:rPr>
          <w:sz w:val="20"/>
          <w:szCs w:val="20"/>
          <w:color w:val="auto"/>
        </w:rPr>
      </w:pPr>
      <w:r>
        <w:rPr>
          <w:rFonts w:ascii="Arial" w:cs="Arial" w:eastAsia="Arial" w:hAnsi="Arial"/>
          <w:sz w:val="20"/>
          <w:szCs w:val="20"/>
          <w:color w:val="auto"/>
        </w:rPr>
        <w:t>1.72 “</w:t>
      </w:r>
      <w:r>
        <w:rPr>
          <w:rFonts w:ascii="Arial" w:cs="Arial" w:eastAsia="Arial" w:hAnsi="Arial"/>
          <w:sz w:val="20"/>
          <w:szCs w:val="20"/>
          <w:b w:val="1"/>
          <w:bCs w:val="1"/>
          <w:color w:val="auto"/>
        </w:rPr>
        <w:t>Knowledge</w:t>
      </w:r>
      <w:r>
        <w:rPr>
          <w:rFonts w:ascii="Arial" w:cs="Arial" w:eastAsia="Arial" w:hAnsi="Arial"/>
          <w:sz w:val="20"/>
          <w:szCs w:val="20"/>
          <w:color w:val="auto"/>
        </w:rPr>
        <w:t xml:space="preserve">” means, with respect to a Party, the actual knowledge of those Persons listed for such Party on </w:t>
      </w:r>
      <w:r>
        <w:rPr>
          <w:rFonts w:ascii="Arial" w:cs="Arial" w:eastAsia="Arial" w:hAnsi="Arial"/>
          <w:sz w:val="20"/>
          <w:szCs w:val="20"/>
          <w:b w:val="1"/>
          <w:bCs w:val="1"/>
          <w:color w:val="auto"/>
        </w:rPr>
        <w:t>Schedule 1.72</w:t>
      </w:r>
      <w:r>
        <w:rPr>
          <w:rFonts w:ascii="Arial" w:cs="Arial" w:eastAsia="Arial" w:hAnsi="Arial"/>
          <w:sz w:val="20"/>
          <w:szCs w:val="20"/>
          <w:color w:val="auto"/>
        </w:rPr>
        <w:t xml:space="preserve"> (Knowledge Parties) after due inquiry.</w:t>
      </w:r>
    </w:p>
    <w:p>
      <w:pPr>
        <w:spacing w:after="0" w:line="190"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Molecule</w:t>
      </w:r>
      <w:r>
        <w:rPr>
          <w:rFonts w:ascii="Arial" w:cs="Arial" w:eastAsia="Arial" w:hAnsi="Arial"/>
          <w:sz w:val="16"/>
          <w:szCs w:val="16"/>
          <w:color w:val="auto"/>
        </w:rPr>
        <w:t>” means a CD123 Molecule or Research Molecule, as applicable.</w:t>
      </w:r>
    </w:p>
    <w:p>
      <w:pPr>
        <w:spacing w:after="0" w:line="216"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 CD123 Product or Research Product, as applicable.</w:t>
      </w:r>
    </w:p>
    <w:p>
      <w:pPr>
        <w:spacing w:after="0" w:line="20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MAA</w:t>
      </w:r>
      <w:r>
        <w:rPr>
          <w:rFonts w:ascii="Arial" w:cs="Arial" w:eastAsia="Arial" w:hAnsi="Arial"/>
          <w:sz w:val="18"/>
          <w:szCs w:val="18"/>
          <w:color w:val="auto"/>
        </w:rPr>
        <w:t>” means any new drug application or other similar marketing authorization application, in each</w:t>
      </w:r>
    </w:p>
    <w:p>
      <w:pPr>
        <w:spacing w:after="0" w:line="6" w:lineRule="exact"/>
        <w:rPr>
          <w:sz w:val="20"/>
          <w:szCs w:val="20"/>
          <w:color w:val="auto"/>
        </w:rPr>
      </w:pPr>
    </w:p>
    <w:p>
      <w:pPr>
        <w:ind w:left="1020" w:right="280"/>
        <w:spacing w:after="0" w:line="226" w:lineRule="auto"/>
        <w:rPr>
          <w:sz w:val="20"/>
          <w:szCs w:val="20"/>
          <w:color w:val="auto"/>
        </w:rPr>
      </w:pPr>
      <w:r>
        <w:rPr>
          <w:rFonts w:ascii="Arial" w:cs="Arial" w:eastAsia="Arial" w:hAnsi="Arial"/>
          <w:sz w:val="18"/>
          <w:szCs w:val="18"/>
          <w:color w:val="auto"/>
        </w:rPr>
        <w:t>case, filed with the applicable Regulatory Authority in a country or other regulatory jurisdiction, which application is required to commercially market or sell a pharmaceutical or biologic product in such country or jurisdiction (and any</w:t>
      </w:r>
    </w:p>
    <w:p>
      <w:pPr>
        <w:ind w:left="1020"/>
        <w:spacing w:after="0" w:line="236" w:lineRule="auto"/>
        <w:rPr>
          <w:sz w:val="20"/>
          <w:szCs w:val="20"/>
          <w:color w:val="auto"/>
        </w:rPr>
      </w:pPr>
      <w:r>
        <w:rPr>
          <w:rFonts w:ascii="Arial" w:cs="Arial" w:eastAsia="Arial" w:hAnsi="Arial"/>
          <w:sz w:val="18"/>
          <w:szCs w:val="18"/>
          <w:color w:val="auto"/>
        </w:rPr>
        <w:t>amendments thereto), including all BLAs submitted to the FDA in the United States in accordance with the FDCA with</w:t>
      </w:r>
    </w:p>
    <w:p>
      <w:pPr>
        <w:spacing w:after="0" w:line="1" w:lineRule="exact"/>
        <w:rPr>
          <w:sz w:val="20"/>
          <w:szCs w:val="20"/>
          <w:color w:val="auto"/>
        </w:rPr>
      </w:pPr>
    </w:p>
    <w:p>
      <w:pPr>
        <w:ind w:left="1020" w:right="680"/>
        <w:spacing w:after="0" w:line="220" w:lineRule="auto"/>
        <w:rPr>
          <w:sz w:val="20"/>
          <w:szCs w:val="20"/>
          <w:color w:val="auto"/>
        </w:rPr>
      </w:pPr>
      <w:r>
        <w:rPr>
          <w:rFonts w:ascii="Arial" w:cs="Arial" w:eastAsia="Arial" w:hAnsi="Arial"/>
          <w:sz w:val="20"/>
          <w:szCs w:val="20"/>
          <w:color w:val="auto"/>
        </w:rPr>
        <w:t>respect to a biologic or pharmaceutical product or any analogous application or submission with any Regulatory Authority outside of the United States.</w:t>
      </w:r>
    </w:p>
    <w:p>
      <w:pPr>
        <w:spacing w:after="0" w:line="204" w:lineRule="exact"/>
        <w:rPr>
          <w:sz w:val="20"/>
          <w:szCs w:val="20"/>
          <w:color w:val="auto"/>
        </w:rPr>
      </w:pPr>
    </w:p>
    <w:p>
      <w:pPr>
        <w:ind w:left="1020" w:right="60" w:firstLine="648"/>
        <w:spacing w:after="0" w:line="239"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b w:val="1"/>
          <w:bCs w:val="1"/>
          <w:color w:val="auto"/>
        </w:rPr>
        <w:t>MacroGenics CD123 Know-How</w:t>
      </w:r>
      <w:r>
        <w:rPr>
          <w:rFonts w:ascii="Arial" w:cs="Arial" w:eastAsia="Arial" w:hAnsi="Arial"/>
          <w:sz w:val="18"/>
          <w:szCs w:val="18"/>
          <w:color w:val="auto"/>
        </w:rPr>
        <w:t>” means any Know-How (excluding any Patents or Jointly Owned Know-How) that is Controlled by MacroGenics or any of its Affiliates as of the Effective Date or at any time during the</w:t>
      </w:r>
    </w:p>
    <w:p>
      <w:pPr>
        <w:spacing w:after="0" w:line="1" w:lineRule="exact"/>
        <w:rPr>
          <w:sz w:val="20"/>
          <w:szCs w:val="20"/>
          <w:color w:val="auto"/>
        </w:rPr>
      </w:pPr>
    </w:p>
    <w:p>
      <w:pPr>
        <w:ind w:left="1020"/>
        <w:spacing w:after="0" w:line="227" w:lineRule="auto"/>
        <w:rPr>
          <w:sz w:val="20"/>
          <w:szCs w:val="20"/>
          <w:color w:val="auto"/>
        </w:rPr>
      </w:pPr>
      <w:r>
        <w:rPr>
          <w:rFonts w:ascii="Arial" w:cs="Arial" w:eastAsia="Arial" w:hAnsi="Arial"/>
          <w:sz w:val="20"/>
          <w:szCs w:val="20"/>
          <w:color w:val="auto"/>
        </w:rPr>
        <w:t>Term that is necessary or reasonably useful to Exploit CD123 Molecules or CD123 Products in the Field in the Territory, including MacroGenics Platform Improvement Know-How.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400" w:top="1440" w:right="919" w:bottom="1440" w:gutter="0" w:footer="0" w:header="0"/>
        </w:sectPr>
      </w:pPr>
    </w:p>
    <w:bookmarkStart w:id="131" w:name="page132"/>
    <w:bookmarkEnd w:id="131"/>
    <w:p>
      <w:pPr>
        <w:spacing w:after="0" w:line="189" w:lineRule="exact"/>
        <w:rPr>
          <w:sz w:val="20"/>
          <w:szCs w:val="20"/>
          <w:color w:val="auto"/>
        </w:rPr>
      </w:pPr>
    </w:p>
    <w:p>
      <w:pPr>
        <w:jc w:val="both"/>
        <w:ind w:left="1020" w:right="500" w:firstLine="648"/>
        <w:spacing w:after="0" w:line="263"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“MacroGenics CD123 Patents</w:t>
      </w:r>
      <w:r>
        <w:rPr>
          <w:rFonts w:ascii="Arial" w:cs="Arial" w:eastAsia="Arial" w:hAnsi="Arial"/>
          <w:sz w:val="18"/>
          <w:szCs w:val="18"/>
          <w:color w:val="auto"/>
        </w:rPr>
        <w:t>” means any Patents (excluding any Jointly Owned Patents) that are Controlled by MacroGenics or any of its Affiliates as of the Effective Date or at any time during the Term that are necessary or reasonably useful to Exploit CD123 Molecules or CD123 Products in the Field in the Territory.</w:t>
      </w:r>
    </w:p>
    <w:p>
      <w:pPr>
        <w:spacing w:after="0" w:line="157" w:lineRule="exact"/>
        <w:rPr>
          <w:sz w:val="20"/>
          <w:szCs w:val="20"/>
          <w:color w:val="auto"/>
        </w:rPr>
      </w:pPr>
    </w:p>
    <w:p>
      <w:pPr>
        <w:ind w:left="1020" w:right="180" w:firstLine="648"/>
        <w:spacing w:after="0" w:line="239" w:lineRule="auto"/>
        <w:rPr>
          <w:sz w:val="20"/>
          <w:szCs w:val="20"/>
          <w:color w:val="auto"/>
        </w:rPr>
      </w:pPr>
      <w:r>
        <w:rPr>
          <w:rFonts w:ascii="Arial" w:cs="Arial" w:eastAsia="Arial" w:hAnsi="Arial"/>
          <w:sz w:val="20"/>
          <w:szCs w:val="20"/>
          <w:color w:val="auto"/>
        </w:rPr>
        <w:t>1.78 “</w:t>
      </w:r>
      <w:r>
        <w:rPr>
          <w:rFonts w:ascii="Arial" w:cs="Arial" w:eastAsia="Arial" w:hAnsi="Arial"/>
          <w:sz w:val="20"/>
          <w:szCs w:val="20"/>
          <w:b w:val="1"/>
          <w:bCs w:val="1"/>
          <w:color w:val="auto"/>
        </w:rPr>
        <w:t>MacroGenics CD123 Technology</w:t>
      </w:r>
      <w:r>
        <w:rPr>
          <w:rFonts w:ascii="Arial" w:cs="Arial" w:eastAsia="Arial" w:hAnsi="Arial"/>
          <w:sz w:val="20"/>
          <w:szCs w:val="20"/>
          <w:color w:val="auto"/>
        </w:rPr>
        <w:t>” means the MacroGenics CD123 Patents and MacroGenics CD123 Know-How.</w:t>
      </w:r>
    </w:p>
    <w:p>
      <w:pPr>
        <w:spacing w:after="0" w:line="203" w:lineRule="exact"/>
        <w:rPr>
          <w:sz w:val="20"/>
          <w:szCs w:val="20"/>
          <w:color w:val="auto"/>
        </w:rPr>
      </w:pPr>
    </w:p>
    <w:p>
      <w:pPr>
        <w:ind w:left="1020" w:right="580" w:firstLine="648"/>
        <w:spacing w:after="0" w:line="281" w:lineRule="auto"/>
        <w:rPr>
          <w:sz w:val="20"/>
          <w:szCs w:val="20"/>
          <w:color w:val="auto"/>
        </w:rPr>
      </w:pPr>
      <w:r>
        <w:rPr>
          <w:rFonts w:ascii="Arial" w:cs="Arial" w:eastAsia="Arial" w:hAnsi="Arial"/>
          <w:sz w:val="20"/>
          <w:szCs w:val="20"/>
          <w:color w:val="auto"/>
        </w:rPr>
        <w:t>1.79 “</w:t>
      </w:r>
      <w:r>
        <w:rPr>
          <w:rFonts w:ascii="Arial" w:cs="Arial" w:eastAsia="Arial" w:hAnsi="Arial"/>
          <w:sz w:val="20"/>
          <w:szCs w:val="20"/>
          <w:b w:val="1"/>
          <w:bCs w:val="1"/>
          <w:color w:val="auto"/>
        </w:rPr>
        <w:t>MacroGenics Licensed Know-How</w:t>
      </w:r>
      <w:r>
        <w:rPr>
          <w:rFonts w:ascii="Arial" w:cs="Arial" w:eastAsia="Arial" w:hAnsi="Arial"/>
          <w:sz w:val="20"/>
          <w:szCs w:val="20"/>
          <w:color w:val="auto"/>
        </w:rPr>
        <w:t>” means, individually or collectively, as the context requires, MacroGenics CD123 Know-How and MacroGenics Research Know-How.</w:t>
      </w:r>
    </w:p>
    <w:p>
      <w:pPr>
        <w:spacing w:after="0" w:line="163" w:lineRule="exact"/>
        <w:rPr>
          <w:sz w:val="20"/>
          <w:szCs w:val="20"/>
          <w:color w:val="auto"/>
        </w:rPr>
      </w:pPr>
    </w:p>
    <w:p>
      <w:pPr>
        <w:ind w:left="1020" w:right="400" w:firstLine="648"/>
        <w:spacing w:after="0" w:line="225" w:lineRule="auto"/>
        <w:rPr>
          <w:sz w:val="20"/>
          <w:szCs w:val="20"/>
          <w:color w:val="auto"/>
        </w:rPr>
      </w:pPr>
      <w:r>
        <w:rPr>
          <w:rFonts w:ascii="Arial" w:cs="Arial" w:eastAsia="Arial" w:hAnsi="Arial"/>
          <w:sz w:val="19"/>
          <w:szCs w:val="19"/>
          <w:color w:val="auto"/>
        </w:rPr>
        <w:t>1.80 “</w:t>
      </w:r>
      <w:r>
        <w:rPr>
          <w:rFonts w:ascii="Arial" w:cs="Arial" w:eastAsia="Arial" w:hAnsi="Arial"/>
          <w:sz w:val="19"/>
          <w:szCs w:val="19"/>
          <w:b w:val="1"/>
          <w:bCs w:val="1"/>
          <w:color w:val="auto"/>
        </w:rPr>
        <w:t>MacroGenics Licensed Patent(s)</w:t>
      </w:r>
      <w:r>
        <w:rPr>
          <w:rFonts w:ascii="Arial" w:cs="Arial" w:eastAsia="Arial" w:hAnsi="Arial"/>
          <w:sz w:val="19"/>
          <w:szCs w:val="19"/>
          <w:color w:val="auto"/>
        </w:rPr>
        <w:t xml:space="preserve">” means, individually or collectively, as the context requires, MacroGenics CD123 Patents and MacroGenics Research Patents. The MacroGenics Licensed Patents Controlled by MacroGenics or any of its Affiliates as of the Effective Date are listed in </w:t>
      </w:r>
      <w:r>
        <w:rPr>
          <w:rFonts w:ascii="Arial" w:cs="Arial" w:eastAsia="Arial" w:hAnsi="Arial"/>
          <w:sz w:val="19"/>
          <w:szCs w:val="19"/>
          <w:b w:val="1"/>
          <w:bCs w:val="1"/>
          <w:color w:val="auto"/>
        </w:rPr>
        <w:t>Schedule</w:t>
      </w:r>
    </w:p>
    <w:p>
      <w:pPr>
        <w:spacing w:after="0" w:line="2" w:lineRule="exact"/>
        <w:rPr>
          <w:sz w:val="20"/>
          <w:szCs w:val="20"/>
          <w:color w:val="auto"/>
        </w:rPr>
      </w:pPr>
    </w:p>
    <w:p>
      <w:pPr>
        <w:jc w:val="both"/>
        <w:ind w:left="1020"/>
        <w:spacing w:after="0" w:line="234" w:lineRule="auto"/>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(MacroGenics Licensed Patents) attached hereto;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failure of a Patent to be on</w:t>
      </w:r>
      <w:r>
        <w:rPr>
          <w:rFonts w:ascii="Arial" w:cs="Arial" w:eastAsia="Arial" w:hAnsi="Arial"/>
          <w:sz w:val="18"/>
          <w:szCs w:val="18"/>
          <w:b w:val="1"/>
          <w:bCs w:val="1"/>
          <w:color w:val="auto"/>
        </w:rPr>
        <w:t xml:space="preserve"> Schedule 1.80 </w:t>
      </w:r>
      <w:r>
        <w:rPr>
          <w:rFonts w:ascii="Arial" w:cs="Arial" w:eastAsia="Arial" w:hAnsi="Arial"/>
          <w:sz w:val="18"/>
          <w:szCs w:val="18"/>
          <w:color w:val="auto"/>
        </w:rPr>
        <w:t>(MacroGenics Licensed Patents) either as of the Effective Date or during the Term shall not, in itself, indicate that such</w:t>
      </w:r>
    </w:p>
    <w:p>
      <w:pPr>
        <w:spacing w:after="0" w:line="1" w:lineRule="exact"/>
        <w:rPr>
          <w:sz w:val="20"/>
          <w:szCs w:val="20"/>
          <w:color w:val="auto"/>
        </w:rPr>
      </w:pPr>
    </w:p>
    <w:p>
      <w:pPr>
        <w:jc w:val="both"/>
        <w:ind w:left="1020"/>
        <w:spacing w:after="0" w:line="226" w:lineRule="auto"/>
        <w:rPr>
          <w:sz w:val="20"/>
          <w:szCs w:val="20"/>
          <w:color w:val="auto"/>
        </w:rPr>
      </w:pPr>
      <w:r>
        <w:rPr>
          <w:rFonts w:ascii="Arial" w:cs="Arial" w:eastAsia="Arial" w:hAnsi="Arial"/>
          <w:sz w:val="18"/>
          <w:szCs w:val="18"/>
          <w:color w:val="auto"/>
        </w:rPr>
        <w:t xml:space="preserve">Patent is not a MacroGenics Licensed Patent hereunder. MacroGenics will update </w:t>
      </w:r>
      <w:r>
        <w:rPr>
          <w:rFonts w:ascii="Arial" w:cs="Arial" w:eastAsia="Arial" w:hAnsi="Arial"/>
          <w:sz w:val="18"/>
          <w:szCs w:val="18"/>
          <w:b w:val="1"/>
          <w:bCs w:val="1"/>
          <w:color w:val="auto"/>
        </w:rPr>
        <w:t>Schedule 1.80</w:t>
      </w:r>
      <w:r>
        <w:rPr>
          <w:rFonts w:ascii="Arial" w:cs="Arial" w:eastAsia="Arial" w:hAnsi="Arial"/>
          <w:sz w:val="18"/>
          <w:szCs w:val="18"/>
          <w:color w:val="auto"/>
        </w:rPr>
        <w:t xml:space="preserve"> (MacroGenics Licensed Patents) [***], until the CD123 Option Exercise Date (with respect to MacroGenics CD123 Patents) or the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Research Program Opt- In Date (with respect to the applicable MacroGenics Research Patents).</w:t>
      </w:r>
    </w:p>
    <w:p>
      <w:pPr>
        <w:spacing w:after="0" w:line="194" w:lineRule="exact"/>
        <w:rPr>
          <w:sz w:val="20"/>
          <w:szCs w:val="20"/>
          <w:color w:val="auto"/>
        </w:rPr>
      </w:pPr>
    </w:p>
    <w:p>
      <w:pPr>
        <w:ind w:left="1020" w:right="200" w:firstLine="648"/>
        <w:spacing w:after="0" w:line="239" w:lineRule="auto"/>
        <w:rPr>
          <w:sz w:val="20"/>
          <w:szCs w:val="20"/>
          <w:color w:val="auto"/>
        </w:rPr>
      </w:pPr>
      <w:r>
        <w:rPr>
          <w:rFonts w:ascii="Arial" w:cs="Arial" w:eastAsia="Arial" w:hAnsi="Arial"/>
          <w:sz w:val="20"/>
          <w:szCs w:val="20"/>
          <w:color w:val="auto"/>
        </w:rPr>
        <w:t>1.81 “</w:t>
      </w:r>
      <w:r>
        <w:rPr>
          <w:rFonts w:ascii="Arial" w:cs="Arial" w:eastAsia="Arial" w:hAnsi="Arial"/>
          <w:sz w:val="20"/>
          <w:szCs w:val="20"/>
          <w:b w:val="1"/>
          <w:bCs w:val="1"/>
          <w:color w:val="auto"/>
        </w:rPr>
        <w:t>MacroGenics Licensed Technology</w:t>
      </w:r>
      <w:r>
        <w:rPr>
          <w:rFonts w:ascii="Arial" w:cs="Arial" w:eastAsia="Arial" w:hAnsi="Arial"/>
          <w:sz w:val="20"/>
          <w:szCs w:val="20"/>
          <w:color w:val="auto"/>
        </w:rPr>
        <w:t>” means the MacroGenics Licensed Patents and the MacroGenics Licensed Know-How.</w:t>
      </w:r>
    </w:p>
    <w:p>
      <w:pPr>
        <w:spacing w:after="0" w:line="190"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MacroGenics Manufacturing Facilities</w:t>
      </w:r>
      <w:r>
        <w:rPr>
          <w:rFonts w:ascii="Arial" w:cs="Arial" w:eastAsia="Arial" w:hAnsi="Arial"/>
          <w:sz w:val="18"/>
          <w:szCs w:val="18"/>
          <w:color w:val="auto"/>
        </w:rPr>
        <w:t>” means [***].</w:t>
      </w:r>
    </w:p>
    <w:p>
      <w:pPr>
        <w:spacing w:after="0" w:line="32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MacroGenics Manufacturing In-Licenses</w:t>
      </w:r>
      <w:r>
        <w:rPr>
          <w:rFonts w:ascii="Arial" w:cs="Arial" w:eastAsia="Arial" w:hAnsi="Arial"/>
          <w:sz w:val="18"/>
          <w:szCs w:val="18"/>
          <w:color w:val="auto"/>
        </w:rPr>
        <w:t>” means [***].</w:t>
      </w:r>
    </w:p>
    <w:p>
      <w:pPr>
        <w:spacing w:after="0" w:line="24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1.84</w:t>
        <w:tab/>
        <w:t>[***].</w:t>
      </w:r>
    </w:p>
    <w:p>
      <w:pPr>
        <w:spacing w:after="0" w:line="277" w:lineRule="exact"/>
        <w:rPr>
          <w:sz w:val="20"/>
          <w:szCs w:val="20"/>
          <w:color w:val="auto"/>
        </w:rPr>
      </w:pPr>
    </w:p>
    <w:p>
      <w:pPr>
        <w:jc w:val="both"/>
        <w:ind w:left="1020" w:firstLine="648"/>
        <w:spacing w:after="0" w:line="230" w:lineRule="auto"/>
        <w:rPr>
          <w:sz w:val="20"/>
          <w:szCs w:val="20"/>
          <w:color w:val="auto"/>
        </w:rPr>
      </w:pPr>
      <w:r>
        <w:rPr>
          <w:rFonts w:ascii="Arial" w:cs="Arial" w:eastAsia="Arial" w:hAnsi="Arial"/>
          <w:sz w:val="20"/>
          <w:szCs w:val="20"/>
          <w:color w:val="auto"/>
        </w:rPr>
        <w:t>1.85 “</w:t>
      </w:r>
      <w:r>
        <w:rPr>
          <w:rFonts w:ascii="Arial" w:cs="Arial" w:eastAsia="Arial" w:hAnsi="Arial"/>
          <w:sz w:val="20"/>
          <w:szCs w:val="20"/>
          <w:b w:val="1"/>
          <w:bCs w:val="1"/>
          <w:color w:val="auto"/>
        </w:rPr>
        <w:t>MacroGenics Multi-Product Patent</w:t>
      </w:r>
      <w:r>
        <w:rPr>
          <w:rFonts w:ascii="Arial" w:cs="Arial" w:eastAsia="Arial" w:hAnsi="Arial"/>
          <w:sz w:val="20"/>
          <w:szCs w:val="20"/>
          <w:color w:val="auto"/>
        </w:rPr>
        <w:t xml:space="preserve">” means any MacroGenics Licensed Patent that Covers the [***] in the Territory, and [***]. The MacroGenics Multi-Product Patents as of the Effective Date are identified as “MacroGenics Multi-Product Patents” in </w:t>
      </w:r>
      <w:r>
        <w:rPr>
          <w:rFonts w:ascii="Arial" w:cs="Arial" w:eastAsia="Arial" w:hAnsi="Arial"/>
          <w:sz w:val="20"/>
          <w:szCs w:val="20"/>
          <w:b w:val="1"/>
          <w:bCs w:val="1"/>
          <w:color w:val="auto"/>
        </w:rPr>
        <w:t>Schedule 1.80</w:t>
      </w:r>
      <w:r>
        <w:rPr>
          <w:rFonts w:ascii="Arial" w:cs="Arial" w:eastAsia="Arial" w:hAnsi="Arial"/>
          <w:sz w:val="20"/>
          <w:szCs w:val="20"/>
          <w:color w:val="auto"/>
        </w:rPr>
        <w:t xml:space="preserve"> (MacroGenics Licensed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-207645</wp:posOffset>
            </wp:positionV>
            <wp:extent cx="311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69" w:lineRule="exact"/>
        <w:rPr>
          <w:sz w:val="20"/>
          <w:szCs w:val="20"/>
          <w:color w:val="auto"/>
        </w:rPr>
      </w:pPr>
    </w:p>
    <w:p>
      <w:pPr>
        <w:ind w:left="1020" w:right="820" w:firstLine="648"/>
        <w:spacing w:after="0" w:line="222" w:lineRule="auto"/>
        <w:rPr>
          <w:sz w:val="20"/>
          <w:szCs w:val="20"/>
          <w:color w:val="auto"/>
        </w:rPr>
      </w:pPr>
      <w:r>
        <w:rPr>
          <w:rFonts w:ascii="Arial" w:cs="Arial" w:eastAsia="Arial" w:hAnsi="Arial"/>
          <w:sz w:val="19"/>
          <w:szCs w:val="19"/>
          <w:color w:val="auto"/>
        </w:rPr>
        <w:t>1.86 “</w:t>
      </w:r>
      <w:r>
        <w:rPr>
          <w:rFonts w:ascii="Arial" w:cs="Arial" w:eastAsia="Arial" w:hAnsi="Arial"/>
          <w:sz w:val="19"/>
          <w:szCs w:val="19"/>
          <w:b w:val="1"/>
          <w:bCs w:val="1"/>
          <w:color w:val="auto"/>
        </w:rPr>
        <w:t>MacroGenics Platform</w:t>
      </w:r>
      <w:r>
        <w:rPr>
          <w:rFonts w:ascii="Arial" w:cs="Arial" w:eastAsia="Arial" w:hAnsi="Arial"/>
          <w:sz w:val="19"/>
          <w:szCs w:val="19"/>
          <w:color w:val="auto"/>
        </w:rPr>
        <w:t>” means MacroGenics’ proprietary DART</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and TRIDENT</w:t>
      </w:r>
      <w:r>
        <w:rPr>
          <w:rFonts w:ascii="Arial" w:cs="Arial" w:eastAsia="Arial" w:hAnsi="Arial"/>
          <w:sz w:val="24"/>
          <w:szCs w:val="24"/>
          <w:color w:val="auto"/>
          <w:vertAlign w:val="superscript"/>
        </w:rPr>
        <w:t>®</w:t>
      </w:r>
      <w:r>
        <w:rPr>
          <w:rFonts w:ascii="Arial" w:cs="Arial" w:eastAsia="Arial" w:hAnsi="Arial"/>
          <w:sz w:val="19"/>
          <w:szCs w:val="19"/>
          <w:color w:val="auto"/>
        </w:rPr>
        <w:t xml:space="preserve"> platforms regardless of application, each as further described in </w:t>
      </w:r>
      <w:r>
        <w:rPr>
          <w:rFonts w:ascii="Arial" w:cs="Arial" w:eastAsia="Arial" w:hAnsi="Arial"/>
          <w:sz w:val="19"/>
          <w:szCs w:val="19"/>
          <w:b w:val="1"/>
          <w:bCs w:val="1"/>
          <w:color w:val="auto"/>
        </w:rPr>
        <w:t>Schedule 1.86</w:t>
      </w:r>
      <w:r>
        <w:rPr>
          <w:rFonts w:ascii="Arial" w:cs="Arial" w:eastAsia="Arial" w:hAnsi="Arial"/>
          <w:sz w:val="19"/>
          <w:szCs w:val="19"/>
          <w:color w:val="auto"/>
        </w:rPr>
        <w:t xml:space="preserve"> (MacroGenics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20"/>
          </w:cols>
          <w:pgMar w:left="400" w:top="1440" w:right="879" w:bottom="1440" w:gutter="0" w:footer="0" w:header="0"/>
        </w:sectPr>
      </w:pPr>
    </w:p>
    <w:bookmarkStart w:id="132" w:name="page133"/>
    <w:bookmarkEnd w:id="132"/>
    <w:p>
      <w:pPr>
        <w:spacing w:after="0" w:line="189" w:lineRule="exact"/>
        <w:rPr>
          <w:sz w:val="20"/>
          <w:szCs w:val="20"/>
          <w:color w:val="auto"/>
        </w:rPr>
      </w:pPr>
    </w:p>
    <w:p>
      <w:pPr>
        <w:ind w:left="1020" w:right="240" w:firstLine="648"/>
        <w:spacing w:after="0" w:line="247" w:lineRule="auto"/>
        <w:rPr>
          <w:sz w:val="20"/>
          <w:szCs w:val="20"/>
          <w:color w:val="auto"/>
        </w:rPr>
      </w:pPr>
      <w:r>
        <w:rPr>
          <w:rFonts w:ascii="Arial" w:cs="Arial" w:eastAsia="Arial" w:hAnsi="Arial"/>
          <w:sz w:val="18"/>
          <w:szCs w:val="18"/>
          <w:color w:val="auto"/>
        </w:rPr>
        <w:t>1.87 “</w:t>
      </w:r>
      <w:r>
        <w:rPr>
          <w:rFonts w:ascii="Arial" w:cs="Arial" w:eastAsia="Arial" w:hAnsi="Arial"/>
          <w:sz w:val="18"/>
          <w:szCs w:val="18"/>
          <w:b w:val="1"/>
          <w:bCs w:val="1"/>
          <w:color w:val="auto"/>
        </w:rPr>
        <w:t>MacroGenics Platform Patent</w:t>
      </w:r>
      <w:r>
        <w:rPr>
          <w:rFonts w:ascii="Arial" w:cs="Arial" w:eastAsia="Arial" w:hAnsi="Arial"/>
          <w:sz w:val="18"/>
          <w:szCs w:val="18"/>
          <w:color w:val="auto"/>
        </w:rPr>
        <w:t>” means a MacroGenics Licensed Patent that (a) Covers the MacroGenics Platform and (b) is not a MacroGenics Product-Specific Patent or a MacroGenics Multi- Product Patent.</w:t>
      </w:r>
    </w:p>
    <w:p>
      <w:pPr>
        <w:spacing w:after="0" w:line="1" w:lineRule="exact"/>
        <w:rPr>
          <w:sz w:val="20"/>
          <w:szCs w:val="20"/>
          <w:color w:val="auto"/>
        </w:rPr>
      </w:pPr>
    </w:p>
    <w:p>
      <w:pPr>
        <w:ind w:left="1020" w:right="720"/>
        <w:spacing w:after="0" w:line="220" w:lineRule="auto"/>
        <w:rPr>
          <w:sz w:val="20"/>
          <w:szCs w:val="20"/>
          <w:color w:val="auto"/>
        </w:rPr>
      </w:pPr>
      <w:r>
        <w:rPr>
          <w:rFonts w:ascii="Arial" w:cs="Arial" w:eastAsia="Arial" w:hAnsi="Arial"/>
          <w:sz w:val="20"/>
          <w:szCs w:val="20"/>
          <w:color w:val="auto"/>
        </w:rPr>
        <w:t xml:space="preserve">The MacroGenics Platform Patents as of the Effective Date are identified as “MacroGenics Platform Patents” in </w:t>
      </w:r>
      <w:r>
        <w:rPr>
          <w:rFonts w:ascii="Arial" w:cs="Arial" w:eastAsia="Arial" w:hAnsi="Arial"/>
          <w:sz w:val="20"/>
          <w:szCs w:val="20"/>
          <w:b w:val="1"/>
          <w:bCs w:val="1"/>
          <w:color w:val="auto"/>
        </w:rPr>
        <w:t xml:space="preserve">Schedule 1.80 </w:t>
      </w:r>
      <w:r>
        <w:rPr>
          <w:rFonts w:ascii="Arial" w:cs="Arial" w:eastAsia="Arial" w:hAnsi="Arial"/>
          <w:sz w:val="20"/>
          <w:szCs w:val="20"/>
          <w:color w:val="auto"/>
        </w:rPr>
        <w:t>(MacroGenics Licensed Patents).</w:t>
      </w:r>
    </w:p>
    <w:p>
      <w:pPr>
        <w:spacing w:after="0" w:line="17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1.88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MacroGenics Platform Trademarks</w:t>
      </w:r>
      <w:r>
        <w:rPr>
          <w:rFonts w:ascii="Arial" w:cs="Arial" w:eastAsia="Arial" w:hAnsi="Arial"/>
          <w:sz w:val="18"/>
          <w:szCs w:val="18"/>
          <w:color w:val="auto"/>
        </w:rPr>
        <w:t>” means any and all Trademarks Controlled by MacroGenics or</w:t>
      </w:r>
    </w:p>
    <w:p>
      <w:pPr>
        <w:spacing w:after="0" w:line="6" w:lineRule="exact"/>
        <w:rPr>
          <w:sz w:val="20"/>
          <w:szCs w:val="20"/>
          <w:color w:val="auto"/>
        </w:rPr>
      </w:pPr>
    </w:p>
    <w:p>
      <w:pPr>
        <w:ind w:left="1020" w:right="60"/>
        <w:spacing w:after="0" w:line="226" w:lineRule="auto"/>
        <w:rPr>
          <w:sz w:val="20"/>
          <w:szCs w:val="20"/>
          <w:color w:val="auto"/>
        </w:rPr>
      </w:pPr>
      <w:r>
        <w:rPr>
          <w:rFonts w:ascii="Arial" w:cs="Arial" w:eastAsia="Arial" w:hAnsi="Arial"/>
          <w:sz w:val="18"/>
          <w:szCs w:val="18"/>
          <w:color w:val="auto"/>
        </w:rPr>
        <w:t>any of its Affiliates as of the Effective Date or at any time during the Term, that are registered for or apply solely to the MacroGenics Platform. The MacroGenics Platform Trademarks Controlled by MacroGenics or any of its Affiliates as of</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 xml:space="preserve">the Effective Date are listed in </w:t>
      </w:r>
      <w:r>
        <w:rPr>
          <w:rFonts w:ascii="Arial" w:cs="Arial" w:eastAsia="Arial" w:hAnsi="Arial"/>
          <w:sz w:val="20"/>
          <w:szCs w:val="20"/>
          <w:b w:val="1"/>
          <w:bCs w:val="1"/>
          <w:color w:val="auto"/>
        </w:rPr>
        <w:t>Schedule 1.88</w:t>
      </w:r>
      <w:r>
        <w:rPr>
          <w:rFonts w:ascii="Arial" w:cs="Arial" w:eastAsia="Arial" w:hAnsi="Arial"/>
          <w:sz w:val="20"/>
          <w:szCs w:val="20"/>
          <w:color w:val="auto"/>
        </w:rPr>
        <w:t xml:space="preserve"> (MacroGenics Platform Trademarks) attached hereto.</w:t>
      </w:r>
    </w:p>
    <w:p>
      <w:pPr>
        <w:spacing w:after="0" w:line="182"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MacroGenics Product-Specific Patent</w:t>
      </w:r>
      <w:r>
        <w:rPr>
          <w:rFonts w:ascii="Arial" w:cs="Arial" w:eastAsia="Arial" w:hAnsi="Arial"/>
          <w:sz w:val="18"/>
          <w:szCs w:val="18"/>
          <w:color w:val="auto"/>
        </w:rPr>
        <w:t>” means any MacroGenics Licensed Patent that [***] Covers the</w:t>
      </w:r>
    </w:p>
    <w:p>
      <w:pPr>
        <w:spacing w:after="0" w:line="6" w:lineRule="exact"/>
        <w:rPr>
          <w:sz w:val="20"/>
          <w:szCs w:val="20"/>
          <w:color w:val="auto"/>
        </w:rPr>
      </w:pPr>
    </w:p>
    <w:p>
      <w:pPr>
        <w:ind w:left="1020" w:right="1180" w:firstLine="5"/>
        <w:spacing w:after="0" w:line="266" w:lineRule="auto"/>
        <w:tabs>
          <w:tab w:leader="none" w:pos="14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in the Territory. The MacroGenics Product-Specific Patents as of the Effective Date are identified as “MacroGenics Product-Specific Patents” in </w:t>
      </w:r>
      <w:r>
        <w:rPr>
          <w:rFonts w:ascii="Arial" w:cs="Arial" w:eastAsia="Arial" w:hAnsi="Arial"/>
          <w:sz w:val="18"/>
          <w:szCs w:val="18"/>
          <w:b w:val="1"/>
          <w:bCs w:val="1"/>
          <w:color w:val="auto"/>
        </w:rPr>
        <w:t>Schedule 1.80</w:t>
      </w:r>
      <w:r>
        <w:rPr>
          <w:rFonts w:ascii="Arial" w:cs="Arial" w:eastAsia="Arial" w:hAnsi="Arial"/>
          <w:sz w:val="18"/>
          <w:szCs w:val="18"/>
          <w:color w:val="auto"/>
        </w:rPr>
        <w:t xml:space="preserve"> (MacroGenics Licensed Patents).</w:t>
      </w:r>
    </w:p>
    <w:p>
      <w:pPr>
        <w:spacing w:after="0" w:line="156"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MacroGenics Research Know-How</w:t>
      </w:r>
      <w:r>
        <w:rPr>
          <w:rFonts w:ascii="Arial" w:cs="Arial" w:eastAsia="Arial" w:hAnsi="Arial"/>
          <w:sz w:val="16"/>
          <w:szCs w:val="16"/>
          <w:color w:val="auto"/>
        </w:rPr>
        <w:t>” means, with respect to a given Research Program, any Know-</w:t>
      </w:r>
    </w:p>
    <w:p>
      <w:pPr>
        <w:spacing w:after="0" w:line="6"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How (excluding any Patents or Jointly Owned Know-How) that is Controlled by MacroGenics or any of its Affiliates as of the Effective Date or at any time during the Term that is necessary or reasonably useful to Exploit Research Molecules</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or Research Products in the Field in the Territory, including MacroGenics Platform Improvement Know-How.</w:t>
      </w:r>
    </w:p>
    <w:p>
      <w:pPr>
        <w:spacing w:after="0" w:line="182"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MacroGenics Research Patents</w:t>
      </w:r>
      <w:r>
        <w:rPr>
          <w:rFonts w:ascii="Arial" w:cs="Arial" w:eastAsia="Arial" w:hAnsi="Arial"/>
          <w:sz w:val="16"/>
          <w:szCs w:val="16"/>
          <w:color w:val="auto"/>
        </w:rPr>
        <w:t>” means, with respect to a given Research Program, any Patents</w:t>
      </w:r>
    </w:p>
    <w:p>
      <w:pPr>
        <w:spacing w:after="0" w:line="6" w:lineRule="exact"/>
        <w:rPr>
          <w:sz w:val="20"/>
          <w:szCs w:val="20"/>
          <w:color w:val="auto"/>
        </w:rPr>
      </w:pPr>
    </w:p>
    <w:p>
      <w:pPr>
        <w:ind w:left="1020" w:right="180"/>
        <w:spacing w:after="0" w:line="255" w:lineRule="auto"/>
        <w:rPr>
          <w:sz w:val="20"/>
          <w:szCs w:val="20"/>
          <w:color w:val="auto"/>
        </w:rPr>
      </w:pPr>
      <w:r>
        <w:rPr>
          <w:rFonts w:ascii="Arial" w:cs="Arial" w:eastAsia="Arial" w:hAnsi="Arial"/>
          <w:sz w:val="16"/>
          <w:szCs w:val="16"/>
          <w:color w:val="auto"/>
        </w:rPr>
        <w:t>(excluding any Jointly Owned Patents) that are Controlled by MacroGenics or any of its Affiliates as of the Effective Date or at any time during the Term that are necessary or reasonably useful to Exploit Research Molecules or Research</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Products in the Field in the Territory in accordance with this Agreement.</w:t>
      </w:r>
    </w:p>
    <w:p>
      <w:pPr>
        <w:spacing w:after="0" w:line="207" w:lineRule="exact"/>
        <w:rPr>
          <w:sz w:val="20"/>
          <w:szCs w:val="20"/>
          <w:color w:val="auto"/>
        </w:rPr>
      </w:pPr>
    </w:p>
    <w:p>
      <w:pPr>
        <w:ind w:left="1020" w:right="460" w:firstLine="648"/>
        <w:spacing w:after="0" w:line="281" w:lineRule="auto"/>
        <w:rPr>
          <w:sz w:val="20"/>
          <w:szCs w:val="20"/>
          <w:color w:val="auto"/>
        </w:rPr>
      </w:pPr>
      <w:r>
        <w:rPr>
          <w:rFonts w:ascii="Arial" w:cs="Arial" w:eastAsia="Arial" w:hAnsi="Arial"/>
          <w:sz w:val="20"/>
          <w:szCs w:val="20"/>
          <w:color w:val="auto"/>
        </w:rPr>
        <w:t>1.92 “</w:t>
      </w:r>
      <w:r>
        <w:rPr>
          <w:rFonts w:ascii="Arial" w:cs="Arial" w:eastAsia="Arial" w:hAnsi="Arial"/>
          <w:sz w:val="20"/>
          <w:szCs w:val="20"/>
          <w:b w:val="1"/>
          <w:bCs w:val="1"/>
          <w:color w:val="auto"/>
        </w:rPr>
        <w:t>MacroGenics Research Technology</w:t>
      </w:r>
      <w:r>
        <w:rPr>
          <w:rFonts w:ascii="Arial" w:cs="Arial" w:eastAsia="Arial" w:hAnsi="Arial"/>
          <w:sz w:val="20"/>
          <w:szCs w:val="20"/>
          <w:color w:val="auto"/>
        </w:rPr>
        <w:t>” means the MacroGenics Research Patents and MacroGenics Research Know-How.</w:t>
      </w:r>
    </w:p>
    <w:p>
      <w:pPr>
        <w:spacing w:after="0" w:line="24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European Country</w:t>
      </w:r>
      <w:r>
        <w:rPr>
          <w:rFonts w:ascii="Arial" w:cs="Arial" w:eastAsia="Arial" w:hAnsi="Arial"/>
          <w:sz w:val="19"/>
          <w:szCs w:val="19"/>
          <w:color w:val="auto"/>
        </w:rPr>
        <w:t>” means the [***].</w:t>
      </w:r>
    </w:p>
    <w:p>
      <w:pPr>
        <w:spacing w:after="0" w:line="297"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Market Country</w:t>
      </w:r>
      <w:r>
        <w:rPr>
          <w:rFonts w:ascii="Arial" w:cs="Arial" w:eastAsia="Arial" w:hAnsi="Arial"/>
          <w:sz w:val="19"/>
          <w:szCs w:val="19"/>
          <w:color w:val="auto"/>
        </w:rPr>
        <w:t>” means each [***].</w:t>
      </w:r>
    </w:p>
    <w:p>
      <w:pPr>
        <w:spacing w:after="0" w:line="310" w:lineRule="exact"/>
        <w:rPr>
          <w:sz w:val="20"/>
          <w:szCs w:val="20"/>
          <w:color w:val="auto"/>
        </w:rPr>
      </w:pPr>
    </w:p>
    <w:p>
      <w:pPr>
        <w:ind w:left="1020" w:right="420" w:firstLine="648"/>
        <w:spacing w:after="0" w:line="239" w:lineRule="auto"/>
        <w:rPr>
          <w:sz w:val="20"/>
          <w:szCs w:val="20"/>
          <w:color w:val="auto"/>
        </w:rPr>
      </w:pPr>
      <w:r>
        <w:rPr>
          <w:rFonts w:ascii="Arial" w:cs="Arial" w:eastAsia="Arial" w:hAnsi="Arial"/>
          <w:sz w:val="18"/>
          <w:szCs w:val="18"/>
          <w:color w:val="auto"/>
        </w:rPr>
        <w:t>1.95 “</w:t>
      </w:r>
      <w:r>
        <w:rPr>
          <w:rFonts w:ascii="Arial" w:cs="Arial" w:eastAsia="Arial" w:hAnsi="Arial"/>
          <w:sz w:val="18"/>
          <w:szCs w:val="18"/>
          <w:b w:val="1"/>
          <w:bCs w:val="1"/>
          <w:color w:val="auto"/>
        </w:rPr>
        <w:t>Manufacture</w:t>
      </w:r>
      <w:r>
        <w:rPr>
          <w:rFonts w:ascii="Arial" w:cs="Arial" w:eastAsia="Arial" w:hAnsi="Arial"/>
          <w:sz w:val="18"/>
          <w:szCs w:val="18"/>
          <w:color w:val="auto"/>
        </w:rPr>
        <w:t>” or “</w:t>
      </w:r>
      <w:r>
        <w:rPr>
          <w:rFonts w:ascii="Arial" w:cs="Arial" w:eastAsia="Arial" w:hAnsi="Arial"/>
          <w:sz w:val="18"/>
          <w:szCs w:val="18"/>
          <w:b w:val="1"/>
          <w:bCs w:val="1"/>
          <w:color w:val="auto"/>
        </w:rPr>
        <w:t>Manufacturing</w:t>
      </w:r>
      <w:r>
        <w:rPr>
          <w:rFonts w:ascii="Arial" w:cs="Arial" w:eastAsia="Arial" w:hAnsi="Arial"/>
          <w:sz w:val="18"/>
          <w:szCs w:val="18"/>
          <w:color w:val="auto"/>
        </w:rPr>
        <w:t>” means all operations involved in the manufacturing (including process development activities, formulation activities, quality assurance and quality control testing (including test</w:t>
      </w:r>
    </w:p>
    <w:p>
      <w:pPr>
        <w:ind w:left="1020"/>
        <w:spacing w:after="0" w:line="223" w:lineRule="auto"/>
        <w:rPr>
          <w:sz w:val="20"/>
          <w:szCs w:val="20"/>
          <w:color w:val="auto"/>
        </w:rPr>
      </w:pPr>
      <w:r>
        <w:rPr>
          <w:rFonts w:ascii="Arial" w:cs="Arial" w:eastAsia="Arial" w:hAnsi="Arial"/>
          <w:sz w:val="19"/>
          <w:szCs w:val="19"/>
          <w:color w:val="auto"/>
        </w:rPr>
        <w:t>method development and in-process, release and stability testing, if applicable), storage, releasing, packaging and</w:t>
      </w:r>
    </w:p>
    <w:p>
      <w:pPr>
        <w:spacing w:after="0" w:line="1" w:lineRule="exact"/>
        <w:rPr>
          <w:sz w:val="20"/>
          <w:szCs w:val="20"/>
          <w:color w:val="auto"/>
        </w:rPr>
      </w:pPr>
    </w:p>
    <w:p>
      <w:pPr>
        <w:ind w:left="1020" w:right="140"/>
        <w:spacing w:after="0" w:line="250" w:lineRule="auto"/>
        <w:rPr>
          <w:sz w:val="20"/>
          <w:szCs w:val="20"/>
          <w:color w:val="auto"/>
        </w:rPr>
      </w:pPr>
      <w:r>
        <w:rPr>
          <w:rFonts w:ascii="Arial" w:cs="Arial" w:eastAsia="Arial" w:hAnsi="Arial"/>
          <w:sz w:val="18"/>
          <w:szCs w:val="18"/>
          <w:color w:val="auto"/>
        </w:rPr>
        <w:t>importation) to supply molecules and products for Development and Commercialization. For clarity, “</w:t>
      </w:r>
      <w:r>
        <w:rPr>
          <w:rFonts w:ascii="Arial" w:cs="Arial" w:eastAsia="Arial" w:hAnsi="Arial"/>
          <w:sz w:val="18"/>
          <w:szCs w:val="18"/>
          <w:b w:val="1"/>
          <w:bCs w:val="1"/>
          <w:color w:val="auto"/>
        </w:rPr>
        <w:t>Manufacturing</w:t>
      </w:r>
      <w:r>
        <w:rPr>
          <w:rFonts w:ascii="Arial" w:cs="Arial" w:eastAsia="Arial" w:hAnsi="Arial"/>
          <w:sz w:val="18"/>
          <w:szCs w:val="18"/>
          <w:color w:val="auto"/>
        </w:rPr>
        <w:t>” includes Packaging and Labeling and does not include Development or Commercialization activities.</w:t>
      </w:r>
    </w:p>
    <w:p>
      <w:pPr>
        <w:spacing w:after="0" w:line="195" w:lineRule="exact"/>
        <w:rPr>
          <w:sz w:val="20"/>
          <w:szCs w:val="20"/>
          <w:color w:val="auto"/>
        </w:rPr>
      </w:pPr>
    </w:p>
    <w:p>
      <w:pPr>
        <w:ind w:left="1020" w:right="140" w:firstLine="648"/>
        <w:spacing w:after="0" w:line="269" w:lineRule="auto"/>
        <w:rPr>
          <w:sz w:val="20"/>
          <w:szCs w:val="20"/>
          <w:color w:val="auto"/>
        </w:rPr>
      </w:pPr>
      <w:r>
        <w:rPr>
          <w:rFonts w:ascii="Arial" w:cs="Arial" w:eastAsia="Arial" w:hAnsi="Arial"/>
          <w:sz w:val="16"/>
          <w:szCs w:val="16"/>
          <w:color w:val="auto"/>
        </w:rPr>
        <w:t>1.96 “</w:t>
      </w:r>
      <w:r>
        <w:rPr>
          <w:rFonts w:ascii="Arial" w:cs="Arial" w:eastAsia="Arial" w:hAnsi="Arial"/>
          <w:sz w:val="16"/>
          <w:szCs w:val="16"/>
          <w:b w:val="1"/>
          <w:bCs w:val="1"/>
          <w:color w:val="auto"/>
        </w:rPr>
        <w:t>Manufacturing Process</w:t>
      </w:r>
      <w:r>
        <w:rPr>
          <w:rFonts w:ascii="Arial" w:cs="Arial" w:eastAsia="Arial" w:hAnsi="Arial"/>
          <w:sz w:val="16"/>
          <w:szCs w:val="16"/>
          <w:color w:val="auto"/>
        </w:rPr>
        <w:t>” means the manufacturing process for (including any associated Know-How owned or Controlled by MacroGenics relating to the then-current process, and necessary or useful for) the Manufacture</w:t>
      </w:r>
    </w:p>
    <w:p>
      <w:pPr>
        <w:spacing w:after="0" w:line="1" w:lineRule="exact"/>
        <w:rPr>
          <w:sz w:val="20"/>
          <w:szCs w:val="20"/>
          <w:color w:val="auto"/>
        </w:rPr>
      </w:pPr>
    </w:p>
    <w:p>
      <w:pPr>
        <w:ind w:left="1020" w:right="80"/>
        <w:spacing w:after="0" w:line="266" w:lineRule="auto"/>
        <w:rPr>
          <w:sz w:val="20"/>
          <w:szCs w:val="20"/>
          <w:color w:val="auto"/>
        </w:rPr>
      </w:pPr>
      <w:r>
        <w:rPr>
          <w:rFonts w:ascii="Arial" w:cs="Arial" w:eastAsia="Arial" w:hAnsi="Arial"/>
          <w:sz w:val="18"/>
          <w:szCs w:val="18"/>
          <w:color w:val="auto"/>
        </w:rPr>
        <w:t>of the Licensed Molecules or the Licensed Products at the time of the Manufacturing Technology Transfer as more fully described in Section 9.4 (Manufacturing Technology Transfer) and as further developed under this Agreement.</w:t>
      </w:r>
    </w:p>
    <w:p>
      <w:pPr>
        <w:spacing w:after="0" w:line="167" w:lineRule="exact"/>
        <w:rPr>
          <w:sz w:val="20"/>
          <w:szCs w:val="20"/>
          <w:color w:val="auto"/>
        </w:rPr>
      </w:pPr>
    </w:p>
    <w:p>
      <w:pPr>
        <w:ind w:left="1020" w:right="60" w:firstLine="648"/>
        <w:spacing w:after="0" w:line="239" w:lineRule="auto"/>
        <w:rPr>
          <w:sz w:val="20"/>
          <w:szCs w:val="20"/>
          <w:color w:val="auto"/>
        </w:rPr>
      </w:pPr>
      <w:r>
        <w:rPr>
          <w:rFonts w:ascii="Arial" w:cs="Arial" w:eastAsia="Arial" w:hAnsi="Arial"/>
          <w:sz w:val="20"/>
          <w:szCs w:val="20"/>
          <w:color w:val="auto"/>
        </w:rPr>
        <w:t>1.97 “</w:t>
      </w:r>
      <w:r>
        <w:rPr>
          <w:rFonts w:ascii="Arial" w:cs="Arial" w:eastAsia="Arial" w:hAnsi="Arial"/>
          <w:sz w:val="20"/>
          <w:szCs w:val="20"/>
          <w:b w:val="1"/>
          <w:bCs w:val="1"/>
          <w:color w:val="auto"/>
        </w:rPr>
        <w:t>Manufacturing Related Activities</w:t>
      </w:r>
      <w:r>
        <w:rPr>
          <w:rFonts w:ascii="Arial" w:cs="Arial" w:eastAsia="Arial" w:hAnsi="Arial"/>
          <w:sz w:val="20"/>
          <w:szCs w:val="20"/>
          <w:color w:val="auto"/>
        </w:rPr>
        <w:t>” means those manufacturing-related activities specifically related to a given batch of MGD024 Product that are not included in the Fully Burdened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620"/>
          </w:cols>
          <w:pgMar w:left="400" w:top="1440" w:right="879" w:bottom="1440" w:gutter="0" w:footer="0" w:header="0"/>
        </w:sectPr>
      </w:pPr>
    </w:p>
    <w:bookmarkStart w:id="133" w:name="page134"/>
    <w:bookmarkEnd w:id="133"/>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Manufacturing Costs, including manufacturing process development and validation, process improvements, formulation development, associated analytical development and validation and the manufacture and testing of stability and</w:t>
      </w:r>
    </w:p>
    <w:p>
      <w:pPr>
        <w:ind w:left="1020"/>
        <w:spacing w:after="0" w:line="250" w:lineRule="auto"/>
        <w:rPr>
          <w:sz w:val="20"/>
          <w:szCs w:val="20"/>
          <w:color w:val="auto"/>
        </w:rPr>
      </w:pPr>
      <w:r>
        <w:rPr>
          <w:rFonts w:ascii="Arial" w:cs="Arial" w:eastAsia="Arial" w:hAnsi="Arial"/>
          <w:sz w:val="18"/>
          <w:szCs w:val="18"/>
          <w:color w:val="auto"/>
        </w:rPr>
        <w:t>consistency lots (including process development, qualification, and test batches) and reference standards stability testing (including related costs of reference standards), shipment and such other commercially reasonable activities.</w:t>
      </w:r>
    </w:p>
    <w:p>
      <w:pPr>
        <w:spacing w:after="0" w:line="208" w:lineRule="exact"/>
        <w:rPr>
          <w:sz w:val="20"/>
          <w:szCs w:val="20"/>
          <w:color w:val="auto"/>
        </w:rPr>
      </w:pPr>
    </w:p>
    <w:p>
      <w:pPr>
        <w:ind w:left="1020" w:right="60" w:firstLine="648"/>
        <w:spacing w:after="0" w:line="284" w:lineRule="auto"/>
        <w:rPr>
          <w:sz w:val="20"/>
          <w:szCs w:val="20"/>
          <w:color w:val="auto"/>
        </w:rPr>
      </w:pPr>
      <w:r>
        <w:rPr>
          <w:rFonts w:ascii="Arial" w:cs="Arial" w:eastAsia="Arial" w:hAnsi="Arial"/>
          <w:sz w:val="20"/>
          <w:szCs w:val="20"/>
          <w:color w:val="auto"/>
        </w:rPr>
        <w:t>1.98 “</w:t>
      </w:r>
      <w:r>
        <w:rPr>
          <w:rFonts w:ascii="Arial" w:cs="Arial" w:eastAsia="Arial" w:hAnsi="Arial"/>
          <w:sz w:val="20"/>
          <w:szCs w:val="20"/>
          <w:b w:val="1"/>
          <w:bCs w:val="1"/>
          <w:color w:val="auto"/>
        </w:rPr>
        <w:t>MGD024</w:t>
      </w:r>
      <w:r>
        <w:rPr>
          <w:rFonts w:ascii="Arial" w:cs="Arial" w:eastAsia="Arial" w:hAnsi="Arial"/>
          <w:sz w:val="20"/>
          <w:szCs w:val="20"/>
          <w:color w:val="auto"/>
        </w:rPr>
        <w:t>” means the therapeutic bi-specific molecule which is directed to each of CD3 and CD123 and which is generated from MacroGenics’ proprietary DART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platform, as further described [***].</w:t>
      </w:r>
    </w:p>
    <w:p>
      <w:pPr>
        <w:spacing w:after="0" w:line="76" w:lineRule="exact"/>
        <w:rPr>
          <w:sz w:val="20"/>
          <w:szCs w:val="20"/>
          <w:color w:val="auto"/>
        </w:rPr>
      </w:pPr>
    </w:p>
    <w:p>
      <w:pPr>
        <w:ind w:left="1020" w:right="160" w:firstLine="648"/>
        <w:spacing w:after="0" w:line="292" w:lineRule="auto"/>
        <w:rPr>
          <w:sz w:val="20"/>
          <w:szCs w:val="20"/>
          <w:color w:val="auto"/>
        </w:rPr>
      </w:pPr>
      <w:r>
        <w:rPr>
          <w:rFonts w:ascii="Arial" w:cs="Arial" w:eastAsia="Arial" w:hAnsi="Arial"/>
          <w:sz w:val="18"/>
          <w:szCs w:val="18"/>
          <w:color w:val="auto"/>
        </w:rPr>
        <w:t>1.99 “</w:t>
      </w:r>
      <w:r>
        <w:rPr>
          <w:rFonts w:ascii="Arial" w:cs="Arial" w:eastAsia="Arial" w:hAnsi="Arial"/>
          <w:sz w:val="18"/>
          <w:szCs w:val="18"/>
          <w:b w:val="1"/>
          <w:bCs w:val="1"/>
          <w:color w:val="auto"/>
        </w:rPr>
        <w:t>MGD024 Drug Product</w:t>
      </w:r>
      <w:r>
        <w:rPr>
          <w:rFonts w:ascii="Arial" w:cs="Arial" w:eastAsia="Arial" w:hAnsi="Arial"/>
          <w:sz w:val="18"/>
          <w:szCs w:val="18"/>
          <w:color w:val="auto"/>
        </w:rPr>
        <w:t>” means the MGD024 Drug Substance in its final finished form and separated into unlabeled vials (unless the Parties agree that MacroGenics shall provide MGD024 Drug Product in labeled vials).</w:t>
      </w:r>
    </w:p>
    <w:p>
      <w:pPr>
        <w:spacing w:after="0" w:line="158" w:lineRule="exact"/>
        <w:rPr>
          <w:sz w:val="20"/>
          <w:szCs w:val="20"/>
          <w:color w:val="auto"/>
        </w:rPr>
      </w:pPr>
    </w:p>
    <w:p>
      <w:pPr>
        <w:ind w:left="1020" w:right="820" w:firstLine="648"/>
        <w:spacing w:after="0" w:line="267" w:lineRule="auto"/>
        <w:rPr>
          <w:sz w:val="20"/>
          <w:szCs w:val="20"/>
          <w:color w:val="auto"/>
        </w:rPr>
      </w:pPr>
      <w:r>
        <w:rPr>
          <w:rFonts w:ascii="Arial" w:cs="Arial" w:eastAsia="Arial" w:hAnsi="Arial"/>
          <w:sz w:val="20"/>
          <w:szCs w:val="20"/>
          <w:color w:val="auto"/>
        </w:rPr>
        <w:t>1.100 “</w:t>
      </w:r>
      <w:r>
        <w:rPr>
          <w:rFonts w:ascii="Arial" w:cs="Arial" w:eastAsia="Arial" w:hAnsi="Arial"/>
          <w:sz w:val="20"/>
          <w:szCs w:val="20"/>
          <w:b w:val="1"/>
          <w:bCs w:val="1"/>
          <w:color w:val="auto"/>
        </w:rPr>
        <w:t>MGD024 Drug Substance</w:t>
      </w:r>
      <w:r>
        <w:rPr>
          <w:rFonts w:ascii="Arial" w:cs="Arial" w:eastAsia="Arial" w:hAnsi="Arial"/>
          <w:sz w:val="20"/>
          <w:szCs w:val="20"/>
          <w:color w:val="auto"/>
        </w:rPr>
        <w:t>” means the bulk drug substance for MGD024 for use as an active pharmaceutical ingredient in the MGD024 Drug Product.</w:t>
      </w:r>
    </w:p>
    <w:p>
      <w:pPr>
        <w:spacing w:after="0" w:line="204" w:lineRule="exact"/>
        <w:rPr>
          <w:sz w:val="20"/>
          <w:szCs w:val="20"/>
          <w:color w:val="auto"/>
        </w:rPr>
      </w:pPr>
    </w:p>
    <w:p>
      <w:pPr>
        <w:ind w:left="1020" w:right="160" w:firstLine="648"/>
        <w:spacing w:after="0" w:line="253" w:lineRule="auto"/>
        <w:rPr>
          <w:sz w:val="20"/>
          <w:szCs w:val="20"/>
          <w:color w:val="auto"/>
        </w:rPr>
      </w:pPr>
      <w:r>
        <w:rPr>
          <w:rFonts w:ascii="Arial" w:cs="Arial" w:eastAsia="Arial" w:hAnsi="Arial"/>
          <w:sz w:val="20"/>
          <w:szCs w:val="20"/>
          <w:color w:val="auto"/>
        </w:rPr>
        <w:t>1.101 “</w:t>
      </w:r>
      <w:r>
        <w:rPr>
          <w:rFonts w:ascii="Arial" w:cs="Arial" w:eastAsia="Arial" w:hAnsi="Arial"/>
          <w:sz w:val="20"/>
          <w:szCs w:val="20"/>
          <w:b w:val="1"/>
          <w:bCs w:val="1"/>
          <w:color w:val="auto"/>
        </w:rPr>
        <w:t>MGD024 Product</w:t>
      </w:r>
      <w:r>
        <w:rPr>
          <w:rFonts w:ascii="Arial" w:cs="Arial" w:eastAsia="Arial" w:hAnsi="Arial"/>
          <w:sz w:val="20"/>
          <w:szCs w:val="20"/>
          <w:color w:val="auto"/>
        </w:rPr>
        <w:t>” means, subject to Section 4.13 (CD123 Development Program Termination), any product that contains or incorporates MGD024, alone or in combination with one (1) or more therapeutically active ingredients, including all forms, formulations, dosages, and delivery modes thereof (which, for clarity, shall include MGD024 Drug Product).</w:t>
      </w:r>
    </w:p>
    <w:p>
      <w:pPr>
        <w:spacing w:after="0" w:line="205" w:lineRule="exact"/>
        <w:rPr>
          <w:sz w:val="20"/>
          <w:szCs w:val="20"/>
          <w:color w:val="auto"/>
        </w:rPr>
      </w:pPr>
    </w:p>
    <w:p>
      <w:pPr>
        <w:ind w:left="1020" w:right="400" w:firstLine="648"/>
        <w:spacing w:after="0" w:line="232" w:lineRule="auto"/>
        <w:rPr>
          <w:sz w:val="20"/>
          <w:szCs w:val="20"/>
          <w:color w:val="auto"/>
        </w:rPr>
      </w:pPr>
      <w:r>
        <w:rPr>
          <w:rFonts w:ascii="Arial" w:cs="Arial" w:eastAsia="Arial" w:hAnsi="Arial"/>
          <w:sz w:val="20"/>
          <w:szCs w:val="20"/>
          <w:color w:val="auto"/>
        </w:rPr>
        <w:t>1.102 “</w:t>
      </w:r>
      <w:r>
        <w:rPr>
          <w:rFonts w:ascii="Arial" w:cs="Arial" w:eastAsia="Arial" w:hAnsi="Arial"/>
          <w:sz w:val="20"/>
          <w:szCs w:val="20"/>
          <w:b w:val="1"/>
          <w:bCs w:val="1"/>
          <w:color w:val="auto"/>
        </w:rPr>
        <w:t>Milestone Payments</w:t>
      </w:r>
      <w:r>
        <w:rPr>
          <w:rFonts w:ascii="Arial" w:cs="Arial" w:eastAsia="Arial" w:hAnsi="Arial"/>
          <w:sz w:val="20"/>
          <w:szCs w:val="20"/>
          <w:color w:val="auto"/>
        </w:rPr>
        <w:t>” means the CD123 Development Milestone Payments, the Research Product Development Milestone Payments and the Commercial Milestone Payments.</w:t>
      </w:r>
    </w:p>
    <w:p>
      <w:pPr>
        <w:spacing w:after="0" w:line="217" w:lineRule="exact"/>
        <w:rPr>
          <w:sz w:val="20"/>
          <w:szCs w:val="20"/>
          <w:color w:val="auto"/>
        </w:rPr>
      </w:pPr>
    </w:p>
    <w:p>
      <w:pPr>
        <w:ind w:left="1020" w:right="100" w:firstLine="648"/>
        <w:spacing w:after="0" w:line="253" w:lineRule="auto"/>
        <w:rPr>
          <w:sz w:val="20"/>
          <w:szCs w:val="20"/>
          <w:color w:val="auto"/>
        </w:rPr>
      </w:pPr>
      <w:r>
        <w:rPr>
          <w:rFonts w:ascii="Arial" w:cs="Arial" w:eastAsia="Arial" w:hAnsi="Arial"/>
          <w:sz w:val="20"/>
          <w:szCs w:val="20"/>
          <w:color w:val="auto"/>
        </w:rPr>
        <w:t>1.103 “</w:t>
      </w:r>
      <w:r>
        <w:rPr>
          <w:rFonts w:ascii="Arial" w:cs="Arial" w:eastAsia="Arial" w:hAnsi="Arial"/>
          <w:sz w:val="20"/>
          <w:szCs w:val="20"/>
          <w:b w:val="1"/>
          <w:bCs w:val="1"/>
          <w:color w:val="auto"/>
        </w:rPr>
        <w:t>Net Sales</w:t>
      </w:r>
      <w:r>
        <w:rPr>
          <w:rFonts w:ascii="Arial" w:cs="Arial" w:eastAsia="Arial" w:hAnsi="Arial"/>
          <w:sz w:val="20"/>
          <w:szCs w:val="20"/>
          <w:color w:val="auto"/>
        </w:rPr>
        <w:t>” means the gross amount invoiced by Gilead or its Related Parties for the sale of a Licensed Product to a Third Party (other than a Related Party) after deducting, if not previously deducted from the amount invoiced, the following:</w:t>
      </w:r>
    </w:p>
    <w:p>
      <w:pPr>
        <w:spacing w:after="0" w:line="197" w:lineRule="exact"/>
        <w:rPr>
          <w:sz w:val="20"/>
          <w:szCs w:val="20"/>
          <w:color w:val="auto"/>
        </w:rPr>
      </w:pPr>
    </w:p>
    <w:p>
      <w:pPr>
        <w:ind w:left="1020" w:right="60" w:firstLine="1301"/>
        <w:spacing w:after="0" w:line="236" w:lineRule="auto"/>
        <w:tabs>
          <w:tab w:leader="none" w:pos="2734" w:val="left"/>
        </w:tabs>
        <w:numPr>
          <w:ilvl w:val="0"/>
          <w:numId w:val="63"/>
        </w:numPr>
        <w:rPr>
          <w:rFonts w:ascii="Arial" w:cs="Arial" w:eastAsia="Arial" w:hAnsi="Arial"/>
          <w:sz w:val="20"/>
          <w:szCs w:val="20"/>
          <w:color w:val="auto"/>
        </w:rPr>
      </w:pPr>
      <w:r>
        <w:rPr>
          <w:rFonts w:ascii="Arial" w:cs="Arial" w:eastAsia="Arial" w:hAnsi="Arial"/>
          <w:sz w:val="20"/>
          <w:szCs w:val="20"/>
          <w:color w:val="auto"/>
        </w:rPr>
        <w:t>normal and customary trade, cash, and quantity discounts, allowances, and credits allowed or paid, in the form of deductions actually allowed with respect to sales of Licensed Product;</w:t>
      </w:r>
    </w:p>
    <w:p>
      <w:pPr>
        <w:spacing w:after="0" w:line="182" w:lineRule="exact"/>
        <w:rPr>
          <w:rFonts w:ascii="Arial" w:cs="Arial" w:eastAsia="Arial" w:hAnsi="Arial"/>
          <w:sz w:val="20"/>
          <w:szCs w:val="20"/>
          <w:color w:val="auto"/>
        </w:rPr>
      </w:pPr>
    </w:p>
    <w:p>
      <w:pPr>
        <w:ind w:left="1020" w:right="280" w:firstLine="1301"/>
        <w:spacing w:after="0" w:line="236" w:lineRule="auto"/>
        <w:tabs>
          <w:tab w:leader="none" w:pos="2745" w:val="left"/>
        </w:tabs>
        <w:numPr>
          <w:ilvl w:val="0"/>
          <w:numId w:val="63"/>
        </w:numPr>
        <w:rPr>
          <w:rFonts w:ascii="Arial" w:cs="Arial" w:eastAsia="Arial" w:hAnsi="Arial"/>
          <w:sz w:val="20"/>
          <w:szCs w:val="20"/>
          <w:color w:val="auto"/>
        </w:rPr>
      </w:pPr>
      <w:r>
        <w:rPr>
          <w:rFonts w:ascii="Arial" w:cs="Arial" w:eastAsia="Arial" w:hAnsi="Arial"/>
          <w:sz w:val="20"/>
          <w:szCs w:val="20"/>
          <w:color w:val="auto"/>
        </w:rPr>
        <w:t>retroactive price reductions, allowances, or credits actually granted upon rejections or returns of Licensed Product, including for recalls or damaged good and billing errors;</w:t>
      </w:r>
    </w:p>
    <w:p>
      <w:pPr>
        <w:spacing w:after="0" w:line="195" w:lineRule="exact"/>
        <w:rPr>
          <w:rFonts w:ascii="Arial" w:cs="Arial" w:eastAsia="Arial" w:hAnsi="Arial"/>
          <w:sz w:val="20"/>
          <w:szCs w:val="20"/>
          <w:color w:val="auto"/>
        </w:rPr>
      </w:pPr>
    </w:p>
    <w:p>
      <w:pPr>
        <w:ind w:left="1020" w:firstLine="1301"/>
        <w:spacing w:after="0" w:line="243" w:lineRule="auto"/>
        <w:tabs>
          <w:tab w:leader="none" w:pos="2734"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discounts, chargeback payments, rebates, and reimbursements granted to wholesalers or other distributors, pharmacies and other retailers, managed care organizations, group purchasing organizations, or other buying groups, pharmacy benefit management companies, health maintenance organizations, federal, state, provincial, local, or other governments, and any other providers for health insurance coverage, health care organizations, or other health care institutions (including hospitals), health care administrators, or patient assistance or other similar programs;</w:t>
      </w:r>
    </w:p>
    <w:p>
      <w:pPr>
        <w:spacing w:after="0" w:line="194" w:lineRule="exact"/>
        <w:rPr>
          <w:rFonts w:ascii="Arial" w:cs="Arial" w:eastAsia="Arial" w:hAnsi="Arial"/>
          <w:sz w:val="18"/>
          <w:szCs w:val="18"/>
          <w:color w:val="auto"/>
        </w:rPr>
      </w:pPr>
    </w:p>
    <w:p>
      <w:pPr>
        <w:ind w:left="1020" w:right="80" w:firstLine="1301"/>
        <w:spacing w:after="0" w:line="214" w:lineRule="auto"/>
        <w:tabs>
          <w:tab w:leader="none" w:pos="2745"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compulsory payments and cash rebates related to the sales of such Licensed Products paid to a governmental authority (or agent thereof) pursuant to governmental regulations by reason of any national or local health insurance program or similar program, including required chargebacks and retroactive price reductions, to the extent allowed and taken, including government levied fees as a result of healthcare reform policies, to the extent such fees are specially allocated to sales of such Licensed Product as a percentage of Gilead’s entire pharmaceutical or biological product sales;</w:t>
      </w:r>
    </w:p>
    <w:p>
      <w:pPr>
        <w:spacing w:after="0" w:line="214" w:lineRule="exact"/>
        <w:rPr>
          <w:rFonts w:ascii="Arial" w:cs="Arial" w:eastAsia="Arial" w:hAnsi="Arial"/>
          <w:sz w:val="20"/>
          <w:szCs w:val="20"/>
          <w:color w:val="auto"/>
        </w:rPr>
      </w:pPr>
    </w:p>
    <w:p>
      <w:pPr>
        <w:ind w:left="1020" w:right="600" w:firstLine="1301"/>
        <w:spacing w:after="0" w:line="242" w:lineRule="auto"/>
        <w:tabs>
          <w:tab w:leader="none" w:pos="2734"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costs and expenses (including labor) related to storage and distribution of Licensed Product, including (i) handling and transportation to fulfill orders, (ii) customer services, including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20"/>
          </w:cols>
          <w:pgMar w:left="400" w:top="1440" w:right="879" w:bottom="1440" w:gutter="0" w:footer="0" w:header="0"/>
        </w:sectPr>
      </w:pPr>
    </w:p>
    <w:bookmarkStart w:id="134" w:name="page135"/>
    <w:bookmarkEnd w:id="134"/>
    <w:p>
      <w:pPr>
        <w:spacing w:after="0" w:line="209" w:lineRule="exact"/>
        <w:rPr>
          <w:sz w:val="20"/>
          <w:szCs w:val="20"/>
          <w:color w:val="auto"/>
        </w:rPr>
      </w:pPr>
    </w:p>
    <w:p>
      <w:pPr>
        <w:jc w:val="both"/>
        <w:ind w:left="1020" w:right="20"/>
        <w:spacing w:after="0" w:line="257" w:lineRule="auto"/>
        <w:rPr>
          <w:sz w:val="20"/>
          <w:szCs w:val="20"/>
          <w:color w:val="auto"/>
        </w:rPr>
      </w:pPr>
      <w:r>
        <w:rPr>
          <w:rFonts w:ascii="Arial" w:cs="Arial" w:eastAsia="Arial" w:hAnsi="Arial"/>
          <w:sz w:val="20"/>
          <w:szCs w:val="20"/>
          <w:color w:val="auto"/>
        </w:rPr>
        <w:t>entry, billing and adjustments, inquiry and credit, and collection, (iii) cost of facilities and labor utilized for the storage or distribution of the Licensed Product, or (iv) amounts paid to Third Parties in respect of the storage or distribution of Licensed Product;</w:t>
      </w:r>
    </w:p>
    <w:p>
      <w:pPr>
        <w:spacing w:after="0" w:line="193" w:lineRule="exact"/>
        <w:rPr>
          <w:sz w:val="20"/>
          <w:szCs w:val="20"/>
          <w:color w:val="auto"/>
        </w:rPr>
      </w:pPr>
    </w:p>
    <w:p>
      <w:pPr>
        <w:ind w:left="1020" w:right="260" w:firstLine="1301"/>
        <w:spacing w:after="0" w:line="223" w:lineRule="auto"/>
        <w:tabs>
          <w:tab w:leader="none" w:pos="2712" w:val="left"/>
        </w:tabs>
        <w:numPr>
          <w:ilvl w:val="0"/>
          <w:numId w:val="64"/>
        </w:numPr>
        <w:rPr>
          <w:rFonts w:ascii="Arial" w:cs="Arial" w:eastAsia="Arial" w:hAnsi="Arial"/>
          <w:sz w:val="20"/>
          <w:szCs w:val="20"/>
          <w:color w:val="auto"/>
        </w:rPr>
      </w:pPr>
      <w:r>
        <w:rPr>
          <w:rFonts w:ascii="Arial" w:cs="Arial" w:eastAsia="Arial" w:hAnsi="Arial"/>
          <w:sz w:val="20"/>
          <w:szCs w:val="20"/>
          <w:color w:val="auto"/>
        </w:rPr>
        <w:t>tariffs, duties, levies, and other similar governmental charges (including goods and services Tax) actually paid in connection with the transportation, distribution, use, or sale of Licensed Product (other than income taxes, franchise taxes, or similar taxes);</w:t>
      </w:r>
    </w:p>
    <w:p>
      <w:pPr>
        <w:spacing w:after="0" w:line="222" w:lineRule="exact"/>
        <w:rPr>
          <w:rFonts w:ascii="Arial" w:cs="Arial" w:eastAsia="Arial" w:hAnsi="Arial"/>
          <w:sz w:val="20"/>
          <w:szCs w:val="20"/>
          <w:color w:val="auto"/>
        </w:rPr>
      </w:pPr>
    </w:p>
    <w:p>
      <w:pPr>
        <w:ind w:left="2740" w:hanging="419"/>
        <w:spacing w:after="0"/>
        <w:tabs>
          <w:tab w:leader="none" w:pos="27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other similar and customary deductions which are in accordance with applicable Accounting</w:t>
      </w:r>
    </w:p>
    <w:p>
      <w:pPr>
        <w:spacing w:after="0" w:line="27" w:lineRule="exact"/>
        <w:rPr>
          <w:rFonts w:ascii="Arial" w:cs="Arial" w:eastAsia="Arial" w:hAnsi="Arial"/>
          <w:sz w:val="19"/>
          <w:szCs w:val="19"/>
          <w:color w:val="auto"/>
        </w:rPr>
      </w:pPr>
    </w:p>
    <w:p>
      <w:pPr>
        <w:ind w:left="1020"/>
        <w:spacing w:after="0"/>
        <w:rPr>
          <w:rFonts w:ascii="Arial" w:cs="Arial" w:eastAsia="Arial" w:hAnsi="Arial"/>
          <w:sz w:val="19"/>
          <w:szCs w:val="19"/>
          <w:color w:val="auto"/>
        </w:rPr>
      </w:pPr>
      <w:r>
        <w:rPr>
          <w:rFonts w:ascii="Arial" w:cs="Arial" w:eastAsia="Arial" w:hAnsi="Arial"/>
          <w:sz w:val="20"/>
          <w:szCs w:val="20"/>
          <w:color w:val="auto"/>
        </w:rPr>
        <w:t>Standard; and</w:t>
      </w:r>
    </w:p>
    <w:p>
      <w:pPr>
        <w:spacing w:after="0" w:line="226" w:lineRule="exact"/>
        <w:rPr>
          <w:rFonts w:ascii="Arial" w:cs="Arial" w:eastAsia="Arial" w:hAnsi="Arial"/>
          <w:sz w:val="19"/>
          <w:szCs w:val="19"/>
          <w:color w:val="auto"/>
        </w:rPr>
      </w:pPr>
    </w:p>
    <w:p>
      <w:pPr>
        <w:ind w:left="1020" w:right="900" w:firstLine="1301"/>
        <w:spacing w:after="0" w:line="269" w:lineRule="auto"/>
        <w:tabs>
          <w:tab w:leader="none" w:pos="27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amounts invoiced for sales of Licensed Product that are written off as uncollectible after reasonable collection efforts;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recovery of such amounts will be included in Net Sales.</w:t>
      </w:r>
    </w:p>
    <w:p>
      <w:pPr>
        <w:spacing w:after="0" w:line="184" w:lineRule="exact"/>
        <w:rPr>
          <w:sz w:val="20"/>
          <w:szCs w:val="20"/>
          <w:color w:val="auto"/>
        </w:rPr>
      </w:pPr>
    </w:p>
    <w:p>
      <w:pPr>
        <w:jc w:val="both"/>
        <w:ind w:left="1020" w:firstLine="648"/>
        <w:spacing w:after="0" w:line="236" w:lineRule="auto"/>
        <w:rPr>
          <w:sz w:val="20"/>
          <w:szCs w:val="20"/>
          <w:color w:val="auto"/>
        </w:rPr>
      </w:pPr>
      <w:r>
        <w:rPr>
          <w:rFonts w:ascii="Arial" w:cs="Arial" w:eastAsia="Arial" w:hAnsi="Arial"/>
          <w:sz w:val="18"/>
          <w:szCs w:val="18"/>
          <w:color w:val="auto"/>
        </w:rPr>
        <w:t>Such amounts shall be determined from the books and records of Gilead or its Related Party, maintained in accordance with such Person’s applicable Accounting Standards. Gilead further agrees, in determining such amounts, it</w:t>
      </w:r>
    </w:p>
    <w:p>
      <w:pPr>
        <w:ind w:left="1020"/>
        <w:spacing w:after="0"/>
        <w:rPr>
          <w:sz w:val="20"/>
          <w:szCs w:val="20"/>
          <w:color w:val="auto"/>
        </w:rPr>
      </w:pPr>
      <w:r>
        <w:rPr>
          <w:rFonts w:ascii="Arial" w:cs="Arial" w:eastAsia="Arial" w:hAnsi="Arial"/>
          <w:sz w:val="16"/>
          <w:szCs w:val="16"/>
          <w:color w:val="auto"/>
        </w:rPr>
        <w:t>shall use Gilead’s then-current standard procedures and methodology, including Gilead’s then-current standard exchange</w:t>
      </w:r>
    </w:p>
    <w:p>
      <w:pPr>
        <w:spacing w:after="0" w:line="19" w:lineRule="exact"/>
        <w:rPr>
          <w:sz w:val="20"/>
          <w:szCs w:val="20"/>
          <w:color w:val="auto"/>
        </w:rPr>
      </w:pPr>
    </w:p>
    <w:p>
      <w:pPr>
        <w:jc w:val="both"/>
        <w:ind w:left="1020"/>
        <w:spacing w:after="0" w:line="226" w:lineRule="auto"/>
        <w:rPr>
          <w:sz w:val="20"/>
          <w:szCs w:val="20"/>
          <w:color w:val="auto"/>
        </w:rPr>
      </w:pPr>
      <w:r>
        <w:rPr>
          <w:rFonts w:ascii="Arial" w:cs="Arial" w:eastAsia="Arial" w:hAnsi="Arial"/>
          <w:sz w:val="18"/>
          <w:szCs w:val="18"/>
          <w:color w:val="auto"/>
        </w:rPr>
        <w:t>rate methodology for the translation of foreign currency sales into US Dollars or, in the case of Sublicensees, such similar methodology, consistently applied. Without limiting the generality of the foregoing, transfers or dispositions of</w:t>
      </w:r>
    </w:p>
    <w:p>
      <w:pPr>
        <w:ind w:left="1020"/>
        <w:spacing w:after="0" w:line="236" w:lineRule="auto"/>
        <w:rPr>
          <w:sz w:val="20"/>
          <w:szCs w:val="20"/>
          <w:color w:val="auto"/>
        </w:rPr>
      </w:pPr>
      <w:r>
        <w:rPr>
          <w:rFonts w:ascii="Arial" w:cs="Arial" w:eastAsia="Arial" w:hAnsi="Arial"/>
          <w:sz w:val="18"/>
          <w:szCs w:val="18"/>
          <w:color w:val="auto"/>
        </w:rPr>
        <w:t>Licensed Product for charitable, compassionate use, promotional (including samples, in amounts reasonably customary</w:t>
      </w:r>
    </w:p>
    <w:p>
      <w:pPr>
        <w:spacing w:after="0" w:line="1" w:lineRule="exact"/>
        <w:rPr>
          <w:sz w:val="20"/>
          <w:szCs w:val="20"/>
          <w:color w:val="auto"/>
        </w:rPr>
      </w:pPr>
    </w:p>
    <w:p>
      <w:pPr>
        <w:jc w:val="both"/>
        <w:ind w:left="1020"/>
        <w:spacing w:after="0" w:line="226" w:lineRule="auto"/>
        <w:rPr>
          <w:sz w:val="20"/>
          <w:szCs w:val="20"/>
          <w:color w:val="auto"/>
        </w:rPr>
      </w:pPr>
      <w:r>
        <w:rPr>
          <w:rFonts w:ascii="Arial" w:cs="Arial" w:eastAsia="Arial" w:hAnsi="Arial"/>
          <w:sz w:val="18"/>
          <w:szCs w:val="18"/>
          <w:color w:val="auto"/>
        </w:rPr>
        <w:t>in the industry), non-clinical, clinical, or regulatory purposes shall be excluded from Net Sales, as will sales or transfers of Licensed Product among a Party and its Related Parties, unless such Party or Related Party is the end user of such</w:t>
      </w:r>
    </w:p>
    <w:p>
      <w:pPr>
        <w:spacing w:after="0" w:line="2" w:lineRule="exact"/>
        <w:rPr>
          <w:sz w:val="20"/>
          <w:szCs w:val="20"/>
          <w:color w:val="auto"/>
        </w:rPr>
      </w:pPr>
    </w:p>
    <w:p>
      <w:pPr>
        <w:jc w:val="both"/>
        <w:ind w:left="1020"/>
        <w:spacing w:after="0" w:line="227" w:lineRule="auto"/>
        <w:rPr>
          <w:sz w:val="20"/>
          <w:szCs w:val="20"/>
          <w:color w:val="auto"/>
        </w:rPr>
      </w:pPr>
      <w:r>
        <w:rPr>
          <w:rFonts w:ascii="Arial" w:cs="Arial" w:eastAsia="Arial" w:hAnsi="Arial"/>
          <w:sz w:val="20"/>
          <w:szCs w:val="20"/>
          <w:color w:val="auto"/>
        </w:rPr>
        <w:t>Licensed Product, but rather the Net Sales shall be deemed to have arisen upon the subsequent sale or transfer of Licensed Product to Third Parties.</w:t>
      </w:r>
    </w:p>
    <w:p>
      <w:pPr>
        <w:spacing w:after="0" w:line="197" w:lineRule="exact"/>
        <w:rPr>
          <w:sz w:val="20"/>
          <w:szCs w:val="20"/>
          <w:color w:val="auto"/>
        </w:rPr>
      </w:pPr>
    </w:p>
    <w:p>
      <w:pPr>
        <w:jc w:val="both"/>
        <w:ind w:left="1020" w:firstLine="648"/>
        <w:spacing w:after="0" w:line="257" w:lineRule="auto"/>
        <w:rPr>
          <w:sz w:val="20"/>
          <w:szCs w:val="20"/>
          <w:color w:val="auto"/>
        </w:rPr>
      </w:pPr>
      <w:r>
        <w:rPr>
          <w:rFonts w:ascii="Arial" w:cs="Arial" w:eastAsia="Arial" w:hAnsi="Arial"/>
          <w:sz w:val="20"/>
          <w:szCs w:val="20"/>
          <w:color w:val="auto"/>
        </w:rPr>
        <w:t>Net Sales will exclude amounts invoiced for Licensed Products or Combination Products, as applicable, by any Compulsory Licensee pursuant to a Compulsory License or any Settlement Sublicensee pursuant to the applicable settlement agreement.</w:t>
      </w:r>
    </w:p>
    <w:p>
      <w:pPr>
        <w:spacing w:after="0" w:line="193" w:lineRule="exact"/>
        <w:rPr>
          <w:sz w:val="20"/>
          <w:szCs w:val="20"/>
          <w:color w:val="auto"/>
        </w:rPr>
      </w:pPr>
    </w:p>
    <w:p>
      <w:pPr>
        <w:jc w:val="both"/>
        <w:ind w:left="1020" w:firstLine="647"/>
        <w:spacing w:after="0" w:line="236" w:lineRule="auto"/>
        <w:rPr>
          <w:sz w:val="20"/>
          <w:szCs w:val="20"/>
          <w:color w:val="auto"/>
        </w:rPr>
      </w:pPr>
      <w:r>
        <w:rPr>
          <w:rFonts w:ascii="Arial" w:cs="Arial" w:eastAsia="Arial" w:hAnsi="Arial"/>
          <w:sz w:val="18"/>
          <w:szCs w:val="18"/>
          <w:color w:val="auto"/>
        </w:rPr>
        <w:t>If Gilead or any of its Related Parties sells a Licensed Product as a Licensed Component of a Combination Product in a country in the Territory in any Calendar Quarter, then Net Sales shall be calculated by multiplying the Net</w:t>
      </w:r>
    </w:p>
    <w:p>
      <w:pPr>
        <w:ind w:left="1020"/>
        <w:spacing w:after="0" w:line="235" w:lineRule="auto"/>
        <w:rPr>
          <w:sz w:val="20"/>
          <w:szCs w:val="20"/>
          <w:color w:val="auto"/>
        </w:rPr>
      </w:pPr>
      <w:r>
        <w:rPr>
          <w:rFonts w:ascii="Arial" w:cs="Arial" w:eastAsia="Arial" w:hAnsi="Arial"/>
          <w:sz w:val="18"/>
          <w:szCs w:val="18"/>
          <w:color w:val="auto"/>
        </w:rPr>
        <w:t>Sales of the Combination Product during such Calendar Quarter by the fraction A/(A+B), where A is the average Net</w:t>
      </w:r>
    </w:p>
    <w:p>
      <w:pPr>
        <w:jc w:val="both"/>
        <w:ind w:left="1020"/>
        <w:spacing w:after="0" w:line="226" w:lineRule="auto"/>
        <w:rPr>
          <w:sz w:val="20"/>
          <w:szCs w:val="20"/>
          <w:color w:val="auto"/>
        </w:rPr>
      </w:pPr>
      <w:r>
        <w:rPr>
          <w:rFonts w:ascii="Arial" w:cs="Arial" w:eastAsia="Arial" w:hAnsi="Arial"/>
          <w:sz w:val="18"/>
          <w:szCs w:val="18"/>
          <w:color w:val="auto"/>
        </w:rPr>
        <w:t>Sales per unit sold of the Licensed Component when sold separately in such country during such Calendar Quarter (calculated by determining the Net Sales of the Licensed Component during such Calendar Quarter in accordance with</w:t>
      </w:r>
    </w:p>
    <w:p>
      <w:pPr>
        <w:ind w:left="1020"/>
        <w:spacing w:after="0" w:line="224" w:lineRule="auto"/>
        <w:rPr>
          <w:sz w:val="20"/>
          <w:szCs w:val="20"/>
          <w:color w:val="auto"/>
        </w:rPr>
      </w:pPr>
      <w:r>
        <w:rPr>
          <w:rFonts w:ascii="Arial" w:cs="Arial" w:eastAsia="Arial" w:hAnsi="Arial"/>
          <w:sz w:val="19"/>
          <w:szCs w:val="19"/>
          <w:color w:val="auto"/>
        </w:rPr>
        <w:t>the definition of Net Sales set forth herein and dividing such Net Sales by the number of units of the Licensed</w:t>
      </w:r>
    </w:p>
    <w:p>
      <w:pPr>
        <w:jc w:val="both"/>
        <w:ind w:left="1020"/>
        <w:spacing w:after="0" w:line="226" w:lineRule="auto"/>
        <w:rPr>
          <w:sz w:val="20"/>
          <w:szCs w:val="20"/>
          <w:color w:val="auto"/>
        </w:rPr>
      </w:pPr>
      <w:r>
        <w:rPr>
          <w:rFonts w:ascii="Arial" w:cs="Arial" w:eastAsia="Arial" w:hAnsi="Arial"/>
          <w:sz w:val="18"/>
          <w:szCs w:val="18"/>
          <w:color w:val="auto"/>
        </w:rPr>
        <w:t>Component during such Calendar Quarter) and B is the average Net Sales per unit sold of the Other Component(s) included in the Combination Product when sold separately in such country during such Calendar Quarter (calculated by</w:t>
      </w:r>
    </w:p>
    <w:p>
      <w:pPr>
        <w:ind w:left="1020"/>
        <w:spacing w:after="0" w:line="236" w:lineRule="auto"/>
        <w:rPr>
          <w:sz w:val="20"/>
          <w:szCs w:val="20"/>
          <w:color w:val="auto"/>
        </w:rPr>
      </w:pPr>
      <w:r>
        <w:rPr>
          <w:rFonts w:ascii="Arial" w:cs="Arial" w:eastAsia="Arial" w:hAnsi="Arial"/>
          <w:sz w:val="18"/>
          <w:szCs w:val="18"/>
          <w:color w:val="auto"/>
        </w:rPr>
        <w:t>determining the Net Sales of such Other Component(s) sold during such Calendar Quarter by applying the definition of</w:t>
      </w:r>
    </w:p>
    <w:p>
      <w:pPr>
        <w:spacing w:after="0" w:line="1" w:lineRule="exact"/>
        <w:rPr>
          <w:sz w:val="20"/>
          <w:szCs w:val="20"/>
          <w:color w:val="auto"/>
        </w:rPr>
      </w:pPr>
    </w:p>
    <w:p>
      <w:pPr>
        <w:jc w:val="both"/>
        <w:ind w:left="1020"/>
        <w:spacing w:after="0" w:line="220" w:lineRule="auto"/>
        <w:rPr>
          <w:sz w:val="20"/>
          <w:szCs w:val="20"/>
          <w:color w:val="auto"/>
        </w:rPr>
      </w:pPr>
      <w:r>
        <w:rPr>
          <w:rFonts w:ascii="Arial" w:cs="Arial" w:eastAsia="Arial" w:hAnsi="Arial"/>
          <w:sz w:val="20"/>
          <w:szCs w:val="20"/>
          <w:color w:val="auto"/>
        </w:rPr>
        <w:t>Net Sales set forth herein as if it applied to sales of such Other Component(s) and dividing such Net Sales by the number of units of such Other Component(s) sold during such Calendar Quarter).</w:t>
      </w:r>
    </w:p>
    <w:p>
      <w:pPr>
        <w:spacing w:after="0" w:line="210" w:lineRule="exact"/>
        <w:rPr>
          <w:sz w:val="20"/>
          <w:szCs w:val="20"/>
          <w:color w:val="auto"/>
        </w:rPr>
      </w:pPr>
    </w:p>
    <w:p>
      <w:pPr>
        <w:jc w:val="both"/>
        <w:ind w:left="1020" w:firstLine="648"/>
        <w:spacing w:after="0" w:line="265" w:lineRule="auto"/>
        <w:rPr>
          <w:sz w:val="20"/>
          <w:szCs w:val="20"/>
          <w:color w:val="auto"/>
        </w:rPr>
      </w:pPr>
      <w:r>
        <w:rPr>
          <w:rFonts w:ascii="Arial" w:cs="Arial" w:eastAsia="Arial" w:hAnsi="Arial"/>
          <w:sz w:val="16"/>
          <w:szCs w:val="16"/>
          <w:color w:val="auto"/>
        </w:rPr>
        <w:t>For purposes of calculating the average Net Sales per unit sold of a Licensed Component and Other Component(s) of a Combination Product, any of the deductions described herein that apply to such Combination Product</w:t>
      </w:r>
    </w:p>
    <w:p>
      <w:pPr>
        <w:ind w:left="1020"/>
        <w:spacing w:after="0" w:line="223" w:lineRule="auto"/>
        <w:rPr>
          <w:sz w:val="20"/>
          <w:szCs w:val="20"/>
          <w:color w:val="auto"/>
        </w:rPr>
      </w:pPr>
      <w:r>
        <w:rPr>
          <w:rFonts w:ascii="Arial" w:cs="Arial" w:eastAsia="Arial" w:hAnsi="Arial"/>
          <w:sz w:val="19"/>
          <w:szCs w:val="19"/>
          <w:color w:val="auto"/>
        </w:rPr>
        <w:t>shall be allocated among sales of the Licensed Component and sales of the Other Component(s) included in such</w:t>
      </w:r>
    </w:p>
    <w:p>
      <w:pPr>
        <w:spacing w:after="0" w:line="1" w:lineRule="exact"/>
        <w:rPr>
          <w:sz w:val="20"/>
          <w:szCs w:val="20"/>
          <w:color w:val="auto"/>
        </w:rPr>
      </w:pPr>
    </w:p>
    <w:p>
      <w:pPr>
        <w:jc w:val="both"/>
        <w:ind w:left="1020"/>
        <w:spacing w:after="0" w:line="226" w:lineRule="auto"/>
        <w:rPr>
          <w:sz w:val="20"/>
          <w:szCs w:val="20"/>
          <w:color w:val="auto"/>
        </w:rPr>
      </w:pPr>
      <w:r>
        <w:rPr>
          <w:rFonts w:ascii="Arial" w:cs="Arial" w:eastAsia="Arial" w:hAnsi="Arial"/>
          <w:sz w:val="18"/>
          <w:szCs w:val="18"/>
          <w:color w:val="auto"/>
        </w:rPr>
        <w:t>Combination Product as follows: (i) deductions that are attributable solely to the Licensed Component or one of the Other Component(s) shall be allocated solely to Net Sales of the Licensed Component or such Other Component, as</w:t>
      </w:r>
    </w:p>
    <w:p>
      <w:pPr>
        <w:spacing w:after="0" w:line="2" w:lineRule="exact"/>
        <w:rPr>
          <w:sz w:val="20"/>
          <w:szCs w:val="20"/>
          <w:color w:val="auto"/>
        </w:rPr>
      </w:pPr>
    </w:p>
    <w:p>
      <w:pPr>
        <w:jc w:val="both"/>
        <w:ind w:left="1020"/>
        <w:spacing w:after="0" w:line="227" w:lineRule="auto"/>
        <w:rPr>
          <w:sz w:val="20"/>
          <w:szCs w:val="20"/>
          <w:color w:val="auto"/>
        </w:rPr>
      </w:pPr>
      <w:r>
        <w:rPr>
          <w:rFonts w:ascii="Arial" w:cs="Arial" w:eastAsia="Arial" w:hAnsi="Arial"/>
          <w:sz w:val="20"/>
          <w:szCs w:val="20"/>
          <w:color w:val="auto"/>
        </w:rPr>
        <w:t>applicable, and (ii) all other deductions shall be allocated among sales of the Licensed Component and sales of the Other Component(s) in proportion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20"/>
          </w:cols>
          <w:pgMar w:left="400" w:top="1440" w:right="879" w:bottom="1440" w:gutter="0" w:footer="0" w:header="0"/>
        </w:sectPr>
      </w:pPr>
    </w:p>
    <w:bookmarkStart w:id="135" w:name="page136"/>
    <w:bookmarkEnd w:id="135"/>
    <w:p>
      <w:pPr>
        <w:spacing w:after="0" w:line="195" w:lineRule="exact"/>
        <w:rPr>
          <w:sz w:val="20"/>
          <w:szCs w:val="20"/>
          <w:color w:val="auto"/>
        </w:rPr>
      </w:pPr>
    </w:p>
    <w:p>
      <w:pPr>
        <w:ind w:left="1020" w:right="100"/>
        <w:spacing w:after="0" w:line="236" w:lineRule="auto"/>
        <w:rPr>
          <w:sz w:val="20"/>
          <w:szCs w:val="20"/>
          <w:color w:val="auto"/>
        </w:rPr>
      </w:pPr>
      <w:r>
        <w:rPr>
          <w:rFonts w:ascii="Arial" w:cs="Arial" w:eastAsia="Arial" w:hAnsi="Arial"/>
          <w:sz w:val="20"/>
          <w:szCs w:val="20"/>
          <w:color w:val="auto"/>
        </w:rPr>
        <w:t>Gilead’s and MacroGenics’ mutual agreement based on a good faith assessment of the fair market value of the Licensed Component and the Other Component(s).</w:t>
      </w:r>
    </w:p>
    <w:p>
      <w:pPr>
        <w:spacing w:after="0" w:line="196" w:lineRule="exact"/>
        <w:rPr>
          <w:sz w:val="20"/>
          <w:szCs w:val="20"/>
          <w:color w:val="auto"/>
        </w:rPr>
      </w:pPr>
    </w:p>
    <w:p>
      <w:pPr>
        <w:ind w:left="1020" w:firstLine="648"/>
        <w:spacing w:after="0" w:line="236" w:lineRule="auto"/>
        <w:rPr>
          <w:sz w:val="20"/>
          <w:szCs w:val="20"/>
          <w:color w:val="auto"/>
        </w:rPr>
      </w:pPr>
      <w:r>
        <w:rPr>
          <w:rFonts w:ascii="Arial" w:cs="Arial" w:eastAsia="Arial" w:hAnsi="Arial"/>
          <w:sz w:val="18"/>
          <w:szCs w:val="18"/>
          <w:color w:val="auto"/>
        </w:rPr>
        <w:t>In the event that no separate sales of the Licensed Component or any Other Component(s) included in a Combination Product are made by Gilead or its Related Parties during a Calendar Quarter in which such Combination</w:t>
      </w:r>
    </w:p>
    <w:p>
      <w:pPr>
        <w:ind w:left="1020"/>
        <w:spacing w:after="0" w:line="235" w:lineRule="auto"/>
        <w:rPr>
          <w:sz w:val="20"/>
          <w:szCs w:val="20"/>
          <w:color w:val="auto"/>
        </w:rPr>
      </w:pPr>
      <w:r>
        <w:rPr>
          <w:rFonts w:ascii="Arial" w:cs="Arial" w:eastAsia="Arial" w:hAnsi="Arial"/>
          <w:sz w:val="18"/>
          <w:szCs w:val="18"/>
          <w:color w:val="auto"/>
        </w:rPr>
        <w:t>Product is sold, the average Net Sales per unit sold shall be determined by mutual agreement of the Parties in good faith</w:t>
      </w:r>
    </w:p>
    <w:p>
      <w:pPr>
        <w:ind w:left="1020"/>
        <w:spacing w:after="0" w:line="220" w:lineRule="auto"/>
        <w:rPr>
          <w:sz w:val="20"/>
          <w:szCs w:val="20"/>
          <w:color w:val="auto"/>
        </w:rPr>
      </w:pPr>
      <w:r>
        <w:rPr>
          <w:rFonts w:ascii="Arial" w:cs="Arial" w:eastAsia="Arial" w:hAnsi="Arial"/>
          <w:sz w:val="20"/>
          <w:szCs w:val="20"/>
          <w:color w:val="auto"/>
        </w:rPr>
        <w:t>based on the relative economic value contributions of the Licensed Component and each of the Other Component(s) included in such Combination Product.</w:t>
      </w:r>
    </w:p>
    <w:p>
      <w:pPr>
        <w:spacing w:after="0" w:line="218"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Effective Date</w:t>
      </w:r>
      <w:r>
        <w:rPr>
          <w:rFonts w:ascii="Arial" w:cs="Arial" w:eastAsia="Arial" w:hAnsi="Arial"/>
          <w:sz w:val="18"/>
          <w:szCs w:val="18"/>
          <w:color w:val="auto"/>
        </w:rPr>
        <w:t>” means [***].</w:t>
      </w:r>
    </w:p>
    <w:p>
      <w:pPr>
        <w:spacing w:after="0" w:line="310"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Period</w:t>
      </w:r>
      <w:r>
        <w:rPr>
          <w:rFonts w:ascii="Arial" w:cs="Arial" w:eastAsia="Arial" w:hAnsi="Arial"/>
          <w:sz w:val="18"/>
          <w:szCs w:val="18"/>
          <w:color w:val="auto"/>
        </w:rPr>
        <w:t>” means, individually or collectively, as the context requires, [***].</w:t>
      </w:r>
    </w:p>
    <w:p>
      <w:pPr>
        <w:spacing w:after="0" w:line="310"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Other MacroGenics Licensed Patents</w:t>
      </w:r>
      <w:r>
        <w:rPr>
          <w:rFonts w:ascii="Arial" w:cs="Arial" w:eastAsia="Arial" w:hAnsi="Arial"/>
          <w:sz w:val="18"/>
          <w:szCs w:val="18"/>
          <w:color w:val="auto"/>
        </w:rPr>
        <w:t>” means any MacroGenics Licensed Patents that [***].</w:t>
      </w:r>
    </w:p>
    <w:p>
      <w:pPr>
        <w:spacing w:after="0" w:line="243" w:lineRule="exact"/>
        <w:rPr>
          <w:sz w:val="20"/>
          <w:szCs w:val="20"/>
          <w:color w:val="auto"/>
        </w:rPr>
      </w:pPr>
    </w:p>
    <w:p>
      <w:pPr>
        <w:ind w:left="1020" w:right="20" w:firstLine="648"/>
        <w:spacing w:after="0" w:line="239" w:lineRule="auto"/>
        <w:rPr>
          <w:sz w:val="20"/>
          <w:szCs w:val="20"/>
          <w:color w:val="auto"/>
        </w:rPr>
      </w:pPr>
      <w:r>
        <w:rPr>
          <w:rFonts w:ascii="Arial" w:cs="Arial" w:eastAsia="Arial" w:hAnsi="Arial"/>
          <w:sz w:val="18"/>
          <w:szCs w:val="18"/>
          <w:color w:val="auto"/>
        </w:rPr>
        <w:t>1.107 “</w:t>
      </w:r>
      <w:r>
        <w:rPr>
          <w:rFonts w:ascii="Arial" w:cs="Arial" w:eastAsia="Arial" w:hAnsi="Arial"/>
          <w:sz w:val="18"/>
          <w:szCs w:val="18"/>
          <w:b w:val="1"/>
          <w:bCs w:val="1"/>
          <w:color w:val="auto"/>
        </w:rPr>
        <w:t>Out-of-Pocket Costs”</w:t>
      </w:r>
      <w:r>
        <w:rPr>
          <w:rFonts w:ascii="Arial" w:cs="Arial" w:eastAsia="Arial" w:hAnsi="Arial"/>
          <w:sz w:val="18"/>
          <w:szCs w:val="18"/>
          <w:color w:val="auto"/>
        </w:rPr>
        <w:t xml:space="preserve"> means, with respect to certain activities hereunder, direct expenses actually paid by a Party or its Affiliates to Third Parties and specifically identifiable and incurred to conduct such activities, but</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excluding any costs included in the FTE Rate.</w:t>
      </w:r>
    </w:p>
    <w:p>
      <w:pPr>
        <w:spacing w:after="0" w:line="194" w:lineRule="exact"/>
        <w:rPr>
          <w:sz w:val="20"/>
          <w:szCs w:val="20"/>
          <w:color w:val="auto"/>
        </w:rPr>
      </w:pPr>
    </w:p>
    <w:p>
      <w:pPr>
        <w:ind w:left="1020" w:right="240" w:firstLine="648"/>
        <w:spacing w:after="0" w:line="264" w:lineRule="auto"/>
        <w:rPr>
          <w:sz w:val="20"/>
          <w:szCs w:val="20"/>
          <w:color w:val="auto"/>
        </w:rPr>
      </w:pPr>
      <w:r>
        <w:rPr>
          <w:rFonts w:ascii="Arial" w:cs="Arial" w:eastAsia="Arial" w:hAnsi="Arial"/>
          <w:sz w:val="19"/>
          <w:szCs w:val="19"/>
          <w:color w:val="auto"/>
        </w:rPr>
        <w:t>1.108 “</w:t>
      </w:r>
      <w:r>
        <w:rPr>
          <w:rFonts w:ascii="Arial" w:cs="Arial" w:eastAsia="Arial" w:hAnsi="Arial"/>
          <w:sz w:val="19"/>
          <w:szCs w:val="19"/>
          <w:b w:val="1"/>
          <w:bCs w:val="1"/>
          <w:color w:val="auto"/>
        </w:rPr>
        <w:t>Packaging and Labeling</w:t>
      </w:r>
      <w:r>
        <w:rPr>
          <w:rFonts w:ascii="Arial" w:cs="Arial" w:eastAsia="Arial" w:hAnsi="Arial"/>
          <w:sz w:val="19"/>
          <w:szCs w:val="19"/>
          <w:color w:val="auto"/>
        </w:rPr>
        <w:t>” means primary, secondary or tertiary packaging and labeling of a product (in its commercial or clinical packaging presentation) for sale or use and all testing and release thereof.</w:t>
      </w:r>
    </w:p>
    <w:p>
      <w:pPr>
        <w:spacing w:after="0" w:line="142" w:lineRule="exact"/>
        <w:rPr>
          <w:sz w:val="20"/>
          <w:szCs w:val="20"/>
          <w:color w:val="auto"/>
        </w:rPr>
      </w:pPr>
    </w:p>
    <w:p>
      <w:pPr>
        <w:jc w:val="center"/>
        <w:ind w:left="520"/>
        <w:spacing w:after="0"/>
        <w:tabs>
          <w:tab w:leader="none" w:pos="18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Prosecution</w:t>
      </w:r>
      <w:r>
        <w:rPr>
          <w:rFonts w:ascii="Arial" w:cs="Arial" w:eastAsia="Arial" w:hAnsi="Arial"/>
          <w:sz w:val="18"/>
          <w:szCs w:val="18"/>
          <w:color w:val="auto"/>
        </w:rPr>
        <w:t>” means with respect to a Patent, the responsibility for (a) preparing, filing,</w:t>
      </w:r>
    </w:p>
    <w:p>
      <w:pPr>
        <w:spacing w:after="0" w:line="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prosecuting, and pursuing registration of, applications (of all types) for such Patent, (b) maintaining such Patent, and (c)</w:t>
      </w:r>
    </w:p>
    <w:p>
      <w:pPr>
        <w:ind w:left="1020" w:right="380"/>
        <w:spacing w:after="0" w:line="226" w:lineRule="auto"/>
        <w:rPr>
          <w:sz w:val="20"/>
          <w:szCs w:val="20"/>
          <w:color w:val="auto"/>
        </w:rPr>
      </w:pPr>
      <w:r>
        <w:rPr>
          <w:rFonts w:ascii="Arial" w:cs="Arial" w:eastAsia="Arial" w:hAnsi="Arial"/>
          <w:sz w:val="18"/>
          <w:szCs w:val="18"/>
          <w:color w:val="auto"/>
        </w:rPr>
        <w:t>managing any initiation or defense of interference or opposition proceeding relating to the foregoing, including inter partes review, derivations, re-examinations, post-grant proceedings and other similar proceedings (or other defense</w:t>
      </w:r>
    </w:p>
    <w:p>
      <w:pPr>
        <w:spacing w:after="0" w:line="2" w:lineRule="exact"/>
        <w:rPr>
          <w:sz w:val="20"/>
          <w:szCs w:val="20"/>
          <w:color w:val="auto"/>
        </w:rPr>
      </w:pPr>
    </w:p>
    <w:p>
      <w:pPr>
        <w:ind w:left="1020" w:right="220"/>
        <w:spacing w:after="0" w:line="227" w:lineRule="auto"/>
        <w:rPr>
          <w:sz w:val="20"/>
          <w:szCs w:val="20"/>
          <w:color w:val="auto"/>
        </w:rPr>
      </w:pPr>
      <w:r>
        <w:rPr>
          <w:rFonts w:ascii="Arial" w:cs="Arial" w:eastAsia="Arial" w:hAnsi="Arial"/>
          <w:sz w:val="20"/>
          <w:szCs w:val="20"/>
          <w:color w:val="auto"/>
        </w:rPr>
        <w:t>proceedings with respect to such Patent, but excluding the defense of challenges to such Patent as a counterclaim in an infringement proceeding).</w:t>
      </w:r>
    </w:p>
    <w:p>
      <w:pPr>
        <w:spacing w:after="0" w:line="179" w:lineRule="exact"/>
        <w:rPr>
          <w:sz w:val="20"/>
          <w:szCs w:val="20"/>
          <w:color w:val="auto"/>
        </w:rPr>
      </w:pPr>
    </w:p>
    <w:p>
      <w:pPr>
        <w:ind w:left="1680"/>
        <w:spacing w:after="0"/>
        <w:tabs>
          <w:tab w:leader="none" w:pos="228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means (a) all patents and patent applications in any country, region or supranational</w:t>
      </w:r>
    </w:p>
    <w:p>
      <w:pPr>
        <w:spacing w:after="0" w:line="6" w:lineRule="exact"/>
        <w:rPr>
          <w:sz w:val="20"/>
          <w:szCs w:val="20"/>
          <w:color w:val="auto"/>
        </w:rPr>
      </w:pPr>
    </w:p>
    <w:p>
      <w:pPr>
        <w:ind w:left="1020" w:right="160"/>
        <w:spacing w:after="0" w:line="255" w:lineRule="auto"/>
        <w:rPr>
          <w:sz w:val="20"/>
          <w:szCs w:val="20"/>
          <w:color w:val="auto"/>
        </w:rPr>
      </w:pPr>
      <w:r>
        <w:rPr>
          <w:rFonts w:ascii="Arial" w:cs="Arial" w:eastAsia="Arial" w:hAnsi="Arial"/>
          <w:sz w:val="16"/>
          <w:szCs w:val="16"/>
          <w:color w:val="auto"/>
        </w:rPr>
        <w:t>jurisdiction and (b) any provisionals, substitutions, divisions, continuations, continuations in part, reissues, renewals, registrations, confirmations, reexaminations, extensions, supplementary protection certificates and the like, of any such</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patents or patent applications.</w:t>
      </w:r>
    </w:p>
    <w:p>
      <w:pPr>
        <w:spacing w:after="0" w:line="194" w:lineRule="exact"/>
        <w:rPr>
          <w:sz w:val="20"/>
          <w:szCs w:val="20"/>
          <w:color w:val="auto"/>
        </w:rPr>
      </w:pPr>
    </w:p>
    <w:p>
      <w:pPr>
        <w:ind w:left="1020" w:right="20" w:firstLine="648"/>
        <w:spacing w:after="0" w:line="239" w:lineRule="auto"/>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unincorporated association,</w:t>
      </w:r>
    </w:p>
    <w:p>
      <w:pPr>
        <w:spacing w:after="0" w:line="1" w:lineRule="exact"/>
        <w:rPr>
          <w:sz w:val="20"/>
          <w:szCs w:val="20"/>
          <w:color w:val="auto"/>
        </w:rPr>
      </w:pPr>
    </w:p>
    <w:p>
      <w:pPr>
        <w:ind w:left="1020" w:right="520"/>
        <w:spacing w:after="0" w:line="227" w:lineRule="auto"/>
        <w:rPr>
          <w:sz w:val="20"/>
          <w:szCs w:val="20"/>
          <w:color w:val="auto"/>
        </w:rPr>
      </w:pPr>
      <w:r>
        <w:rPr>
          <w:rFonts w:ascii="Arial" w:cs="Arial" w:eastAsia="Arial" w:hAnsi="Arial"/>
          <w:sz w:val="20"/>
          <w:szCs w:val="20"/>
          <w:color w:val="auto"/>
        </w:rPr>
        <w:t>joint venture or other similar entity or organization, including a government or political subdivision, department or agency of a government.</w:t>
      </w:r>
    </w:p>
    <w:p>
      <w:pPr>
        <w:spacing w:after="0" w:line="191" w:lineRule="exact"/>
        <w:rPr>
          <w:sz w:val="20"/>
          <w:szCs w:val="20"/>
          <w:color w:val="auto"/>
        </w:rPr>
      </w:pPr>
    </w:p>
    <w:p>
      <w:pPr>
        <w:ind w:left="1020" w:right="20" w:firstLine="647"/>
        <w:spacing w:after="0" w:line="239" w:lineRule="auto"/>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color w:val="auto"/>
        </w:rPr>
        <w:t>Phase 1 Clinical Trial</w:t>
      </w:r>
      <w:r>
        <w:rPr>
          <w:rFonts w:ascii="Arial" w:cs="Arial" w:eastAsia="Arial" w:hAnsi="Arial"/>
          <w:sz w:val="18"/>
          <w:szCs w:val="18"/>
          <w:color w:val="auto"/>
        </w:rPr>
        <w:t>” means a human clinical trial, or the relevant portion of such trial, of a Licensed Product conducted in patients in any country in the Territory in accordance with GCP that generally provides for the first</w:t>
      </w:r>
    </w:p>
    <w:p>
      <w:pPr>
        <w:ind w:left="1020"/>
        <w:spacing w:after="0" w:line="236" w:lineRule="auto"/>
        <w:rPr>
          <w:sz w:val="20"/>
          <w:szCs w:val="20"/>
          <w:color w:val="auto"/>
        </w:rPr>
      </w:pPr>
      <w:r>
        <w:rPr>
          <w:rFonts w:ascii="Arial" w:cs="Arial" w:eastAsia="Arial" w:hAnsi="Arial"/>
          <w:sz w:val="18"/>
          <w:szCs w:val="18"/>
          <w:color w:val="auto"/>
        </w:rPr>
        <w:t>introduction into humans of a Licensed Product and intended to determine safety, metabolism and pharmacokinetic</w:t>
      </w:r>
    </w:p>
    <w:p>
      <w:pPr>
        <w:ind w:left="1020" w:right="40"/>
        <w:spacing w:after="0" w:line="226" w:lineRule="auto"/>
        <w:rPr>
          <w:sz w:val="20"/>
          <w:szCs w:val="20"/>
          <w:color w:val="auto"/>
        </w:rPr>
      </w:pPr>
      <w:r>
        <w:rPr>
          <w:rFonts w:ascii="Arial" w:cs="Arial" w:eastAsia="Arial" w:hAnsi="Arial"/>
          <w:sz w:val="18"/>
          <w:szCs w:val="18"/>
          <w:color w:val="auto"/>
        </w:rPr>
        <w:t>properties and clinical pharmacology of such Licensed Product in healthy patients, or that would otherwise satisfy the requirements of Applicable Laws and Regulations for such country in which such human clinical trial is conducted, such</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as 21 C.F.R. § 312.21(a),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20"/>
          </w:cols>
          <w:pgMar w:left="400" w:top="1440" w:right="879" w:bottom="1440" w:gutter="0" w:footer="0" w:header="0"/>
        </w:sectPr>
      </w:pPr>
    </w:p>
    <w:bookmarkStart w:id="136" w:name="page137"/>
    <w:bookmarkEnd w:id="136"/>
    <w:p>
      <w:pPr>
        <w:spacing w:after="0" w:line="195"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human clinical trials conducted in the United States, or any successor regulation thereto or foreign equivalents.</w:t>
      </w:r>
    </w:p>
    <w:p>
      <w:pPr>
        <w:spacing w:after="0" w:line="241" w:lineRule="exact"/>
        <w:rPr>
          <w:sz w:val="20"/>
          <w:szCs w:val="20"/>
          <w:color w:val="auto"/>
        </w:rPr>
      </w:pPr>
    </w:p>
    <w:p>
      <w:pPr>
        <w:ind w:left="1680"/>
        <w:spacing w:after="0"/>
        <w:tabs>
          <w:tab w:leader="none" w:pos="2280" w:val="left"/>
        </w:tabs>
        <w:rPr>
          <w:sz w:val="20"/>
          <w:szCs w:val="20"/>
          <w:color w:val="auto"/>
        </w:rPr>
      </w:pPr>
      <w:r>
        <w:rPr>
          <w:rFonts w:ascii="Arial" w:cs="Arial" w:eastAsia="Arial" w:hAnsi="Arial"/>
          <w:sz w:val="20"/>
          <w:szCs w:val="20"/>
          <w:color w:val="auto"/>
        </w:rPr>
        <w:t>1.113</w:t>
        <w:tab/>
        <w:t>[***].</w:t>
      </w:r>
    </w:p>
    <w:p>
      <w:pPr>
        <w:spacing w:after="0" w:line="304" w:lineRule="exact"/>
        <w:rPr>
          <w:sz w:val="20"/>
          <w:szCs w:val="20"/>
          <w:color w:val="auto"/>
        </w:rPr>
      </w:pPr>
    </w:p>
    <w:p>
      <w:pPr>
        <w:ind w:left="1020" w:right="40" w:firstLine="648"/>
        <w:spacing w:after="0" w:line="230" w:lineRule="auto"/>
        <w:rPr>
          <w:sz w:val="20"/>
          <w:szCs w:val="20"/>
          <w:color w:val="auto"/>
        </w:rPr>
      </w:pPr>
      <w:r>
        <w:rPr>
          <w:rFonts w:ascii="Arial" w:cs="Arial" w:eastAsia="Arial" w:hAnsi="Arial"/>
          <w:sz w:val="20"/>
          <w:szCs w:val="20"/>
          <w:color w:val="auto"/>
        </w:rPr>
        <w:t>1.114 “</w:t>
      </w:r>
      <w:r>
        <w:rPr>
          <w:rFonts w:ascii="Arial" w:cs="Arial" w:eastAsia="Arial" w:hAnsi="Arial"/>
          <w:sz w:val="20"/>
          <w:szCs w:val="20"/>
          <w:b w:val="1"/>
          <w:bCs w:val="1"/>
          <w:color w:val="auto"/>
        </w:rPr>
        <w:t>[***]</w:t>
      </w:r>
      <w:r>
        <w:rPr>
          <w:rFonts w:ascii="Arial" w:cs="Arial" w:eastAsia="Arial" w:hAnsi="Arial"/>
          <w:sz w:val="20"/>
          <w:szCs w:val="20"/>
          <w:color w:val="auto"/>
        </w:rPr>
        <w:t>” means a written report containing all available clinical data obtained from the performance of the Phase 1 Clinical Trial of MGD024 Product in accordance with the CD123 Development Plan [***]. Without limiting the foregoing, the [***] will include all of the information set forth on [***].</w:t>
      </w:r>
    </w:p>
    <w:p>
      <w:pPr>
        <w:spacing w:after="0" w:line="270" w:lineRule="exact"/>
        <w:rPr>
          <w:sz w:val="20"/>
          <w:szCs w:val="20"/>
          <w:color w:val="auto"/>
        </w:rPr>
      </w:pPr>
    </w:p>
    <w:p>
      <w:pPr>
        <w:ind w:left="1020" w:right="160" w:firstLine="648"/>
        <w:spacing w:after="0" w:line="267" w:lineRule="auto"/>
        <w:rPr>
          <w:sz w:val="20"/>
          <w:szCs w:val="20"/>
          <w:color w:val="auto"/>
        </w:rPr>
      </w:pPr>
      <w:r>
        <w:rPr>
          <w:rFonts w:ascii="Arial" w:cs="Arial" w:eastAsia="Arial" w:hAnsi="Arial"/>
          <w:sz w:val="20"/>
          <w:szCs w:val="20"/>
          <w:color w:val="auto"/>
        </w:rPr>
        <w:t>1.115 “</w:t>
      </w:r>
      <w:r>
        <w:rPr>
          <w:rFonts w:ascii="Arial" w:cs="Arial" w:eastAsia="Arial" w:hAnsi="Arial"/>
          <w:sz w:val="20"/>
          <w:szCs w:val="20"/>
          <w:b w:val="1"/>
          <w:bCs w:val="1"/>
          <w:color w:val="auto"/>
        </w:rPr>
        <w:t>[***]</w:t>
      </w:r>
      <w:r>
        <w:rPr>
          <w:rFonts w:ascii="Arial" w:cs="Arial" w:eastAsia="Arial" w:hAnsi="Arial"/>
          <w:sz w:val="20"/>
          <w:szCs w:val="20"/>
          <w:color w:val="auto"/>
        </w:rPr>
        <w:t>” means the period commencing upon the Effective Date and ending upon [***] after the date of delivery of a complete [***] in accordance with Section 4.9(c) (CD123 Data Package).</w:t>
      </w:r>
    </w:p>
    <w:p>
      <w:pPr>
        <w:spacing w:after="0" w:line="196" w:lineRule="exact"/>
        <w:rPr>
          <w:sz w:val="20"/>
          <w:szCs w:val="20"/>
          <w:color w:val="auto"/>
        </w:rPr>
      </w:pPr>
    </w:p>
    <w:p>
      <w:pPr>
        <w:ind w:left="1680"/>
        <w:spacing w:after="0"/>
        <w:tabs>
          <w:tab w:leader="none" w:pos="2280" w:val="left"/>
        </w:tabs>
        <w:rPr>
          <w:sz w:val="20"/>
          <w:szCs w:val="20"/>
          <w:color w:val="auto"/>
        </w:rPr>
      </w:pPr>
      <w:r>
        <w:rPr>
          <w:rFonts w:ascii="Arial" w:cs="Arial" w:eastAsia="Arial" w:hAnsi="Arial"/>
          <w:sz w:val="20"/>
          <w:szCs w:val="20"/>
          <w:color w:val="auto"/>
        </w:rPr>
        <w:t>1.116</w:t>
        <w:tab/>
        <w:t>[***].</w:t>
      </w:r>
    </w:p>
    <w:p>
      <w:pPr>
        <w:spacing w:after="0" w:line="283" w:lineRule="exact"/>
        <w:rPr>
          <w:sz w:val="20"/>
          <w:szCs w:val="20"/>
          <w:color w:val="auto"/>
        </w:rPr>
      </w:pPr>
    </w:p>
    <w:p>
      <w:pPr>
        <w:ind w:left="1680"/>
        <w:spacing w:after="0"/>
        <w:tabs>
          <w:tab w:leader="none" w:pos="2280" w:val="left"/>
        </w:tabs>
        <w:rPr>
          <w:sz w:val="20"/>
          <w:szCs w:val="20"/>
          <w:color w:val="auto"/>
        </w:rPr>
      </w:pPr>
      <w:r>
        <w:rPr>
          <w:rFonts w:ascii="Arial" w:cs="Arial" w:eastAsia="Arial" w:hAnsi="Arial"/>
          <w:sz w:val="20"/>
          <w:szCs w:val="20"/>
          <w:color w:val="auto"/>
        </w:rPr>
        <w:t>1.117</w:t>
        <w:tab/>
        <w:t>[***].</w:t>
      </w:r>
    </w:p>
    <w:p>
      <w:pPr>
        <w:spacing w:after="0" w:line="279" w:lineRule="exact"/>
        <w:rPr>
          <w:sz w:val="20"/>
          <w:szCs w:val="20"/>
          <w:color w:val="auto"/>
        </w:rPr>
      </w:pPr>
    </w:p>
    <w:p>
      <w:pPr>
        <w:ind w:left="1680"/>
        <w:spacing w:after="0"/>
        <w:tabs>
          <w:tab w:leader="none" w:pos="228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a written report containing all available clinical data obtained from the performance of</w:t>
      </w:r>
    </w:p>
    <w:p>
      <w:pPr>
        <w:spacing w:after="0" w:line="6" w:lineRule="exact"/>
        <w:rPr>
          <w:sz w:val="20"/>
          <w:szCs w:val="20"/>
          <w:color w:val="auto"/>
        </w:rPr>
      </w:pPr>
    </w:p>
    <w:p>
      <w:pPr>
        <w:ind w:left="1020" w:right="40"/>
        <w:spacing w:after="0" w:line="220" w:lineRule="auto"/>
        <w:rPr>
          <w:sz w:val="20"/>
          <w:szCs w:val="20"/>
          <w:color w:val="auto"/>
        </w:rPr>
      </w:pPr>
      <w:r>
        <w:rPr>
          <w:rFonts w:ascii="Arial" w:cs="Arial" w:eastAsia="Arial" w:hAnsi="Arial"/>
          <w:sz w:val="20"/>
          <w:szCs w:val="20"/>
          <w:color w:val="auto"/>
        </w:rPr>
        <w:t>the Phase 1 Clinical Trial of MGD024 Product in accordance with the CD123 Development Plan [***]. Without limiting the foregoing, the [***] will include all of the information set forth on [***].</w:t>
      </w:r>
    </w:p>
    <w:p>
      <w:pPr>
        <w:spacing w:after="0" w:line="285" w:lineRule="exact"/>
        <w:rPr>
          <w:sz w:val="20"/>
          <w:szCs w:val="20"/>
          <w:color w:val="auto"/>
        </w:rPr>
      </w:pPr>
    </w:p>
    <w:p>
      <w:pPr>
        <w:ind w:left="1680"/>
        <w:spacing w:after="0"/>
        <w:tabs>
          <w:tab w:leader="none" w:pos="228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the period commencing upon the expiration of the [***] in accordance with Section</w:t>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4.9(c) (CD123 Data Package).</w:t>
      </w:r>
    </w:p>
    <w:p>
      <w:pPr>
        <w:spacing w:after="0" w:line="302" w:lineRule="exact"/>
        <w:rPr>
          <w:sz w:val="20"/>
          <w:szCs w:val="20"/>
          <w:color w:val="auto"/>
        </w:rPr>
      </w:pPr>
    </w:p>
    <w:p>
      <w:pPr>
        <w:ind w:left="1020" w:right="20" w:firstLine="647"/>
        <w:spacing w:after="0" w:line="239" w:lineRule="auto"/>
        <w:rPr>
          <w:sz w:val="20"/>
          <w:szCs w:val="20"/>
          <w:color w:val="auto"/>
        </w:rPr>
      </w:pPr>
      <w:r>
        <w:rPr>
          <w:rFonts w:ascii="Arial" w:cs="Arial" w:eastAsia="Arial" w:hAnsi="Arial"/>
          <w:sz w:val="18"/>
          <w:szCs w:val="18"/>
          <w:color w:val="auto"/>
        </w:rPr>
        <w:t>1.120 “</w:t>
      </w:r>
      <w:r>
        <w:rPr>
          <w:rFonts w:ascii="Arial" w:cs="Arial" w:eastAsia="Arial" w:hAnsi="Arial"/>
          <w:sz w:val="18"/>
          <w:szCs w:val="18"/>
          <w:b w:val="1"/>
          <w:bCs w:val="1"/>
          <w:color w:val="auto"/>
        </w:rPr>
        <w:t>Phase 2 Clinical Trial</w:t>
      </w:r>
      <w:r>
        <w:rPr>
          <w:rFonts w:ascii="Arial" w:cs="Arial" w:eastAsia="Arial" w:hAnsi="Arial"/>
          <w:sz w:val="18"/>
          <w:szCs w:val="18"/>
          <w:color w:val="auto"/>
        </w:rPr>
        <w:t>” means a human clinical trial, or the relevant portion of such trial, of a Licensed Product, conducted in patients in any country in the Territory in accordance with GCP and intended to demonstrate</w:t>
      </w:r>
    </w:p>
    <w:p>
      <w:pPr>
        <w:ind w:left="1020"/>
        <w:spacing w:after="0" w:line="236" w:lineRule="auto"/>
        <w:rPr>
          <w:sz w:val="20"/>
          <w:szCs w:val="20"/>
          <w:color w:val="auto"/>
        </w:rPr>
      </w:pPr>
      <w:r>
        <w:rPr>
          <w:rFonts w:ascii="Arial" w:cs="Arial" w:eastAsia="Arial" w:hAnsi="Arial"/>
          <w:sz w:val="18"/>
          <w:szCs w:val="18"/>
          <w:color w:val="auto"/>
        </w:rPr>
        <w:t>efficacy and a level of safety in the particular Indication tested, as well as to obtain a preliminary Indication of the unit or</w:t>
      </w:r>
    </w:p>
    <w:p>
      <w:pPr>
        <w:ind w:left="1020" w:right="120"/>
        <w:spacing w:after="0" w:line="226" w:lineRule="auto"/>
        <w:rPr>
          <w:sz w:val="20"/>
          <w:szCs w:val="20"/>
          <w:color w:val="auto"/>
        </w:rPr>
      </w:pPr>
      <w:r>
        <w:rPr>
          <w:rFonts w:ascii="Arial" w:cs="Arial" w:eastAsia="Arial" w:hAnsi="Arial"/>
          <w:sz w:val="18"/>
          <w:szCs w:val="18"/>
          <w:color w:val="auto"/>
        </w:rPr>
        <w:t>daily dosage regimen required, or that would otherwise satisfy the requirements of Applicable Laws and Regulations of the country in which such human clinical trial is conducted, such as 21 C.F.R. § 312.21(b), relating to human clinical</w:t>
      </w:r>
    </w:p>
    <w:p>
      <w:pPr>
        <w:spacing w:after="0" w:line="2" w:lineRule="exact"/>
        <w:rPr>
          <w:sz w:val="20"/>
          <w:szCs w:val="20"/>
          <w:color w:val="auto"/>
        </w:rPr>
      </w:pPr>
    </w:p>
    <w:p>
      <w:pPr>
        <w:ind w:left="1020" w:right="160"/>
        <w:spacing w:after="0" w:line="226" w:lineRule="auto"/>
        <w:rPr>
          <w:sz w:val="20"/>
          <w:szCs w:val="20"/>
          <w:color w:val="auto"/>
        </w:rPr>
      </w:pPr>
      <w:r>
        <w:rPr>
          <w:rFonts w:ascii="Arial" w:cs="Arial" w:eastAsia="Arial" w:hAnsi="Arial"/>
          <w:sz w:val="18"/>
          <w:szCs w:val="18"/>
          <w:color w:val="auto"/>
        </w:rPr>
        <w:t>trials conducted in the United States, or any successor regulation thereto or foreign equivalents. For clarity, a Phase 1 Clinical Trial with an expansion cohort of patients that meets the descriptions or otherwise satisfies the requirements in</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the foregoing shall be deemed a Phase 2 Clinical Trial.</w:t>
      </w:r>
    </w:p>
    <w:p>
      <w:pPr>
        <w:spacing w:after="0" w:line="207" w:lineRule="exact"/>
        <w:rPr>
          <w:sz w:val="20"/>
          <w:szCs w:val="20"/>
          <w:color w:val="auto"/>
        </w:rPr>
      </w:pPr>
    </w:p>
    <w:p>
      <w:pPr>
        <w:ind w:left="1020" w:right="20" w:firstLine="648"/>
        <w:spacing w:after="0" w:line="239" w:lineRule="auto"/>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color w:val="auto"/>
        </w:rPr>
        <w:t>Phase 3 Clinical Trial</w:t>
      </w:r>
      <w:r>
        <w:rPr>
          <w:rFonts w:ascii="Arial" w:cs="Arial" w:eastAsia="Arial" w:hAnsi="Arial"/>
          <w:sz w:val="18"/>
          <w:szCs w:val="18"/>
          <w:color w:val="auto"/>
        </w:rPr>
        <w:t>” means a human clinical trial, or the relevant portion of such trial, of a Licensed Product, conducted in patients in any country in the Territory in accordance with GCPs and the results of which are</w:t>
      </w:r>
    </w:p>
    <w:p>
      <w:pPr>
        <w:spacing w:after="0" w:line="1" w:lineRule="exact"/>
        <w:rPr>
          <w:sz w:val="20"/>
          <w:szCs w:val="20"/>
          <w:color w:val="auto"/>
        </w:rPr>
      </w:pPr>
    </w:p>
    <w:p>
      <w:pPr>
        <w:ind w:left="1020" w:right="40"/>
        <w:spacing w:after="0" w:line="226" w:lineRule="auto"/>
        <w:rPr>
          <w:sz w:val="20"/>
          <w:szCs w:val="20"/>
          <w:color w:val="auto"/>
        </w:rPr>
      </w:pPr>
      <w:r>
        <w:rPr>
          <w:rFonts w:ascii="Arial" w:cs="Arial" w:eastAsia="Arial" w:hAnsi="Arial"/>
          <w:sz w:val="18"/>
          <w:szCs w:val="18"/>
          <w:color w:val="auto"/>
        </w:rPr>
        <w:t>intended to be used as a pivotal study to establish both safety and efficacy of such Licensed Product as a basis for a BLA submitted to the FDA or the appropriate Regulatory Authority of such country, or that would otherwise satisfy the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requirements of 21 C.F.R. § 312.21(c), or any successor regulation thereto or foreign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620"/>
          </w:cols>
          <w:pgMar w:left="400" w:top="1440" w:right="879" w:bottom="1440" w:gutter="0" w:footer="0" w:header="0"/>
        </w:sectPr>
      </w:pPr>
    </w:p>
    <w:bookmarkStart w:id="137" w:name="page138"/>
    <w:bookmarkEnd w:id="137"/>
    <w:p>
      <w:pPr>
        <w:spacing w:after="0" w:line="189" w:lineRule="exact"/>
        <w:rPr>
          <w:sz w:val="20"/>
          <w:szCs w:val="20"/>
          <w:color w:val="auto"/>
        </w:rPr>
      </w:pPr>
    </w:p>
    <w:p>
      <w:pPr>
        <w:ind w:left="1020" w:right="60" w:firstLine="648"/>
        <w:spacing w:after="0" w:line="247" w:lineRule="auto"/>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color w:val="auto"/>
        </w:rPr>
        <w:t>Phase 4 Clinical Trial</w:t>
      </w:r>
      <w:r>
        <w:rPr>
          <w:rFonts w:ascii="Arial" w:cs="Arial" w:eastAsia="Arial" w:hAnsi="Arial"/>
          <w:sz w:val="18"/>
          <w:szCs w:val="18"/>
          <w:color w:val="auto"/>
        </w:rPr>
        <w:t>” means a human clinical trial conducted after the Regulatory Approval of a Licensed Product in a country, which trial is conducted (a) voluntarily to enhance scientific knowledge of such Licensed</w:t>
      </w:r>
    </w:p>
    <w:p>
      <w:pPr>
        <w:spacing w:after="0" w:line="1" w:lineRule="exact"/>
        <w:rPr>
          <w:sz w:val="20"/>
          <w:szCs w:val="20"/>
          <w:color w:val="auto"/>
        </w:rPr>
      </w:pPr>
    </w:p>
    <w:p>
      <w:pPr>
        <w:ind w:left="1020" w:right="680"/>
        <w:spacing w:after="0" w:line="220" w:lineRule="auto"/>
        <w:rPr>
          <w:sz w:val="20"/>
          <w:szCs w:val="20"/>
          <w:color w:val="auto"/>
        </w:rPr>
      </w:pPr>
      <w:r>
        <w:rPr>
          <w:rFonts w:ascii="Arial" w:cs="Arial" w:eastAsia="Arial" w:hAnsi="Arial"/>
          <w:sz w:val="20"/>
          <w:szCs w:val="20"/>
          <w:color w:val="auto"/>
        </w:rPr>
        <w:t>Product (e.g., for expansion of product labeling or dose optimization); or (b) due to a request or requirement of a Regulatory Authority of such country.</w:t>
      </w:r>
    </w:p>
    <w:p>
      <w:pPr>
        <w:spacing w:after="0" w:line="179"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Pivotal Clinical Trial</w:t>
      </w:r>
      <w:r>
        <w:rPr>
          <w:rFonts w:ascii="Arial" w:cs="Arial" w:eastAsia="Arial" w:hAnsi="Arial"/>
          <w:sz w:val="18"/>
          <w:szCs w:val="18"/>
          <w:color w:val="auto"/>
        </w:rPr>
        <w:t>” means (a) a Phase 3 Clinical Trial or other human Clinical Trial designed to be</w:t>
      </w:r>
    </w:p>
    <w:p>
      <w:pPr>
        <w:spacing w:after="0" w:line="6" w:lineRule="exact"/>
        <w:rPr>
          <w:sz w:val="20"/>
          <w:szCs w:val="20"/>
          <w:color w:val="auto"/>
        </w:rPr>
      </w:pPr>
    </w:p>
    <w:p>
      <w:pPr>
        <w:ind w:left="1020" w:right="820"/>
        <w:spacing w:after="0" w:line="204" w:lineRule="auto"/>
        <w:rPr>
          <w:sz w:val="20"/>
          <w:szCs w:val="20"/>
          <w:color w:val="auto"/>
        </w:rPr>
      </w:pPr>
      <w:r>
        <w:rPr>
          <w:rFonts w:ascii="Arial" w:cs="Arial" w:eastAsia="Arial" w:hAnsi="Arial"/>
          <w:sz w:val="20"/>
          <w:szCs w:val="20"/>
          <w:color w:val="auto"/>
        </w:rPr>
        <w:t>or that becomes a registration trial sufficient for filing a BLA for a Licensed Product, as evidenced by a formal agreement with or statement from the FDA or applicable Regulatory Authority, or</w:t>
      </w:r>
    </w:p>
    <w:p>
      <w:pPr>
        <w:spacing w:after="0" w:line="1" w:lineRule="exact"/>
        <w:rPr>
          <w:sz w:val="20"/>
          <w:szCs w:val="20"/>
          <w:color w:val="auto"/>
        </w:rPr>
      </w:pPr>
    </w:p>
    <w:p>
      <w:pPr>
        <w:jc w:val="both"/>
        <w:ind w:left="1020" w:firstLine="5"/>
        <w:spacing w:after="0" w:line="216" w:lineRule="auto"/>
        <w:tabs>
          <w:tab w:leader="none" w:pos="1321" w:val="left"/>
        </w:tabs>
        <w:numPr>
          <w:ilvl w:val="0"/>
          <w:numId w:val="65"/>
        </w:numPr>
        <w:rPr>
          <w:rFonts w:ascii="Arial" w:cs="Arial" w:eastAsia="Arial" w:hAnsi="Arial"/>
          <w:sz w:val="20"/>
          <w:szCs w:val="20"/>
          <w:color w:val="auto"/>
        </w:rPr>
      </w:pPr>
      <w:r>
        <w:rPr>
          <w:rFonts w:ascii="Arial" w:cs="Arial" w:eastAsia="Arial" w:hAnsi="Arial"/>
          <w:sz w:val="20"/>
          <w:szCs w:val="20"/>
          <w:color w:val="auto"/>
        </w:rPr>
        <w:t>a Phase 3 Clinical Trial or other human Clinical Trial which Gilead intends to submit as the basis for Regulatory Approval of the Licensed Product. For clarity, the determination of whether a given Clinical Trial is sufficient for registrational purposes to support the filing of a BLA for a given Licensed Product may be made prior to, or any time after, Initiation of such Pivotal Clinical Trial.</w:t>
      </w:r>
    </w:p>
    <w:p>
      <w:pPr>
        <w:spacing w:after="0" w:line="178"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Pricing and Reimbursement Approval</w:t>
      </w:r>
      <w:r>
        <w:rPr>
          <w:rFonts w:ascii="Arial" w:cs="Arial" w:eastAsia="Arial" w:hAnsi="Arial"/>
          <w:sz w:val="18"/>
          <w:szCs w:val="18"/>
          <w:color w:val="auto"/>
        </w:rPr>
        <w:t>” means, in a country in which Regulatory Authorities</w:t>
      </w:r>
    </w:p>
    <w:p>
      <w:pPr>
        <w:spacing w:after="0" w:line="6" w:lineRule="exact"/>
        <w:rPr>
          <w:sz w:val="20"/>
          <w:szCs w:val="20"/>
          <w:color w:val="auto"/>
        </w:rPr>
      </w:pPr>
    </w:p>
    <w:p>
      <w:pPr>
        <w:ind w:left="1020" w:right="280"/>
        <w:spacing w:after="0" w:line="226" w:lineRule="auto"/>
        <w:rPr>
          <w:sz w:val="20"/>
          <w:szCs w:val="20"/>
          <w:color w:val="auto"/>
        </w:rPr>
      </w:pPr>
      <w:r>
        <w:rPr>
          <w:rFonts w:ascii="Arial" w:cs="Arial" w:eastAsia="Arial" w:hAnsi="Arial"/>
          <w:sz w:val="18"/>
          <w:szCs w:val="18"/>
          <w:color w:val="auto"/>
        </w:rPr>
        <w:t>authorize reimbursement for, or approve or determine pricing for, pharmaceutical or biologic products to be marketed and sold or reimbursed in such country, receipt (or, if required to make such authorization, approval or determination</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effective, publication) of such reimbursement authorization or pricing approval or determination (as the case may be).</w:t>
      </w:r>
    </w:p>
    <w:p>
      <w:pPr>
        <w:spacing w:after="0" w:line="205"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Processing</w:t>
      </w:r>
      <w:r>
        <w:rPr>
          <w:rFonts w:ascii="Arial" w:cs="Arial" w:eastAsia="Arial" w:hAnsi="Arial"/>
          <w:sz w:val="16"/>
          <w:szCs w:val="16"/>
          <w:color w:val="auto"/>
        </w:rPr>
        <w:t>” or “</w:t>
      </w:r>
      <w:r>
        <w:rPr>
          <w:rFonts w:ascii="Arial" w:cs="Arial" w:eastAsia="Arial" w:hAnsi="Arial"/>
          <w:sz w:val="16"/>
          <w:szCs w:val="16"/>
          <w:b w:val="1"/>
          <w:bCs w:val="1"/>
          <w:color w:val="auto"/>
        </w:rPr>
        <w:t>Processed</w:t>
      </w:r>
      <w:r>
        <w:rPr>
          <w:rFonts w:ascii="Arial" w:cs="Arial" w:eastAsia="Arial" w:hAnsi="Arial"/>
          <w:sz w:val="16"/>
          <w:szCs w:val="16"/>
          <w:color w:val="auto"/>
        </w:rPr>
        <w:t>” means any operation or set of operations performed upon personal data or</w:t>
      </w:r>
    </w:p>
    <w:p>
      <w:pPr>
        <w:spacing w:after="0" w:line="6" w:lineRule="exact"/>
        <w:rPr>
          <w:sz w:val="20"/>
          <w:szCs w:val="20"/>
          <w:color w:val="auto"/>
        </w:rPr>
      </w:pPr>
    </w:p>
    <w:p>
      <w:pPr>
        <w:ind w:left="1020" w:right="480"/>
        <w:spacing w:after="0" w:line="255" w:lineRule="auto"/>
        <w:rPr>
          <w:sz w:val="20"/>
          <w:szCs w:val="20"/>
          <w:color w:val="auto"/>
        </w:rPr>
      </w:pPr>
      <w:r>
        <w:rPr>
          <w:rFonts w:ascii="Arial" w:cs="Arial" w:eastAsia="Arial" w:hAnsi="Arial"/>
          <w:sz w:val="16"/>
          <w:szCs w:val="16"/>
          <w:color w:val="auto"/>
        </w:rPr>
        <w:t>sets of personal data, whether or not by automated means, such as collection, recording, organization, structuring, storage, adaptation or alteration, retrieval, consultation, use, disclosure by transmission, dissemination or otherwise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making available, alignment or combination, restriction, erasure or destruction.</w:t>
      </w:r>
    </w:p>
    <w:p>
      <w:pPr>
        <w:spacing w:after="0" w:line="194"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Program</w:t>
      </w:r>
      <w:r>
        <w:rPr>
          <w:rFonts w:ascii="Arial" w:cs="Arial" w:eastAsia="Arial" w:hAnsi="Arial"/>
          <w:sz w:val="16"/>
          <w:szCs w:val="16"/>
          <w:color w:val="auto"/>
        </w:rPr>
        <w:t>” means the CD123 Development Program or a given Research Program, as applicable.</w:t>
      </w:r>
    </w:p>
    <w:p>
      <w:pPr>
        <w:spacing w:after="0" w:line="216" w:lineRule="exact"/>
        <w:rPr>
          <w:sz w:val="20"/>
          <w:szCs w:val="20"/>
          <w:color w:val="auto"/>
        </w:rPr>
      </w:pPr>
    </w:p>
    <w:p>
      <w:pPr>
        <w:ind w:left="1020" w:right="100" w:firstLine="648"/>
        <w:spacing w:after="0" w:line="247" w:lineRule="auto"/>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color w:val="auto"/>
        </w:rPr>
        <w:t>Regulatory Activities</w:t>
      </w:r>
      <w:r>
        <w:rPr>
          <w:rFonts w:ascii="Arial" w:cs="Arial" w:eastAsia="Arial" w:hAnsi="Arial"/>
          <w:sz w:val="18"/>
          <w:szCs w:val="18"/>
          <w:color w:val="auto"/>
        </w:rPr>
        <w:t>” means, with respect to a given Licensed Product, all regulatory activities required to obtain or maintain Regulatory Approval of such Licensed Product in the Field in the Territory, including: (a)</w:t>
      </w:r>
    </w:p>
    <w:p>
      <w:pPr>
        <w:spacing w:after="0" w:line="1" w:lineRule="exact"/>
        <w:rPr>
          <w:sz w:val="20"/>
          <w:szCs w:val="20"/>
          <w:color w:val="auto"/>
        </w:rPr>
      </w:pPr>
    </w:p>
    <w:p>
      <w:pPr>
        <w:ind w:left="1020" w:right="20"/>
        <w:spacing w:after="0" w:line="250" w:lineRule="auto"/>
        <w:rPr>
          <w:sz w:val="20"/>
          <w:szCs w:val="20"/>
          <w:color w:val="auto"/>
        </w:rPr>
      </w:pPr>
      <w:r>
        <w:rPr>
          <w:rFonts w:ascii="Arial" w:cs="Arial" w:eastAsia="Arial" w:hAnsi="Arial"/>
          <w:sz w:val="18"/>
          <w:szCs w:val="18"/>
          <w:color w:val="auto"/>
        </w:rPr>
        <w:t>preparing, obtaining and maintaining all Regulatory Submissions and Regulatory Approvals for such Licensed Product; and (b) conducting communications and interactions with the relevant Regulatory Authorities for such Licensed Product.</w:t>
      </w:r>
    </w:p>
    <w:p>
      <w:pPr>
        <w:spacing w:after="0" w:line="181" w:lineRule="exact"/>
        <w:rPr>
          <w:sz w:val="20"/>
          <w:szCs w:val="20"/>
          <w:color w:val="auto"/>
        </w:rPr>
      </w:pPr>
    </w:p>
    <w:p>
      <w:pPr>
        <w:ind w:left="1020" w:right="40" w:firstLine="648"/>
        <w:spacing w:after="0" w:line="247" w:lineRule="auto"/>
        <w:rPr>
          <w:sz w:val="20"/>
          <w:szCs w:val="20"/>
          <w:color w:val="auto"/>
        </w:rPr>
      </w:pPr>
      <w:r>
        <w:rPr>
          <w:rFonts w:ascii="Arial" w:cs="Arial" w:eastAsia="Arial" w:hAnsi="Arial"/>
          <w:sz w:val="18"/>
          <w:szCs w:val="18"/>
          <w:color w:val="auto"/>
        </w:rPr>
        <w:t>1.128 “</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with respect to a particular country or other regulatory jurisdiction, any approval of a BLA or other MAA from the applicable Regulatory Authority necessary for the commercial marketing or</w:t>
      </w:r>
    </w:p>
    <w:p>
      <w:pPr>
        <w:spacing w:after="0" w:line="1" w:lineRule="exact"/>
        <w:rPr>
          <w:sz w:val="20"/>
          <w:szCs w:val="20"/>
          <w:color w:val="auto"/>
        </w:rPr>
      </w:pPr>
    </w:p>
    <w:p>
      <w:pPr>
        <w:ind w:left="1020" w:right="400"/>
        <w:spacing w:after="0" w:line="220" w:lineRule="auto"/>
        <w:rPr>
          <w:sz w:val="20"/>
          <w:szCs w:val="20"/>
          <w:color w:val="auto"/>
        </w:rPr>
      </w:pPr>
      <w:r>
        <w:rPr>
          <w:rFonts w:ascii="Arial" w:cs="Arial" w:eastAsia="Arial" w:hAnsi="Arial"/>
          <w:sz w:val="20"/>
          <w:szCs w:val="20"/>
          <w:color w:val="auto"/>
        </w:rPr>
        <w:t>sale of a pharmaceutical or biologic product in such country or other regulatory jurisdiction, including, in each case, Pricing and Reimbursement Approval in those countries and jurisdictions where required.</w:t>
      </w:r>
    </w:p>
    <w:p>
      <w:pPr>
        <w:spacing w:after="0" w:line="218" w:lineRule="exact"/>
        <w:rPr>
          <w:sz w:val="20"/>
          <w:szCs w:val="20"/>
          <w:color w:val="auto"/>
        </w:rPr>
      </w:pPr>
    </w:p>
    <w:p>
      <w:pPr>
        <w:ind w:left="1020" w:right="40" w:firstLine="648"/>
        <w:spacing w:after="0" w:line="294" w:lineRule="auto"/>
        <w:rPr>
          <w:sz w:val="20"/>
          <w:szCs w:val="20"/>
          <w:color w:val="auto"/>
        </w:rPr>
      </w:pPr>
      <w:r>
        <w:rPr>
          <w:rFonts w:ascii="Arial" w:cs="Arial" w:eastAsia="Arial" w:hAnsi="Arial"/>
          <w:sz w:val="18"/>
          <w:szCs w:val="18"/>
          <w:color w:val="auto"/>
        </w:rPr>
        <w:t>1.129 “</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 regulatory authority involved in granting approvals for the conduct of clinical trials or the manufacturing, marketing, reimbursement or pricing, as applicable, of a Licensed Product, including the FDA and any successor governmental authority having substantially the same function.</w:t>
      </w:r>
    </w:p>
    <w:p>
      <w:pPr>
        <w:spacing w:after="0" w:line="157" w:lineRule="exact"/>
        <w:rPr>
          <w:sz w:val="20"/>
          <w:szCs w:val="20"/>
          <w:color w:val="auto"/>
        </w:rPr>
      </w:pPr>
    </w:p>
    <w:p>
      <w:pPr>
        <w:ind w:left="1020" w:right="20" w:firstLine="648"/>
        <w:spacing w:after="0" w:line="247" w:lineRule="auto"/>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color w:val="auto"/>
        </w:rPr>
        <w:t>Regulatory Submissions</w:t>
      </w:r>
      <w:r>
        <w:rPr>
          <w:rFonts w:ascii="Arial" w:cs="Arial" w:eastAsia="Arial" w:hAnsi="Arial"/>
          <w:sz w:val="18"/>
          <w:szCs w:val="18"/>
          <w:color w:val="auto"/>
        </w:rPr>
        <w:t>” means any filing, application, or submission with any Regulatory Authority, including authorizations, approvals or clearances arising from the foregoing, including INDs, BLAs, NDAs, and</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Regulatory Approvals, and all correspondence or communication with or from the relevant Regulatory Authority, as well as minutes of any material meetings, telephone conferences or discussions with the relevant Regulatory Authority, in</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each case, with respect to a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20"/>
          </w:cols>
          <w:pgMar w:left="400" w:top="1440" w:right="879" w:bottom="1440" w:gutter="0" w:footer="0" w:header="0"/>
        </w:sectPr>
      </w:pPr>
    </w:p>
    <w:bookmarkStart w:id="138" w:name="page139"/>
    <w:bookmarkEnd w:id="138"/>
    <w:p>
      <w:pPr>
        <w:spacing w:after="0" w:line="189"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 with respect to a Party, its Affiliates and their respective Sublicensees.</w:t>
      </w:r>
    </w:p>
    <w:p>
      <w:pPr>
        <w:spacing w:after="0" w:line="235"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1.132</w:t>
        <w:tab/>
        <w:t>[***].</w:t>
      </w:r>
    </w:p>
    <w:p>
      <w:pPr>
        <w:spacing w:after="0" w:line="304" w:lineRule="exact"/>
        <w:rPr>
          <w:sz w:val="20"/>
          <w:szCs w:val="20"/>
          <w:color w:val="auto"/>
        </w:rPr>
      </w:pPr>
    </w:p>
    <w:p>
      <w:pPr>
        <w:ind w:left="1020" w:firstLine="648"/>
        <w:spacing w:after="0" w:line="244" w:lineRule="auto"/>
        <w:rPr>
          <w:sz w:val="20"/>
          <w:szCs w:val="20"/>
          <w:color w:val="auto"/>
        </w:rPr>
      </w:pPr>
      <w:r>
        <w:rPr>
          <w:rFonts w:ascii="Arial" w:cs="Arial" w:eastAsia="Arial" w:hAnsi="Arial"/>
          <w:sz w:val="18"/>
          <w:szCs w:val="18"/>
          <w:color w:val="auto"/>
        </w:rPr>
        <w:t>1.133 “</w:t>
      </w:r>
      <w:r>
        <w:rPr>
          <w:rFonts w:ascii="Arial" w:cs="Arial" w:eastAsia="Arial" w:hAnsi="Arial"/>
          <w:sz w:val="18"/>
          <w:szCs w:val="18"/>
          <w:b w:val="1"/>
          <w:bCs w:val="1"/>
          <w:color w:val="auto"/>
        </w:rPr>
        <w:t>Research Molecule</w:t>
      </w:r>
      <w:r>
        <w:rPr>
          <w:rFonts w:ascii="Arial" w:cs="Arial" w:eastAsia="Arial" w:hAnsi="Arial"/>
          <w:sz w:val="18"/>
          <w:szCs w:val="18"/>
          <w:color w:val="auto"/>
        </w:rPr>
        <w:t>” means, with respect to a Research Program, [***] and (b) is directed to each of the Cancer Target and Effector Target in the Research Target Combination for such Research Program. For the avoidance</w:t>
      </w:r>
    </w:p>
    <w:p>
      <w:pPr>
        <w:ind w:left="1020" w:right="440"/>
        <w:spacing w:after="0" w:line="214" w:lineRule="auto"/>
        <w:rPr>
          <w:sz w:val="20"/>
          <w:szCs w:val="20"/>
          <w:color w:val="auto"/>
        </w:rPr>
      </w:pPr>
      <w:r>
        <w:rPr>
          <w:rFonts w:ascii="Arial" w:cs="Arial" w:eastAsia="Arial" w:hAnsi="Arial"/>
          <w:sz w:val="20"/>
          <w:szCs w:val="20"/>
          <w:color w:val="auto"/>
        </w:rPr>
        <w:t>of doubt, for purposes of this definition, [***] that is generated from MacroGenics’ proprietary DART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platform or TRIDENT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platform.</w:t>
      </w:r>
    </w:p>
    <w:p>
      <w:pPr>
        <w:spacing w:after="0" w:line="119" w:lineRule="exact"/>
        <w:rPr>
          <w:sz w:val="20"/>
          <w:szCs w:val="20"/>
          <w:color w:val="auto"/>
        </w:rPr>
      </w:pPr>
    </w:p>
    <w:p>
      <w:pPr>
        <w:ind w:left="1020" w:right="140" w:firstLine="648"/>
        <w:spacing w:after="0" w:line="239" w:lineRule="auto"/>
        <w:rPr>
          <w:sz w:val="20"/>
          <w:szCs w:val="20"/>
          <w:color w:val="auto"/>
        </w:rPr>
      </w:pPr>
      <w:r>
        <w:rPr>
          <w:rFonts w:ascii="Arial" w:cs="Arial" w:eastAsia="Arial" w:hAnsi="Arial"/>
          <w:sz w:val="18"/>
          <w:szCs w:val="18"/>
          <w:color w:val="auto"/>
        </w:rPr>
        <w:t>1.134 “</w:t>
      </w:r>
      <w:r>
        <w:rPr>
          <w:rFonts w:ascii="Arial" w:cs="Arial" w:eastAsia="Arial" w:hAnsi="Arial"/>
          <w:sz w:val="18"/>
          <w:szCs w:val="18"/>
          <w:b w:val="1"/>
          <w:bCs w:val="1"/>
          <w:color w:val="auto"/>
        </w:rPr>
        <w:t>Research Product</w:t>
      </w:r>
      <w:r>
        <w:rPr>
          <w:rFonts w:ascii="Arial" w:cs="Arial" w:eastAsia="Arial" w:hAnsi="Arial"/>
          <w:sz w:val="18"/>
          <w:szCs w:val="18"/>
          <w:color w:val="auto"/>
        </w:rPr>
        <w:t>” means, subject to Section 5.10 (Research Program Termination), any product that contains or incorporates a Research Molecule, alone or in combination with one (1) or more therapeutically active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ingredients, including all forms, formulations, dosages and delivery modes thereof.</w:t>
      </w:r>
    </w:p>
    <w:p>
      <w:pPr>
        <w:spacing w:after="0" w:line="194" w:lineRule="exact"/>
        <w:rPr>
          <w:sz w:val="20"/>
          <w:szCs w:val="20"/>
          <w:color w:val="auto"/>
        </w:rPr>
      </w:pPr>
    </w:p>
    <w:p>
      <w:pPr>
        <w:ind w:left="1020" w:right="60" w:firstLine="648"/>
        <w:spacing w:after="0" w:line="263" w:lineRule="auto"/>
        <w:rPr>
          <w:sz w:val="20"/>
          <w:szCs w:val="20"/>
          <w:color w:val="auto"/>
        </w:rPr>
      </w:pPr>
      <w:r>
        <w:rPr>
          <w:rFonts w:ascii="Arial" w:cs="Arial" w:eastAsia="Arial" w:hAnsi="Arial"/>
          <w:sz w:val="18"/>
          <w:szCs w:val="18"/>
          <w:color w:val="auto"/>
        </w:rPr>
        <w:t>1.135 “</w:t>
      </w:r>
      <w:r>
        <w:rPr>
          <w:rFonts w:ascii="Arial" w:cs="Arial" w:eastAsia="Arial" w:hAnsi="Arial"/>
          <w:sz w:val="18"/>
          <w:szCs w:val="18"/>
          <w:b w:val="1"/>
          <w:bCs w:val="1"/>
          <w:color w:val="auto"/>
        </w:rPr>
        <w:t>Research Program Data Package</w:t>
      </w:r>
      <w:r>
        <w:rPr>
          <w:rFonts w:ascii="Arial" w:cs="Arial" w:eastAsia="Arial" w:hAnsi="Arial"/>
          <w:sz w:val="18"/>
          <w:szCs w:val="18"/>
          <w:color w:val="auto"/>
        </w:rPr>
        <w:t>” means, with respect to a given Research Program, a written report containing all relevant information and data from the performance of the activities under the Research Plan for such Research Program, [***] Research Molecules and Research Products that are the subject of such Research Program.</w:t>
      </w:r>
    </w:p>
    <w:p>
      <w:pPr>
        <w:spacing w:after="0" w:line="238"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 Program Opt-In Exercise Fee</w:t>
      </w:r>
      <w:r>
        <w:rPr>
          <w:rFonts w:ascii="Arial" w:cs="Arial" w:eastAsia="Arial" w:hAnsi="Arial"/>
          <w:sz w:val="18"/>
          <w:szCs w:val="18"/>
          <w:color w:val="auto"/>
        </w:rPr>
        <w:t>” means [***].</w:t>
      </w:r>
    </w:p>
    <w:p>
      <w:pPr>
        <w:spacing w:after="0" w:line="285"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Bearing Patent</w:t>
      </w:r>
      <w:r>
        <w:rPr>
          <w:rFonts w:ascii="Arial" w:cs="Arial" w:eastAsia="Arial" w:hAnsi="Arial"/>
          <w:sz w:val="16"/>
          <w:szCs w:val="16"/>
          <w:color w:val="auto"/>
        </w:rPr>
        <w:t>” means (a) a Jointly Owned Patent or (b) a MacroGenics Licensed Patent;</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spacing w:after="0" w:line="261" w:lineRule="exact"/>
        <w:rPr>
          <w:sz w:val="20"/>
          <w:szCs w:val="20"/>
          <w:color w:val="auto"/>
        </w:rPr>
      </w:pPr>
    </w:p>
    <w:p>
      <w:pPr>
        <w:ind w:left="1020" w:right="80" w:firstLine="648"/>
        <w:spacing w:after="0" w:line="247" w:lineRule="auto"/>
        <w:rPr>
          <w:sz w:val="20"/>
          <w:szCs w:val="20"/>
          <w:color w:val="auto"/>
        </w:rPr>
      </w:pPr>
      <w:r>
        <w:rPr>
          <w:rFonts w:ascii="Arial" w:cs="Arial" w:eastAsia="Arial" w:hAnsi="Arial"/>
          <w:sz w:val="18"/>
          <w:szCs w:val="18"/>
          <w:color w:val="auto"/>
        </w:rPr>
        <w:t>1.138 “</w:t>
      </w:r>
      <w:r>
        <w:rPr>
          <w:rFonts w:ascii="Arial" w:cs="Arial" w:eastAsia="Arial" w:hAnsi="Arial"/>
          <w:sz w:val="18"/>
          <w:szCs w:val="18"/>
          <w:b w:val="1"/>
          <w:bCs w:val="1"/>
          <w:color w:val="auto"/>
        </w:rPr>
        <w:t>Royalty Term</w:t>
      </w:r>
      <w:r>
        <w:rPr>
          <w:rFonts w:ascii="Arial" w:cs="Arial" w:eastAsia="Arial" w:hAnsi="Arial"/>
          <w:sz w:val="18"/>
          <w:szCs w:val="18"/>
          <w:color w:val="auto"/>
        </w:rPr>
        <w:t>” means, on a Licensed Product-by-Licensed Product and country-by- country basis, the time period beginning on the First Commercial Sale of a Licensed Product in a country and expiring on the latest of the</w:t>
      </w:r>
    </w:p>
    <w:p>
      <w:pPr>
        <w:spacing w:after="0" w:line="1" w:lineRule="exact"/>
        <w:rPr>
          <w:sz w:val="20"/>
          <w:szCs w:val="20"/>
          <w:color w:val="auto"/>
        </w:rPr>
      </w:pPr>
    </w:p>
    <w:p>
      <w:pPr>
        <w:ind w:left="1020" w:right="420"/>
        <w:spacing w:after="0" w:line="226" w:lineRule="auto"/>
        <w:rPr>
          <w:sz w:val="20"/>
          <w:szCs w:val="20"/>
          <w:color w:val="auto"/>
        </w:rPr>
      </w:pPr>
      <w:r>
        <w:rPr>
          <w:rFonts w:ascii="Arial" w:cs="Arial" w:eastAsia="Arial" w:hAnsi="Arial"/>
          <w:sz w:val="18"/>
          <w:szCs w:val="18"/>
          <w:color w:val="auto"/>
        </w:rPr>
        <w:t>following dates: (a) the [***] of the date of First Commercial Sale of such Licensed Product in such country, (b) the expiration of the last-to-expire Royalty Bearing Patent having a Valid Claim Covering the composition of matter or</w:t>
      </w:r>
    </w:p>
    <w:p>
      <w:pPr>
        <w:spacing w:after="0" w:line="2" w:lineRule="exact"/>
        <w:rPr>
          <w:sz w:val="20"/>
          <w:szCs w:val="20"/>
          <w:color w:val="auto"/>
        </w:rPr>
      </w:pPr>
    </w:p>
    <w:p>
      <w:pPr>
        <w:ind w:left="1020" w:right="720"/>
        <w:spacing w:after="0" w:line="227" w:lineRule="auto"/>
        <w:rPr>
          <w:sz w:val="20"/>
          <w:szCs w:val="20"/>
          <w:color w:val="auto"/>
        </w:rPr>
      </w:pPr>
      <w:r>
        <w:rPr>
          <w:rFonts w:ascii="Arial" w:cs="Arial" w:eastAsia="Arial" w:hAnsi="Arial"/>
          <w:sz w:val="20"/>
          <w:szCs w:val="20"/>
          <w:color w:val="auto"/>
        </w:rPr>
        <w:t>method of use of such Licensed Product in the applicable country, or (c) the expiration of the last-to-expire Data Exclusivity Period for such Licensed Product in such country.</w:t>
      </w:r>
    </w:p>
    <w:p>
      <w:pPr>
        <w:spacing w:after="0" w:line="204" w:lineRule="exact"/>
        <w:rPr>
          <w:sz w:val="20"/>
          <w:szCs w:val="20"/>
          <w:color w:val="auto"/>
        </w:rPr>
      </w:pPr>
    </w:p>
    <w:p>
      <w:pPr>
        <w:ind w:left="1020" w:right="60" w:firstLine="648"/>
        <w:spacing w:after="0" w:line="294" w:lineRule="auto"/>
        <w:rPr>
          <w:sz w:val="20"/>
          <w:szCs w:val="20"/>
          <w:color w:val="auto"/>
        </w:rPr>
      </w:pPr>
      <w:r>
        <w:rPr>
          <w:rFonts w:ascii="Arial" w:cs="Arial" w:eastAsia="Arial" w:hAnsi="Arial"/>
          <w:sz w:val="18"/>
          <w:szCs w:val="18"/>
          <w:color w:val="auto"/>
        </w:rPr>
        <w:t>1.139 “</w:t>
      </w:r>
      <w:r>
        <w:rPr>
          <w:rFonts w:ascii="Arial" w:cs="Arial" w:eastAsia="Arial" w:hAnsi="Arial"/>
          <w:sz w:val="18"/>
          <w:szCs w:val="18"/>
          <w:b w:val="1"/>
          <w:bCs w:val="1"/>
          <w:color w:val="auto"/>
        </w:rPr>
        <w:t>Settlement Sublicensee</w:t>
      </w:r>
      <w:r>
        <w:rPr>
          <w:rFonts w:ascii="Arial" w:cs="Arial" w:eastAsia="Arial" w:hAnsi="Arial"/>
          <w:sz w:val="18"/>
          <w:szCs w:val="18"/>
          <w:color w:val="auto"/>
        </w:rPr>
        <w:t>” means a Third Party that is granted a license or sublicense under a settlement agreement between such Third Party and a Party, any of its Affiliates, or any of its or their respective licensees or sublicensees, which agreement was entered into in connection with any settlement or similar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20"/>
          </w:cols>
          <w:pgMar w:left="400" w:top="1440" w:right="879" w:bottom="1440" w:gutter="0" w:footer="0" w:header="0"/>
        </w:sectPr>
      </w:pPr>
    </w:p>
    <w:bookmarkStart w:id="139" w:name="page140"/>
    <w:bookmarkEnd w:id="139"/>
    <w:p>
      <w:pPr>
        <w:spacing w:after="0" w:line="203" w:lineRule="exact"/>
        <w:rPr>
          <w:sz w:val="20"/>
          <w:szCs w:val="20"/>
          <w:color w:val="auto"/>
        </w:rPr>
      </w:pPr>
    </w:p>
    <w:p>
      <w:pPr>
        <w:ind w:left="1020" w:firstLine="648"/>
        <w:spacing w:after="0" w:line="338" w:lineRule="auto"/>
        <w:rPr>
          <w:sz w:val="20"/>
          <w:szCs w:val="20"/>
          <w:color w:val="auto"/>
        </w:rPr>
      </w:pPr>
      <w:r>
        <w:rPr>
          <w:rFonts w:ascii="Arial" w:cs="Arial" w:eastAsia="Arial" w:hAnsi="Arial"/>
          <w:sz w:val="18"/>
          <w:szCs w:val="18"/>
          <w:color w:val="auto"/>
        </w:rPr>
        <w:t>1.140 “</w:t>
      </w:r>
      <w:r>
        <w:rPr>
          <w:rFonts w:ascii="Arial" w:cs="Arial" w:eastAsia="Arial" w:hAnsi="Arial"/>
          <w:sz w:val="18"/>
          <w:szCs w:val="18"/>
          <w:b w:val="1"/>
          <w:bCs w:val="1"/>
          <w:color w:val="auto"/>
        </w:rPr>
        <w:t>Sublicensee</w:t>
      </w:r>
      <w:r>
        <w:rPr>
          <w:rFonts w:ascii="Arial" w:cs="Arial" w:eastAsia="Arial" w:hAnsi="Arial"/>
          <w:sz w:val="18"/>
          <w:szCs w:val="18"/>
          <w:color w:val="auto"/>
        </w:rPr>
        <w:t>” means a Third Party to whom a Party or any of its Affiliates grants a sublicense under the licenses granted to such Party under this Agreement, as permitted herein, excluding all Permitted Subcontractors.</w:t>
      </w:r>
    </w:p>
    <w:p>
      <w:pPr>
        <w:spacing w:after="0" w:line="119" w:lineRule="exact"/>
        <w:rPr>
          <w:sz w:val="20"/>
          <w:szCs w:val="20"/>
          <w:color w:val="auto"/>
        </w:rPr>
      </w:pPr>
    </w:p>
    <w:p>
      <w:pPr>
        <w:ind w:left="1020" w:right="280" w:firstLine="648"/>
        <w:spacing w:after="0" w:line="239" w:lineRule="auto"/>
        <w:rPr>
          <w:sz w:val="20"/>
          <w:szCs w:val="20"/>
          <w:color w:val="auto"/>
        </w:rPr>
      </w:pPr>
      <w:r>
        <w:rPr>
          <w:rFonts w:ascii="Arial" w:cs="Arial" w:eastAsia="Arial" w:hAnsi="Arial"/>
          <w:sz w:val="18"/>
          <w:szCs w:val="18"/>
          <w:color w:val="auto"/>
        </w:rPr>
        <w:t>1.141 “</w:t>
      </w:r>
      <w:r>
        <w:rPr>
          <w:rFonts w:ascii="Arial" w:cs="Arial" w:eastAsia="Arial" w:hAnsi="Arial"/>
          <w:sz w:val="18"/>
          <w:szCs w:val="18"/>
          <w:b w:val="1"/>
          <w:bCs w:val="1"/>
          <w:color w:val="auto"/>
        </w:rPr>
        <w:t>Terminated Product</w:t>
      </w:r>
      <w:r>
        <w:rPr>
          <w:rFonts w:ascii="Arial" w:cs="Arial" w:eastAsia="Arial" w:hAnsi="Arial"/>
          <w:sz w:val="18"/>
          <w:szCs w:val="18"/>
          <w:color w:val="auto"/>
        </w:rPr>
        <w:t>” means (a) any Licensed Product with respect to which this Agreement is terminated pursuant to Article 18 (Term and Termination), and (b) in the event of termination of this Agreement in its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entirety, all Licensed Products.</w:t>
      </w:r>
    </w:p>
    <w:p>
      <w:pPr>
        <w:spacing w:after="0" w:line="194" w:lineRule="exact"/>
        <w:rPr>
          <w:sz w:val="20"/>
          <w:szCs w:val="20"/>
          <w:color w:val="auto"/>
        </w:rPr>
      </w:pPr>
    </w:p>
    <w:p>
      <w:pPr>
        <w:ind w:left="1020" w:right="240" w:firstLine="648"/>
        <w:spacing w:after="0" w:line="230" w:lineRule="auto"/>
        <w:rPr>
          <w:sz w:val="20"/>
          <w:szCs w:val="20"/>
          <w:color w:val="auto"/>
        </w:rPr>
      </w:pPr>
      <w:r>
        <w:rPr>
          <w:rFonts w:ascii="Arial" w:cs="Arial" w:eastAsia="Arial" w:hAnsi="Arial"/>
          <w:sz w:val="20"/>
          <w:szCs w:val="20"/>
          <w:color w:val="auto"/>
        </w:rPr>
        <w:t>1.142 “</w:t>
      </w:r>
      <w:r>
        <w:rPr>
          <w:rFonts w:ascii="Arial" w:cs="Arial" w:eastAsia="Arial" w:hAnsi="Arial"/>
          <w:sz w:val="20"/>
          <w:szCs w:val="20"/>
          <w:b w:val="1"/>
          <w:bCs w:val="1"/>
          <w:color w:val="auto"/>
        </w:rPr>
        <w:t>Terminated Program</w:t>
      </w:r>
      <w:r>
        <w:rPr>
          <w:rFonts w:ascii="Arial" w:cs="Arial" w:eastAsia="Arial" w:hAnsi="Arial"/>
          <w:sz w:val="20"/>
          <w:szCs w:val="20"/>
          <w:color w:val="auto"/>
        </w:rPr>
        <w:t>” means (a) any Program with respect to which this Agreement is terminated pursuant to Article 18 (Term and Termination), and (b) in the event of termination of this Agreement in its entirety, all Programs.</w:t>
      </w:r>
    </w:p>
    <w:p>
      <w:pPr>
        <w:spacing w:after="0" w:line="176"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all countries and regions of the world.</w:t>
      </w:r>
    </w:p>
    <w:p>
      <w:pPr>
        <w:spacing w:after="0" w:line="229" w:lineRule="exact"/>
        <w:rPr>
          <w:sz w:val="20"/>
          <w:szCs w:val="20"/>
          <w:color w:val="auto"/>
        </w:rPr>
      </w:pPr>
    </w:p>
    <w:p>
      <w:pPr>
        <w:ind w:left="1020" w:right="440" w:firstLine="648"/>
        <w:spacing w:after="0" w:line="232" w:lineRule="auto"/>
        <w:rPr>
          <w:sz w:val="20"/>
          <w:szCs w:val="20"/>
          <w:color w:val="auto"/>
        </w:rPr>
      </w:pPr>
      <w:r>
        <w:rPr>
          <w:rFonts w:ascii="Arial" w:cs="Arial" w:eastAsia="Arial" w:hAnsi="Arial"/>
          <w:sz w:val="20"/>
          <w:szCs w:val="20"/>
          <w:color w:val="auto"/>
        </w:rPr>
        <w:t>1.144 “</w:t>
      </w:r>
      <w:r>
        <w:rPr>
          <w:rFonts w:ascii="Arial" w:cs="Arial" w:eastAsia="Arial" w:hAnsi="Arial"/>
          <w:sz w:val="20"/>
          <w:szCs w:val="20"/>
          <w:b w:val="1"/>
          <w:bCs w:val="1"/>
          <w:color w:val="auto"/>
        </w:rPr>
        <w:t>Third Party</w:t>
      </w:r>
      <w:r>
        <w:rPr>
          <w:rFonts w:ascii="Arial" w:cs="Arial" w:eastAsia="Arial" w:hAnsi="Arial"/>
          <w:sz w:val="20"/>
          <w:szCs w:val="20"/>
          <w:color w:val="auto"/>
        </w:rPr>
        <w:t>” means an entity other than (a) Gilead and its Affiliates and (b) MacroGenics and its Affiliates.</w:t>
      </w:r>
    </w:p>
    <w:p>
      <w:pPr>
        <w:spacing w:after="0" w:line="190" w:lineRule="exact"/>
        <w:rPr>
          <w:sz w:val="20"/>
          <w:szCs w:val="20"/>
          <w:color w:val="auto"/>
        </w:rPr>
      </w:pPr>
    </w:p>
    <w:p>
      <w:pPr>
        <w:ind w:left="1020" w:right="140" w:firstLine="648"/>
        <w:spacing w:after="0" w:line="239" w:lineRule="auto"/>
        <w:rPr>
          <w:sz w:val="20"/>
          <w:szCs w:val="20"/>
          <w:color w:val="auto"/>
        </w:rPr>
      </w:pPr>
      <w:r>
        <w:rPr>
          <w:rFonts w:ascii="Arial" w:cs="Arial" w:eastAsia="Arial" w:hAnsi="Arial"/>
          <w:sz w:val="20"/>
          <w:szCs w:val="20"/>
          <w:color w:val="auto"/>
        </w:rPr>
        <w:t>1.145 “</w:t>
      </w:r>
      <w:r>
        <w:rPr>
          <w:rFonts w:ascii="Arial" w:cs="Arial" w:eastAsia="Arial" w:hAnsi="Arial"/>
          <w:sz w:val="20"/>
          <w:szCs w:val="20"/>
          <w:b w:val="1"/>
          <w:bCs w:val="1"/>
          <w:color w:val="auto"/>
        </w:rPr>
        <w:t>Third Party Claims</w:t>
      </w:r>
      <w:r>
        <w:rPr>
          <w:rFonts w:ascii="Arial" w:cs="Arial" w:eastAsia="Arial" w:hAnsi="Arial"/>
          <w:sz w:val="20"/>
          <w:szCs w:val="20"/>
          <w:color w:val="auto"/>
        </w:rPr>
        <w:t>” means collectively, any and all Third Party demands, claims, actions, suits, and proceedings (whether criminal or civil or in contract, tort, or otherwise).</w:t>
      </w:r>
    </w:p>
    <w:p>
      <w:pPr>
        <w:spacing w:after="0" w:line="190" w:lineRule="exact"/>
        <w:rPr>
          <w:sz w:val="20"/>
          <w:szCs w:val="20"/>
          <w:color w:val="auto"/>
        </w:rPr>
      </w:pPr>
    </w:p>
    <w:p>
      <w:pPr>
        <w:ind w:left="1020" w:right="180" w:firstLine="648"/>
        <w:spacing w:after="0" w:line="239" w:lineRule="auto"/>
        <w:rPr>
          <w:sz w:val="20"/>
          <w:szCs w:val="20"/>
          <w:color w:val="auto"/>
        </w:rPr>
      </w:pPr>
      <w:r>
        <w:rPr>
          <w:rFonts w:ascii="Arial" w:cs="Arial" w:eastAsia="Arial" w:hAnsi="Arial"/>
          <w:sz w:val="18"/>
          <w:szCs w:val="18"/>
          <w:color w:val="auto"/>
        </w:rPr>
        <w:t>1.146 “</w:t>
      </w:r>
      <w:r>
        <w:rPr>
          <w:rFonts w:ascii="Arial" w:cs="Arial" w:eastAsia="Arial" w:hAnsi="Arial"/>
          <w:sz w:val="18"/>
          <w:szCs w:val="18"/>
          <w:b w:val="1"/>
          <w:bCs w:val="1"/>
          <w:color w:val="auto"/>
        </w:rPr>
        <w:t>Third Party Distributor</w:t>
      </w:r>
      <w:r>
        <w:rPr>
          <w:rFonts w:ascii="Arial" w:cs="Arial" w:eastAsia="Arial" w:hAnsi="Arial"/>
          <w:sz w:val="18"/>
          <w:szCs w:val="18"/>
          <w:color w:val="auto"/>
        </w:rPr>
        <w:t>” means any Third Party that purchases Licensed Product from Gilead or its Affiliates or Sublicensees, takes title to such Licensed Product, and distributes such Licensed Product directly to</w:t>
      </w:r>
    </w:p>
    <w:p>
      <w:pPr>
        <w:ind w:left="1020"/>
        <w:spacing w:after="0" w:line="236" w:lineRule="auto"/>
        <w:rPr>
          <w:sz w:val="20"/>
          <w:szCs w:val="20"/>
          <w:color w:val="auto"/>
        </w:rPr>
      </w:pPr>
      <w:r>
        <w:rPr>
          <w:rFonts w:ascii="Arial" w:cs="Arial" w:eastAsia="Arial" w:hAnsi="Arial"/>
          <w:sz w:val="18"/>
          <w:szCs w:val="18"/>
          <w:color w:val="auto"/>
        </w:rPr>
        <w:t>customers, but does not Develop, Manufacture or otherwise Commercialize any Licensed Product and does not make</w:t>
      </w:r>
    </w:p>
    <w:p>
      <w:pPr>
        <w:ind w:left="1020" w:right="520"/>
        <w:spacing w:after="0" w:line="220" w:lineRule="auto"/>
        <w:rPr>
          <w:sz w:val="20"/>
          <w:szCs w:val="20"/>
          <w:color w:val="auto"/>
        </w:rPr>
      </w:pPr>
      <w:r>
        <w:rPr>
          <w:rFonts w:ascii="Arial" w:cs="Arial" w:eastAsia="Arial" w:hAnsi="Arial"/>
          <w:sz w:val="20"/>
          <w:szCs w:val="20"/>
          <w:color w:val="auto"/>
        </w:rPr>
        <w:t>any upfront, milestone, royalty, profit-share or other payment to Gilead or its Affiliates or Sublicensees, other than payment for the purchase of Licensed Products for resale.</w:t>
      </w:r>
    </w:p>
    <w:p>
      <w:pPr>
        <w:spacing w:after="0" w:line="204" w:lineRule="exact"/>
        <w:rPr>
          <w:sz w:val="20"/>
          <w:szCs w:val="20"/>
          <w:color w:val="auto"/>
        </w:rPr>
      </w:pPr>
    </w:p>
    <w:p>
      <w:pPr>
        <w:ind w:left="1020" w:right="40" w:firstLine="648"/>
        <w:spacing w:after="0" w:line="232" w:lineRule="auto"/>
        <w:rPr>
          <w:sz w:val="20"/>
          <w:szCs w:val="20"/>
          <w:color w:val="auto"/>
        </w:rPr>
      </w:pPr>
      <w:r>
        <w:rPr>
          <w:rFonts w:ascii="Arial" w:cs="Arial" w:eastAsia="Arial" w:hAnsi="Arial"/>
          <w:sz w:val="20"/>
          <w:szCs w:val="20"/>
          <w:color w:val="auto"/>
        </w:rPr>
        <w:t>1.147 “</w:t>
      </w:r>
      <w:r>
        <w:rPr>
          <w:rFonts w:ascii="Arial" w:cs="Arial" w:eastAsia="Arial" w:hAnsi="Arial"/>
          <w:sz w:val="20"/>
          <w:szCs w:val="20"/>
          <w:b w:val="1"/>
          <w:bCs w:val="1"/>
          <w:color w:val="auto"/>
        </w:rPr>
        <w:t>Trademark</w:t>
      </w:r>
      <w:r>
        <w:rPr>
          <w:rFonts w:ascii="Arial" w:cs="Arial" w:eastAsia="Arial" w:hAnsi="Arial"/>
          <w:sz w:val="20"/>
          <w:szCs w:val="20"/>
          <w:color w:val="auto"/>
        </w:rPr>
        <w:t>” means all trade names, logos, common law trademarks and service marks, trademark and service mark registrations and applications throughout the world.</w:t>
      </w:r>
    </w:p>
    <w:p>
      <w:pPr>
        <w:spacing w:after="0" w:line="203" w:lineRule="exact"/>
        <w:rPr>
          <w:sz w:val="20"/>
          <w:szCs w:val="20"/>
          <w:color w:val="auto"/>
        </w:rPr>
      </w:pPr>
    </w:p>
    <w:p>
      <w:pPr>
        <w:ind w:left="1020" w:right="360" w:firstLine="648"/>
        <w:spacing w:after="0" w:line="239" w:lineRule="auto"/>
        <w:rPr>
          <w:sz w:val="20"/>
          <w:szCs w:val="20"/>
          <w:color w:val="auto"/>
        </w:rPr>
      </w:pPr>
      <w:r>
        <w:rPr>
          <w:rFonts w:ascii="Arial" w:cs="Arial" w:eastAsia="Arial" w:hAnsi="Arial"/>
          <w:sz w:val="18"/>
          <w:szCs w:val="18"/>
          <w:color w:val="auto"/>
        </w:rPr>
        <w:t>1.148 “</w:t>
      </w:r>
      <w:r>
        <w:rPr>
          <w:rFonts w:ascii="Arial" w:cs="Arial" w:eastAsia="Arial" w:hAnsi="Arial"/>
          <w:sz w:val="18"/>
          <w:szCs w:val="18"/>
          <w:b w:val="1"/>
          <w:bCs w:val="1"/>
          <w:color w:val="auto"/>
        </w:rPr>
        <w:t>Trademark Prosecution</w:t>
      </w:r>
      <w:r>
        <w:rPr>
          <w:rFonts w:ascii="Arial" w:cs="Arial" w:eastAsia="Arial" w:hAnsi="Arial"/>
          <w:sz w:val="18"/>
          <w:szCs w:val="18"/>
          <w:color w:val="auto"/>
        </w:rPr>
        <w:t>” means, with respect to a Trademark, the responsibility for (a) preparing, filing, and seeking registration of, trademark applications (of all types) for such Trademark, (b) maintaining such</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Trademark, and (c) managing any interference or opposition proceeding relating to the foregoing.</w:t>
      </w:r>
    </w:p>
    <w:p>
      <w:pPr>
        <w:spacing w:after="0" w:line="194"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Unavailable Target Combination</w:t>
      </w:r>
      <w:r>
        <w:rPr>
          <w:rFonts w:ascii="Arial" w:cs="Arial" w:eastAsia="Arial" w:hAnsi="Arial"/>
          <w:sz w:val="18"/>
          <w:szCs w:val="18"/>
          <w:color w:val="auto"/>
        </w:rPr>
        <w:t>” means, with respect to [***]</w:t>
      </w:r>
    </w:p>
    <w:p>
      <w:pPr>
        <w:spacing w:after="0" w:line="297" w:lineRule="exact"/>
        <w:rPr>
          <w:sz w:val="20"/>
          <w:szCs w:val="20"/>
          <w:color w:val="auto"/>
        </w:rPr>
      </w:pPr>
    </w:p>
    <w:p>
      <w:pPr>
        <w:ind w:left="1020" w:right="640" w:firstLine="648"/>
        <w:spacing w:after="0" w:line="239" w:lineRule="auto"/>
        <w:rPr>
          <w:sz w:val="20"/>
          <w:szCs w:val="20"/>
          <w:color w:val="auto"/>
        </w:rPr>
      </w:pPr>
      <w:r>
        <w:rPr>
          <w:rFonts w:ascii="Arial" w:cs="Arial" w:eastAsia="Arial" w:hAnsi="Arial"/>
          <w:sz w:val="20"/>
          <w:szCs w:val="20"/>
          <w:color w:val="auto"/>
        </w:rPr>
        <w:t>1.150 “</w:t>
      </w:r>
      <w:r>
        <w:rPr>
          <w:rFonts w:ascii="Arial" w:cs="Arial" w:eastAsia="Arial" w:hAnsi="Arial"/>
          <w:sz w:val="20"/>
          <w:szCs w:val="20"/>
          <w:b w:val="1"/>
          <w:bCs w:val="1"/>
          <w:color w:val="auto"/>
        </w:rPr>
        <w:t>United States</w:t>
      </w:r>
      <w:r>
        <w:rPr>
          <w:rFonts w:ascii="Arial" w:cs="Arial" w:eastAsia="Arial" w:hAnsi="Arial"/>
          <w:sz w:val="20"/>
          <w:szCs w:val="20"/>
          <w:color w:val="auto"/>
        </w:rPr>
        <w:t>” or “</w:t>
      </w:r>
      <w:r>
        <w:rPr>
          <w:rFonts w:ascii="Arial" w:cs="Arial" w:eastAsia="Arial" w:hAnsi="Arial"/>
          <w:sz w:val="20"/>
          <w:szCs w:val="20"/>
          <w:b w:val="1"/>
          <w:bCs w:val="1"/>
          <w:color w:val="auto"/>
        </w:rPr>
        <w:t>US</w:t>
      </w:r>
      <w:r>
        <w:rPr>
          <w:rFonts w:ascii="Arial" w:cs="Arial" w:eastAsia="Arial" w:hAnsi="Arial"/>
          <w:sz w:val="20"/>
          <w:szCs w:val="20"/>
          <w:color w:val="auto"/>
        </w:rPr>
        <w:t>” means the United States of America and its territories and possessions, including the Commonwealth of Puerto Rico and the U.S. Virgin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00"/>
          </w:cols>
          <w:pgMar w:left="400" w:top="1440" w:right="899" w:bottom="1440" w:gutter="0" w:footer="0" w:header="0"/>
        </w:sectPr>
      </w:pPr>
    </w:p>
    <w:bookmarkStart w:id="140" w:name="page141"/>
    <w:bookmarkEnd w:id="140"/>
    <w:p>
      <w:pPr>
        <w:ind w:left="1020" w:right="160" w:firstLine="648"/>
        <w:spacing w:after="0" w:line="278" w:lineRule="auto"/>
        <w:rPr>
          <w:sz w:val="20"/>
          <w:szCs w:val="20"/>
          <w:color w:val="auto"/>
        </w:rPr>
      </w:pPr>
      <w:r>
        <w:rPr>
          <w:rFonts w:ascii="Arial" w:cs="Arial" w:eastAsia="Arial" w:hAnsi="Arial"/>
          <w:sz w:val="16"/>
          <w:szCs w:val="16"/>
          <w:color w:val="auto"/>
        </w:rPr>
        <w:t>1.151 “</w:t>
      </w:r>
      <w:r>
        <w:rPr>
          <w:rFonts w:ascii="Arial" w:cs="Arial" w:eastAsia="Arial" w:hAnsi="Arial"/>
          <w:sz w:val="16"/>
          <w:szCs w:val="16"/>
          <w:b w:val="1"/>
          <w:bCs w:val="1"/>
          <w:color w:val="auto"/>
        </w:rPr>
        <w:t>Upstream License Agreement</w:t>
      </w:r>
      <w:r>
        <w:rPr>
          <w:rFonts w:ascii="Arial" w:cs="Arial" w:eastAsia="Arial" w:hAnsi="Arial"/>
          <w:sz w:val="16"/>
          <w:szCs w:val="16"/>
          <w:color w:val="auto"/>
        </w:rPr>
        <w:t>” means any contract or agreement with a Third Party pursuant to which MacroGenics in-licenses or otherwise acquires Control of Patents, Know-How or other intellectual property rights that</w:t>
      </w:r>
    </w:p>
    <w:p>
      <w:pPr>
        <w:spacing w:after="0" w:line="1" w:lineRule="exact"/>
        <w:rPr>
          <w:sz w:val="20"/>
          <w:szCs w:val="20"/>
          <w:color w:val="auto"/>
        </w:rPr>
      </w:pPr>
    </w:p>
    <w:p>
      <w:pPr>
        <w:ind w:left="1020" w:right="580"/>
        <w:spacing w:after="0" w:line="255" w:lineRule="auto"/>
        <w:rPr>
          <w:sz w:val="20"/>
          <w:szCs w:val="20"/>
          <w:color w:val="auto"/>
        </w:rPr>
      </w:pPr>
      <w:r>
        <w:rPr>
          <w:rFonts w:ascii="Arial" w:cs="Arial" w:eastAsia="Arial" w:hAnsi="Arial"/>
          <w:sz w:val="16"/>
          <w:szCs w:val="16"/>
          <w:color w:val="auto"/>
        </w:rPr>
        <w:t xml:space="preserve">constitute MacroGenics Licensed Technology for purposes of this Agreement, including such Upstream License Agreements set forth on </w:t>
      </w:r>
      <w:r>
        <w:rPr>
          <w:rFonts w:ascii="Arial" w:cs="Arial" w:eastAsia="Arial" w:hAnsi="Arial"/>
          <w:sz w:val="16"/>
          <w:szCs w:val="16"/>
          <w:b w:val="1"/>
          <w:bCs w:val="1"/>
          <w:color w:val="auto"/>
        </w:rPr>
        <w:t>Schedule 1.151</w:t>
      </w:r>
      <w:r>
        <w:rPr>
          <w:rFonts w:ascii="Arial" w:cs="Arial" w:eastAsia="Arial" w:hAnsi="Arial"/>
          <w:sz w:val="16"/>
          <w:szCs w:val="16"/>
          <w:color w:val="auto"/>
        </w:rPr>
        <w:t xml:space="preserve"> (Existing Upstream License Agreements) (each, an “</w:t>
      </w:r>
      <w:r>
        <w:rPr>
          <w:rFonts w:ascii="Arial" w:cs="Arial" w:eastAsia="Arial" w:hAnsi="Arial"/>
          <w:sz w:val="16"/>
          <w:szCs w:val="16"/>
          <w:b w:val="1"/>
          <w:bCs w:val="1"/>
          <w:color w:val="auto"/>
        </w:rPr>
        <w:t>Existing Upstream</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auto"/>
        </w:rPr>
        <w:t>License Agreement</w:t>
      </w:r>
      <w:r>
        <w:rPr>
          <w:rFonts w:ascii="Arial" w:cs="Arial" w:eastAsia="Arial" w:hAnsi="Arial"/>
          <w:sz w:val="20"/>
          <w:szCs w:val="20"/>
          <w:color w:val="auto"/>
        </w:rPr>
        <w:t>”).</w:t>
      </w:r>
    </w:p>
    <w:p>
      <w:pPr>
        <w:spacing w:after="0" w:line="194"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means United States Dollars, the lawful currency of the US.</w:t>
      </w:r>
    </w:p>
    <w:p>
      <w:pPr>
        <w:spacing w:after="0" w:line="204"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claim of: (a) an issued and unexpired Patent in a country which has not been</w:t>
      </w:r>
    </w:p>
    <w:p>
      <w:pPr>
        <w:spacing w:after="0" w:line="6" w:lineRule="exact"/>
        <w:rPr>
          <w:sz w:val="20"/>
          <w:szCs w:val="20"/>
          <w:color w:val="auto"/>
        </w:rPr>
      </w:pPr>
    </w:p>
    <w:p>
      <w:pPr>
        <w:ind w:left="1020" w:right="120"/>
        <w:spacing w:after="0" w:line="255" w:lineRule="auto"/>
        <w:rPr>
          <w:sz w:val="20"/>
          <w:szCs w:val="20"/>
          <w:color w:val="auto"/>
        </w:rPr>
      </w:pPr>
      <w:r>
        <w:rPr>
          <w:rFonts w:ascii="Arial" w:cs="Arial" w:eastAsia="Arial" w:hAnsi="Arial"/>
          <w:sz w:val="16"/>
          <w:szCs w:val="16"/>
          <w:color w:val="auto"/>
        </w:rPr>
        <w:t>revoked or held unenforceable or invalid by a decision of a court or other governmental agency of competent jurisdiction, unappealable or unappealed within the time allowed for appeal, and has not been abandoned, disclaimed or</w:t>
      </w:r>
    </w:p>
    <w:p>
      <w:pPr>
        <w:ind w:left="1020"/>
        <w:spacing w:after="0" w:line="235" w:lineRule="auto"/>
        <w:rPr>
          <w:sz w:val="20"/>
          <w:szCs w:val="20"/>
          <w:color w:val="auto"/>
        </w:rPr>
      </w:pPr>
      <w:r>
        <w:rPr>
          <w:rFonts w:ascii="Arial" w:cs="Arial" w:eastAsia="Arial" w:hAnsi="Arial"/>
          <w:sz w:val="18"/>
          <w:szCs w:val="18"/>
          <w:color w:val="auto"/>
        </w:rPr>
        <w:t>admitted to be invalid or unenforceable through reissue, disclaimer or otherwise; or (b) a pending patent application that</w:t>
      </w:r>
    </w:p>
    <w:p>
      <w:pPr>
        <w:ind w:left="1020"/>
        <w:spacing w:after="0" w:line="255" w:lineRule="auto"/>
        <w:rPr>
          <w:sz w:val="20"/>
          <w:szCs w:val="20"/>
          <w:color w:val="auto"/>
        </w:rPr>
      </w:pPr>
      <w:r>
        <w:rPr>
          <w:rFonts w:ascii="Arial" w:cs="Arial" w:eastAsia="Arial" w:hAnsi="Arial"/>
          <w:sz w:val="16"/>
          <w:szCs w:val="16"/>
          <w:color w:val="auto"/>
        </w:rPr>
        <w:t xml:space="preserve">has been filed in good faith and that has not been cancelled, withdrawn, or abandoned and has not been pending for more than [***] from the earliest priority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claim ceases to be a Valid Claim by reason of the foregoing</w:t>
      </w:r>
    </w:p>
    <w:p>
      <w:pPr>
        <w:spacing w:after="0" w:line="1" w:lineRule="exact"/>
        <w:rPr>
          <w:sz w:val="20"/>
          <w:szCs w:val="20"/>
          <w:color w:val="auto"/>
        </w:rPr>
      </w:pPr>
    </w:p>
    <w:p>
      <w:pPr>
        <w:ind w:left="1020" w:right="80"/>
        <w:spacing w:after="0" w:line="220" w:lineRule="auto"/>
        <w:rPr>
          <w:sz w:val="20"/>
          <w:szCs w:val="20"/>
          <w:color w:val="auto"/>
        </w:rPr>
      </w:pPr>
      <w:r>
        <w:rPr>
          <w:rFonts w:ascii="Arial" w:cs="Arial" w:eastAsia="Arial" w:hAnsi="Arial"/>
          <w:sz w:val="20"/>
          <w:szCs w:val="20"/>
          <w:color w:val="auto"/>
        </w:rPr>
        <w:t>subclause (b), then such claim shall again be deemed a Valid Claim in the event and at the time such claim subsequently issues.</w:t>
      </w:r>
    </w:p>
    <w:p>
      <w:pPr>
        <w:spacing w:after="0" w:line="204" w:lineRule="exact"/>
        <w:rPr>
          <w:sz w:val="20"/>
          <w:szCs w:val="20"/>
          <w:color w:val="auto"/>
        </w:rPr>
      </w:pPr>
    </w:p>
    <w:p>
      <w:pPr>
        <w:ind w:left="1020" w:right="300" w:firstLine="648"/>
        <w:spacing w:after="0" w:line="232" w:lineRule="auto"/>
        <w:rPr>
          <w:sz w:val="20"/>
          <w:szCs w:val="20"/>
          <w:color w:val="auto"/>
        </w:rPr>
      </w:pPr>
      <w:r>
        <w:rPr>
          <w:rFonts w:ascii="Arial" w:cs="Arial" w:eastAsia="Arial" w:hAnsi="Arial"/>
          <w:sz w:val="20"/>
          <w:szCs w:val="20"/>
          <w:color w:val="auto"/>
        </w:rPr>
        <w:t xml:space="preserve">1.154 </w:t>
      </w:r>
      <w:r>
        <w:rPr>
          <w:rFonts w:ascii="Arial" w:cs="Arial" w:eastAsia="Arial" w:hAnsi="Arial"/>
          <w:sz w:val="20"/>
          <w:szCs w:val="20"/>
          <w:b w:val="1"/>
          <w:bCs w:val="1"/>
          <w:color w:val="auto"/>
        </w:rPr>
        <w:t>Additional Definitions</w:t>
      </w:r>
      <w:r>
        <w:rPr>
          <w:rFonts w:ascii="Arial" w:cs="Arial" w:eastAsia="Arial" w:hAnsi="Arial"/>
          <w:sz w:val="20"/>
          <w:szCs w:val="20"/>
          <w:color w:val="auto"/>
        </w:rPr>
        <w:t>. Each of the following terms has the meaning described in the corresponding section of this Agreement indicated below:</w:t>
      </w:r>
    </w:p>
    <w:p>
      <w:pPr>
        <w:spacing w:after="0" w:line="233" w:lineRule="exact"/>
        <w:rPr>
          <w:sz w:val="20"/>
          <w:szCs w:val="20"/>
          <w:color w:val="auto"/>
        </w:rPr>
      </w:pPr>
    </w:p>
    <w:tbl>
      <w:tblPr>
        <w:tblLayout w:type="fixed"/>
        <w:tblInd w:w="109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bottom w:val="single" w:sz="8" w:color="auto"/>
              <w:right w:val="single" w:sz="8" w:color="auto"/>
            </w:tcBorders>
            <w:shd w:val="clear" w:color="auto" w:fill="9CC1E4"/>
          </w:tcPr>
          <w:p>
            <w:pPr>
              <w:ind w:left="140"/>
              <w:spacing w:after="0"/>
              <w:rPr>
                <w:sz w:val="20"/>
                <w:szCs w:val="20"/>
                <w:color w:val="auto"/>
              </w:rPr>
            </w:pPr>
            <w:r>
              <w:rPr>
                <w:rFonts w:ascii="Arial" w:cs="Arial" w:eastAsia="Arial" w:hAnsi="Arial"/>
                <w:sz w:val="20"/>
                <w:szCs w:val="20"/>
                <w:b w:val="1"/>
                <w:bCs w:val="1"/>
                <w:color w:val="auto"/>
              </w:rPr>
              <w:t>Definition</w:t>
            </w:r>
          </w:p>
        </w:tc>
        <w:tc>
          <w:tcPr>
            <w:tcW w:w="5060" w:type="dxa"/>
            <w:vAlign w:val="bottom"/>
            <w:tcBorders>
              <w:top w:val="single" w:sz="8" w:color="auto"/>
              <w:bottom w:val="single" w:sz="8" w:color="auto"/>
              <w:right w:val="single" w:sz="8" w:color="auto"/>
            </w:tcBorders>
            <w:shd w:val="clear" w:color="auto" w:fill="9CC1E4"/>
          </w:tcPr>
          <w:p>
            <w:pPr>
              <w:ind w:left="120"/>
              <w:spacing w:after="0"/>
              <w:rPr>
                <w:sz w:val="20"/>
                <w:szCs w:val="20"/>
                <w:color w:val="auto"/>
              </w:rPr>
            </w:pPr>
            <w:r>
              <w:rPr>
                <w:rFonts w:ascii="Arial" w:cs="Arial" w:eastAsia="Arial" w:hAnsi="Arial"/>
                <w:sz w:val="20"/>
                <w:szCs w:val="20"/>
                <w:b w:val="1"/>
                <w:bCs w:val="1"/>
                <w:color w:val="auto"/>
              </w:rPr>
              <w:t>Section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13D Group</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19.2(a)(iii) (Standstill)</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Acquired Party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3.10(c) (Business Combinations)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Acting Improperly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13.2(a)(i) (Anti-Corruption Laws)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Agreement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Preamble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Antitrust Filing</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6.1(a) (Filings)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Assigned Regulatory Materials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7.3(a) (Regulatory Transfer)</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w w:val="93"/>
              </w:rPr>
              <w:t>Assumed CD123 Development Activities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4.5(a) (Conditions for Assumption)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Bankrupt Party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18.5 (Termination for Bankruptcy)</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Bankruptcy Events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18.5 (Termination for Bankruptcy)</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Breaching Party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18.2(a) (Material Breach)</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CD123 Clinical Subcommittee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0"/>
              </w:rPr>
              <w:t>Section 2.2 (Additional Subcommittees and Working Groups)</w:t>
            </w:r>
          </w:p>
        </w:tc>
      </w:tr>
      <w:tr>
        <w:trPr>
          <w:trHeight w:val="247"/>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190"/>
        </w:trPr>
        <w:tc>
          <w:tcPr>
            <w:tcW w:w="3780" w:type="dxa"/>
            <w:vAlign w:val="bottom"/>
            <w:tcBorders>
              <w:left w:val="single" w:sz="8" w:color="auto"/>
              <w:right w:val="single" w:sz="8" w:color="auto"/>
            </w:tcBorders>
          </w:tcPr>
          <w:p>
            <w:pPr>
              <w:ind w:left="140"/>
              <w:spacing w:after="0" w:line="190" w:lineRule="exact"/>
              <w:rPr>
                <w:sz w:val="20"/>
                <w:szCs w:val="20"/>
                <w:color w:val="auto"/>
              </w:rPr>
            </w:pPr>
            <w:r>
              <w:rPr>
                <w:rFonts w:ascii="Arial" w:cs="Arial" w:eastAsia="Arial" w:hAnsi="Arial"/>
                <w:sz w:val="20"/>
                <w:szCs w:val="20"/>
                <w:b w:val="1"/>
                <w:bCs w:val="1"/>
                <w:color w:val="auto"/>
              </w:rPr>
              <w:t>CD123  Development  Activities  Cure</w:t>
            </w:r>
          </w:p>
        </w:tc>
        <w:tc>
          <w:tcPr>
            <w:tcW w:w="5060" w:type="dxa"/>
            <w:vAlign w:val="bottom"/>
            <w:tcBorders>
              <w:right w:val="single" w:sz="8" w:color="auto"/>
            </w:tcBorders>
          </w:tcPr>
          <w:p>
            <w:pPr>
              <w:ind w:left="120"/>
              <w:spacing w:after="0" w:line="190" w:lineRule="exact"/>
              <w:rPr>
                <w:sz w:val="20"/>
                <w:szCs w:val="20"/>
                <w:color w:val="auto"/>
              </w:rPr>
            </w:pPr>
            <w:r>
              <w:rPr>
                <w:rFonts w:ascii="Arial" w:cs="Arial" w:eastAsia="Arial" w:hAnsi="Arial"/>
                <w:sz w:val="20"/>
                <w:szCs w:val="20"/>
                <w:color w:val="auto"/>
              </w:rPr>
              <w:t>Section 4.5(a) (Conditions for Assumption)</w:t>
            </w:r>
          </w:p>
        </w:tc>
      </w:tr>
      <w:tr>
        <w:trPr>
          <w:trHeight w:val="252"/>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Period</w:t>
            </w:r>
          </w:p>
        </w:tc>
        <w:tc>
          <w:tcPr>
            <w:tcW w:w="5060" w:type="dxa"/>
            <w:vAlign w:val="bottom"/>
            <w:tcBorders>
              <w:bottom w:val="single" w:sz="8" w:color="auto"/>
              <w:right w:val="single" w:sz="8" w:color="auto"/>
            </w:tcBorders>
          </w:tcPr>
          <w:p>
            <w:pPr>
              <w:spacing w:after="0"/>
              <w:rPr>
                <w:sz w:val="21"/>
                <w:szCs w:val="21"/>
                <w:color w:val="auto"/>
              </w:rPr>
            </w:pP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CD123 Development Milestone Event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10.2(a) (CD123 Products)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w w:val="94"/>
              </w:rPr>
              <w:t>CD123 Development Milestone Payment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10.2(a) (CD123 Products)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CD123 Development Plan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4.1 (CD123 Development Plan)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CD123 Development Program</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4.1 (CD123 Development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20"/>
          </w:cols>
          <w:pgMar w:left="400" w:top="1386" w:right="879" w:bottom="1440" w:gutter="0" w:footer="0" w:header="0"/>
        </w:sectPr>
      </w:pPr>
    </w:p>
    <w:bookmarkStart w:id="141" w:name="page142"/>
    <w:bookmarkEnd w:id="141"/>
    <w:tbl>
      <w:tblPr>
        <w:tblLayout w:type="fixed"/>
        <w:tblInd w:w="109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bottom w:val="single" w:sz="8" w:color="auto"/>
              <w:right w:val="single" w:sz="8" w:color="auto"/>
            </w:tcBorders>
            <w:shd w:val="clear" w:color="auto" w:fill="9CC1E4"/>
          </w:tcPr>
          <w:p>
            <w:pPr>
              <w:ind w:left="140"/>
              <w:spacing w:after="0"/>
              <w:rPr>
                <w:sz w:val="20"/>
                <w:szCs w:val="20"/>
                <w:color w:val="auto"/>
              </w:rPr>
            </w:pPr>
            <w:r>
              <w:rPr>
                <w:rFonts w:ascii="Arial" w:cs="Arial" w:eastAsia="Arial" w:hAnsi="Arial"/>
                <w:sz w:val="20"/>
                <w:szCs w:val="20"/>
                <w:b w:val="1"/>
                <w:bCs w:val="1"/>
                <w:color w:val="auto"/>
              </w:rPr>
              <w:t>Definition</w:t>
            </w:r>
          </w:p>
        </w:tc>
        <w:tc>
          <w:tcPr>
            <w:tcW w:w="5060" w:type="dxa"/>
            <w:vAlign w:val="bottom"/>
            <w:tcBorders>
              <w:top w:val="single" w:sz="8" w:color="auto"/>
              <w:bottom w:val="single" w:sz="8" w:color="auto"/>
              <w:right w:val="single" w:sz="8" w:color="auto"/>
            </w:tcBorders>
            <w:shd w:val="clear" w:color="auto" w:fill="9CC1E4"/>
          </w:tcPr>
          <w:p>
            <w:pPr>
              <w:ind w:left="120"/>
              <w:spacing w:after="0"/>
              <w:rPr>
                <w:sz w:val="20"/>
                <w:szCs w:val="20"/>
                <w:color w:val="auto"/>
              </w:rPr>
            </w:pPr>
            <w:r>
              <w:rPr>
                <w:rFonts w:ascii="Arial" w:cs="Arial" w:eastAsia="Arial" w:hAnsi="Arial"/>
                <w:sz w:val="20"/>
                <w:szCs w:val="20"/>
                <w:b w:val="1"/>
                <w:bCs w:val="1"/>
                <w:color w:val="auto"/>
              </w:rPr>
              <w:t>Section</w:t>
            </w:r>
          </w:p>
        </w:tc>
      </w:tr>
      <w:tr>
        <w:trPr>
          <w:trHeight w:val="193"/>
        </w:trPr>
        <w:tc>
          <w:tcPr>
            <w:tcW w:w="3780" w:type="dxa"/>
            <w:vAlign w:val="bottom"/>
            <w:tcBorders>
              <w:left w:val="single" w:sz="8" w:color="auto"/>
              <w:right w:val="single" w:sz="8" w:color="auto"/>
            </w:tcBorders>
          </w:tcPr>
          <w:p>
            <w:pPr>
              <w:ind w:left="140"/>
              <w:spacing w:after="0" w:line="193" w:lineRule="exact"/>
              <w:rPr>
                <w:sz w:val="20"/>
                <w:szCs w:val="20"/>
                <w:color w:val="auto"/>
              </w:rPr>
            </w:pPr>
            <w:r>
              <w:rPr>
                <w:rFonts w:ascii="Arial" w:cs="Arial" w:eastAsia="Arial" w:hAnsi="Arial"/>
                <w:sz w:val="20"/>
                <w:szCs w:val="20"/>
                <w:b w:val="1"/>
                <w:bCs w:val="1"/>
                <w:color w:val="auto"/>
              </w:rPr>
              <w:t>CD123 Development Term</w:t>
            </w:r>
          </w:p>
        </w:tc>
        <w:tc>
          <w:tcPr>
            <w:tcW w:w="5060" w:type="dxa"/>
            <w:vAlign w:val="bottom"/>
            <w:tcBorders>
              <w:right w:val="single" w:sz="8" w:color="auto"/>
            </w:tcBorders>
          </w:tcPr>
          <w:p>
            <w:pPr>
              <w:ind w:left="120"/>
              <w:spacing w:after="0" w:line="193" w:lineRule="exact"/>
              <w:rPr>
                <w:sz w:val="20"/>
                <w:szCs w:val="20"/>
                <w:color w:val="auto"/>
              </w:rPr>
            </w:pPr>
            <w:r>
              <w:rPr>
                <w:rFonts w:ascii="Arial" w:cs="Arial" w:eastAsia="Arial" w:hAnsi="Arial"/>
                <w:sz w:val="20"/>
                <w:szCs w:val="20"/>
                <w:color w:val="auto"/>
                <w:w w:val="97"/>
              </w:rPr>
              <w:t>Section 4.11 (CD123 Development Term and Transfer of</w:t>
            </w:r>
          </w:p>
        </w:tc>
      </w:tr>
      <w:tr>
        <w:trPr>
          <w:trHeight w:val="246"/>
        </w:trPr>
        <w:tc>
          <w:tcPr>
            <w:tcW w:w="378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Development Activities)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CD123 Option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4.9(a) (Option Grant)</w:t>
            </w:r>
          </w:p>
        </w:tc>
      </w:tr>
      <w:tr>
        <w:trPr>
          <w:trHeight w:val="233"/>
        </w:trPr>
        <w:tc>
          <w:tcPr>
            <w:tcW w:w="37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CD123 Option Effective Date</w:t>
            </w:r>
          </w:p>
        </w:tc>
        <w:tc>
          <w:tcPr>
            <w:tcW w:w="50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Section  6.1(b)(i)  (CD123  Development  Program</w:t>
            </w:r>
          </w:p>
        </w:tc>
      </w:tr>
      <w:tr>
        <w:trPr>
          <w:trHeight w:val="250"/>
        </w:trPr>
        <w:tc>
          <w:tcPr>
            <w:tcW w:w="3780" w:type="dxa"/>
            <w:vAlign w:val="bottom"/>
            <w:tcBorders>
              <w:left w:val="single" w:sz="8" w:color="auto"/>
              <w:right w:val="single" w:sz="8" w:color="auto"/>
            </w:tcBorders>
          </w:tcPr>
          <w:p>
            <w:pPr>
              <w:spacing w:after="0"/>
              <w:rPr>
                <w:sz w:val="21"/>
                <w:szCs w:val="21"/>
                <w:color w:val="auto"/>
              </w:rPr>
            </w:pPr>
          </w:p>
        </w:tc>
        <w:tc>
          <w:tcPr>
            <w:tcW w:w="50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Effectiveness)</w:t>
            </w:r>
          </w:p>
        </w:tc>
      </w:tr>
      <w:tr>
        <w:trPr>
          <w:trHeight w:val="36"/>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CD123 Option Exercise Date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4.9(e) (Option Exercise)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CD123 Option Exercise Notice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4.9(e) (Option Exercise)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CD123 Technology Transfer Period</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4.12 (Technology Transfer)</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CD123 Technology Transfer Plan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4.12 (Technology Transfer)</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Clinical Quality Agreement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9.1(a)(iii) (Clinical Supply Agreement)</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Clinical Supply Agreement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9.1(a)(iii) (Clinical Supply Agreement)</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Clinical Supply Term</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9.1(a)(ii) (During the Clinical Supply Term)</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CMO</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9.3 (Observation by Gilead)</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Commercial Milestone Event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10.3 (Commercial Milestone Payments)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Commercial Milestone Payment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10.3 (Commercial Milestone Payments)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Competitive Product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3.10(c) (Business Combinations)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w w:val="92"/>
              </w:rPr>
              <w:t>Confirmed Research Target Combination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4"/>
              </w:rPr>
              <w:t>Section 5.1(c) (Confirmed Research Target Combinations)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Deadlock</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2.1(c) (Decision-Making)</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Deficiency Notice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4.9(c) (CD123 Data Package)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Disclosing Party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12.1(a) (Definition and Restrictions)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Effective Date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Preamble</w:t>
            </w:r>
          </w:p>
        </w:tc>
      </w:tr>
      <w:tr>
        <w:trPr>
          <w:trHeight w:val="233"/>
        </w:trPr>
        <w:tc>
          <w:tcPr>
            <w:tcW w:w="37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Enforcement Effort</w:t>
            </w:r>
          </w:p>
        </w:tc>
        <w:tc>
          <w:tcPr>
            <w:tcW w:w="50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Section 16.4(b)(i) (MacroGenics Platform Patents and Other</w:t>
            </w:r>
          </w:p>
        </w:tc>
      </w:tr>
      <w:tr>
        <w:trPr>
          <w:trHeight w:val="250"/>
        </w:trPr>
        <w:tc>
          <w:tcPr>
            <w:tcW w:w="3780" w:type="dxa"/>
            <w:vAlign w:val="bottom"/>
            <w:tcBorders>
              <w:left w:val="single" w:sz="8" w:color="auto"/>
              <w:right w:val="single" w:sz="8" w:color="auto"/>
            </w:tcBorders>
          </w:tcPr>
          <w:p>
            <w:pPr>
              <w:spacing w:after="0"/>
              <w:rPr>
                <w:sz w:val="21"/>
                <w:szCs w:val="21"/>
                <w:color w:val="auto"/>
              </w:rPr>
            </w:pPr>
          </w:p>
        </w:tc>
        <w:tc>
          <w:tcPr>
            <w:tcW w:w="50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MacroGenics Licensed Patents)</w:t>
            </w:r>
          </w:p>
        </w:tc>
      </w:tr>
      <w:tr>
        <w:trPr>
          <w:trHeight w:val="36"/>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Exchange Act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19.2(a)(i) (Standstill)</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Excused Delay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4.2(a) (Excused Delays)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Existing CMO Agreements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3"/>
              </w:rPr>
              <w:t>Section 9.1(a)(i) (Prior to the CD123 Option Effective Date)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w w:val="98"/>
              </w:rPr>
              <w:t>Existing Upstream License Agreement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1.151 (Upstream License Agreement)</w:t>
            </w:r>
          </w:p>
        </w:tc>
      </w:tr>
      <w:tr>
        <w:trPr>
          <w:trHeight w:val="187"/>
        </w:trPr>
        <w:tc>
          <w:tcPr>
            <w:tcW w:w="3780" w:type="dxa"/>
            <w:vAlign w:val="bottom"/>
            <w:tcBorders>
              <w:left w:val="single" w:sz="8" w:color="auto"/>
              <w:right w:val="single" w:sz="8" w:color="auto"/>
            </w:tcBorders>
          </w:tcPr>
          <w:p>
            <w:pPr>
              <w:ind w:left="140"/>
              <w:spacing w:after="0" w:line="186" w:lineRule="exact"/>
              <w:rPr>
                <w:sz w:val="20"/>
                <w:szCs w:val="20"/>
                <w:color w:val="auto"/>
              </w:rPr>
            </w:pPr>
            <w:r>
              <w:rPr>
                <w:rFonts w:ascii="Arial" w:cs="Arial" w:eastAsia="Arial" w:hAnsi="Arial"/>
                <w:sz w:val="20"/>
                <w:szCs w:val="20"/>
                <w:b w:val="1"/>
                <w:bCs w:val="1"/>
                <w:color w:val="auto"/>
                <w:w w:val="98"/>
              </w:rPr>
              <w:t>Existing Upstream License Agreement</w:t>
            </w:r>
          </w:p>
        </w:tc>
        <w:tc>
          <w:tcPr>
            <w:tcW w:w="506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20"/>
                <w:szCs w:val="20"/>
                <w:color w:val="auto"/>
              </w:rPr>
              <w:t>Section 3.7 (Existing Upstream License Agreement</w:t>
            </w:r>
          </w:p>
        </w:tc>
      </w:tr>
      <w:tr>
        <w:trPr>
          <w:trHeight w:val="252"/>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Amendments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Amendments)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Export Control Laws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13.2(d) (Export Control Laws)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Extrapolated Net Sales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16.4(c)(ii) (Recovery Allocations)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Force Majeure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19.1 (Force Majeure)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Gatekeeper</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5.1(b) (Gatekeeper)</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Gilead</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Preamble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59"/>
          </w:cols>
          <w:pgMar w:left="400" w:top="1402" w:right="1440" w:bottom="1440" w:gutter="0" w:footer="0" w:header="0"/>
        </w:sectPr>
      </w:pPr>
    </w:p>
    <w:bookmarkStart w:id="142" w:name="page143"/>
    <w:bookmarkEnd w:id="142"/>
    <w:tbl>
      <w:tblPr>
        <w:tblLayout w:type="fixed"/>
        <w:tblInd w:w="109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bottom w:val="single" w:sz="8" w:color="auto"/>
              <w:right w:val="single" w:sz="8" w:color="auto"/>
            </w:tcBorders>
            <w:shd w:val="clear" w:color="auto" w:fill="9CC1E4"/>
          </w:tcPr>
          <w:p>
            <w:pPr>
              <w:ind w:left="140"/>
              <w:spacing w:after="0"/>
              <w:rPr>
                <w:sz w:val="20"/>
                <w:szCs w:val="20"/>
                <w:color w:val="auto"/>
              </w:rPr>
            </w:pPr>
            <w:r>
              <w:rPr>
                <w:rFonts w:ascii="Arial" w:cs="Arial" w:eastAsia="Arial" w:hAnsi="Arial"/>
                <w:sz w:val="20"/>
                <w:szCs w:val="20"/>
                <w:b w:val="1"/>
                <w:bCs w:val="1"/>
                <w:color w:val="auto"/>
              </w:rPr>
              <w:t>Definition</w:t>
            </w:r>
          </w:p>
        </w:tc>
        <w:tc>
          <w:tcPr>
            <w:tcW w:w="5060" w:type="dxa"/>
            <w:vAlign w:val="bottom"/>
            <w:tcBorders>
              <w:top w:val="single" w:sz="8" w:color="auto"/>
              <w:bottom w:val="single" w:sz="8" w:color="auto"/>
              <w:right w:val="single" w:sz="8" w:color="auto"/>
            </w:tcBorders>
            <w:shd w:val="clear" w:color="auto" w:fill="9CC1E4"/>
          </w:tcPr>
          <w:p>
            <w:pPr>
              <w:ind w:left="120"/>
              <w:spacing w:after="0"/>
              <w:rPr>
                <w:sz w:val="20"/>
                <w:szCs w:val="20"/>
                <w:color w:val="auto"/>
              </w:rPr>
            </w:pPr>
            <w:r>
              <w:rPr>
                <w:rFonts w:ascii="Arial" w:cs="Arial" w:eastAsia="Arial" w:hAnsi="Arial"/>
                <w:sz w:val="20"/>
                <w:szCs w:val="20"/>
                <w:b w:val="1"/>
                <w:bCs w:val="1"/>
                <w:color w:val="auto"/>
              </w:rPr>
              <w:t>Section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w w:val="99"/>
              </w:rPr>
              <w:t>Gilead Agent Improvement Know-How</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16.1(d) (Gilead Agent Improvement IP)</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Gilead Agent Improvement Patents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16.1(d) (Gilead Agent Improvement IP)</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Gilead CD123 Development Activities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4.1 (CD123 Development Plan)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Gilead Indemnitee(s)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15.2 (By MacroGenics)</w:t>
            </w:r>
          </w:p>
        </w:tc>
      </w:tr>
      <w:tr>
        <w:trPr>
          <w:trHeight w:val="193"/>
        </w:trPr>
        <w:tc>
          <w:tcPr>
            <w:tcW w:w="3780" w:type="dxa"/>
            <w:vAlign w:val="bottom"/>
            <w:tcBorders>
              <w:left w:val="single" w:sz="8" w:color="auto"/>
              <w:right w:val="single" w:sz="8" w:color="auto"/>
            </w:tcBorders>
          </w:tcPr>
          <w:p>
            <w:pPr>
              <w:ind w:left="140"/>
              <w:spacing w:after="0" w:line="193" w:lineRule="exact"/>
              <w:rPr>
                <w:sz w:val="20"/>
                <w:szCs w:val="20"/>
                <w:color w:val="auto"/>
              </w:rPr>
            </w:pPr>
            <w:r>
              <w:rPr>
                <w:rFonts w:ascii="Arial" w:cs="Arial" w:eastAsia="Arial" w:hAnsi="Arial"/>
                <w:sz w:val="20"/>
                <w:szCs w:val="20"/>
                <w:b w:val="1"/>
                <w:bCs w:val="1"/>
                <w:color w:val="auto"/>
              </w:rPr>
              <w:t>ICC</w:t>
            </w:r>
          </w:p>
        </w:tc>
        <w:tc>
          <w:tcPr>
            <w:tcW w:w="5060" w:type="dxa"/>
            <w:vAlign w:val="bottom"/>
            <w:tcBorders>
              <w:right w:val="single" w:sz="8" w:color="auto"/>
            </w:tcBorders>
          </w:tcPr>
          <w:p>
            <w:pPr>
              <w:ind w:left="120"/>
              <w:spacing w:after="0" w:line="193" w:lineRule="exact"/>
              <w:rPr>
                <w:sz w:val="20"/>
                <w:szCs w:val="20"/>
                <w:color w:val="auto"/>
              </w:rPr>
            </w:pPr>
            <w:r>
              <w:rPr>
                <w:rFonts w:ascii="Arial" w:cs="Arial" w:eastAsia="Arial" w:hAnsi="Arial"/>
                <w:sz w:val="20"/>
                <w:szCs w:val="20"/>
                <w:color w:val="auto"/>
                <w:w w:val="95"/>
              </w:rPr>
              <w:t>Section 17.3 (Expedited Arbitration for Incidental Payment</w:t>
            </w:r>
          </w:p>
        </w:tc>
      </w:tr>
      <w:tr>
        <w:trPr>
          <w:trHeight w:val="246"/>
        </w:trPr>
        <w:tc>
          <w:tcPr>
            <w:tcW w:w="378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Disputes)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Identified Patent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7"/>
              </w:rPr>
              <w:t>Schedule 10.4(c)(iii) (Special Offset and Indemnification)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Identified Patent Rights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7"/>
              </w:rPr>
              <w:t>Schedule 10.4(c)(iii) (Special Offset and Indemnification)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Identified Patent Upstream License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7"/>
              </w:rPr>
              <w:t>Schedule 10.4(c)(iii) (Special Offset and Indemnification)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Improvement Plan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13.2(a)(iii)(1) (Anti-Corruption Laws)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Incidental Payment Disputes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17.2 (Resolution by Executive Officers)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Indemnified Party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15.3 (Indemnification Procedure)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Indemnifying Party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15.3 (Indemnification Procedure)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Initial CD123 Development Plan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4.1 (CD123 Development Plan)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Initial Outside Date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6.1(c) (Outside Date)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Involved Party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19.3 (Section 365(n) of the Bankruptcy Code)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IP Assessment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5.5 (Research Term)</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IP Counsels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3.8(a)(iii) (Third Party Platform Rights Dispute)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Joint CD123 Development Activities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4.1 (CD123 Development Plan)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Joint Steering Committee </w:t>
            </w:r>
            <w:r>
              <w:rPr>
                <w:rFonts w:ascii="Arial" w:cs="Arial" w:eastAsia="Arial" w:hAnsi="Arial"/>
                <w:sz w:val="20"/>
                <w:szCs w:val="20"/>
                <w:color w:val="auto"/>
              </w:rPr>
              <w:t>or</w:t>
            </w:r>
            <w:r>
              <w:rPr>
                <w:rFonts w:ascii="Arial" w:cs="Arial" w:eastAsia="Arial" w:hAnsi="Arial"/>
                <w:sz w:val="20"/>
                <w:szCs w:val="20"/>
                <w:b w:val="1"/>
                <w:bCs w:val="1"/>
                <w:color w:val="auto"/>
              </w:rPr>
              <w:t xml:space="preserve"> JSC</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2.1(a) (Membership)</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Jointly Owned Know-How</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16.1(e) (Jointly Owned IP)</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Jointly Owned Patents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16.1(e) (Jointly Owned IP)</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JSC Co-Chairperson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2.1(a) (Membership)</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w w:val="95"/>
              </w:rPr>
              <w:t>Licensed Research Target Combination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5.2 (Research Program)</w:t>
            </w:r>
          </w:p>
        </w:tc>
      </w:tr>
      <w:tr>
        <w:trPr>
          <w:trHeight w:val="247"/>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53"/>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Losses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15.1 (By Gilead)</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MacroGenics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Preamble</w:t>
            </w:r>
          </w:p>
        </w:tc>
      </w:tr>
      <w:tr>
        <w:trPr>
          <w:trHeight w:val="187"/>
        </w:trPr>
        <w:tc>
          <w:tcPr>
            <w:tcW w:w="3780" w:type="dxa"/>
            <w:vAlign w:val="bottom"/>
            <w:tcBorders>
              <w:left w:val="single" w:sz="8" w:color="auto"/>
              <w:right w:val="single" w:sz="8" w:color="auto"/>
            </w:tcBorders>
          </w:tcPr>
          <w:p>
            <w:pPr>
              <w:ind w:left="140"/>
              <w:spacing w:after="0" w:line="186" w:lineRule="exact"/>
              <w:rPr>
                <w:sz w:val="20"/>
                <w:szCs w:val="20"/>
                <w:color w:val="auto"/>
              </w:rPr>
            </w:pPr>
            <w:r>
              <w:rPr>
                <w:rFonts w:ascii="Arial" w:cs="Arial" w:eastAsia="Arial" w:hAnsi="Arial"/>
                <w:sz w:val="20"/>
                <w:szCs w:val="20"/>
                <w:b w:val="1"/>
                <w:bCs w:val="1"/>
                <w:color w:val="auto"/>
              </w:rPr>
              <w:t>MacroGenics CD123 Development</w:t>
            </w:r>
          </w:p>
        </w:tc>
        <w:tc>
          <w:tcPr>
            <w:tcW w:w="506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20"/>
                <w:szCs w:val="20"/>
                <w:color w:val="auto"/>
              </w:rPr>
              <w:t>Section 4.1 (CD123 Development Plan)</w:t>
            </w:r>
          </w:p>
        </w:tc>
      </w:tr>
      <w:tr>
        <w:trPr>
          <w:trHeight w:val="252"/>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Activities</w:t>
            </w:r>
          </w:p>
        </w:tc>
        <w:tc>
          <w:tcPr>
            <w:tcW w:w="5060" w:type="dxa"/>
            <w:vAlign w:val="bottom"/>
            <w:tcBorders>
              <w:bottom w:val="single" w:sz="8" w:color="auto"/>
              <w:right w:val="single" w:sz="8" w:color="auto"/>
            </w:tcBorders>
          </w:tcPr>
          <w:p>
            <w:pPr>
              <w:spacing w:after="0"/>
              <w:rPr>
                <w:sz w:val="21"/>
                <w:szCs w:val="21"/>
                <w:color w:val="auto"/>
              </w:rPr>
            </w:pP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MacroGenics Identified Rights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5"/>
              </w:rPr>
              <w:t>Section 3.8(b)(i) (Notice of MacroGenics Identified Rights)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MacroGenics Indemnitee(s)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15.1 (By Gilead)</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MacroGenics Negotiation Period</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3.8(a)(i) (Notice of Third Party Platform Rights)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59"/>
          </w:cols>
          <w:pgMar w:left="400" w:top="1402" w:right="1440" w:bottom="1440" w:gutter="0" w:footer="0" w:header="0"/>
        </w:sectPr>
      </w:pPr>
    </w:p>
    <w:bookmarkStart w:id="143" w:name="page144"/>
    <w:bookmarkEnd w:id="143"/>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220" w:type="dxa"/>
            <w:vAlign w:val="bottom"/>
            <w:tcBorders>
              <w:top w:val="single" w:sz="8" w:color="auto"/>
              <w:left w:val="single" w:sz="8" w:color="auto"/>
              <w:bottom w:val="single" w:sz="8" w:color="auto"/>
              <w:right w:val="single" w:sz="8" w:color="auto"/>
            </w:tcBorders>
            <w:shd w:val="clear" w:color="auto" w:fill="9CC1E4"/>
          </w:tcPr>
          <w:p>
            <w:pPr>
              <w:ind w:left="140"/>
              <w:spacing w:after="0"/>
              <w:rPr>
                <w:sz w:val="20"/>
                <w:szCs w:val="20"/>
                <w:color w:val="auto"/>
              </w:rPr>
            </w:pPr>
            <w:r>
              <w:rPr>
                <w:rFonts w:ascii="Arial" w:cs="Arial" w:eastAsia="Arial" w:hAnsi="Arial"/>
                <w:sz w:val="20"/>
                <w:szCs w:val="20"/>
                <w:b w:val="1"/>
                <w:bCs w:val="1"/>
                <w:color w:val="auto"/>
              </w:rPr>
              <w:t>Definition</w:t>
            </w:r>
          </w:p>
        </w:tc>
        <w:tc>
          <w:tcPr>
            <w:tcW w:w="5640" w:type="dxa"/>
            <w:vAlign w:val="bottom"/>
            <w:tcBorders>
              <w:top w:val="single" w:sz="8" w:color="auto"/>
              <w:bottom w:val="single" w:sz="8" w:color="auto"/>
              <w:right w:val="single" w:sz="8" w:color="auto"/>
            </w:tcBorders>
            <w:shd w:val="clear" w:color="auto" w:fill="9CC1E4"/>
          </w:tcPr>
          <w:p>
            <w:pPr>
              <w:ind w:left="120"/>
              <w:spacing w:after="0"/>
              <w:rPr>
                <w:sz w:val="20"/>
                <w:szCs w:val="20"/>
                <w:color w:val="auto"/>
              </w:rPr>
            </w:pPr>
            <w:r>
              <w:rPr>
                <w:rFonts w:ascii="Arial" w:cs="Arial" w:eastAsia="Arial" w:hAnsi="Arial"/>
                <w:sz w:val="20"/>
                <w:szCs w:val="20"/>
                <w:b w:val="1"/>
                <w:bCs w:val="1"/>
                <w:color w:val="auto"/>
              </w:rPr>
              <w:t>Section</w:t>
            </w:r>
          </w:p>
        </w:tc>
      </w:tr>
      <w:tr>
        <w:trPr>
          <w:trHeight w:val="187"/>
        </w:trPr>
        <w:tc>
          <w:tcPr>
            <w:tcW w:w="4220" w:type="dxa"/>
            <w:vAlign w:val="bottom"/>
            <w:tcBorders>
              <w:left w:val="single" w:sz="8" w:color="auto"/>
              <w:right w:val="single" w:sz="8" w:color="auto"/>
            </w:tcBorders>
          </w:tcPr>
          <w:p>
            <w:pPr>
              <w:ind w:left="140"/>
              <w:spacing w:after="0" w:line="186" w:lineRule="exact"/>
              <w:rPr>
                <w:sz w:val="20"/>
                <w:szCs w:val="20"/>
                <w:color w:val="auto"/>
              </w:rPr>
            </w:pPr>
            <w:r>
              <w:rPr>
                <w:rFonts w:ascii="Arial" w:cs="Arial" w:eastAsia="Arial" w:hAnsi="Arial"/>
                <w:sz w:val="20"/>
                <w:szCs w:val="20"/>
                <w:b w:val="1"/>
                <w:bCs w:val="1"/>
                <w:color w:val="auto"/>
              </w:rPr>
              <w:t>MacroGenics Platform Improvement</w:t>
            </w:r>
          </w:p>
        </w:tc>
        <w:tc>
          <w:tcPr>
            <w:tcW w:w="564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20"/>
                <w:szCs w:val="20"/>
                <w:color w:val="auto"/>
              </w:rPr>
              <w:t>Section 16.1(c) (MacroGenics Platform Improvement IP)</w:t>
            </w:r>
          </w:p>
        </w:tc>
      </w:tr>
      <w:tr>
        <w:trPr>
          <w:trHeight w:val="252"/>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Know-How</w:t>
            </w:r>
          </w:p>
        </w:tc>
        <w:tc>
          <w:tcPr>
            <w:tcW w:w="5640" w:type="dxa"/>
            <w:vAlign w:val="bottom"/>
            <w:tcBorders>
              <w:bottom w:val="single" w:sz="8" w:color="auto"/>
              <w:right w:val="single" w:sz="8" w:color="auto"/>
            </w:tcBorders>
          </w:tcPr>
          <w:p>
            <w:pPr>
              <w:spacing w:after="0"/>
              <w:rPr>
                <w:sz w:val="21"/>
                <w:szCs w:val="21"/>
                <w:color w:val="auto"/>
              </w:rPr>
            </w:pPr>
          </w:p>
        </w:tc>
      </w:tr>
      <w:tr>
        <w:trPr>
          <w:trHeight w:val="187"/>
        </w:trPr>
        <w:tc>
          <w:tcPr>
            <w:tcW w:w="4220" w:type="dxa"/>
            <w:vAlign w:val="bottom"/>
            <w:tcBorders>
              <w:left w:val="single" w:sz="8" w:color="auto"/>
              <w:right w:val="single" w:sz="8" w:color="auto"/>
            </w:tcBorders>
          </w:tcPr>
          <w:p>
            <w:pPr>
              <w:ind w:left="140"/>
              <w:spacing w:after="0" w:line="186" w:lineRule="exact"/>
              <w:rPr>
                <w:sz w:val="20"/>
                <w:szCs w:val="20"/>
                <w:color w:val="auto"/>
              </w:rPr>
            </w:pPr>
            <w:r>
              <w:rPr>
                <w:rFonts w:ascii="Arial" w:cs="Arial" w:eastAsia="Arial" w:hAnsi="Arial"/>
                <w:sz w:val="20"/>
                <w:szCs w:val="20"/>
                <w:b w:val="1"/>
                <w:bCs w:val="1"/>
                <w:color w:val="auto"/>
              </w:rPr>
              <w:t>MacroGenics Identified Upstream</w:t>
            </w:r>
          </w:p>
        </w:tc>
        <w:tc>
          <w:tcPr>
            <w:tcW w:w="564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20"/>
                <w:szCs w:val="20"/>
                <w:color w:val="auto"/>
              </w:rPr>
              <w:t>Section 3.8(b)(i) (Notice of MacroGenics Identified Rights)</w:t>
            </w:r>
          </w:p>
        </w:tc>
      </w:tr>
      <w:tr>
        <w:trPr>
          <w:trHeight w:val="252"/>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License</w:t>
            </w:r>
          </w:p>
        </w:tc>
        <w:tc>
          <w:tcPr>
            <w:tcW w:w="5640" w:type="dxa"/>
            <w:vAlign w:val="bottom"/>
            <w:tcBorders>
              <w:bottom w:val="single" w:sz="8" w:color="auto"/>
              <w:right w:val="single" w:sz="8" w:color="auto"/>
            </w:tcBorders>
          </w:tcPr>
          <w:p>
            <w:pPr>
              <w:spacing w:after="0"/>
              <w:rPr>
                <w:sz w:val="21"/>
                <w:szCs w:val="21"/>
                <w:color w:val="auto"/>
              </w:rPr>
            </w:pP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Manufacturing Technology Transfer</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9.4 (Manufacturing Technology Transfer)</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Manufacturing Transition Budget</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9.4 (Manufacturing Technology Transfer)</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Manufacturing Transition Plan</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9.4 (Manufacturing Technology Transfer)</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Materials</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3.9 (Materials Transfer)</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MGD024 Transfer Price</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9.1(a)(iii) (Clinical Supply Agreement)</w:t>
            </w:r>
          </w:p>
        </w:tc>
      </w:tr>
      <w:tr>
        <w:trPr>
          <w:trHeight w:val="247"/>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53"/>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New License Agreement</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3.3(c) (Survival of Gilead Sublicensees)</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Non-Bankrupt Party</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18.5 (Termination for Bankruptcy)</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Non-Breaching Party</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18.2(a) (Material Breach)</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Noninvolved Party</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19.3 (Section 365(n) of the Bankruptcy Code)</w:t>
            </w:r>
          </w:p>
        </w:tc>
      </w:tr>
      <w:tr>
        <w:trPr>
          <w:trHeight w:val="247"/>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196"/>
        </w:trPr>
        <w:tc>
          <w:tcPr>
            <w:tcW w:w="4220" w:type="dxa"/>
            <w:vAlign w:val="bottom"/>
            <w:tcBorders>
              <w:left w:val="single" w:sz="8" w:color="auto"/>
              <w:right w:val="single" w:sz="8" w:color="auto"/>
            </w:tcBorders>
          </w:tcPr>
          <w:p>
            <w:pPr>
              <w:ind w:left="140"/>
              <w:spacing w:after="0" w:line="196" w:lineRule="exact"/>
              <w:rPr>
                <w:sz w:val="20"/>
                <w:szCs w:val="20"/>
                <w:color w:val="auto"/>
              </w:rPr>
            </w:pPr>
            <w:r>
              <w:rPr>
                <w:rFonts w:ascii="Arial" w:cs="Arial" w:eastAsia="Arial" w:hAnsi="Arial"/>
                <w:sz w:val="20"/>
                <w:szCs w:val="20"/>
                <w:b w:val="1"/>
                <w:bCs w:val="1"/>
                <w:color w:val="auto"/>
              </w:rPr>
              <w:t>Obligants</w:t>
            </w:r>
          </w:p>
        </w:tc>
        <w:tc>
          <w:tcPr>
            <w:tcW w:w="5640" w:type="dxa"/>
            <w:vAlign w:val="bottom"/>
            <w:tcBorders>
              <w:right w:val="single" w:sz="8" w:color="auto"/>
            </w:tcBorders>
          </w:tcPr>
          <w:p>
            <w:pPr>
              <w:ind w:left="120"/>
              <w:spacing w:after="0" w:line="196" w:lineRule="exact"/>
              <w:rPr>
                <w:sz w:val="20"/>
                <w:szCs w:val="20"/>
                <w:color w:val="auto"/>
              </w:rPr>
            </w:pPr>
            <w:r>
              <w:rPr>
                <w:rFonts w:ascii="Arial" w:cs="Arial" w:eastAsia="Arial" w:hAnsi="Arial"/>
                <w:sz w:val="20"/>
                <w:szCs w:val="20"/>
                <w:color w:val="auto"/>
                <w:w w:val="99"/>
              </w:rPr>
              <w:t>Section 13.2 (Covenants, Representations and Warranties For</w:t>
            </w:r>
          </w:p>
        </w:tc>
      </w:tr>
      <w:tr>
        <w:trPr>
          <w:trHeight w:val="246"/>
        </w:trPr>
        <w:tc>
          <w:tcPr>
            <w:tcW w:w="4220" w:type="dxa"/>
            <w:vAlign w:val="bottom"/>
            <w:tcBorders>
              <w:left w:val="single" w:sz="8" w:color="auto"/>
              <w:bottom w:val="single" w:sz="8" w:color="auto"/>
              <w:right w:val="single" w:sz="8" w:color="auto"/>
            </w:tcBorders>
          </w:tcPr>
          <w:p>
            <w:pPr>
              <w:spacing w:after="0"/>
              <w:rPr>
                <w:sz w:val="21"/>
                <w:szCs w:val="21"/>
                <w:color w:val="auto"/>
              </w:rPr>
            </w:pP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Compliance with Laws)</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OFAC</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13.2(d) (Export Control Laws)</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Other Effector Target</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1.41 (Effector Target)</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Outside Date</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6.1(c) (Outside Date)</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Party </w:t>
            </w:r>
            <w:r>
              <w:rPr>
                <w:rFonts w:ascii="Arial" w:cs="Arial" w:eastAsia="Arial" w:hAnsi="Arial"/>
                <w:sz w:val="20"/>
                <w:szCs w:val="20"/>
                <w:color w:val="auto"/>
              </w:rPr>
              <w:t>or</w:t>
            </w:r>
            <w:r>
              <w:rPr>
                <w:rFonts w:ascii="Arial" w:cs="Arial" w:eastAsia="Arial" w:hAnsi="Arial"/>
                <w:sz w:val="20"/>
                <w:szCs w:val="20"/>
                <w:b w:val="1"/>
                <w:bCs w:val="1"/>
                <w:color w:val="auto"/>
              </w:rPr>
              <w:t xml:space="preserve"> Parties</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Preamble</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Patent Challenge</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18.6 (Termination for Patent Challenge)</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Patent Term Extensions</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16.7 (Patent Term Extensions)</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Permitted Subcontractor</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3.4 (Subcontractors)</w:t>
            </w:r>
          </w:p>
        </w:tc>
      </w:tr>
      <w:tr>
        <w:trPr>
          <w:trHeight w:val="247"/>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53"/>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PHS Act</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1.20 (cGMP)</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Proposed Research Target Combination</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5.1(c) (Confirmed Research Target Combinations)</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Upstream License</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3.8(c)(i) [***] Upstream Licenses)</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Protected Personal Information</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13.2(b) (Data Protection Laws)</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Recalls</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7.6 (Recalls)</w:t>
            </w:r>
          </w:p>
        </w:tc>
      </w:tr>
      <w:tr>
        <w:trPr>
          <w:trHeight w:val="250"/>
        </w:trPr>
        <w:tc>
          <w:tcPr>
            <w:tcW w:w="4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Receiving Party</w:t>
            </w:r>
          </w:p>
        </w:tc>
        <w:tc>
          <w:tcPr>
            <w:tcW w:w="5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12.1(a) (Definition and Restrictions)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139"/>
          </w:cols>
          <w:pgMar w:left="320" w:top="1440" w:right="1440" w:bottom="1440" w:gutter="0" w:footer="0" w:header="0"/>
        </w:sectPr>
      </w:pPr>
    </w:p>
    <w:bookmarkStart w:id="144" w:name="page145"/>
    <w:bookmarkEnd w:id="144"/>
    <w:tbl>
      <w:tblPr>
        <w:tblLayout w:type="fixed"/>
        <w:tblInd w:w="109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bottom w:val="single" w:sz="8" w:color="auto"/>
              <w:right w:val="single" w:sz="8" w:color="auto"/>
            </w:tcBorders>
            <w:shd w:val="clear" w:color="auto" w:fill="9CC1E4"/>
          </w:tcPr>
          <w:p>
            <w:pPr>
              <w:ind w:left="140"/>
              <w:spacing w:after="0"/>
              <w:rPr>
                <w:sz w:val="20"/>
                <w:szCs w:val="20"/>
                <w:color w:val="auto"/>
              </w:rPr>
            </w:pPr>
            <w:r>
              <w:rPr>
                <w:rFonts w:ascii="Arial" w:cs="Arial" w:eastAsia="Arial" w:hAnsi="Arial"/>
                <w:sz w:val="20"/>
                <w:szCs w:val="20"/>
                <w:b w:val="1"/>
                <w:bCs w:val="1"/>
                <w:color w:val="auto"/>
              </w:rPr>
              <w:t>Definition</w:t>
            </w:r>
          </w:p>
        </w:tc>
        <w:tc>
          <w:tcPr>
            <w:tcW w:w="5060" w:type="dxa"/>
            <w:vAlign w:val="bottom"/>
            <w:tcBorders>
              <w:top w:val="single" w:sz="8" w:color="auto"/>
              <w:bottom w:val="single" w:sz="8" w:color="auto"/>
              <w:right w:val="single" w:sz="8" w:color="auto"/>
            </w:tcBorders>
            <w:shd w:val="clear" w:color="auto" w:fill="9CC1E4"/>
          </w:tcPr>
          <w:p>
            <w:pPr>
              <w:ind w:left="120"/>
              <w:spacing w:after="0"/>
              <w:rPr>
                <w:sz w:val="20"/>
                <w:szCs w:val="20"/>
                <w:color w:val="auto"/>
              </w:rPr>
            </w:pPr>
            <w:r>
              <w:rPr>
                <w:rFonts w:ascii="Arial" w:cs="Arial" w:eastAsia="Arial" w:hAnsi="Arial"/>
                <w:sz w:val="20"/>
                <w:szCs w:val="20"/>
                <w:b w:val="1"/>
                <w:bCs w:val="1"/>
                <w:color w:val="auto"/>
              </w:rPr>
              <w:t>Section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Recovery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16.4(c)(i) (Recovery Allocations)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Representatives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12.1(c)(iii) (Permitted Disclosures)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Requesting Party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11.6 (Audit Rights)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w w:val="98"/>
              </w:rPr>
              <w:t>Required Regulatory Activities Budget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4.2(b) (Required Regulatory Activities)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Research Budget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5.2 (Research Program)</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Research Plan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5.2 (Research Program)</w:t>
            </w:r>
          </w:p>
        </w:tc>
      </w:tr>
      <w:tr>
        <w:trPr>
          <w:trHeight w:val="227"/>
        </w:trPr>
        <w:tc>
          <w:tcPr>
            <w:tcW w:w="3780" w:type="dxa"/>
            <w:vAlign w:val="bottom"/>
            <w:tcBorders>
              <w:left w:val="single" w:sz="8" w:color="auto"/>
              <w:right w:val="single" w:sz="8" w:color="auto"/>
            </w:tcBorders>
          </w:tcPr>
          <w:p>
            <w:pPr>
              <w:ind w:left="140"/>
              <w:spacing w:after="0" w:line="228" w:lineRule="exact"/>
              <w:rPr>
                <w:sz w:val="20"/>
                <w:szCs w:val="20"/>
                <w:color w:val="auto"/>
              </w:rPr>
            </w:pPr>
            <w:r>
              <w:rPr>
                <w:rFonts w:ascii="Arial" w:cs="Arial" w:eastAsia="Arial" w:hAnsi="Arial"/>
                <w:sz w:val="20"/>
                <w:szCs w:val="20"/>
                <w:b w:val="1"/>
                <w:bCs w:val="1"/>
                <w:color w:val="auto"/>
                <w:w w:val="89"/>
              </w:rPr>
              <w:t>Research Product Development Milestone</w:t>
            </w:r>
          </w:p>
        </w:tc>
        <w:tc>
          <w:tcPr>
            <w:tcW w:w="5060" w:type="dxa"/>
            <w:vAlign w:val="bottom"/>
            <w:tcBorders>
              <w:right w:val="single" w:sz="8" w:color="auto"/>
            </w:tcBorders>
          </w:tcPr>
          <w:p>
            <w:pPr>
              <w:ind w:left="120"/>
              <w:spacing w:after="0" w:line="228" w:lineRule="exact"/>
              <w:rPr>
                <w:sz w:val="20"/>
                <w:szCs w:val="20"/>
                <w:color w:val="auto"/>
              </w:rPr>
            </w:pPr>
            <w:r>
              <w:rPr>
                <w:rFonts w:ascii="Arial" w:cs="Arial" w:eastAsia="Arial" w:hAnsi="Arial"/>
                <w:sz w:val="20"/>
                <w:szCs w:val="20"/>
                <w:color w:val="auto"/>
              </w:rPr>
              <w:t>Section 10.2(b) (Research Products)</w:t>
            </w:r>
          </w:p>
        </w:tc>
      </w:tr>
      <w:tr>
        <w:trPr>
          <w:trHeight w:val="256"/>
        </w:trPr>
        <w:tc>
          <w:tcPr>
            <w:tcW w:w="37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Event</w:t>
            </w:r>
          </w:p>
        </w:tc>
        <w:tc>
          <w:tcPr>
            <w:tcW w:w="5060" w:type="dxa"/>
            <w:vAlign w:val="bottom"/>
            <w:tcBorders>
              <w:right w:val="single" w:sz="8" w:color="auto"/>
            </w:tcBorders>
          </w:tcPr>
          <w:p>
            <w:pPr>
              <w:spacing w:after="0"/>
              <w:rPr>
                <w:sz w:val="22"/>
                <w:szCs w:val="22"/>
                <w:color w:val="auto"/>
              </w:rPr>
            </w:pPr>
          </w:p>
        </w:tc>
      </w:tr>
      <w:tr>
        <w:trPr>
          <w:trHeight w:val="36"/>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r>
      <w:tr>
        <w:trPr>
          <w:trHeight w:val="227"/>
        </w:trPr>
        <w:tc>
          <w:tcPr>
            <w:tcW w:w="3780" w:type="dxa"/>
            <w:vAlign w:val="bottom"/>
            <w:tcBorders>
              <w:left w:val="single" w:sz="8" w:color="auto"/>
              <w:right w:val="single" w:sz="8" w:color="auto"/>
            </w:tcBorders>
          </w:tcPr>
          <w:p>
            <w:pPr>
              <w:ind w:left="140"/>
              <w:spacing w:after="0" w:line="228" w:lineRule="exact"/>
              <w:rPr>
                <w:sz w:val="20"/>
                <w:szCs w:val="20"/>
                <w:color w:val="auto"/>
              </w:rPr>
            </w:pPr>
            <w:r>
              <w:rPr>
                <w:rFonts w:ascii="Arial" w:cs="Arial" w:eastAsia="Arial" w:hAnsi="Arial"/>
                <w:sz w:val="20"/>
                <w:szCs w:val="20"/>
                <w:b w:val="1"/>
                <w:bCs w:val="1"/>
                <w:color w:val="auto"/>
                <w:w w:val="89"/>
              </w:rPr>
              <w:t>Research Product Development Milestone</w:t>
            </w:r>
          </w:p>
        </w:tc>
        <w:tc>
          <w:tcPr>
            <w:tcW w:w="5060" w:type="dxa"/>
            <w:vAlign w:val="bottom"/>
            <w:tcBorders>
              <w:right w:val="single" w:sz="8" w:color="auto"/>
            </w:tcBorders>
          </w:tcPr>
          <w:p>
            <w:pPr>
              <w:ind w:left="120"/>
              <w:spacing w:after="0" w:line="228" w:lineRule="exact"/>
              <w:rPr>
                <w:sz w:val="20"/>
                <w:szCs w:val="20"/>
                <w:color w:val="auto"/>
              </w:rPr>
            </w:pPr>
            <w:r>
              <w:rPr>
                <w:rFonts w:ascii="Arial" w:cs="Arial" w:eastAsia="Arial" w:hAnsi="Arial"/>
                <w:sz w:val="20"/>
                <w:szCs w:val="20"/>
                <w:color w:val="auto"/>
              </w:rPr>
              <w:t>Section 10.2(b) (Research Products)</w:t>
            </w:r>
          </w:p>
        </w:tc>
      </w:tr>
      <w:tr>
        <w:trPr>
          <w:trHeight w:val="256"/>
        </w:trPr>
        <w:tc>
          <w:tcPr>
            <w:tcW w:w="37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Payment</w:t>
            </w:r>
          </w:p>
        </w:tc>
        <w:tc>
          <w:tcPr>
            <w:tcW w:w="5060" w:type="dxa"/>
            <w:vAlign w:val="bottom"/>
            <w:tcBorders>
              <w:right w:val="single" w:sz="8" w:color="auto"/>
            </w:tcBorders>
          </w:tcPr>
          <w:p>
            <w:pPr>
              <w:spacing w:after="0"/>
              <w:rPr>
                <w:sz w:val="22"/>
                <w:szCs w:val="22"/>
                <w:color w:val="auto"/>
              </w:rPr>
            </w:pPr>
          </w:p>
        </w:tc>
      </w:tr>
      <w:tr>
        <w:trPr>
          <w:trHeight w:val="36"/>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Research Program</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5.2 (Research Program)</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Research Program Opt-In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5.8(a) (Opt-In Grant)</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Research Program Opt-In Date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5.8(c) (Option Exercise)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w w:val="94"/>
              </w:rPr>
              <w:t>Research Program Opt-In Effective Date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6.1(b)(ii) (Research Programs Effectiveness)</w:t>
            </w:r>
          </w:p>
        </w:tc>
      </w:tr>
      <w:tr>
        <w:trPr>
          <w:trHeight w:val="227"/>
        </w:trPr>
        <w:tc>
          <w:tcPr>
            <w:tcW w:w="3780" w:type="dxa"/>
            <w:vAlign w:val="bottom"/>
            <w:tcBorders>
              <w:left w:val="single" w:sz="8" w:color="auto"/>
              <w:right w:val="single" w:sz="8" w:color="auto"/>
            </w:tcBorders>
          </w:tcPr>
          <w:p>
            <w:pPr>
              <w:ind w:left="140"/>
              <w:spacing w:after="0" w:line="228" w:lineRule="exact"/>
              <w:rPr>
                <w:sz w:val="20"/>
                <w:szCs w:val="20"/>
                <w:color w:val="auto"/>
              </w:rPr>
            </w:pPr>
            <w:r>
              <w:rPr>
                <w:rFonts w:ascii="Arial" w:cs="Arial" w:eastAsia="Arial" w:hAnsi="Arial"/>
                <w:sz w:val="20"/>
                <w:szCs w:val="20"/>
                <w:b w:val="1"/>
                <w:bCs w:val="1"/>
                <w:color w:val="auto"/>
              </w:rPr>
              <w:t>Research Program Opt-In Exercise</w:t>
            </w:r>
          </w:p>
        </w:tc>
        <w:tc>
          <w:tcPr>
            <w:tcW w:w="5060" w:type="dxa"/>
            <w:vAlign w:val="bottom"/>
            <w:tcBorders>
              <w:right w:val="single" w:sz="8" w:color="auto"/>
            </w:tcBorders>
          </w:tcPr>
          <w:p>
            <w:pPr>
              <w:ind w:left="120"/>
              <w:spacing w:after="0" w:line="228" w:lineRule="exact"/>
              <w:rPr>
                <w:sz w:val="20"/>
                <w:szCs w:val="20"/>
                <w:color w:val="auto"/>
              </w:rPr>
            </w:pPr>
            <w:r>
              <w:rPr>
                <w:rFonts w:ascii="Arial" w:cs="Arial" w:eastAsia="Arial" w:hAnsi="Arial"/>
                <w:sz w:val="20"/>
                <w:szCs w:val="20"/>
                <w:color w:val="auto"/>
              </w:rPr>
              <w:t>Section 5.8(c) (Option Exercise)</w:t>
            </w:r>
          </w:p>
        </w:tc>
      </w:tr>
      <w:tr>
        <w:trPr>
          <w:trHeight w:val="256"/>
        </w:trPr>
        <w:tc>
          <w:tcPr>
            <w:tcW w:w="37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Notice</w:t>
            </w:r>
          </w:p>
        </w:tc>
        <w:tc>
          <w:tcPr>
            <w:tcW w:w="5060" w:type="dxa"/>
            <w:vAlign w:val="bottom"/>
            <w:tcBorders>
              <w:right w:val="single" w:sz="8" w:color="auto"/>
            </w:tcBorders>
          </w:tcPr>
          <w:p>
            <w:pPr>
              <w:spacing w:after="0"/>
              <w:rPr>
                <w:sz w:val="22"/>
                <w:szCs w:val="22"/>
                <w:color w:val="auto"/>
              </w:rPr>
            </w:pPr>
          </w:p>
        </w:tc>
      </w:tr>
      <w:tr>
        <w:trPr>
          <w:trHeight w:val="36"/>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Research Program Opt-In Term</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5.8(c) (Option Exercise)</w:t>
            </w:r>
          </w:p>
        </w:tc>
      </w:tr>
      <w:tr>
        <w:trPr>
          <w:trHeight w:val="193"/>
        </w:trPr>
        <w:tc>
          <w:tcPr>
            <w:tcW w:w="3780" w:type="dxa"/>
            <w:vAlign w:val="bottom"/>
            <w:tcBorders>
              <w:left w:val="single" w:sz="8" w:color="auto"/>
              <w:right w:val="single" w:sz="8" w:color="auto"/>
            </w:tcBorders>
          </w:tcPr>
          <w:p>
            <w:pPr>
              <w:ind w:left="140"/>
              <w:spacing w:after="0" w:line="193" w:lineRule="exact"/>
              <w:rPr>
                <w:sz w:val="20"/>
                <w:szCs w:val="20"/>
                <w:color w:val="auto"/>
              </w:rPr>
            </w:pPr>
            <w:r>
              <w:rPr>
                <w:rFonts w:ascii="Arial" w:cs="Arial" w:eastAsia="Arial" w:hAnsi="Arial"/>
                <w:sz w:val="20"/>
                <w:szCs w:val="20"/>
                <w:b w:val="1"/>
                <w:bCs w:val="1"/>
                <w:color w:val="auto"/>
              </w:rPr>
              <w:t>Research Program Subcommittee</w:t>
            </w:r>
          </w:p>
        </w:tc>
        <w:tc>
          <w:tcPr>
            <w:tcW w:w="5060" w:type="dxa"/>
            <w:vAlign w:val="bottom"/>
            <w:tcBorders>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Section 2.2 (Additional Subcommittees and Working</w:t>
            </w:r>
          </w:p>
        </w:tc>
      </w:tr>
      <w:tr>
        <w:trPr>
          <w:trHeight w:val="246"/>
        </w:trPr>
        <w:tc>
          <w:tcPr>
            <w:tcW w:w="378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Groups)</w:t>
            </w:r>
          </w:p>
        </w:tc>
      </w:tr>
      <w:tr>
        <w:trPr>
          <w:trHeight w:val="187"/>
        </w:trPr>
        <w:tc>
          <w:tcPr>
            <w:tcW w:w="3780" w:type="dxa"/>
            <w:vAlign w:val="bottom"/>
            <w:tcBorders>
              <w:left w:val="single" w:sz="8" w:color="auto"/>
              <w:right w:val="single" w:sz="8" w:color="auto"/>
            </w:tcBorders>
          </w:tcPr>
          <w:p>
            <w:pPr>
              <w:ind w:left="140"/>
              <w:spacing w:after="0" w:line="186" w:lineRule="exact"/>
              <w:rPr>
                <w:sz w:val="20"/>
                <w:szCs w:val="20"/>
                <w:color w:val="auto"/>
              </w:rPr>
            </w:pPr>
            <w:r>
              <w:rPr>
                <w:rFonts w:ascii="Arial" w:cs="Arial" w:eastAsia="Arial" w:hAnsi="Arial"/>
                <w:sz w:val="20"/>
                <w:szCs w:val="20"/>
                <w:b w:val="1"/>
                <w:bCs w:val="1"/>
                <w:color w:val="auto"/>
                <w:w w:val="94"/>
              </w:rPr>
              <w:t>Research Program Technology Transfer</w:t>
            </w:r>
          </w:p>
        </w:tc>
        <w:tc>
          <w:tcPr>
            <w:tcW w:w="506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20"/>
                <w:szCs w:val="20"/>
                <w:color w:val="auto"/>
              </w:rPr>
              <w:t>Section 5.9 (Technology Transfer)</w:t>
            </w:r>
          </w:p>
        </w:tc>
      </w:tr>
      <w:tr>
        <w:trPr>
          <w:trHeight w:val="252"/>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Period</w:t>
            </w:r>
          </w:p>
        </w:tc>
        <w:tc>
          <w:tcPr>
            <w:tcW w:w="5060" w:type="dxa"/>
            <w:vAlign w:val="bottom"/>
            <w:tcBorders>
              <w:bottom w:val="single" w:sz="8" w:color="auto"/>
              <w:right w:val="single" w:sz="8" w:color="auto"/>
            </w:tcBorders>
          </w:tcPr>
          <w:p>
            <w:pPr>
              <w:spacing w:after="0"/>
              <w:rPr>
                <w:sz w:val="21"/>
                <w:szCs w:val="21"/>
                <w:color w:val="auto"/>
              </w:rPr>
            </w:pPr>
          </w:p>
        </w:tc>
      </w:tr>
      <w:tr>
        <w:trPr>
          <w:trHeight w:val="187"/>
        </w:trPr>
        <w:tc>
          <w:tcPr>
            <w:tcW w:w="3780" w:type="dxa"/>
            <w:vAlign w:val="bottom"/>
            <w:tcBorders>
              <w:left w:val="single" w:sz="8" w:color="auto"/>
              <w:right w:val="single" w:sz="8" w:color="auto"/>
            </w:tcBorders>
          </w:tcPr>
          <w:p>
            <w:pPr>
              <w:ind w:left="140"/>
              <w:spacing w:after="0" w:line="186" w:lineRule="exact"/>
              <w:rPr>
                <w:sz w:val="20"/>
                <w:szCs w:val="20"/>
                <w:color w:val="auto"/>
              </w:rPr>
            </w:pPr>
            <w:r>
              <w:rPr>
                <w:rFonts w:ascii="Arial" w:cs="Arial" w:eastAsia="Arial" w:hAnsi="Arial"/>
                <w:sz w:val="20"/>
                <w:szCs w:val="20"/>
                <w:b w:val="1"/>
                <w:bCs w:val="1"/>
                <w:color w:val="auto"/>
                <w:w w:val="94"/>
              </w:rPr>
              <w:t>Research Program Technology Transfer</w:t>
            </w:r>
          </w:p>
        </w:tc>
        <w:tc>
          <w:tcPr>
            <w:tcW w:w="506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20"/>
                <w:szCs w:val="20"/>
                <w:color w:val="auto"/>
              </w:rPr>
              <w:t>Section 5.9 (Technology Transfer)</w:t>
            </w:r>
          </w:p>
        </w:tc>
      </w:tr>
      <w:tr>
        <w:trPr>
          <w:trHeight w:val="252"/>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Plan</w:t>
            </w:r>
          </w:p>
        </w:tc>
        <w:tc>
          <w:tcPr>
            <w:tcW w:w="5060" w:type="dxa"/>
            <w:vAlign w:val="bottom"/>
            <w:tcBorders>
              <w:bottom w:val="single" w:sz="8" w:color="auto"/>
              <w:right w:val="single" w:sz="8" w:color="auto"/>
            </w:tcBorders>
          </w:tcPr>
          <w:p>
            <w:pPr>
              <w:spacing w:after="0"/>
              <w:rPr>
                <w:sz w:val="21"/>
                <w:szCs w:val="21"/>
                <w:color w:val="auto"/>
              </w:rPr>
            </w:pP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Research Target Combination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5.1(a) (Research Target Nomination Right)</w:t>
            </w:r>
          </w:p>
        </w:tc>
      </w:tr>
      <w:tr>
        <w:trPr>
          <w:trHeight w:val="187"/>
        </w:trPr>
        <w:tc>
          <w:tcPr>
            <w:tcW w:w="3780" w:type="dxa"/>
            <w:vAlign w:val="bottom"/>
            <w:tcBorders>
              <w:left w:val="single" w:sz="8" w:color="auto"/>
              <w:right w:val="single" w:sz="8" w:color="auto"/>
            </w:tcBorders>
          </w:tcPr>
          <w:p>
            <w:pPr>
              <w:ind w:left="140"/>
              <w:spacing w:after="0" w:line="186" w:lineRule="exact"/>
              <w:rPr>
                <w:sz w:val="20"/>
                <w:szCs w:val="20"/>
                <w:color w:val="auto"/>
              </w:rPr>
            </w:pPr>
            <w:r>
              <w:rPr>
                <w:rFonts w:ascii="Arial" w:cs="Arial" w:eastAsia="Arial" w:hAnsi="Arial"/>
                <w:sz w:val="20"/>
                <w:szCs w:val="20"/>
                <w:b w:val="1"/>
                <w:bCs w:val="1"/>
                <w:color w:val="auto"/>
                <w:w w:val="98"/>
              </w:rPr>
              <w:t>Research Target Combination License</w:t>
            </w:r>
          </w:p>
        </w:tc>
        <w:tc>
          <w:tcPr>
            <w:tcW w:w="506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20"/>
                <w:szCs w:val="20"/>
                <w:color w:val="auto"/>
              </w:rPr>
              <w:t>Section 5.2 (Research Program)</w:t>
            </w:r>
          </w:p>
        </w:tc>
      </w:tr>
      <w:tr>
        <w:trPr>
          <w:trHeight w:val="252"/>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Date</w:t>
            </w:r>
          </w:p>
        </w:tc>
        <w:tc>
          <w:tcPr>
            <w:tcW w:w="5060" w:type="dxa"/>
            <w:vAlign w:val="bottom"/>
            <w:tcBorders>
              <w:bottom w:val="single" w:sz="8" w:color="auto"/>
              <w:right w:val="single" w:sz="8" w:color="auto"/>
            </w:tcBorders>
          </w:tcPr>
          <w:p>
            <w:pPr>
              <w:spacing w:after="0"/>
              <w:rPr>
                <w:sz w:val="21"/>
                <w:szCs w:val="21"/>
                <w:color w:val="auto"/>
              </w:rPr>
            </w:pPr>
          </w:p>
        </w:tc>
      </w:tr>
      <w:tr>
        <w:trPr>
          <w:trHeight w:val="187"/>
        </w:trPr>
        <w:tc>
          <w:tcPr>
            <w:tcW w:w="3780" w:type="dxa"/>
            <w:vAlign w:val="bottom"/>
            <w:tcBorders>
              <w:left w:val="single" w:sz="8" w:color="auto"/>
              <w:right w:val="single" w:sz="8" w:color="auto"/>
            </w:tcBorders>
          </w:tcPr>
          <w:p>
            <w:pPr>
              <w:ind w:left="140"/>
              <w:spacing w:after="0" w:line="186" w:lineRule="exact"/>
              <w:rPr>
                <w:sz w:val="20"/>
                <w:szCs w:val="20"/>
                <w:color w:val="auto"/>
              </w:rPr>
            </w:pPr>
            <w:r>
              <w:rPr>
                <w:rFonts w:ascii="Arial" w:cs="Arial" w:eastAsia="Arial" w:hAnsi="Arial"/>
                <w:sz w:val="20"/>
                <w:szCs w:val="20"/>
                <w:b w:val="1"/>
                <w:bCs w:val="1"/>
                <w:color w:val="auto"/>
                <w:w w:val="98"/>
              </w:rPr>
              <w:t>Research Target Combination License</w:t>
            </w:r>
          </w:p>
        </w:tc>
        <w:tc>
          <w:tcPr>
            <w:tcW w:w="506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20"/>
                <w:szCs w:val="20"/>
                <w:color w:val="auto"/>
              </w:rPr>
              <w:t>Section 5.2 (Research Program)</w:t>
            </w:r>
          </w:p>
        </w:tc>
      </w:tr>
      <w:tr>
        <w:trPr>
          <w:trHeight w:val="252"/>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Fee</w:t>
            </w:r>
          </w:p>
        </w:tc>
        <w:tc>
          <w:tcPr>
            <w:tcW w:w="5060" w:type="dxa"/>
            <w:vAlign w:val="bottom"/>
            <w:tcBorders>
              <w:bottom w:val="single" w:sz="8" w:color="auto"/>
              <w:right w:val="single" w:sz="8" w:color="auto"/>
            </w:tcBorders>
          </w:tcPr>
          <w:p>
            <w:pPr>
              <w:spacing w:after="0"/>
              <w:rPr>
                <w:sz w:val="21"/>
                <w:szCs w:val="21"/>
                <w:color w:val="auto"/>
              </w:rPr>
            </w:pP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Research Target Nomination Right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5.1(a) (Research Target Nomination Right)</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Research Target Selection Period</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5.1(a) (Research Target Nomination Right)</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Research Term</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5.5 (Research Term)</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Reverted CD123 Products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3"/>
              </w:rPr>
              <w:t>Section 18.9(b) (Additional Effects of Certain Terminations)</w:t>
            </w:r>
          </w:p>
        </w:tc>
      </w:tr>
      <w:tr>
        <w:trPr>
          <w:trHeight w:val="193"/>
        </w:trPr>
        <w:tc>
          <w:tcPr>
            <w:tcW w:w="3780" w:type="dxa"/>
            <w:vAlign w:val="bottom"/>
            <w:tcBorders>
              <w:left w:val="single" w:sz="8" w:color="auto"/>
              <w:right w:val="single" w:sz="8" w:color="auto"/>
            </w:tcBorders>
          </w:tcPr>
          <w:p>
            <w:pPr>
              <w:ind w:left="140"/>
              <w:spacing w:after="0" w:line="193" w:lineRule="exact"/>
              <w:rPr>
                <w:sz w:val="20"/>
                <w:szCs w:val="20"/>
                <w:color w:val="auto"/>
              </w:rPr>
            </w:pPr>
            <w:r>
              <w:rPr>
                <w:rFonts w:ascii="Arial" w:cs="Arial" w:eastAsia="Arial" w:hAnsi="Arial"/>
                <w:sz w:val="20"/>
                <w:szCs w:val="20"/>
                <w:b w:val="1"/>
                <w:bCs w:val="1"/>
                <w:color w:val="auto"/>
              </w:rPr>
              <w:t>Safety/AE Matters</w:t>
            </w:r>
          </w:p>
        </w:tc>
        <w:tc>
          <w:tcPr>
            <w:tcW w:w="5060" w:type="dxa"/>
            <w:vAlign w:val="bottom"/>
            <w:tcBorders>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Section 7.5 (Adverse Event Reporting; Global Safety</w:t>
            </w:r>
          </w:p>
        </w:tc>
      </w:tr>
      <w:tr>
        <w:trPr>
          <w:trHeight w:val="246"/>
        </w:trPr>
        <w:tc>
          <w:tcPr>
            <w:tcW w:w="378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Database)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Secured Information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13.2(c)(i) (Information Security)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59"/>
          </w:cols>
          <w:pgMar w:left="400" w:top="1402" w:right="1440" w:bottom="1440" w:gutter="0" w:footer="0" w:header="0"/>
        </w:sectPr>
      </w:pPr>
    </w:p>
    <w:bookmarkStart w:id="145" w:name="page146"/>
    <w:bookmarkEnd w:id="145"/>
    <w:tbl>
      <w:tblPr>
        <w:tblLayout w:type="fixed"/>
        <w:tblInd w:w="109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bottom w:val="single" w:sz="8" w:color="auto"/>
              <w:right w:val="single" w:sz="8" w:color="auto"/>
            </w:tcBorders>
            <w:shd w:val="clear" w:color="auto" w:fill="9CC1E4"/>
          </w:tcPr>
          <w:p>
            <w:pPr>
              <w:ind w:left="140"/>
              <w:spacing w:after="0"/>
              <w:rPr>
                <w:sz w:val="20"/>
                <w:szCs w:val="20"/>
                <w:color w:val="auto"/>
              </w:rPr>
            </w:pPr>
            <w:r>
              <w:rPr>
                <w:rFonts w:ascii="Arial" w:cs="Arial" w:eastAsia="Arial" w:hAnsi="Arial"/>
                <w:sz w:val="20"/>
                <w:szCs w:val="20"/>
                <w:b w:val="1"/>
                <w:bCs w:val="1"/>
                <w:color w:val="auto"/>
              </w:rPr>
              <w:t>Definition</w:t>
            </w:r>
          </w:p>
        </w:tc>
        <w:tc>
          <w:tcPr>
            <w:tcW w:w="5060" w:type="dxa"/>
            <w:vAlign w:val="bottom"/>
            <w:tcBorders>
              <w:top w:val="single" w:sz="8" w:color="auto"/>
              <w:bottom w:val="single" w:sz="8" w:color="auto"/>
              <w:right w:val="single" w:sz="8" w:color="auto"/>
            </w:tcBorders>
            <w:shd w:val="clear" w:color="auto" w:fill="9CC1E4"/>
          </w:tcPr>
          <w:p>
            <w:pPr>
              <w:ind w:left="120"/>
              <w:spacing w:after="0"/>
              <w:rPr>
                <w:sz w:val="20"/>
                <w:szCs w:val="20"/>
                <w:color w:val="auto"/>
              </w:rPr>
            </w:pPr>
            <w:r>
              <w:rPr>
                <w:rFonts w:ascii="Arial" w:cs="Arial" w:eastAsia="Arial" w:hAnsi="Arial"/>
                <w:sz w:val="20"/>
                <w:szCs w:val="20"/>
                <w:b w:val="1"/>
                <w:bCs w:val="1"/>
                <w:color w:val="auto"/>
              </w:rPr>
              <w:t>Section</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Securities Regulator</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12.1(c)(ii) (Permitted Disclosures)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Security Incident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13.2(c)(iv) (Information Security)</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Skipped Milestone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10.2(c) (Skipped Milestone)</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Standstill Period</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19.2(a) (Standstill)</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Subject Party</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13.1 (General)</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Subject Party Audit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13.2(a)(iii)(6) (Anti-Corruption Laws)</w:t>
            </w:r>
          </w:p>
        </w:tc>
      </w:tr>
      <w:tr>
        <w:trPr>
          <w:trHeight w:val="247"/>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5.1(d) [***]</w:t>
            </w:r>
          </w:p>
        </w:tc>
      </w:tr>
      <w:tr>
        <w:trPr>
          <w:trHeight w:val="253"/>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w w:val="90"/>
              </w:rPr>
              <w:t>Supplemental Platform Upstream License</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3.8(a)(i) (Notice of Third Party Platform Rights)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Term</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18.1 (Term)</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Third Expansion Cohort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Third Party Allegation</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16.5(a) (Notice of Allegations)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Third Party Platform Rights</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3.8(a)(i) (Notice of Third Party Platform Rights)</w:t>
            </w:r>
          </w:p>
        </w:tc>
      </w:tr>
      <w:tr>
        <w:trPr>
          <w:trHeight w:val="250"/>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Third Party Suit</w:t>
            </w:r>
          </w:p>
        </w:tc>
        <w:tc>
          <w:tcPr>
            <w:tcW w:w="5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Section 16.5(b) (Notice of Suit)</w:t>
            </w:r>
          </w:p>
        </w:tc>
      </w:tr>
    </w:tbl>
    <w:p>
      <w:pPr>
        <w:spacing w:after="0" w:line="382" w:lineRule="exact"/>
        <w:rPr>
          <w:sz w:val="20"/>
          <w:szCs w:val="20"/>
          <w:color w:val="auto"/>
        </w:rPr>
      </w:pPr>
    </w:p>
    <w:p>
      <w:pPr>
        <w:ind w:left="1020"/>
        <w:spacing w:after="0"/>
        <w:tabs>
          <w:tab w:leader="none" w:pos="136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b w:val="1"/>
          <w:bCs w:val="1"/>
          <w:color w:val="auto"/>
        </w:rPr>
        <w:t>Overview; Governance</w:t>
      </w:r>
      <w:r>
        <w:rPr>
          <w:rFonts w:ascii="Arial" w:cs="Arial" w:eastAsia="Arial" w:hAnsi="Arial"/>
          <w:sz w:val="16"/>
          <w:szCs w:val="16"/>
          <w:color w:val="auto"/>
        </w:rPr>
        <w:t>.</w:t>
      </w:r>
    </w:p>
    <w:p>
      <w:pPr>
        <w:spacing w:after="0" w:line="216"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b w:val="1"/>
          <w:bCs w:val="1"/>
          <w:color w:val="auto"/>
        </w:rPr>
        <w:t>Joint Steering Committee</w:t>
      </w:r>
      <w:r>
        <w:rPr>
          <w:rFonts w:ascii="Arial" w:cs="Arial" w:eastAsia="Arial" w:hAnsi="Arial"/>
          <w:sz w:val="16"/>
          <w:szCs w:val="16"/>
          <w:color w:val="auto"/>
        </w:rPr>
        <w:t>.</w:t>
      </w:r>
    </w:p>
    <w:p>
      <w:pPr>
        <w:spacing w:after="0" w:line="216" w:lineRule="exact"/>
        <w:rPr>
          <w:sz w:val="20"/>
          <w:szCs w:val="20"/>
          <w:color w:val="auto"/>
        </w:rPr>
      </w:pPr>
    </w:p>
    <w:p>
      <w:pPr>
        <w:ind w:left="1020" w:firstLine="1301"/>
        <w:spacing w:after="0" w:line="210" w:lineRule="auto"/>
        <w:tabs>
          <w:tab w:leader="none" w:pos="2732" w:val="left"/>
        </w:tabs>
        <w:numPr>
          <w:ilvl w:val="1"/>
          <w:numId w:val="66"/>
        </w:numPr>
        <w:rPr>
          <w:rFonts w:ascii="Arial" w:cs="Arial" w:eastAsia="Arial" w:hAnsi="Arial"/>
          <w:sz w:val="20"/>
          <w:szCs w:val="20"/>
          <w:color w:val="auto"/>
        </w:rPr>
      </w:pPr>
      <w:r>
        <w:rPr>
          <w:rFonts w:ascii="Arial" w:cs="Arial" w:eastAsia="Arial" w:hAnsi="Arial"/>
          <w:sz w:val="20"/>
          <w:szCs w:val="20"/>
          <w:b w:val="1"/>
          <w:bCs w:val="1"/>
          <w:color w:val="auto"/>
        </w:rPr>
        <w:t>Membership</w:t>
      </w:r>
      <w:r>
        <w:rPr>
          <w:rFonts w:ascii="Arial" w:cs="Arial" w:eastAsia="Arial" w:hAnsi="Arial"/>
          <w:sz w:val="20"/>
          <w:szCs w:val="20"/>
          <w:color w:val="auto"/>
        </w:rPr>
        <w:t>. Promptly after the Effective Date, the Parties will establish a joint steering</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(the “</w:t>
      </w:r>
      <w:r>
        <w:rPr>
          <w:rFonts w:ascii="Arial" w:cs="Arial" w:eastAsia="Arial" w:hAnsi="Arial"/>
          <w:sz w:val="20"/>
          <w:szCs w:val="20"/>
          <w:b w:val="1"/>
          <w:bCs w:val="1"/>
          <w:color w:val="auto"/>
        </w:rPr>
        <w:t>Joint Steering Committee</w:t>
      </w:r>
      <w:r>
        <w:rPr>
          <w:rFonts w:ascii="Arial" w:cs="Arial" w:eastAsia="Arial" w:hAnsi="Arial"/>
          <w:sz w:val="20"/>
          <w:szCs w:val="20"/>
          <w:color w:val="auto"/>
        </w:rPr>
        <w:t>” or “</w:t>
      </w:r>
      <w:r>
        <w:rPr>
          <w:rFonts w:ascii="Arial" w:cs="Arial" w:eastAsia="Arial" w:hAnsi="Arial"/>
          <w:sz w:val="20"/>
          <w:szCs w:val="20"/>
          <w:b w:val="1"/>
          <w:bCs w:val="1"/>
          <w:color w:val="auto"/>
        </w:rPr>
        <w:t>JSC</w:t>
      </w:r>
      <w:r>
        <w:rPr>
          <w:rFonts w:ascii="Arial" w:cs="Arial" w:eastAsia="Arial" w:hAnsi="Arial"/>
          <w:sz w:val="20"/>
          <w:szCs w:val="20"/>
          <w:color w:val="auto"/>
        </w:rPr>
        <w:t>”), to coordinate, oversee and, as applicable, approve the Parties’ activities related to the Licensed Molecules and Licensed Products in accordance with this Article 2 (Overview; Governance). The JSC shall consist of three (3) representatives from each Party (or such other number as the Parties may agree). Each Party shall designate one (1) of its representatives of the JSC as a co-chairperson of the JSC (each, a “</w:t>
      </w:r>
      <w:r>
        <w:rPr>
          <w:rFonts w:ascii="Arial" w:cs="Arial" w:eastAsia="Arial" w:hAnsi="Arial"/>
          <w:sz w:val="20"/>
          <w:szCs w:val="20"/>
          <w:b w:val="1"/>
          <w:bCs w:val="1"/>
          <w:color w:val="auto"/>
        </w:rPr>
        <w:t>JSC</w:t>
      </w:r>
      <w:r>
        <w:rPr>
          <w:rFonts w:ascii="Arial" w:cs="Arial" w:eastAsia="Arial" w:hAnsi="Arial"/>
          <w:sz w:val="20"/>
          <w:szCs w:val="20"/>
          <w:color w:val="auto"/>
        </w:rPr>
        <w:t xml:space="preserve"> </w:t>
      </w:r>
      <w:r>
        <w:rPr>
          <w:rFonts w:ascii="Arial" w:cs="Arial" w:eastAsia="Arial" w:hAnsi="Arial"/>
          <w:sz w:val="20"/>
          <w:szCs w:val="20"/>
          <w:b w:val="1"/>
          <w:bCs w:val="1"/>
          <w:color w:val="auto"/>
        </w:rPr>
        <w:t>Co-Chairperson</w:t>
      </w:r>
      <w:r>
        <w:rPr>
          <w:rFonts w:ascii="Arial" w:cs="Arial" w:eastAsia="Arial" w:hAnsi="Arial"/>
          <w:sz w:val="20"/>
          <w:szCs w:val="20"/>
          <w:color w:val="auto"/>
        </w:rPr>
        <w:t>”). Each Party may replace its appointed JSC representatives at any time upon reasonable written notice</w:t>
      </w:r>
      <w:r>
        <w:rPr>
          <w:rFonts w:ascii="Arial" w:cs="Arial" w:eastAsia="Arial" w:hAnsi="Arial"/>
          <w:sz w:val="20"/>
          <w:szCs w:val="20"/>
          <w:b w:val="1"/>
          <w:bCs w:val="1"/>
          <w:color w:val="auto"/>
        </w:rPr>
        <w:t xml:space="preserve"> </w:t>
      </w:r>
      <w:r>
        <w:rPr>
          <w:rFonts w:ascii="Arial" w:cs="Arial" w:eastAsia="Arial" w:hAnsi="Arial"/>
          <w:sz w:val="20"/>
          <w:szCs w:val="20"/>
          <w:color w:val="auto"/>
        </w:rPr>
        <w:t>to the other Party. The JSC Co- Chairpersons, in consultation with the Alliance Managers, will have the following roles and responsibilities:</w:t>
      </w:r>
    </w:p>
    <w:p>
      <w:pPr>
        <w:spacing w:after="0" w:line="5" w:lineRule="exact"/>
        <w:rPr>
          <w:rFonts w:ascii="Arial" w:cs="Arial" w:eastAsia="Arial" w:hAnsi="Arial"/>
          <w:sz w:val="20"/>
          <w:szCs w:val="20"/>
          <w:color w:val="auto"/>
        </w:rPr>
      </w:pPr>
    </w:p>
    <w:p>
      <w:pPr>
        <w:jc w:val="both"/>
        <w:ind w:left="1020" w:firstLine="6"/>
        <w:spacing w:after="0" w:line="242" w:lineRule="auto"/>
        <w:tabs>
          <w:tab w:leader="none" w:pos="12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call meetings, send notice of each such meeting and designate the time, date and place of each such meeting; (ii) to convene or poll the representatives by other permitted means; and (iii) to approve (including via email) the final minutes of any meeting of the JSC. The JSC Co-Chairpersons shall have no other authority or special voting power.</w:t>
      </w:r>
    </w:p>
    <w:p>
      <w:pPr>
        <w:spacing w:after="0" w:line="188" w:lineRule="exact"/>
        <w:rPr>
          <w:rFonts w:ascii="Arial" w:cs="Arial" w:eastAsia="Arial" w:hAnsi="Arial"/>
          <w:sz w:val="18"/>
          <w:szCs w:val="18"/>
          <w:color w:val="auto"/>
        </w:rPr>
      </w:pPr>
    </w:p>
    <w:p>
      <w:pPr>
        <w:ind w:left="2740" w:hanging="419"/>
        <w:spacing w:after="0"/>
        <w:tabs>
          <w:tab w:leader="none" w:pos="2740" w:val="left"/>
        </w:tabs>
        <w:numPr>
          <w:ilvl w:val="1"/>
          <w:numId w:val="67"/>
        </w:numPr>
        <w:rPr>
          <w:rFonts w:ascii="Arial" w:cs="Arial" w:eastAsia="Arial" w:hAnsi="Arial"/>
          <w:sz w:val="20"/>
          <w:szCs w:val="20"/>
          <w:color w:val="auto"/>
        </w:rPr>
      </w:pPr>
      <w:r>
        <w:rPr>
          <w:rFonts w:ascii="Arial" w:cs="Arial" w:eastAsia="Arial" w:hAnsi="Arial"/>
          <w:sz w:val="20"/>
          <w:szCs w:val="20"/>
          <w:b w:val="1"/>
          <w:bCs w:val="1"/>
          <w:color w:val="auto"/>
        </w:rPr>
        <w:t>Responsibilities</w:t>
      </w:r>
      <w:r>
        <w:rPr>
          <w:rFonts w:ascii="Arial" w:cs="Arial" w:eastAsia="Arial" w:hAnsi="Arial"/>
          <w:sz w:val="20"/>
          <w:szCs w:val="20"/>
          <w:color w:val="auto"/>
        </w:rPr>
        <w:t>. The responsibilities of the JSC shall be:</w:t>
      </w:r>
    </w:p>
    <w:p>
      <w:pPr>
        <w:spacing w:after="0" w:line="221" w:lineRule="exact"/>
        <w:rPr>
          <w:rFonts w:ascii="Arial" w:cs="Arial" w:eastAsia="Arial" w:hAnsi="Arial"/>
          <w:sz w:val="20"/>
          <w:szCs w:val="20"/>
          <w:color w:val="auto"/>
        </w:rPr>
      </w:pPr>
    </w:p>
    <w:p>
      <w:pPr>
        <w:ind w:left="1020" w:right="280" w:firstLine="1949"/>
        <w:spacing w:after="0" w:line="252" w:lineRule="auto"/>
        <w:tabs>
          <w:tab w:leader="none" w:pos="3349" w:val="left"/>
        </w:tabs>
        <w:numPr>
          <w:ilvl w:val="2"/>
          <w:numId w:val="67"/>
        </w:numPr>
        <w:rPr>
          <w:rFonts w:ascii="Arial" w:cs="Arial" w:eastAsia="Arial" w:hAnsi="Arial"/>
          <w:sz w:val="18"/>
          <w:szCs w:val="18"/>
          <w:color w:val="auto"/>
        </w:rPr>
      </w:pPr>
      <w:r>
        <w:rPr>
          <w:rFonts w:ascii="Arial" w:cs="Arial" w:eastAsia="Arial" w:hAnsi="Arial"/>
          <w:sz w:val="18"/>
          <w:szCs w:val="18"/>
          <w:color w:val="auto"/>
        </w:rPr>
        <w:t>to provide a forum by which the Parties may share information regarding the overall strategy for the conduct of the CD123 Development Program and each Research Program and to discuss, monitor and coordinate all activities under the CD123 Development Program and each Research Program;</w:t>
      </w:r>
    </w:p>
    <w:p>
      <w:pPr>
        <w:spacing w:after="0" w:line="185" w:lineRule="exact"/>
        <w:rPr>
          <w:rFonts w:ascii="Arial" w:cs="Arial" w:eastAsia="Arial" w:hAnsi="Arial"/>
          <w:sz w:val="18"/>
          <w:szCs w:val="18"/>
          <w:color w:val="auto"/>
        </w:rPr>
      </w:pPr>
    </w:p>
    <w:p>
      <w:pPr>
        <w:ind w:left="1020" w:right="180" w:firstLine="1949"/>
        <w:spacing w:after="0" w:line="236" w:lineRule="auto"/>
        <w:tabs>
          <w:tab w:leader="none" w:pos="3404" w:val="left"/>
        </w:tabs>
        <w:numPr>
          <w:ilvl w:val="2"/>
          <w:numId w:val="67"/>
        </w:numPr>
        <w:rPr>
          <w:rFonts w:ascii="Arial" w:cs="Arial" w:eastAsia="Arial" w:hAnsi="Arial"/>
          <w:sz w:val="20"/>
          <w:szCs w:val="20"/>
          <w:color w:val="auto"/>
        </w:rPr>
      </w:pPr>
      <w:r>
        <w:rPr>
          <w:rFonts w:ascii="Arial" w:cs="Arial" w:eastAsia="Arial" w:hAnsi="Arial"/>
          <w:sz w:val="20"/>
          <w:szCs w:val="20"/>
          <w:color w:val="auto"/>
        </w:rPr>
        <w:t>to facilitate the exchange of information between the Parties with respect to the activities hereunder and to establish procedures for the efficient sharing of information necessary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620"/>
          </w:cols>
          <w:pgMar w:left="400" w:top="1402" w:right="879" w:bottom="1440" w:gutter="0" w:footer="0" w:header="0"/>
        </w:sectPr>
      </w:pPr>
    </w:p>
    <w:bookmarkStart w:id="146" w:name="page147"/>
    <w:bookmarkEnd w:id="146"/>
    <w:p>
      <w:pPr>
        <w:ind w:left="1020" w:right="360"/>
        <w:spacing w:after="0" w:line="236" w:lineRule="auto"/>
        <w:rPr>
          <w:sz w:val="20"/>
          <w:szCs w:val="20"/>
          <w:color w:val="auto"/>
        </w:rPr>
      </w:pPr>
      <w:r>
        <w:rPr>
          <w:rFonts w:ascii="Arial" w:cs="Arial" w:eastAsia="Arial" w:hAnsi="Arial"/>
          <w:sz w:val="20"/>
          <w:szCs w:val="20"/>
          <w:color w:val="auto"/>
        </w:rPr>
        <w:t>the Parties to fulfill their respective responsibilities with respect to conduct of the CD123 Development Program and each Research Program;</w:t>
      </w:r>
    </w:p>
    <w:p>
      <w:pPr>
        <w:spacing w:after="0" w:line="196" w:lineRule="exact"/>
        <w:rPr>
          <w:sz w:val="20"/>
          <w:szCs w:val="20"/>
          <w:color w:val="auto"/>
        </w:rPr>
      </w:pPr>
    </w:p>
    <w:p>
      <w:pPr>
        <w:ind w:left="1020" w:right="180" w:firstLine="1949"/>
        <w:spacing w:after="0" w:line="229" w:lineRule="auto"/>
        <w:tabs>
          <w:tab w:leader="none" w:pos="3459" w:val="left"/>
        </w:tabs>
        <w:numPr>
          <w:ilvl w:val="1"/>
          <w:numId w:val="68"/>
        </w:numPr>
        <w:rPr>
          <w:rFonts w:ascii="Arial" w:cs="Arial" w:eastAsia="Arial" w:hAnsi="Arial"/>
          <w:sz w:val="20"/>
          <w:szCs w:val="20"/>
          <w:color w:val="auto"/>
        </w:rPr>
      </w:pPr>
      <w:r>
        <w:rPr>
          <w:rFonts w:ascii="Arial" w:cs="Arial" w:eastAsia="Arial" w:hAnsi="Arial"/>
          <w:sz w:val="20"/>
          <w:szCs w:val="20"/>
          <w:color w:val="auto"/>
        </w:rPr>
        <w:t>review, discuss and determine whether to approve updates or amendments to the CD123 Development Plan, as described in Section 4.1 (CD123 Development Plan);</w:t>
      </w:r>
    </w:p>
    <w:p>
      <w:pPr>
        <w:spacing w:after="0" w:line="209" w:lineRule="exact"/>
        <w:rPr>
          <w:rFonts w:ascii="Arial" w:cs="Arial" w:eastAsia="Arial" w:hAnsi="Arial"/>
          <w:sz w:val="20"/>
          <w:szCs w:val="20"/>
          <w:color w:val="auto"/>
        </w:rPr>
      </w:pPr>
    </w:p>
    <w:p>
      <w:pPr>
        <w:ind w:left="1020" w:right="840" w:firstLine="1949"/>
        <w:spacing w:after="0" w:line="269" w:lineRule="auto"/>
        <w:tabs>
          <w:tab w:leader="none" w:pos="34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share and discuss the progress of activities being conducted under the CD123 Development Program on a quarterly basis, as described in Section 4.1 (CD123 Development Plan);</w:t>
      </w:r>
    </w:p>
    <w:p>
      <w:pPr>
        <w:spacing w:after="0" w:line="184" w:lineRule="exact"/>
        <w:rPr>
          <w:rFonts w:ascii="Arial" w:cs="Arial" w:eastAsia="Arial" w:hAnsi="Arial"/>
          <w:sz w:val="18"/>
          <w:szCs w:val="18"/>
          <w:color w:val="auto"/>
        </w:rPr>
      </w:pPr>
    </w:p>
    <w:p>
      <w:pPr>
        <w:ind w:left="1020" w:right="80" w:firstLine="1949"/>
        <w:spacing w:after="0" w:line="299" w:lineRule="auto"/>
        <w:tabs>
          <w:tab w:leader="none" w:pos="339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develop, discuss and determine whether to approve any amendments to the CD123 Development Plan to reflect any Required Regulatory Activities that will be conducted by MacroGenics, as described in Section 4.2(b) (Required Regulatory Activities) and Section 4.6 (CD123 Development Program Costs);</w:t>
      </w:r>
    </w:p>
    <w:p>
      <w:pPr>
        <w:spacing w:after="0" w:line="184" w:lineRule="exact"/>
        <w:rPr>
          <w:rFonts w:ascii="Arial" w:cs="Arial" w:eastAsia="Arial" w:hAnsi="Arial"/>
          <w:sz w:val="18"/>
          <w:szCs w:val="18"/>
          <w:color w:val="auto"/>
        </w:rPr>
      </w:pPr>
    </w:p>
    <w:p>
      <w:pPr>
        <w:ind w:left="1020" w:right="260" w:firstLine="1949"/>
        <w:spacing w:after="0" w:line="316" w:lineRule="auto"/>
        <w:tabs>
          <w:tab w:leader="none" w:pos="34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develop, discuss and determine whether to approve any Required Regulatory Activities Budget or updates or amendment thereto, as described in Section 4.2(b) (Required Regulatory Activities);</w:t>
      </w:r>
    </w:p>
    <w:p>
      <w:pPr>
        <w:spacing w:after="0" w:line="143" w:lineRule="exact"/>
        <w:rPr>
          <w:rFonts w:ascii="Arial" w:cs="Arial" w:eastAsia="Arial" w:hAnsi="Arial"/>
          <w:sz w:val="18"/>
          <w:szCs w:val="18"/>
          <w:color w:val="auto"/>
        </w:rPr>
      </w:pPr>
    </w:p>
    <w:p>
      <w:pPr>
        <w:ind w:left="1020" w:right="200" w:firstLine="1949"/>
        <w:spacing w:after="0" w:line="223" w:lineRule="auto"/>
        <w:tabs>
          <w:tab w:leader="none" w:pos="3503" w:val="left"/>
        </w:tabs>
        <w:numPr>
          <w:ilvl w:val="1"/>
          <w:numId w:val="68"/>
        </w:numPr>
        <w:rPr>
          <w:rFonts w:ascii="Arial" w:cs="Arial" w:eastAsia="Arial" w:hAnsi="Arial"/>
          <w:sz w:val="20"/>
          <w:szCs w:val="20"/>
          <w:color w:val="auto"/>
        </w:rPr>
      </w:pPr>
      <w:r>
        <w:rPr>
          <w:rFonts w:ascii="Arial" w:cs="Arial" w:eastAsia="Arial" w:hAnsi="Arial"/>
          <w:sz w:val="20"/>
          <w:szCs w:val="20"/>
          <w:color w:val="auto"/>
        </w:rPr>
        <w:t>review, discuss and determine whether to approve each Research Plan and Research Budget and updates or amendments thereto, as described in Section 5.2 (Research Program) and Section 5.4 (Research Plan Costs);</w:t>
      </w:r>
    </w:p>
    <w:p>
      <w:pPr>
        <w:spacing w:after="0" w:line="195" w:lineRule="exact"/>
        <w:rPr>
          <w:rFonts w:ascii="Arial" w:cs="Arial" w:eastAsia="Arial" w:hAnsi="Arial"/>
          <w:sz w:val="20"/>
          <w:szCs w:val="20"/>
          <w:color w:val="auto"/>
        </w:rPr>
      </w:pPr>
    </w:p>
    <w:p>
      <w:pPr>
        <w:ind w:left="1020" w:right="460" w:firstLine="1949"/>
        <w:spacing w:after="0" w:line="236" w:lineRule="auto"/>
        <w:tabs>
          <w:tab w:leader="none" w:pos="3558" w:val="left"/>
        </w:tabs>
        <w:numPr>
          <w:ilvl w:val="1"/>
          <w:numId w:val="68"/>
        </w:numPr>
        <w:rPr>
          <w:rFonts w:ascii="Arial" w:cs="Arial" w:eastAsia="Arial" w:hAnsi="Arial"/>
          <w:sz w:val="20"/>
          <w:szCs w:val="20"/>
          <w:color w:val="auto"/>
        </w:rPr>
      </w:pPr>
      <w:r>
        <w:rPr>
          <w:rFonts w:ascii="Arial" w:cs="Arial" w:eastAsia="Arial" w:hAnsi="Arial"/>
          <w:sz w:val="20"/>
          <w:szCs w:val="20"/>
          <w:color w:val="auto"/>
        </w:rPr>
        <w:t>to share and discuss the progress of activities being conducted under each Research Program on a quarterly basis, as described in Section 5.2 (Research Program);</w:t>
      </w:r>
    </w:p>
    <w:p>
      <w:pPr>
        <w:spacing w:after="0" w:line="209" w:lineRule="exact"/>
        <w:rPr>
          <w:rFonts w:ascii="Arial" w:cs="Arial" w:eastAsia="Arial" w:hAnsi="Arial"/>
          <w:sz w:val="20"/>
          <w:szCs w:val="20"/>
          <w:color w:val="auto"/>
        </w:rPr>
      </w:pPr>
    </w:p>
    <w:p>
      <w:pPr>
        <w:ind w:left="1020" w:right="180" w:firstLine="1949"/>
        <w:spacing w:after="0" w:line="342" w:lineRule="auto"/>
        <w:tabs>
          <w:tab w:leader="none" w:pos="3446" w:val="left"/>
        </w:tabs>
        <w:numPr>
          <w:ilvl w:val="1"/>
          <w:numId w:val="68"/>
        </w:numPr>
        <w:rPr>
          <w:rFonts w:ascii="Arial" w:cs="Arial" w:eastAsia="Arial" w:hAnsi="Arial"/>
          <w:sz w:val="16"/>
          <w:szCs w:val="16"/>
          <w:color w:val="auto"/>
        </w:rPr>
      </w:pPr>
      <w:r>
        <w:rPr>
          <w:rFonts w:ascii="Arial" w:cs="Arial" w:eastAsia="Arial" w:hAnsi="Arial"/>
          <w:sz w:val="16"/>
          <w:szCs w:val="16"/>
          <w:color w:val="auto"/>
        </w:rPr>
        <w:t>review, discuss and determine whether to approve each Manufacturing Transition Plan (including each Manufacturing Transition Budget) and updates or amendments thereto and coordinate the activities under each such Manufacturing Transition Plan, as described in Section 9.4 (Manufacturing Technology Transfer); and</w:t>
      </w:r>
    </w:p>
    <w:p>
      <w:pPr>
        <w:spacing w:after="0" w:line="144" w:lineRule="exact"/>
        <w:rPr>
          <w:rFonts w:ascii="Arial" w:cs="Arial" w:eastAsia="Arial" w:hAnsi="Arial"/>
          <w:sz w:val="16"/>
          <w:szCs w:val="16"/>
          <w:color w:val="auto"/>
        </w:rPr>
      </w:pPr>
    </w:p>
    <w:p>
      <w:pPr>
        <w:ind w:left="1020" w:right="160" w:firstLine="1949"/>
        <w:spacing w:after="0" w:line="236" w:lineRule="auto"/>
        <w:tabs>
          <w:tab w:leader="none" w:pos="3393" w:val="left"/>
        </w:tabs>
        <w:numPr>
          <w:ilvl w:val="1"/>
          <w:numId w:val="68"/>
        </w:numPr>
        <w:rPr>
          <w:rFonts w:ascii="Arial" w:cs="Arial" w:eastAsia="Arial" w:hAnsi="Arial"/>
          <w:sz w:val="20"/>
          <w:szCs w:val="20"/>
          <w:color w:val="auto"/>
        </w:rPr>
      </w:pPr>
      <w:r>
        <w:rPr>
          <w:rFonts w:ascii="Arial" w:cs="Arial" w:eastAsia="Arial" w:hAnsi="Arial"/>
          <w:sz w:val="20"/>
          <w:szCs w:val="20"/>
          <w:color w:val="auto"/>
        </w:rPr>
        <w:t>to perform such other functions as expressly set forth in this Agreement or as appropriate to further the purposes of this Agreement, as determined by the Parties.</w:t>
      </w:r>
    </w:p>
    <w:p>
      <w:pPr>
        <w:spacing w:after="0" w:line="176" w:lineRule="exact"/>
        <w:rPr>
          <w:rFonts w:ascii="Arial" w:cs="Arial" w:eastAsia="Arial" w:hAnsi="Arial"/>
          <w:sz w:val="20"/>
          <w:szCs w:val="20"/>
          <w:color w:val="auto"/>
        </w:rPr>
      </w:pPr>
    </w:p>
    <w:p>
      <w:pPr>
        <w:ind w:left="1020" w:right="40" w:firstLine="1301"/>
        <w:spacing w:after="0" w:line="226" w:lineRule="auto"/>
        <w:tabs>
          <w:tab w:leader="none" w:pos="2734" w:val="left"/>
        </w:tabs>
        <w:numPr>
          <w:ilvl w:val="0"/>
          <w:numId w:val="69"/>
        </w:numPr>
        <w:rPr>
          <w:rFonts w:ascii="Arial" w:cs="Arial" w:eastAsia="Arial" w:hAnsi="Arial"/>
          <w:sz w:val="19"/>
          <w:szCs w:val="19"/>
          <w:color w:val="auto"/>
        </w:rPr>
      </w:pPr>
      <w:r>
        <w:rPr>
          <w:rFonts w:ascii="Arial" w:cs="Arial" w:eastAsia="Arial" w:hAnsi="Arial"/>
          <w:sz w:val="19"/>
          <w:szCs w:val="19"/>
          <w:b w:val="1"/>
          <w:bCs w:val="1"/>
          <w:color w:val="auto"/>
        </w:rPr>
        <w:t>Decision-Making</w:t>
      </w:r>
      <w:r>
        <w:rPr>
          <w:rFonts w:ascii="Arial" w:cs="Arial" w:eastAsia="Arial" w:hAnsi="Arial"/>
          <w:sz w:val="19"/>
          <w:szCs w:val="19"/>
          <w:color w:val="auto"/>
        </w:rPr>
        <w:t>. The JSC shall make</w:t>
      </w:r>
      <w:r>
        <w:rPr>
          <w:rFonts w:ascii="Arial" w:cs="Arial" w:eastAsia="Arial" w:hAnsi="Arial"/>
          <w:sz w:val="19"/>
          <w:szCs w:val="19"/>
          <w:b w:val="1"/>
          <w:bCs w:val="1"/>
          <w:color w:val="auto"/>
        </w:rPr>
        <w:t xml:space="preserve"> [***]</w:t>
      </w:r>
      <w:r>
        <w:rPr>
          <w:rFonts w:ascii="Arial" w:cs="Arial" w:eastAsia="Arial" w:hAnsi="Arial"/>
          <w:sz w:val="19"/>
          <w:szCs w:val="19"/>
          <w:color w:val="auto"/>
        </w:rPr>
        <w:t>, with each Party’s representatives collectively</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the event the JSC cannot reach agreement regarding any matter within the JSC’s authority for a period of </w:t>
      </w:r>
      <w:r>
        <w:rPr>
          <w:rFonts w:ascii="Arial" w:cs="Arial" w:eastAsia="Arial" w:hAnsi="Arial"/>
          <w:sz w:val="19"/>
          <w:szCs w:val="19"/>
          <w:b w:val="1"/>
          <w:bCs w:val="1"/>
          <w:color w:val="auto"/>
        </w:rPr>
        <w:t>[***]</w:t>
      </w:r>
      <w:r>
        <w:rPr>
          <w:rFonts w:ascii="Arial" w:cs="Arial" w:eastAsia="Arial" w:hAnsi="Arial"/>
          <w:sz w:val="19"/>
          <w:szCs w:val="19"/>
          <w:color w:val="auto"/>
        </w:rPr>
        <w:t xml:space="preserve"> (a “</w:t>
      </w:r>
      <w:r>
        <w:rPr>
          <w:rFonts w:ascii="Arial" w:cs="Arial" w:eastAsia="Arial" w:hAnsi="Arial"/>
          <w:sz w:val="19"/>
          <w:szCs w:val="19"/>
          <w:b w:val="1"/>
          <w:bCs w:val="1"/>
          <w:color w:val="auto"/>
        </w:rPr>
        <w:t>Deadlock</w:t>
      </w:r>
      <w:r>
        <w:rPr>
          <w:rFonts w:ascii="Arial" w:cs="Arial" w:eastAsia="Arial" w:hAnsi="Arial"/>
          <w:sz w:val="19"/>
          <w:szCs w:val="19"/>
          <w:color w:val="auto"/>
        </w:rPr>
        <w:t xml:space="preserve">”), then either Party may elect to submit such issue to the Parties’ Executive Officers, and if a Party makes an election to refer a matter to the Executive Officers, then the Executive Officers shall use good faith efforts to promptly resolve such matter, </w:t>
      </w:r>
      <w:r>
        <w:rPr>
          <w:rFonts w:ascii="Arial" w:cs="Arial" w:eastAsia="Arial" w:hAnsi="Arial"/>
          <w:sz w:val="19"/>
          <w:szCs w:val="19"/>
          <w:b w:val="1"/>
          <w:bCs w:val="1"/>
          <w:color w:val="auto"/>
        </w:rPr>
        <w:t>[***]</w:t>
      </w:r>
      <w:r>
        <w:rPr>
          <w:rFonts w:ascii="Arial" w:cs="Arial" w:eastAsia="Arial" w:hAnsi="Arial"/>
          <w:sz w:val="19"/>
          <w:szCs w:val="19"/>
          <w:color w:val="auto"/>
        </w:rPr>
        <w:t xml:space="preserve"> after the submission of such matter to them. If the Executive Officers are unable to reach consensus on any such matter within </w:t>
      </w:r>
      <w:r>
        <w:rPr>
          <w:rFonts w:ascii="Arial" w:cs="Arial" w:eastAsia="Arial" w:hAnsi="Arial"/>
          <w:sz w:val="19"/>
          <w:szCs w:val="19"/>
          <w:b w:val="1"/>
          <w:bCs w:val="1"/>
          <w:color w:val="auto"/>
        </w:rPr>
        <w:t>[***]</w:t>
      </w:r>
      <w:r>
        <w:rPr>
          <w:rFonts w:ascii="Arial" w:cs="Arial" w:eastAsia="Arial" w:hAnsi="Arial"/>
          <w:sz w:val="19"/>
          <w:szCs w:val="19"/>
          <w:color w:val="auto"/>
        </w:rPr>
        <w:t>, then the Deadlock shall be resolved in accordance with the provisions of this Section 2.1(c) (Decision-Making):</w:t>
      </w:r>
    </w:p>
    <w:p>
      <w:pPr>
        <w:spacing w:after="0" w:line="260" w:lineRule="exact"/>
        <w:rPr>
          <w:rFonts w:ascii="Arial" w:cs="Arial" w:eastAsia="Arial" w:hAnsi="Arial"/>
          <w:sz w:val="19"/>
          <w:szCs w:val="19"/>
          <w:color w:val="auto"/>
        </w:rPr>
      </w:pPr>
    </w:p>
    <w:p>
      <w:pPr>
        <w:ind w:left="1020" w:firstLine="1950"/>
        <w:spacing w:after="0" w:line="221" w:lineRule="auto"/>
        <w:tabs>
          <w:tab w:leader="none" w:pos="3349"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Except for those Deadlocks </w:t>
      </w:r>
      <w:r>
        <w:rPr>
          <w:rFonts w:ascii="Arial" w:cs="Arial" w:eastAsia="Arial" w:hAnsi="Arial"/>
          <w:sz w:val="20"/>
          <w:szCs w:val="20"/>
          <w:b w:val="1"/>
          <w:bCs w:val="1"/>
          <w:color w:val="auto"/>
        </w:rPr>
        <w:t>[***]</w:t>
      </w:r>
      <w:r>
        <w:rPr>
          <w:rFonts w:ascii="Arial" w:cs="Arial" w:eastAsia="Arial" w:hAnsi="Arial"/>
          <w:sz w:val="20"/>
          <w:szCs w:val="20"/>
          <w:color w:val="auto"/>
        </w:rPr>
        <w:t>, as set forth in Section 2.1(c)(ii) (Decision-Making) and subject to Section 2.1(c)(iii) (Decision-Making), [***] decision-making authority with respect to the [***] decision-making authority with respect to the [***] decision-making authority with respect to the [***] decision-making authority with respect to the [***].</w:t>
      </w:r>
    </w:p>
    <w:p>
      <w:pPr>
        <w:spacing w:after="0" w:line="198" w:lineRule="exact"/>
        <w:rPr>
          <w:rFonts w:ascii="Arial" w:cs="Arial" w:eastAsia="Arial" w:hAnsi="Arial"/>
          <w:sz w:val="20"/>
          <w:szCs w:val="20"/>
          <w:color w:val="auto"/>
        </w:rPr>
      </w:pPr>
    </w:p>
    <w:p>
      <w:pPr>
        <w:jc w:val="both"/>
        <w:ind w:left="1020" w:right="160" w:firstLine="1949"/>
        <w:spacing w:after="0" w:line="223" w:lineRule="auto"/>
        <w:tabs>
          <w:tab w:leader="none" w:pos="3404"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Neither Party will have final decision-making authority over any Deadlock [***] thereto, and all matters in the foregoing clauses [***] the Parties in order to take any action or adopt any change from the then-current </w:t>
      </w:r>
      <w:r>
        <w:rPr>
          <w:rFonts w:ascii="Arial" w:cs="Arial" w:eastAsia="Arial" w:hAnsi="Arial"/>
          <w:sz w:val="20"/>
          <w:szCs w:val="20"/>
          <w:i w:val="1"/>
          <w:iCs w:val="1"/>
          <w:color w:val="auto"/>
        </w:rPr>
        <w:t>status quo</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ind w:left="1020" w:right="140" w:firstLine="1949"/>
        <w:spacing w:after="0" w:line="227" w:lineRule="auto"/>
        <w:tabs>
          <w:tab w:leader="none" w:pos="3459" w:val="left"/>
        </w:tabs>
        <w:numPr>
          <w:ilvl w:val="1"/>
          <w:numId w:val="69"/>
        </w:numPr>
        <w:rPr>
          <w:rFonts w:ascii="Arial" w:cs="Arial" w:eastAsia="Arial" w:hAnsi="Arial"/>
          <w:sz w:val="19"/>
          <w:szCs w:val="19"/>
          <w:color w:val="auto"/>
        </w:rPr>
      </w:pPr>
      <w:r>
        <w:rPr>
          <w:rFonts w:ascii="Arial" w:cs="Arial" w:eastAsia="Arial" w:hAnsi="Arial"/>
          <w:sz w:val="19"/>
          <w:szCs w:val="19"/>
          <w:color w:val="auto"/>
        </w:rPr>
        <w:t>Notwithstanding Section 2.1(c)(i) (Decision-Making) and Section 2.1(c)(ii) (Decision-Making), [***] decision-making authority on any such matters may, [***] Applicable Laws and Regulations or any agreement with any Third Party that exists as of the Effective Date (including the MacroGenics Manufacturing In-Licenses) or is otherwise entered into after the Effective Date in accordance with this Agreement or the infringement of intellectual property rights of any Third Party [***] under this Agreement.</w:t>
      </w:r>
    </w:p>
    <w:p>
      <w:pPr>
        <w:sectPr>
          <w:pgSz w:w="11900" w:h="16838" w:orient="portrait"/>
          <w:cols w:equalWidth="0" w:num="1">
            <w:col w:w="10620"/>
          </w:cols>
          <w:pgMar w:left="400" w:top="139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620"/>
          </w:cols>
          <w:pgMar w:left="400" w:top="1392" w:right="879" w:bottom="1440" w:gutter="0" w:footer="0" w:header="0"/>
          <w:type w:val="continuous"/>
        </w:sectPr>
      </w:pPr>
    </w:p>
    <w:bookmarkStart w:id="147" w:name="page148"/>
    <w:bookmarkEnd w:id="147"/>
    <w:p>
      <w:pPr>
        <w:ind w:left="1020" w:right="20" w:firstLine="1301"/>
        <w:spacing w:after="0" w:line="226" w:lineRule="auto"/>
        <w:tabs>
          <w:tab w:leader="none" w:pos="2744"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JSC Meetings</w:t>
      </w:r>
      <w:r>
        <w:rPr>
          <w:rFonts w:ascii="Arial" w:cs="Arial" w:eastAsia="Arial" w:hAnsi="Arial"/>
          <w:sz w:val="19"/>
          <w:szCs w:val="19"/>
          <w:color w:val="auto"/>
        </w:rPr>
        <w:t>. No later than [***] after the Effective Date, the JSC will hold a meeting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establish the JSC’s operating procedures, and the JSC shall meet [***] as required under this Agreement or to resolve any matter or dispute referred to the JSC in accordance with this Agreement. In the case of any matter or dispute referred to the JSC, such meeting shall be held within [***] following referral to the JSC. Employees or consultants of either Party that are not representatives of the Parties on the JSC may attend JSC meetings with prior notice and with respect to any consultants, prior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 A JSC meeting may be held either in person or by audio, video or internet teleconference with the consent of each Party. Meetings of the JSC shall be [***]. Each Party shall be responsible for [***].</w:t>
      </w:r>
    </w:p>
    <w:p>
      <w:pPr>
        <w:spacing w:after="0" w:line="271" w:lineRule="exact"/>
        <w:rPr>
          <w:rFonts w:ascii="Arial" w:cs="Arial" w:eastAsia="Arial" w:hAnsi="Arial"/>
          <w:sz w:val="19"/>
          <w:szCs w:val="19"/>
          <w:color w:val="auto"/>
        </w:rPr>
      </w:pPr>
    </w:p>
    <w:p>
      <w:pPr>
        <w:ind w:left="1020" w:right="140" w:firstLine="1302"/>
        <w:spacing w:after="0" w:line="236" w:lineRule="auto"/>
        <w:tabs>
          <w:tab w:leader="none" w:pos="273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Duration and Scope of JSC and Subsequent Information Sharing</w:t>
      </w:r>
      <w:r>
        <w:rPr>
          <w:rFonts w:ascii="Arial" w:cs="Arial" w:eastAsia="Arial" w:hAnsi="Arial"/>
          <w:sz w:val="18"/>
          <w:szCs w:val="18"/>
          <w:color w:val="auto"/>
        </w:rPr>
        <w:t>. The JSC shall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exist [***], unless the Parties mutually agree in writing to disband the JSC earlier, or upon termination of this Agreement in accordance with the terms hereof. After the dissolution of the JSC [***], Gilead shall share information and provide updates [***] in accordance with Sections 6.6 (Development Reporting), 7.6 (Recalls), 10.2 (Development and Regulatory Milestone Payments), 10.3 (Commercial Milestone Payments), 10.4 (Royalties on Net Sales) and 11.2 (Royalty Payments) and the Research Molecules and Research Products in accordance with Sections 6.6 (Development Reporting), 7.6 (Recalls), 10.2 (Development and Regulatory Milestone Payments), 10.3 (Commercial Milestone Payments), 10.4 (Royalties on Net Sales) and 11.2 (Royalty Payments).</w:t>
      </w:r>
    </w:p>
    <w:p>
      <w:pPr>
        <w:spacing w:after="0" w:line="208" w:lineRule="exact"/>
        <w:rPr>
          <w:sz w:val="20"/>
          <w:szCs w:val="20"/>
          <w:color w:val="auto"/>
        </w:rPr>
      </w:pPr>
    </w:p>
    <w:p>
      <w:pPr>
        <w:ind w:left="1020" w:right="100" w:firstLine="1301"/>
        <w:spacing w:after="0" w:line="225" w:lineRule="auto"/>
        <w:tabs>
          <w:tab w:leader="none" w:pos="2734"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Limitations</w:t>
      </w:r>
      <w:r>
        <w:rPr>
          <w:rFonts w:ascii="Arial" w:cs="Arial" w:eastAsia="Arial" w:hAnsi="Arial"/>
          <w:sz w:val="20"/>
          <w:szCs w:val="20"/>
          <w:color w:val="auto"/>
        </w:rPr>
        <w:t>. The JSC shall have no authority other than that expressly set forth in this Section 2.1</w:t>
      </w:r>
      <w:r>
        <w:rPr>
          <w:rFonts w:ascii="Arial" w:cs="Arial" w:eastAsia="Arial" w:hAnsi="Arial"/>
          <w:sz w:val="20"/>
          <w:szCs w:val="20"/>
          <w:b w:val="1"/>
          <w:bCs w:val="1"/>
          <w:color w:val="auto"/>
        </w:rPr>
        <w:t xml:space="preserve"> </w:t>
      </w:r>
      <w:r>
        <w:rPr>
          <w:rFonts w:ascii="Arial" w:cs="Arial" w:eastAsia="Arial" w:hAnsi="Arial"/>
          <w:sz w:val="20"/>
          <w:szCs w:val="20"/>
          <w:color w:val="auto"/>
        </w:rPr>
        <w:t>(Joint Steering Committee) and, specifically, shall have no authority (i) to amend or interpret this Agreement, or (ii) to determine whether or not a breach of this Agreement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-275590</wp:posOffset>
            </wp:positionV>
            <wp:extent cx="2647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264795" cy="8255"/>
                    </a:xfrm>
                    <a:prstGeom prst="rect">
                      <a:avLst/>
                    </a:prstGeom>
                    <a:noFill/>
                  </pic:spPr>
                </pic:pic>
              </a:graphicData>
            </a:graphic>
          </wp:anchor>
        </w:drawing>
      </w:r>
    </w:p>
    <w:p>
      <w:pPr>
        <w:spacing w:after="0" w:line="170" w:lineRule="exact"/>
        <w:rPr>
          <w:sz w:val="20"/>
          <w:szCs w:val="20"/>
          <w:color w:val="auto"/>
        </w:rPr>
      </w:pPr>
    </w:p>
    <w:p>
      <w:pPr>
        <w:ind w:left="1020" w:right="180" w:firstLine="648"/>
        <w:spacing w:after="0" w:line="26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Additional Subcommittees and Working Groups</w:t>
      </w:r>
      <w:r>
        <w:rPr>
          <w:rFonts w:ascii="Arial" w:cs="Arial" w:eastAsia="Arial" w:hAnsi="Arial"/>
          <w:sz w:val="16"/>
          <w:szCs w:val="16"/>
          <w:color w:val="auto"/>
        </w:rPr>
        <w:t>. The JSC may establish other subcommittees or working groups as needed to further the purposes of this Agreement, including any responsibilities assigned to the JSC</w:t>
      </w:r>
    </w:p>
    <w:p>
      <w:pPr>
        <w:ind w:left="1020"/>
        <w:spacing w:after="0" w:line="236" w:lineRule="auto"/>
        <w:rPr>
          <w:sz w:val="20"/>
          <w:szCs w:val="20"/>
          <w:color w:val="auto"/>
        </w:rPr>
      </w:pPr>
      <w:r>
        <w:rPr>
          <w:rFonts w:ascii="Arial" w:cs="Arial" w:eastAsia="Arial" w:hAnsi="Arial"/>
          <w:sz w:val="18"/>
          <w:szCs w:val="18"/>
          <w:color w:val="auto"/>
        </w:rPr>
        <w:t xml:space="preserve">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JSC shall not delegate its dispute resolution authority. The purpose,</w:t>
      </w:r>
    </w:p>
    <w:p>
      <w:pPr>
        <w:ind w:left="1020" w:right="100"/>
        <w:spacing w:after="0" w:line="226" w:lineRule="auto"/>
        <w:rPr>
          <w:sz w:val="20"/>
          <w:szCs w:val="20"/>
          <w:color w:val="auto"/>
        </w:rPr>
      </w:pPr>
      <w:r>
        <w:rPr>
          <w:rFonts w:ascii="Arial" w:cs="Arial" w:eastAsia="Arial" w:hAnsi="Arial"/>
          <w:sz w:val="18"/>
          <w:szCs w:val="18"/>
          <w:color w:val="auto"/>
        </w:rPr>
        <w:t>scope and procedures of any such subcommittee or working group shall be mutually agreed in writing by the JSC. The Parties shall, within [***] after the Effective Date, establish: (a) a clinical subcommittee to review and discuss activities</w:t>
      </w:r>
    </w:p>
    <w:p>
      <w:pPr>
        <w:ind w:left="1020"/>
        <w:spacing w:after="0" w:line="224" w:lineRule="auto"/>
        <w:rPr>
          <w:sz w:val="20"/>
          <w:szCs w:val="20"/>
          <w:color w:val="auto"/>
        </w:rPr>
      </w:pPr>
      <w:r>
        <w:rPr>
          <w:rFonts w:ascii="Arial" w:cs="Arial" w:eastAsia="Arial" w:hAnsi="Arial"/>
          <w:sz w:val="19"/>
          <w:szCs w:val="19"/>
          <w:color w:val="auto"/>
        </w:rPr>
        <w:t>or matters related to the CD123 Development Program, including the CD123 Development Plan (“</w:t>
      </w:r>
      <w:r>
        <w:rPr>
          <w:rFonts w:ascii="Arial" w:cs="Arial" w:eastAsia="Arial" w:hAnsi="Arial"/>
          <w:sz w:val="19"/>
          <w:szCs w:val="19"/>
          <w:b w:val="1"/>
          <w:bCs w:val="1"/>
          <w:color w:val="auto"/>
        </w:rPr>
        <w:t>CD123 Clinical</w:t>
      </w:r>
    </w:p>
    <w:p>
      <w:pPr>
        <w:ind w:left="1020" w:right="260"/>
        <w:spacing w:after="0" w:line="255" w:lineRule="auto"/>
        <w:rPr>
          <w:sz w:val="20"/>
          <w:szCs w:val="20"/>
          <w:color w:val="auto"/>
        </w:rPr>
      </w:pPr>
      <w:r>
        <w:rPr>
          <w:rFonts w:ascii="Arial" w:cs="Arial" w:eastAsia="Arial" w:hAnsi="Arial"/>
          <w:sz w:val="16"/>
          <w:szCs w:val="16"/>
          <w:b w:val="1"/>
          <w:bCs w:val="1"/>
          <w:color w:val="auto"/>
        </w:rPr>
        <w:t>Subcommittee</w:t>
      </w:r>
      <w:r>
        <w:rPr>
          <w:rFonts w:ascii="Arial" w:cs="Arial" w:eastAsia="Arial" w:hAnsi="Arial"/>
          <w:sz w:val="16"/>
          <w:szCs w:val="16"/>
          <w:color w:val="auto"/>
        </w:rPr>
        <w:t>”) and (b) a research subcommittee to review and discuss activities or matters related to each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including the applicable Research Plan (“</w:t>
      </w:r>
      <w:r>
        <w:rPr>
          <w:rFonts w:ascii="Arial" w:cs="Arial" w:eastAsia="Arial" w:hAnsi="Arial"/>
          <w:sz w:val="16"/>
          <w:szCs w:val="16"/>
          <w:b w:val="1"/>
          <w:bCs w:val="1"/>
          <w:color w:val="auto"/>
        </w:rPr>
        <w:t>Research Program Subcommittee</w:t>
      </w:r>
      <w:r>
        <w:rPr>
          <w:rFonts w:ascii="Arial" w:cs="Arial" w:eastAsia="Arial" w:hAnsi="Arial"/>
          <w:sz w:val="16"/>
          <w:szCs w:val="16"/>
          <w:color w:val="auto"/>
        </w:rPr>
        <w:t>”). Neither the CD123 Clinical</w:t>
      </w:r>
    </w:p>
    <w:p>
      <w:pPr>
        <w:spacing w:after="0" w:line="1" w:lineRule="exact"/>
        <w:rPr>
          <w:sz w:val="20"/>
          <w:szCs w:val="20"/>
          <w:color w:val="auto"/>
        </w:rPr>
      </w:pPr>
    </w:p>
    <w:p>
      <w:pPr>
        <w:ind w:left="1020" w:right="540"/>
        <w:spacing w:after="0" w:line="227" w:lineRule="auto"/>
        <w:rPr>
          <w:sz w:val="20"/>
          <w:szCs w:val="20"/>
          <w:color w:val="auto"/>
        </w:rPr>
      </w:pPr>
      <w:r>
        <w:rPr>
          <w:rFonts w:ascii="Arial" w:cs="Arial" w:eastAsia="Arial" w:hAnsi="Arial"/>
          <w:sz w:val="20"/>
          <w:szCs w:val="20"/>
          <w:color w:val="auto"/>
        </w:rPr>
        <w:t>Subcommittee, the Research Program Subcommittee nor any other subcommittee or working group shall have any decision-making authority.</w:t>
      </w:r>
    </w:p>
    <w:p>
      <w:pPr>
        <w:spacing w:after="0" w:line="191" w:lineRule="exact"/>
        <w:rPr>
          <w:sz w:val="20"/>
          <w:szCs w:val="20"/>
          <w:color w:val="auto"/>
        </w:rPr>
      </w:pPr>
    </w:p>
    <w:p>
      <w:pPr>
        <w:ind w:left="1020" w:right="100" w:firstLine="648"/>
        <w:spacing w:after="0" w:line="23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Alliance Managers</w:t>
      </w:r>
      <w:r>
        <w:rPr>
          <w:rFonts w:ascii="Arial" w:cs="Arial" w:eastAsia="Arial" w:hAnsi="Arial"/>
          <w:sz w:val="18"/>
          <w:szCs w:val="18"/>
          <w:color w:val="auto"/>
        </w:rPr>
        <w:t>. Promptly following the Effective Date, each Party shall designate in writing an Alliance Manager to serve as the primary point of contact for the Parties regarding all activities contemplated under this</w:t>
      </w:r>
    </w:p>
    <w:p>
      <w:pPr>
        <w:ind w:left="1020"/>
        <w:spacing w:after="0" w:line="223" w:lineRule="auto"/>
        <w:rPr>
          <w:sz w:val="20"/>
          <w:szCs w:val="20"/>
          <w:color w:val="auto"/>
        </w:rPr>
      </w:pPr>
      <w:r>
        <w:rPr>
          <w:rFonts w:ascii="Arial" w:cs="Arial" w:eastAsia="Arial" w:hAnsi="Arial"/>
          <w:sz w:val="19"/>
          <w:szCs w:val="19"/>
          <w:color w:val="auto"/>
        </w:rPr>
        <w:t>Agreement. Each Alliance Manager shall, among other things: (a) facilitate communication and coordination of the</w:t>
      </w:r>
    </w:p>
    <w:p>
      <w:pPr>
        <w:spacing w:after="0" w:line="1" w:lineRule="exact"/>
        <w:rPr>
          <w:sz w:val="20"/>
          <w:szCs w:val="20"/>
          <w:color w:val="auto"/>
        </w:rPr>
      </w:pPr>
    </w:p>
    <w:p>
      <w:pPr>
        <w:ind w:left="1020" w:right="180"/>
        <w:spacing w:after="0" w:line="255" w:lineRule="auto"/>
        <w:rPr>
          <w:sz w:val="20"/>
          <w:szCs w:val="20"/>
          <w:color w:val="auto"/>
        </w:rPr>
      </w:pPr>
      <w:r>
        <w:rPr>
          <w:rFonts w:ascii="Arial" w:cs="Arial" w:eastAsia="Arial" w:hAnsi="Arial"/>
          <w:sz w:val="16"/>
          <w:szCs w:val="16"/>
          <w:color w:val="auto"/>
        </w:rPr>
        <w:t>Parties’ activities under this Agreement relating to the Licensed Molecules and the Licensed Products; (b) coordinate meetings between members of each Party’s CD123 Development Program teams and Research Program teams; and (c)</w:t>
      </w:r>
    </w:p>
    <w:p>
      <w:pPr>
        <w:spacing w:after="0" w:line="1" w:lineRule="exact"/>
        <w:rPr>
          <w:sz w:val="20"/>
          <w:szCs w:val="20"/>
          <w:color w:val="auto"/>
        </w:rPr>
      </w:pPr>
    </w:p>
    <w:p>
      <w:pPr>
        <w:ind w:left="1020" w:right="160"/>
        <w:spacing w:after="0" w:line="266" w:lineRule="auto"/>
        <w:rPr>
          <w:sz w:val="20"/>
          <w:szCs w:val="20"/>
          <w:color w:val="auto"/>
        </w:rPr>
      </w:pPr>
      <w:r>
        <w:rPr>
          <w:rFonts w:ascii="Arial" w:cs="Arial" w:eastAsia="Arial" w:hAnsi="Arial"/>
          <w:sz w:val="18"/>
          <w:szCs w:val="18"/>
          <w:color w:val="auto"/>
        </w:rPr>
        <w:t>attempt to resolve conflicts with respect to the CD123 Development Program and each Research Program. [***]. From time to time, each Party may substitute its Alliance Manager at any time upon written notice to the other Party.</w:t>
      </w:r>
    </w:p>
    <w:p>
      <w:pPr>
        <w:spacing w:after="0" w:line="154" w:lineRule="exact"/>
        <w:rPr>
          <w:sz w:val="20"/>
          <w:szCs w:val="20"/>
          <w:color w:val="auto"/>
        </w:rPr>
      </w:pPr>
    </w:p>
    <w:p>
      <w:pPr>
        <w:ind w:left="1380" w:hanging="355"/>
        <w:spacing w:after="0"/>
        <w:tabs>
          <w:tab w:leader="none" w:pos="1380" w:val="left"/>
        </w:tabs>
        <w:numPr>
          <w:ilvl w:val="0"/>
          <w:numId w:val="72"/>
        </w:numPr>
        <w:rPr>
          <w:rFonts w:ascii="Arial" w:cs="Arial" w:eastAsia="Arial" w:hAnsi="Arial"/>
          <w:sz w:val="20"/>
          <w:szCs w:val="20"/>
          <w:color w:val="auto"/>
        </w:rPr>
      </w:pPr>
      <w:r>
        <w:rPr>
          <w:rFonts w:ascii="Arial" w:cs="Arial" w:eastAsia="Arial" w:hAnsi="Arial"/>
          <w:sz w:val="20"/>
          <w:szCs w:val="20"/>
          <w:b w:val="1"/>
          <w:bCs w:val="1"/>
          <w:color w:val="auto"/>
        </w:rPr>
        <w:t>Licenses</w:t>
      </w:r>
      <w:r>
        <w:rPr>
          <w:rFonts w:ascii="Arial" w:cs="Arial" w:eastAsia="Arial" w:hAnsi="Arial"/>
          <w:sz w:val="20"/>
          <w:szCs w:val="20"/>
          <w:color w:val="auto"/>
        </w:rPr>
        <w:t>.</w:t>
      </w:r>
    </w:p>
    <w:p>
      <w:pPr>
        <w:spacing w:after="0" w:line="229"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b w:val="1"/>
          <w:bCs w:val="1"/>
          <w:color w:val="auto"/>
        </w:rPr>
        <w:t>Licenses to Gilead</w:t>
      </w:r>
      <w:r>
        <w:rPr>
          <w:rFonts w:ascii="Arial" w:cs="Arial" w:eastAsia="Arial" w:hAnsi="Arial"/>
          <w:sz w:val="16"/>
          <w:szCs w:val="16"/>
          <w:color w:val="auto"/>
        </w:rPr>
        <w:t>.</w:t>
      </w:r>
    </w:p>
    <w:p>
      <w:pPr>
        <w:spacing w:after="0" w:line="216" w:lineRule="exact"/>
        <w:rPr>
          <w:sz w:val="20"/>
          <w:szCs w:val="20"/>
          <w:color w:val="auto"/>
        </w:rPr>
      </w:pPr>
    </w:p>
    <w:p>
      <w:pPr>
        <w:ind w:left="1020" w:firstLine="1301"/>
        <w:spacing w:after="0" w:line="236" w:lineRule="auto"/>
        <w:tabs>
          <w:tab w:leader="none" w:pos="273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Research Term License</w:t>
      </w:r>
      <w:r>
        <w:rPr>
          <w:rFonts w:ascii="Arial" w:cs="Arial" w:eastAsia="Arial" w:hAnsi="Arial"/>
          <w:sz w:val="18"/>
          <w:szCs w:val="18"/>
          <w:color w:val="auto"/>
        </w:rPr>
        <w:t>. Subject to the terms and conditions of this Agreement, effective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Target Combination License Date for a given Research Program, MacroGenics hereby grants to Gilead, during the Research Term for such Research Program, a worldwide, royalty-free, non-transferable (except in accordance with Section 19.4 (Assignment; Change of Control)), co-exclusive (with MacroGenics) license under the MacroGenics Research Technology and MacroGenics’ right, title and interest in the Jointly Owned IP, with the right to grant sublicenses [***] (subject to Section 3.3(b) (Sublicensing by Gilead)), solely to the extent necessary or reasonably useful to conduct any Development or Manufacturing activities allocated to Gilead under the Research Plan for the applicable Licensed Research Target Combination that is the subject of such Research Program.</w:t>
      </w:r>
    </w:p>
    <w:p>
      <w:pPr>
        <w:sectPr>
          <w:pgSz w:w="11900" w:h="16838" w:orient="portrait"/>
          <w:cols w:equalWidth="0" w:num="1">
            <w:col w:w="10620"/>
          </w:cols>
          <w:pgMar w:left="400" w:top="139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620"/>
          </w:cols>
          <w:pgMar w:left="400" w:top="1399" w:right="879" w:bottom="1440" w:gutter="0" w:footer="0" w:header="0"/>
          <w:type w:val="continuous"/>
        </w:sectPr>
      </w:pPr>
    </w:p>
    <w:bookmarkStart w:id="148" w:name="page149"/>
    <w:bookmarkEnd w:id="148"/>
    <w:p>
      <w:pPr>
        <w:ind w:left="1020" w:right="20" w:firstLine="1302"/>
        <w:spacing w:after="0" w:line="220" w:lineRule="auto"/>
        <w:tabs>
          <w:tab w:leader="none" w:pos="2744" w:val="left"/>
        </w:tabs>
        <w:numPr>
          <w:ilvl w:val="1"/>
          <w:numId w:val="74"/>
        </w:numPr>
        <w:rPr>
          <w:rFonts w:ascii="Arial" w:cs="Arial" w:eastAsia="Arial" w:hAnsi="Arial"/>
          <w:sz w:val="19"/>
          <w:szCs w:val="19"/>
          <w:color w:val="auto"/>
        </w:rPr>
      </w:pPr>
      <w:r>
        <w:rPr>
          <w:rFonts w:ascii="Arial" w:cs="Arial" w:eastAsia="Arial" w:hAnsi="Arial"/>
          <w:sz w:val="19"/>
          <w:szCs w:val="19"/>
          <w:b w:val="1"/>
          <w:bCs w:val="1"/>
          <w:color w:val="auto"/>
        </w:rPr>
        <w:t>Exploitation Licenses for Research Molecules and Research Products</w:t>
      </w:r>
      <w:r>
        <w:rPr>
          <w:rFonts w:ascii="Arial" w:cs="Arial" w:eastAsia="Arial" w:hAnsi="Arial"/>
          <w:sz w:val="19"/>
          <w:szCs w:val="19"/>
          <w:color w:val="auto"/>
        </w:rPr>
        <w:t>. Subject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of this Agreement (including Section 3.5 (Retained Rights)), effective upon the Research Program Opt-In Effective Date for a given Research Program, MacroGenics hereby grants to Gilead an exclusive, royalty-bearing, non-transferable (except in accordance with Section 19.4 (Assignment; Change of Control)) license under the MacroGenics Research Technology and MacroGenics’ right, title and interest in the Jointly Owned IP, with the right to grant sublicenses [***] (each subject to Section 3.3(b) (Sublicensing by Gilead)), to Exploit Research Molecules and Research Products with respect to such Research Program in the Field in the Territory. For clarity, the license granted to Gilead under this Section 3.1(b) (Exploitation Licenses for Research Molecules and Research Products) shall not include the right for Gilead or any of its Affiliates to:</w:t>
      </w:r>
    </w:p>
    <w:p>
      <w:pPr>
        <w:spacing w:after="0" w:line="1" w:lineRule="exact"/>
        <w:rPr>
          <w:rFonts w:ascii="Arial" w:cs="Arial" w:eastAsia="Arial" w:hAnsi="Arial"/>
          <w:sz w:val="19"/>
          <w:szCs w:val="19"/>
          <w:color w:val="auto"/>
        </w:rPr>
      </w:pPr>
    </w:p>
    <w:p>
      <w:pPr>
        <w:jc w:val="both"/>
        <w:ind w:left="1020" w:firstLine="6"/>
        <w:spacing w:after="0" w:line="235" w:lineRule="auto"/>
        <w:tabs>
          <w:tab w:leader="none" w:pos="12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conduct any Development or Commercialization activities using the MacroGenics Platform or (ii) use any molecule or compound that is proprietary to MacroGenics, its Affiliates or its (sub)licensees (other than a Research Molecule) in combination with any Research Molecule or Research Product. Notwithstanding anything to the contrary in the foregoing, effective upon the Research Program Opt-In Effective Date for a given Research Program, the license granted under this Section 3.1(b) (Exploitation Licenses for Research Molecules and Research Products) shall supersede and extinguish the license granted under Section 3.1(a) (Research Term License).</w:t>
      </w:r>
    </w:p>
    <w:p>
      <w:pPr>
        <w:spacing w:after="0" w:line="206" w:lineRule="exact"/>
        <w:rPr>
          <w:rFonts w:ascii="Arial" w:cs="Arial" w:eastAsia="Arial" w:hAnsi="Arial"/>
          <w:sz w:val="18"/>
          <w:szCs w:val="18"/>
          <w:color w:val="auto"/>
        </w:rPr>
      </w:pPr>
    </w:p>
    <w:p>
      <w:pPr>
        <w:ind w:left="1020" w:right="60" w:firstLine="1302"/>
        <w:spacing w:after="0" w:line="239" w:lineRule="auto"/>
        <w:tabs>
          <w:tab w:leader="none" w:pos="2733"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Development Term License</w:t>
      </w:r>
      <w:r>
        <w:rPr>
          <w:rFonts w:ascii="Arial" w:cs="Arial" w:eastAsia="Arial" w:hAnsi="Arial"/>
          <w:sz w:val="18"/>
          <w:szCs w:val="18"/>
          <w:color w:val="auto"/>
        </w:rPr>
        <w:t>. Subject to the terms and conditions of this Agreement, MacroGenics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grants to Gilead, during the CD123 Development Term, a worldwide, royalty-free, non-transferable (except in accordance with Section 19.4 (Assignment; Change of Control)), co-exclusive (with MacroGenics) license under the MacroGenics CD123 Technology and MacroGenics’ right, title and interest in the Jointly Owned IP, with the right to grant sublicenses [***] (subject to Section 3.3(b) (Sublicensing by Gilead)), solely to the extent necessary or reasonably useful to perform any Development activities, Manufacturing activities or Regulatory Activities allocated to Gilead under the CD123 Development Plan for the CD123 Molecules and CD123 Products.</w:t>
      </w:r>
    </w:p>
    <w:p>
      <w:pPr>
        <w:spacing w:after="0" w:line="190" w:lineRule="exact"/>
        <w:rPr>
          <w:rFonts w:ascii="Arial" w:cs="Arial" w:eastAsia="Arial" w:hAnsi="Arial"/>
          <w:sz w:val="18"/>
          <w:szCs w:val="18"/>
          <w:color w:val="auto"/>
        </w:rPr>
      </w:pPr>
    </w:p>
    <w:p>
      <w:pPr>
        <w:ind w:left="1020" w:right="40" w:firstLine="1302"/>
        <w:spacing w:after="0" w:line="223" w:lineRule="auto"/>
        <w:tabs>
          <w:tab w:leader="none" w:pos="2744" w:val="left"/>
        </w:tabs>
        <w:numPr>
          <w:ilvl w:val="1"/>
          <w:numId w:val="75"/>
        </w:numPr>
        <w:rPr>
          <w:rFonts w:ascii="Arial" w:cs="Arial" w:eastAsia="Arial" w:hAnsi="Arial"/>
          <w:sz w:val="19"/>
          <w:szCs w:val="19"/>
          <w:color w:val="auto"/>
        </w:rPr>
      </w:pPr>
      <w:r>
        <w:rPr>
          <w:rFonts w:ascii="Arial" w:cs="Arial" w:eastAsia="Arial" w:hAnsi="Arial"/>
          <w:sz w:val="19"/>
          <w:szCs w:val="19"/>
          <w:b w:val="1"/>
          <w:bCs w:val="1"/>
          <w:color w:val="auto"/>
        </w:rPr>
        <w:t>Exploitation License for CD123 Molecules and CD123 Products</w:t>
      </w:r>
      <w:r>
        <w:rPr>
          <w:rFonts w:ascii="Arial" w:cs="Arial" w:eastAsia="Arial" w:hAnsi="Arial"/>
          <w:sz w:val="19"/>
          <w:szCs w:val="19"/>
          <w:color w:val="auto"/>
        </w:rPr>
        <w:t>. Subject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of this Agreement (including Section 3.5 (Retained Rights)), effective upon the CD123 Option Effective Date, MacroGenics hereby grants to Gilead an exclusive, royalty-bearing, non- transferable (except in accordance with Section 19.4 (Assignment; Change of Control)) license under the MacroGenics CD123 Technology and MacroGenics’ right, title and interest in the Jointly Owned IP, with the right to grant sublicenses [***] (each subject to Section 3.3(b) (Sublicensing by Gilead)), to Exploit CD123 Molecules and CD123 Products in the Field in the Territory. For clarity, the foregoing license shall not include the right for Gilead or any of its Affiliates to: (i) conduct any Development or Commercialization activities using the MacroGenics Platform other than as permitted under the CD123 Development Plan, or (ii) use any molecule or compound that is proprietary to MacroGenics, its Affiliates or its (sub)licensees that is not a CD123 Molecule.</w:t>
      </w:r>
    </w:p>
    <w:p>
      <w:pPr>
        <w:spacing w:after="0" w:line="197"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b w:val="1"/>
          <w:bCs w:val="1"/>
          <w:color w:val="auto"/>
        </w:rPr>
        <w:t>Licenses to MacroGenics</w:t>
      </w:r>
      <w:r>
        <w:rPr>
          <w:rFonts w:ascii="Arial" w:cs="Arial" w:eastAsia="Arial" w:hAnsi="Arial"/>
          <w:sz w:val="16"/>
          <w:szCs w:val="16"/>
          <w:color w:val="auto"/>
        </w:rPr>
        <w:t>.</w:t>
      </w:r>
    </w:p>
    <w:p>
      <w:pPr>
        <w:spacing w:after="0" w:line="216" w:lineRule="exact"/>
        <w:rPr>
          <w:sz w:val="20"/>
          <w:szCs w:val="20"/>
          <w:color w:val="auto"/>
        </w:rPr>
      </w:pPr>
    </w:p>
    <w:p>
      <w:pPr>
        <w:ind w:left="1020" w:right="20" w:firstLine="1301"/>
        <w:spacing w:after="0" w:line="226" w:lineRule="auto"/>
        <w:tabs>
          <w:tab w:leader="none" w:pos="2734"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Research Term License</w:t>
      </w:r>
      <w:r>
        <w:rPr>
          <w:rFonts w:ascii="Arial" w:cs="Arial" w:eastAsia="Arial" w:hAnsi="Arial"/>
          <w:sz w:val="19"/>
          <w:szCs w:val="19"/>
          <w:color w:val="auto"/>
        </w:rPr>
        <w:t>. Subject to the terms and conditions of this Agreement, effective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Research Target Combination License Date for a given Research Program, Gilead hereby grants to MacroGenics, during the Research Term for such Research Program, a worldwide, royalty-free, non-transferable (except in accordance with Section 19.4 (Assignment; Change of Control)), co-exclusive (with Gilead) license under the Gilead Licensed Technology and Gilead’s right, title and interest in the Jointly Owned IP, with the right to grant sublicenses [***] (subject to Section 3.3(a) (Sublicensing by MacroGenics)), to conduct the Development and Manufacturing activities allocated to MacroGenics under the Research Plan for the Research Molecules and Research Products that are the subject of such Research Program.</w:t>
      </w:r>
    </w:p>
    <w:p>
      <w:pPr>
        <w:spacing w:after="0" w:line="190" w:lineRule="exact"/>
        <w:rPr>
          <w:rFonts w:ascii="Arial" w:cs="Arial" w:eastAsia="Arial" w:hAnsi="Arial"/>
          <w:sz w:val="19"/>
          <w:szCs w:val="19"/>
          <w:color w:val="auto"/>
        </w:rPr>
      </w:pPr>
    </w:p>
    <w:p>
      <w:pPr>
        <w:ind w:left="1020" w:right="40" w:firstLine="1301"/>
        <w:spacing w:after="0" w:line="215" w:lineRule="auto"/>
        <w:tabs>
          <w:tab w:leader="none" w:pos="2744"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Development License for CD123 Molecules and CD123 Products</w:t>
      </w:r>
      <w:r>
        <w:rPr>
          <w:rFonts w:ascii="Arial" w:cs="Arial" w:eastAsia="Arial" w:hAnsi="Arial"/>
          <w:sz w:val="20"/>
          <w:szCs w:val="20"/>
          <w:color w:val="auto"/>
        </w:rPr>
        <w:t>.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this Agreement, Gilead hereby grants to MacroGenics, during the CD123 Development Term, a worldwide, royalty-free, non-transferable (except in accordance with Section 19.4 (Assignment; Change of Control)) co-exclusive (with Gilead) license under the Gilead Licensed Technology and Gilead’s right, title and interest in the Jointly Owned IP, with the right to grant sublicenses [***] (subject to Section 3.3(a) (Sublicensing by MacroGenics)), to conduct any Development activities allocated to MacroGenics under the CD123 Development Plan for the CD123 Molecules and CD123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620"/>
          </w:cols>
          <w:pgMar w:left="400" w:top="1318" w:right="879" w:bottom="1440" w:gutter="0" w:footer="0" w:header="0"/>
        </w:sectPr>
      </w:pPr>
    </w:p>
    <w:bookmarkStart w:id="149" w:name="page150"/>
    <w:bookmarkEnd w:id="149"/>
    <w:p>
      <w:pPr>
        <w:ind w:left="1680"/>
        <w:spacing w:after="0"/>
        <w:tabs>
          <w:tab w:leader="none" w:pos="21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b w:val="1"/>
          <w:bCs w:val="1"/>
          <w:color w:val="auto"/>
        </w:rPr>
        <w:t>Sublicensees</w:t>
      </w:r>
      <w:r>
        <w:rPr>
          <w:rFonts w:ascii="Arial" w:cs="Arial" w:eastAsia="Arial" w:hAnsi="Arial"/>
          <w:sz w:val="16"/>
          <w:szCs w:val="16"/>
          <w:color w:val="auto"/>
        </w:rPr>
        <w:t>.</w:t>
      </w:r>
    </w:p>
    <w:p>
      <w:pPr>
        <w:spacing w:after="0" w:line="216" w:lineRule="exact"/>
        <w:rPr>
          <w:sz w:val="20"/>
          <w:szCs w:val="20"/>
          <w:color w:val="auto"/>
        </w:rPr>
      </w:pPr>
    </w:p>
    <w:p>
      <w:pPr>
        <w:ind w:left="1020" w:right="20" w:firstLine="1301"/>
        <w:spacing w:after="0" w:line="215" w:lineRule="auto"/>
        <w:tabs>
          <w:tab w:leader="none" w:pos="2734"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Sublicensing by MacroGenics</w:t>
      </w:r>
      <w:r>
        <w:rPr>
          <w:rFonts w:ascii="Arial" w:cs="Arial" w:eastAsia="Arial" w:hAnsi="Arial"/>
          <w:sz w:val="20"/>
          <w:szCs w:val="20"/>
          <w:color w:val="auto"/>
        </w:rPr>
        <w:t>. MacroGenics shall have the right to grant sublicenses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licenses granted to it in Section 3.2 (Licenses to MacroGenics), including sublicenses to a subset of the rights granted thereunder, [***]. Each sublicense granted by MacroGenics under this Agreement shall reference, be consistent with and subject to this Agreement, and MacroGenics shall remain responsible to Gilead for the compliance of each such Sublicensee with the terms and conditions of this Agreement. For clarity, any fee-for-service agreement with a Permitted Subcontractor will not be subject to this Section 3.3(a) (Sublicensing by MacroGenics) and will instead be governed by Section 3.4 (Subcontractors).</w:t>
      </w:r>
    </w:p>
    <w:p>
      <w:pPr>
        <w:spacing w:after="0" w:line="204" w:lineRule="exact"/>
        <w:rPr>
          <w:rFonts w:ascii="Arial" w:cs="Arial" w:eastAsia="Arial" w:hAnsi="Arial"/>
          <w:sz w:val="20"/>
          <w:szCs w:val="20"/>
          <w:color w:val="auto"/>
        </w:rPr>
      </w:pPr>
    </w:p>
    <w:p>
      <w:pPr>
        <w:ind w:left="1020" w:firstLine="1302"/>
        <w:spacing w:after="0" w:line="222" w:lineRule="auto"/>
        <w:tabs>
          <w:tab w:leader="none" w:pos="2744"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Sublicensing by Gilead</w:t>
      </w:r>
      <w:r>
        <w:rPr>
          <w:rFonts w:ascii="Arial" w:cs="Arial" w:eastAsia="Arial" w:hAnsi="Arial"/>
          <w:sz w:val="19"/>
          <w:szCs w:val="19"/>
          <w:color w:val="auto"/>
        </w:rPr>
        <w:t>. Gilead shall have the right to grant sublicenses [***] of the licenses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granted to it in Section 3.1 (Licenses to Gilead), including sublicenses to a subset of the rights granted thereunder, [***]. Each sublicense granted by Gilead to a Third Party under this Agreement shall reference, be consistent with and subject to this Agreement, and Gilead shall remain responsible to MacroGenics for the compliance of each such Sublicensee with the terms and conditions of this Agreement, including with respect to the financial obligations and other obligations due under this Agreement. Gilead shall provide a complete copy of each such sublicense to a Third Party (and all material amendments or restatements thereof) granted by Gilead under this Agreement to MacroGenics within [***] after execution;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Gilead shall have the right to redact commercially sensitive information or information unrelated to the Licensed Products from such copies (which, for clarity, shall not include information regarding the scope of the license grants, territory or term of each such sublicense). For clarity, any fee-for-service agreement with a Permitted Subcontractor will not be subject to this Section 3.3(b) (Sublicensing by Gilead) and will instead be governed by Section 3.4 (Subcontractors).</w:t>
      </w:r>
    </w:p>
    <w:p>
      <w:pPr>
        <w:spacing w:after="0" w:line="193" w:lineRule="exact"/>
        <w:rPr>
          <w:rFonts w:ascii="Arial" w:cs="Arial" w:eastAsia="Arial" w:hAnsi="Arial"/>
          <w:sz w:val="19"/>
          <w:szCs w:val="19"/>
          <w:color w:val="auto"/>
        </w:rPr>
      </w:pPr>
    </w:p>
    <w:p>
      <w:pPr>
        <w:ind w:left="1020" w:firstLine="1301"/>
        <w:spacing w:after="0" w:line="222" w:lineRule="auto"/>
        <w:tabs>
          <w:tab w:leader="none" w:pos="2734"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Survival of Gilead Sublicenses</w:t>
      </w:r>
      <w:r>
        <w:rPr>
          <w:rFonts w:ascii="Arial" w:cs="Arial" w:eastAsia="Arial" w:hAnsi="Arial"/>
          <w:sz w:val="19"/>
          <w:szCs w:val="19"/>
          <w:color w:val="auto"/>
        </w:rPr>
        <w:t>. Upon termination of this Agreement for any reason,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written request of any Sublicensee of Gilead who is not then in breach of its sublicense agreement or the terms of this Agreement applicable to such Sublicensee, MacroGenics agrees to discuss in good faith with such Sublicensee the possibility of entering into a direct license from MacroGenics,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MacroGenics shall have sole discretion and decision-making authority as to whether to enter into such license agreement (each a “</w:t>
      </w:r>
      <w:r>
        <w:rPr>
          <w:rFonts w:ascii="Arial" w:cs="Arial" w:eastAsia="Arial" w:hAnsi="Arial"/>
          <w:sz w:val="19"/>
          <w:szCs w:val="19"/>
          <w:b w:val="1"/>
          <w:bCs w:val="1"/>
          <w:color w:val="auto"/>
        </w:rPr>
        <w:t>New License Agreement</w:t>
      </w:r>
      <w:r>
        <w:rPr>
          <w:rFonts w:ascii="Arial" w:cs="Arial" w:eastAsia="Arial" w:hAnsi="Arial"/>
          <w:sz w:val="19"/>
          <w:szCs w:val="19"/>
          <w:color w:val="auto"/>
        </w:rPr>
        <w:t>”). Under any such New License Agreement between MacroGenics and such former Sublicensee, such Sublicensee will be required to pay to MacroGenics the same amounts in consideration for such direct grant as MacroGenics would have otherwise received from Gilead pursuant to this Agreement on account of such Sublicensee’s Exploitation of the Licensed Products had this Agreement not been terminated. Under such New License Agreement, MacroGenics will not be bound by any grant of rights broader than, and will not be required to perform any obligation other than those rights and obligations contained in, this Agreement and all applicable rights of MacroGenics set forth in this Agreement will be included in such New License Agreement.</w:t>
      </w:r>
    </w:p>
    <w:p>
      <w:pPr>
        <w:spacing w:after="0" w:line="261" w:lineRule="exact"/>
        <w:rPr>
          <w:sz w:val="20"/>
          <w:szCs w:val="20"/>
          <w:color w:val="auto"/>
        </w:rPr>
      </w:pPr>
    </w:p>
    <w:p>
      <w:pPr>
        <w:ind w:left="1020" w:right="20" w:firstLine="648"/>
        <w:spacing w:after="0" w:line="24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Subcontractors</w:t>
      </w:r>
      <w:r>
        <w:rPr>
          <w:rFonts w:ascii="Arial" w:cs="Arial" w:eastAsia="Arial" w:hAnsi="Arial"/>
          <w:sz w:val="18"/>
          <w:szCs w:val="18"/>
          <w:color w:val="auto"/>
        </w:rPr>
        <w:t>. Each Party shall have the right to engage Third Party contractors to perform any portion of its obligations or exercise certain rights of such Party under this Agreement on a fee-for-service basis (including Third</w:t>
      </w:r>
    </w:p>
    <w:p>
      <w:pPr>
        <w:spacing w:after="0" w:line="1" w:lineRule="exact"/>
        <w:rPr>
          <w:sz w:val="20"/>
          <w:szCs w:val="20"/>
          <w:color w:val="auto"/>
        </w:rPr>
      </w:pPr>
    </w:p>
    <w:p>
      <w:pPr>
        <w:ind w:left="1020"/>
        <w:spacing w:after="0" w:line="255" w:lineRule="auto"/>
        <w:rPr>
          <w:sz w:val="20"/>
          <w:szCs w:val="20"/>
          <w:color w:val="auto"/>
        </w:rPr>
      </w:pPr>
      <w:r>
        <w:rPr>
          <w:rFonts w:ascii="Arial" w:cs="Arial" w:eastAsia="Arial" w:hAnsi="Arial"/>
          <w:sz w:val="16"/>
          <w:szCs w:val="16"/>
          <w:color w:val="auto"/>
        </w:rPr>
        <w:t>Party Distributors, contract research organizations and contract manufacturing organizations) (each such subcontractor, a “</w:t>
      </w:r>
      <w:r>
        <w:rPr>
          <w:rFonts w:ascii="Arial" w:cs="Arial" w:eastAsia="Arial" w:hAnsi="Arial"/>
          <w:sz w:val="16"/>
          <w:szCs w:val="16"/>
          <w:b w:val="1"/>
          <w:bCs w:val="1"/>
          <w:color w:val="auto"/>
        </w:rPr>
        <w:t>Permitted Subcontractor</w:t>
      </w:r>
      <w:r>
        <w:rPr>
          <w:rFonts w:ascii="Arial" w:cs="Arial" w:eastAsia="Arial" w:hAnsi="Arial"/>
          <w:sz w:val="16"/>
          <w:szCs w:val="16"/>
          <w:color w:val="auto"/>
        </w:rPr>
        <w:t>”), except, [***]. Any such Permitted Subcontractor to be engaged by a Party hereunder shall</w:t>
      </w:r>
    </w:p>
    <w:p>
      <w:pPr>
        <w:spacing w:after="0" w:line="1" w:lineRule="exact"/>
        <w:rPr>
          <w:sz w:val="20"/>
          <w:szCs w:val="20"/>
          <w:color w:val="auto"/>
        </w:rPr>
      </w:pPr>
    </w:p>
    <w:p>
      <w:pPr>
        <w:ind w:left="1020" w:right="100"/>
        <w:spacing w:after="0" w:line="255" w:lineRule="auto"/>
        <w:rPr>
          <w:sz w:val="20"/>
          <w:szCs w:val="20"/>
          <w:color w:val="auto"/>
        </w:rPr>
      </w:pPr>
      <w:r>
        <w:rPr>
          <w:rFonts w:ascii="Arial" w:cs="Arial" w:eastAsia="Arial" w:hAnsi="Arial"/>
          <w:sz w:val="16"/>
          <w:szCs w:val="16"/>
          <w:color w:val="auto"/>
        </w:rPr>
        <w:t>meet the qualifications typically required by such Party for the performance of work similar in scope and complexity to the subcontracted activity. Any such Permitted Subcontractor engaged by a Party hereunder shall be required to agree in</w:t>
      </w:r>
    </w:p>
    <w:p>
      <w:pPr>
        <w:ind w:left="1020"/>
        <w:spacing w:after="0" w:line="223" w:lineRule="auto"/>
        <w:rPr>
          <w:sz w:val="20"/>
          <w:szCs w:val="20"/>
          <w:color w:val="auto"/>
        </w:rPr>
      </w:pPr>
      <w:r>
        <w:rPr>
          <w:rFonts w:ascii="Arial" w:cs="Arial" w:eastAsia="Arial" w:hAnsi="Arial"/>
          <w:sz w:val="19"/>
          <w:szCs w:val="19"/>
          <w:color w:val="auto"/>
        </w:rPr>
        <w:t>writing to be bound by terms regarding maintaining the confidentiality of proprietary information that are no less</w:t>
      </w:r>
    </w:p>
    <w:p>
      <w:pPr>
        <w:ind w:left="1020"/>
        <w:spacing w:after="0" w:line="226" w:lineRule="auto"/>
        <w:rPr>
          <w:sz w:val="20"/>
          <w:szCs w:val="20"/>
          <w:color w:val="auto"/>
        </w:rPr>
      </w:pPr>
      <w:r>
        <w:rPr>
          <w:rFonts w:ascii="Arial" w:cs="Arial" w:eastAsia="Arial" w:hAnsi="Arial"/>
          <w:sz w:val="18"/>
          <w:szCs w:val="18"/>
          <w:color w:val="auto"/>
        </w:rPr>
        <w:t>stringent than those contained in this Agreement and regarding ownership of intellectual property that are consistent with those contained in this Agreement. A Party’s use of Permitted Subcontractors shall not relieve it of any of its obligations</w:t>
      </w:r>
    </w:p>
    <w:p>
      <w:pPr>
        <w:spacing w:after="0" w:line="2" w:lineRule="exact"/>
        <w:rPr>
          <w:sz w:val="20"/>
          <w:szCs w:val="20"/>
          <w:color w:val="auto"/>
        </w:rPr>
      </w:pPr>
    </w:p>
    <w:p>
      <w:pPr>
        <w:ind w:left="1020" w:right="200"/>
        <w:spacing w:after="0" w:line="239" w:lineRule="auto"/>
        <w:rPr>
          <w:sz w:val="20"/>
          <w:szCs w:val="20"/>
          <w:color w:val="auto"/>
        </w:rPr>
      </w:pPr>
      <w:r>
        <w:rPr>
          <w:rFonts w:ascii="Arial" w:cs="Arial" w:eastAsia="Arial" w:hAnsi="Arial"/>
          <w:sz w:val="19"/>
          <w:szCs w:val="19"/>
          <w:color w:val="auto"/>
        </w:rPr>
        <w:t>pursuant to this Agreement. Any Party engaging a Permitted Subcontractor to perform any of its obligations hereunder shall remain principally responsible and obligated for the performance of such activities.</w:t>
      </w:r>
    </w:p>
    <w:p>
      <w:pPr>
        <w:spacing w:after="0" w:line="179"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b w:val="1"/>
          <w:bCs w:val="1"/>
          <w:color w:val="auto"/>
        </w:rPr>
        <w:t>Retained Rights</w:t>
      </w:r>
      <w:r>
        <w:rPr>
          <w:rFonts w:ascii="Arial" w:cs="Arial" w:eastAsia="Arial" w:hAnsi="Arial"/>
          <w:sz w:val="18"/>
          <w:szCs w:val="18"/>
          <w:color w:val="auto"/>
        </w:rPr>
        <w:t>. Notwithstanding: (a) the license grant to Gilead pursuant to Section 3.1(d) (Exploitation</w:t>
      </w:r>
    </w:p>
    <w:p>
      <w:pPr>
        <w:spacing w:after="0" w:line="6"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Licenses for CD123 Molecules and CD123 Products), MacroGenics reserves for itself and its Affiliates: [***]; (iii) the right to Manufacture or have Manufactured MGD024 and MGD024 Products for Gilead during the Clinical Supply Term</w:t>
      </w:r>
    </w:p>
    <w:p>
      <w:pPr>
        <w:spacing w:after="0" w:line="2" w:lineRule="exact"/>
        <w:rPr>
          <w:sz w:val="20"/>
          <w:szCs w:val="20"/>
          <w:color w:val="auto"/>
        </w:rPr>
      </w:pPr>
    </w:p>
    <w:p>
      <w:pPr>
        <w:ind w:left="1020" w:right="800"/>
        <w:spacing w:after="0" w:line="227" w:lineRule="auto"/>
        <w:rPr>
          <w:sz w:val="20"/>
          <w:szCs w:val="20"/>
          <w:color w:val="auto"/>
        </w:rPr>
      </w:pPr>
      <w:r>
        <w:rPr>
          <w:rFonts w:ascii="Arial" w:cs="Arial" w:eastAsia="Arial" w:hAnsi="Arial"/>
          <w:sz w:val="20"/>
          <w:szCs w:val="20"/>
          <w:color w:val="auto"/>
        </w:rPr>
        <w:t>in accordance with this Agreement and the Clinical Supply Agreement and (iv) the right to conduct Regulatory Activities requested by Gilead for CD123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620"/>
          </w:cols>
          <w:pgMar w:left="400" w:top="1318" w:right="879" w:bottom="1440" w:gutter="0" w:footer="0" w:header="0"/>
        </w:sectPr>
      </w:pPr>
    </w:p>
    <w:bookmarkStart w:id="150" w:name="page151"/>
    <w:bookmarkEnd w:id="150"/>
    <w:p>
      <w:pPr>
        <w:ind w:left="1020" w:right="80"/>
        <w:spacing w:after="0" w:line="274" w:lineRule="auto"/>
        <w:rPr>
          <w:sz w:val="20"/>
          <w:szCs w:val="20"/>
          <w:color w:val="auto"/>
        </w:rPr>
      </w:pPr>
      <w:r>
        <w:rPr>
          <w:rFonts w:ascii="Arial" w:cs="Arial" w:eastAsia="Arial" w:hAnsi="Arial"/>
          <w:sz w:val="16"/>
          <w:szCs w:val="16"/>
          <w:color w:val="auto"/>
        </w:rPr>
        <w:t>Products, as further described in Section 7.1(b) (After the CD123 Development Term); and (b) the license grant to Gilead pursuant to Section 3.1(b) (Exploitation Licenses for Research Molecules and Research Products), MacroGenics</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reserves for itself and its Affiliates the right to conduct Regulatory Activities requested by Gilead for Research Products, as further described in Section 7.2 (Research Molecules and Research Products). Except as explicitly set forth in this</w:t>
      </w:r>
    </w:p>
    <w:p>
      <w:pPr>
        <w:ind w:left="1020"/>
        <w:spacing w:after="0" w:line="224" w:lineRule="auto"/>
        <w:rPr>
          <w:sz w:val="20"/>
          <w:szCs w:val="20"/>
          <w:color w:val="auto"/>
        </w:rPr>
      </w:pPr>
      <w:r>
        <w:rPr>
          <w:rFonts w:ascii="Arial" w:cs="Arial" w:eastAsia="Arial" w:hAnsi="Arial"/>
          <w:sz w:val="19"/>
          <w:szCs w:val="19"/>
          <w:color w:val="auto"/>
        </w:rPr>
        <w:t>Agreement, no license or other right is or shall be created or granted by either Party under this Agreement by</w:t>
      </w:r>
    </w:p>
    <w:p>
      <w:pPr>
        <w:ind w:left="1020" w:right="40"/>
        <w:spacing w:after="0" w:line="226" w:lineRule="auto"/>
        <w:rPr>
          <w:sz w:val="20"/>
          <w:szCs w:val="20"/>
          <w:color w:val="auto"/>
        </w:rPr>
      </w:pPr>
      <w:r>
        <w:rPr>
          <w:rFonts w:ascii="Arial" w:cs="Arial" w:eastAsia="Arial" w:hAnsi="Arial"/>
          <w:sz w:val="18"/>
          <w:szCs w:val="18"/>
          <w:color w:val="auto"/>
        </w:rPr>
        <w:t>implication, estoppel, or otherwise. Each Party shall retain all rights not otherwise granted to the other Party. For clarity, notwithstanding the licenses granted to (A) Gilead pursuant to Section 3.1 (Licenses to Gilead), no right or license is</w:t>
      </w:r>
    </w:p>
    <w:p>
      <w:pPr>
        <w:spacing w:after="0" w:line="2" w:lineRule="exact"/>
        <w:rPr>
          <w:sz w:val="20"/>
          <w:szCs w:val="20"/>
          <w:color w:val="auto"/>
        </w:rPr>
      </w:pPr>
    </w:p>
    <w:p>
      <w:pPr>
        <w:ind w:left="1020" w:right="100"/>
        <w:spacing w:after="0" w:line="226" w:lineRule="auto"/>
        <w:rPr>
          <w:sz w:val="20"/>
          <w:szCs w:val="20"/>
          <w:color w:val="auto"/>
        </w:rPr>
      </w:pPr>
      <w:r>
        <w:rPr>
          <w:rFonts w:ascii="Arial" w:cs="Arial" w:eastAsia="Arial" w:hAnsi="Arial"/>
          <w:sz w:val="18"/>
          <w:szCs w:val="18"/>
          <w:color w:val="auto"/>
        </w:rPr>
        <w:t>granted by MacroGenics to Gilead under the MacroGenics Licensed Technology or MacroGenics Platform Trademarks with respect to any molecule or product Covered by such MacroGenics Licensed Technology or MacroGenics Platform</w:t>
      </w:r>
    </w:p>
    <w:p>
      <w:pPr>
        <w:ind w:left="1020"/>
        <w:spacing w:after="0" w:line="224" w:lineRule="auto"/>
        <w:rPr>
          <w:sz w:val="20"/>
          <w:szCs w:val="20"/>
          <w:color w:val="auto"/>
        </w:rPr>
      </w:pPr>
      <w:r>
        <w:rPr>
          <w:rFonts w:ascii="Arial" w:cs="Arial" w:eastAsia="Arial" w:hAnsi="Arial"/>
          <w:sz w:val="19"/>
          <w:szCs w:val="19"/>
          <w:color w:val="auto"/>
        </w:rPr>
        <w:t>Trademarks other than the Licensed Molecules and Licensed Products (including any Other Component of a</w:t>
      </w:r>
    </w:p>
    <w:p>
      <w:pPr>
        <w:ind w:left="1020" w:right="200"/>
        <w:spacing w:after="0" w:line="226" w:lineRule="auto"/>
        <w:rPr>
          <w:sz w:val="20"/>
          <w:szCs w:val="20"/>
          <w:color w:val="auto"/>
        </w:rPr>
      </w:pPr>
      <w:r>
        <w:rPr>
          <w:rFonts w:ascii="Arial" w:cs="Arial" w:eastAsia="Arial" w:hAnsi="Arial"/>
          <w:sz w:val="18"/>
          <w:szCs w:val="18"/>
          <w:color w:val="auto"/>
        </w:rPr>
        <w:t>Combination Product); and (B) MacroGenics pursuant to Section 3.2 (Licenses to MacroGenics), no right or license is granted by Gilead to MacroGenics under the Gilead Licensed Technology with respect to any molecule or product</w:t>
      </w:r>
    </w:p>
    <w:p>
      <w:pPr>
        <w:spacing w:after="0" w:line="2" w:lineRule="exact"/>
        <w:rPr>
          <w:sz w:val="20"/>
          <w:szCs w:val="20"/>
          <w:color w:val="auto"/>
        </w:rPr>
      </w:pPr>
    </w:p>
    <w:p>
      <w:pPr>
        <w:ind w:left="1020" w:right="100"/>
        <w:spacing w:after="0" w:line="227" w:lineRule="auto"/>
        <w:rPr>
          <w:sz w:val="20"/>
          <w:szCs w:val="20"/>
          <w:color w:val="auto"/>
        </w:rPr>
      </w:pPr>
      <w:r>
        <w:rPr>
          <w:rFonts w:ascii="Arial" w:cs="Arial" w:eastAsia="Arial" w:hAnsi="Arial"/>
          <w:sz w:val="20"/>
          <w:szCs w:val="20"/>
          <w:color w:val="auto"/>
        </w:rPr>
        <w:t>Covered by such Gilead Licensed Technology other than the Licensed Molecules and Licensed Products (including any Other Component of a Combination Product).</w:t>
      </w:r>
    </w:p>
    <w:p>
      <w:pPr>
        <w:spacing w:after="0" w:line="179"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6"/>
          <w:szCs w:val="16"/>
          <w:b w:val="1"/>
          <w:bCs w:val="1"/>
          <w:color w:val="auto"/>
        </w:rPr>
        <w:t>Sublicense under the MacroGenics Manufacturing In-Licenses</w:t>
      </w:r>
      <w:r>
        <w:rPr>
          <w:rFonts w:ascii="Arial" w:cs="Arial" w:eastAsia="Arial" w:hAnsi="Arial"/>
          <w:sz w:val="16"/>
          <w:szCs w:val="16"/>
          <w:color w:val="auto"/>
        </w:rPr>
        <w:t>. As of the Effective Date, certain</w:t>
      </w:r>
    </w:p>
    <w:p>
      <w:pPr>
        <w:spacing w:after="0" w:line="6" w:lineRule="exact"/>
        <w:rPr>
          <w:sz w:val="20"/>
          <w:szCs w:val="20"/>
          <w:color w:val="auto"/>
        </w:rPr>
      </w:pPr>
    </w:p>
    <w:p>
      <w:pPr>
        <w:ind w:left="1020" w:right="220"/>
        <w:spacing w:after="0" w:line="226" w:lineRule="auto"/>
        <w:rPr>
          <w:sz w:val="20"/>
          <w:szCs w:val="20"/>
          <w:color w:val="auto"/>
        </w:rPr>
      </w:pPr>
      <w:r>
        <w:rPr>
          <w:rFonts w:ascii="Arial" w:cs="Arial" w:eastAsia="Arial" w:hAnsi="Arial"/>
          <w:sz w:val="18"/>
          <w:szCs w:val="18"/>
          <w:color w:val="auto"/>
        </w:rPr>
        <w:t xml:space="preserve">MacroGenics Licensed Technology is in-licensed pursuant to the MacroGenics Manufacturing In-Licenses. [***];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with respect to the CD123 Development Program, at any time after the Clinical Supply Term, Gilead</w:t>
      </w:r>
    </w:p>
    <w:p>
      <w:pPr>
        <w:ind w:left="1020"/>
        <w:spacing w:after="0" w:line="236" w:lineRule="auto"/>
        <w:rPr>
          <w:sz w:val="20"/>
          <w:szCs w:val="20"/>
          <w:color w:val="auto"/>
        </w:rPr>
      </w:pPr>
      <w:r>
        <w:rPr>
          <w:rFonts w:ascii="Arial" w:cs="Arial" w:eastAsia="Arial" w:hAnsi="Arial"/>
          <w:sz w:val="18"/>
          <w:szCs w:val="18"/>
          <w:color w:val="auto"/>
        </w:rPr>
        <w:t>may elect, upon written notice to MacroGenics, to no longer include the MacroGenics Licensed Technology sublicensed</w:t>
      </w:r>
    </w:p>
    <w:p>
      <w:pPr>
        <w:spacing w:after="0" w:line="1" w:lineRule="exact"/>
        <w:rPr>
          <w:sz w:val="20"/>
          <w:szCs w:val="20"/>
          <w:color w:val="auto"/>
        </w:rPr>
      </w:pPr>
    </w:p>
    <w:p>
      <w:pPr>
        <w:ind w:left="1020" w:right="140"/>
        <w:spacing w:after="0" w:line="220" w:lineRule="auto"/>
        <w:rPr>
          <w:sz w:val="20"/>
          <w:szCs w:val="20"/>
          <w:color w:val="auto"/>
        </w:rPr>
      </w:pPr>
      <w:r>
        <w:rPr>
          <w:rFonts w:ascii="Arial" w:cs="Arial" w:eastAsia="Arial" w:hAnsi="Arial"/>
          <w:sz w:val="20"/>
          <w:szCs w:val="20"/>
          <w:color w:val="auto"/>
        </w:rPr>
        <w:t>under one or both MacroGenics Manufacturing In-Licenses as MacroGenics CD123 Technology and (b) on a Research Program-by-Research Program basis,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80"/>
          </w:cols>
          <w:pgMar w:left="400" w:top="1324" w:right="919" w:bottom="1440" w:gutter="0" w:footer="0" w:header="0"/>
        </w:sectPr>
      </w:pPr>
    </w:p>
    <w:bookmarkStart w:id="151" w:name="page152"/>
    <w:bookmarkEnd w:id="151"/>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during the Term, Gilead may elect, upon written notice to MacroGenics, to no longer include the MacroGenics Licensed Technology sublicensed under one or both MacroGenics Manufacturing In- Licenses as MacroGenics Research</w:t>
      </w:r>
    </w:p>
    <w:p>
      <w:pPr>
        <w:ind w:left="1020"/>
        <w:spacing w:after="0" w:line="215" w:lineRule="auto"/>
        <w:rPr>
          <w:sz w:val="20"/>
          <w:szCs w:val="20"/>
          <w:color w:val="auto"/>
        </w:rPr>
      </w:pPr>
      <w:r>
        <w:rPr>
          <w:rFonts w:ascii="Arial" w:cs="Arial" w:eastAsia="Arial" w:hAnsi="Arial"/>
          <w:sz w:val="19"/>
          <w:szCs w:val="19"/>
          <w:color w:val="auto"/>
        </w:rPr>
        <w:t>Technology for a Research Program. On a Program-by-Program basis, from and after the date of receipt of any such notice provided by Gilead, (i) the Know-How and Patents licensed to MacroGenics pursuant to the applicable</w:t>
      </w:r>
    </w:p>
    <w:p>
      <w:pPr>
        <w:ind w:left="1020"/>
        <w:spacing w:after="0" w:line="222" w:lineRule="auto"/>
        <w:rPr>
          <w:sz w:val="20"/>
          <w:szCs w:val="20"/>
          <w:color w:val="auto"/>
        </w:rPr>
      </w:pPr>
      <w:r>
        <w:rPr>
          <w:rFonts w:ascii="Arial" w:cs="Arial" w:eastAsia="Arial" w:hAnsi="Arial"/>
          <w:sz w:val="19"/>
          <w:szCs w:val="19"/>
          <w:color w:val="auto"/>
        </w:rPr>
        <w:t>MacroGenics Manufacturing In-Licenses will no longer be deemed MacroGenics Licensed Technology for the</w:t>
      </w:r>
    </w:p>
    <w:p>
      <w:pPr>
        <w:ind w:left="1020"/>
        <w:spacing w:after="0" w:line="220" w:lineRule="auto"/>
        <w:rPr>
          <w:sz w:val="20"/>
          <w:szCs w:val="20"/>
          <w:color w:val="auto"/>
        </w:rPr>
      </w:pPr>
      <w:r>
        <w:rPr>
          <w:rFonts w:ascii="Arial" w:cs="Arial" w:eastAsia="Arial" w:hAnsi="Arial"/>
          <w:sz w:val="20"/>
          <w:szCs w:val="20"/>
          <w:color w:val="auto"/>
        </w:rPr>
        <w:t>applicable Program, (ii) Gilead shall immediately cease to use any MacroGenics Licensed Technology previously sublicensed under such MacroGenics Manufacturing In-Licenses and (iii) [***].</w:t>
      </w:r>
    </w:p>
    <w:p>
      <w:pPr>
        <w:spacing w:after="0" w:line="260"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6"/>
          <w:szCs w:val="16"/>
          <w:b w:val="1"/>
          <w:bCs w:val="1"/>
          <w:color w:val="auto"/>
        </w:rPr>
        <w:t>Existing Upstream License Agreements Amendments</w:t>
      </w:r>
      <w:r>
        <w:rPr>
          <w:rFonts w:ascii="Arial" w:cs="Arial" w:eastAsia="Arial" w:hAnsi="Arial"/>
          <w:sz w:val="16"/>
          <w:szCs w:val="16"/>
          <w:color w:val="auto"/>
        </w:rPr>
        <w:t>. Promptly after the Effective Date, MacroGenics</w:t>
      </w:r>
    </w:p>
    <w:p>
      <w:pPr>
        <w:spacing w:after="0" w:line="6" w:lineRule="exact"/>
        <w:rPr>
          <w:sz w:val="20"/>
          <w:szCs w:val="20"/>
          <w:color w:val="auto"/>
        </w:rPr>
      </w:pPr>
    </w:p>
    <w:p>
      <w:pPr>
        <w:ind w:left="1020" w:right="300"/>
        <w:spacing w:after="0" w:line="226" w:lineRule="auto"/>
        <w:rPr>
          <w:sz w:val="20"/>
          <w:szCs w:val="20"/>
          <w:color w:val="auto"/>
        </w:rPr>
      </w:pPr>
      <w:r>
        <w:rPr>
          <w:rFonts w:ascii="Arial" w:cs="Arial" w:eastAsia="Arial" w:hAnsi="Arial"/>
          <w:sz w:val="18"/>
          <w:szCs w:val="18"/>
          <w:color w:val="auto"/>
        </w:rPr>
        <w:t xml:space="preserve">will use good faith efforts to [***] to the (a) [***] and (b) [***], [***] in each case, that include the conditions [***] </w:t>
      </w:r>
      <w:r>
        <w:rPr>
          <w:rFonts w:ascii="Arial" w:cs="Arial" w:eastAsia="Arial" w:hAnsi="Arial"/>
          <w:sz w:val="18"/>
          <w:szCs w:val="18"/>
          <w:b w:val="1"/>
          <w:bCs w:val="1"/>
          <w:color w:val="auto"/>
        </w:rPr>
        <w:t xml:space="preserve">Schedule 3.7 </w:t>
      </w:r>
      <w:r>
        <w:rPr>
          <w:rFonts w:ascii="Arial" w:cs="Arial" w:eastAsia="Arial" w:hAnsi="Arial"/>
          <w:sz w:val="18"/>
          <w:szCs w:val="18"/>
          <w:color w:val="auto"/>
        </w:rPr>
        <w:t>[***] (“</w:t>
      </w:r>
      <w:r>
        <w:rPr>
          <w:rFonts w:ascii="Arial" w:cs="Arial" w:eastAsia="Arial" w:hAnsi="Arial"/>
          <w:sz w:val="18"/>
          <w:szCs w:val="18"/>
          <w:b w:val="1"/>
          <w:bCs w:val="1"/>
          <w:color w:val="auto"/>
        </w:rPr>
        <w:t>Existing Upstream License Agreement Amendments</w:t>
      </w:r>
      <w:r>
        <w:rPr>
          <w:rFonts w:ascii="Arial" w:cs="Arial" w:eastAsia="Arial" w:hAnsi="Arial"/>
          <w:sz w:val="18"/>
          <w:szCs w:val="18"/>
          <w:color w:val="auto"/>
        </w:rPr>
        <w:t>”). MacroGenics will (i) provide Gilead</w:t>
      </w:r>
    </w:p>
    <w:p>
      <w:pPr>
        <w:ind w:left="1020"/>
        <w:spacing w:after="0" w:line="236" w:lineRule="auto"/>
        <w:rPr>
          <w:sz w:val="20"/>
          <w:szCs w:val="20"/>
          <w:color w:val="auto"/>
        </w:rPr>
      </w:pPr>
      <w:r>
        <w:rPr>
          <w:rFonts w:ascii="Arial" w:cs="Arial" w:eastAsia="Arial" w:hAnsi="Arial"/>
          <w:sz w:val="18"/>
          <w:szCs w:val="18"/>
          <w:color w:val="auto"/>
        </w:rPr>
        <w:t>with an opportunity [***] Existing Upstream License Agreement Amendment and (ii) obtain Gilead’s prior consent (not</w:t>
      </w:r>
    </w:p>
    <w:p>
      <w:pPr>
        <w:spacing w:after="0" w:line="1" w:lineRule="exact"/>
        <w:rPr>
          <w:sz w:val="20"/>
          <w:szCs w:val="20"/>
          <w:color w:val="auto"/>
        </w:rPr>
      </w:pPr>
    </w:p>
    <w:p>
      <w:pPr>
        <w:ind w:left="1020" w:right="140"/>
        <w:spacing w:after="0" w:line="226" w:lineRule="auto"/>
        <w:rPr>
          <w:sz w:val="20"/>
          <w:szCs w:val="20"/>
          <w:color w:val="auto"/>
        </w:rPr>
      </w:pPr>
      <w:r>
        <w:rPr>
          <w:rFonts w:ascii="Arial" w:cs="Arial" w:eastAsia="Arial" w:hAnsi="Arial"/>
          <w:sz w:val="18"/>
          <w:szCs w:val="18"/>
          <w:color w:val="auto"/>
        </w:rPr>
        <w:t>to be unreasonably withheld) [***] Existing Upstream License Agreement Amendments and, subject to the activities in clauses (i) and (ii) taking place, [***] specifically related to the [***] but subject to Gilead’s right to [***]. If</w:t>
      </w:r>
    </w:p>
    <w:p>
      <w:pPr>
        <w:ind w:left="1020"/>
        <w:spacing w:after="0" w:line="224" w:lineRule="auto"/>
        <w:rPr>
          <w:sz w:val="20"/>
          <w:szCs w:val="20"/>
          <w:color w:val="auto"/>
        </w:rPr>
      </w:pPr>
      <w:r>
        <w:rPr>
          <w:rFonts w:ascii="Arial" w:cs="Arial" w:eastAsia="Arial" w:hAnsi="Arial"/>
          <w:sz w:val="19"/>
          <w:szCs w:val="19"/>
          <w:color w:val="auto"/>
        </w:rPr>
        <w:t>MacroGenics [***] Existing Upstream License Agreement Amendment(s) that collectively include all of the [***]</w:t>
      </w:r>
    </w:p>
    <w:p>
      <w:pPr>
        <w:ind w:left="1020" w:right="260"/>
        <w:spacing w:after="0" w:line="226" w:lineRule="auto"/>
        <w:rPr>
          <w:sz w:val="20"/>
          <w:szCs w:val="20"/>
          <w:color w:val="auto"/>
        </w:rPr>
      </w:pPr>
      <w:r>
        <w:rPr>
          <w:rFonts w:ascii="Arial" w:cs="Arial" w:eastAsia="Arial" w:hAnsi="Arial"/>
          <w:sz w:val="18"/>
          <w:szCs w:val="18"/>
          <w:b w:val="1"/>
          <w:bCs w:val="1"/>
          <w:color w:val="auto"/>
        </w:rPr>
        <w:t xml:space="preserve">Schedule 3.7 </w:t>
      </w:r>
      <w:r>
        <w:rPr>
          <w:rFonts w:ascii="Arial" w:cs="Arial" w:eastAsia="Arial" w:hAnsi="Arial"/>
          <w:sz w:val="18"/>
          <w:szCs w:val="18"/>
          <w:color w:val="auto"/>
        </w:rPr>
        <w:t>(Existing Upstream License Agreements Amendments) [***] written notice from Gilead requesting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MacroGenics [***], as between the Parties, Gilead will have the sole right to [***] (as applicable) with respect to the</w:t>
      </w:r>
    </w:p>
    <w:p>
      <w:pPr>
        <w:ind w:left="1020"/>
        <w:spacing w:after="0" w:line="236" w:lineRule="auto"/>
        <w:rPr>
          <w:sz w:val="20"/>
          <w:szCs w:val="20"/>
          <w:color w:val="auto"/>
        </w:rPr>
      </w:pPr>
      <w:r>
        <w:rPr>
          <w:rFonts w:ascii="Arial" w:cs="Arial" w:eastAsia="Arial" w:hAnsi="Arial"/>
          <w:sz w:val="18"/>
          <w:szCs w:val="18"/>
          <w:color w:val="auto"/>
        </w:rPr>
        <w:t xml:space="preserve">subject matter described in this Section 3.7 (Existing Upstream License Agreements Amendments)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w:t>
      </w:r>
    </w:p>
    <w:p>
      <w:pPr>
        <w:spacing w:after="0" w:line="1" w:lineRule="exact"/>
        <w:rPr>
          <w:sz w:val="20"/>
          <w:szCs w:val="20"/>
          <w:color w:val="auto"/>
        </w:rPr>
      </w:pPr>
    </w:p>
    <w:p>
      <w:pPr>
        <w:ind w:left="1020" w:right="60"/>
        <w:spacing w:after="0" w:line="226" w:lineRule="auto"/>
        <w:rPr>
          <w:sz w:val="20"/>
          <w:szCs w:val="20"/>
          <w:color w:val="auto"/>
        </w:rPr>
      </w:pPr>
      <w:r>
        <w:rPr>
          <w:rFonts w:ascii="Arial" w:cs="Arial" w:eastAsia="Arial" w:hAnsi="Arial"/>
          <w:sz w:val="18"/>
          <w:szCs w:val="18"/>
          <w:color w:val="auto"/>
        </w:rPr>
        <w:t xml:space="preserve">reflect Gilead as the contracting party, and, if Gilead does [***], Gilead will use good faith efforts to [***] </w:t>
      </w:r>
      <w:r>
        <w:rPr>
          <w:rFonts w:ascii="Arial" w:cs="Arial" w:eastAsia="Arial" w:hAnsi="Arial"/>
          <w:sz w:val="18"/>
          <w:szCs w:val="18"/>
          <w:b w:val="1"/>
          <w:bCs w:val="1"/>
          <w:color w:val="auto"/>
        </w:rPr>
        <w:t>Schedule 3.7</w:t>
      </w:r>
      <w:r>
        <w:rPr>
          <w:rFonts w:ascii="Arial" w:cs="Arial" w:eastAsia="Arial" w:hAnsi="Arial"/>
          <w:sz w:val="18"/>
          <w:szCs w:val="18"/>
          <w:color w:val="auto"/>
        </w:rPr>
        <w:t xml:space="preserve"> (Existing Upstream License Agreements Amendments) [***]. The financial obligations under any such agreements with</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spacing w:after="0" w:line="275" w:lineRule="exact"/>
        <w:rPr>
          <w:sz w:val="20"/>
          <w:szCs w:val="20"/>
          <w:color w:val="auto"/>
        </w:rPr>
      </w:pPr>
    </w:p>
    <w:p>
      <w:pPr>
        <w:ind w:left="3060"/>
        <w:spacing w:after="0"/>
        <w:tabs>
          <w:tab w:leader="none" w:pos="34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6"/>
          <w:szCs w:val="16"/>
          <w:b w:val="1"/>
          <w:bCs w:val="1"/>
          <w:color w:val="auto"/>
        </w:rPr>
        <w:t>New Upstream License Agreements</w:t>
      </w:r>
      <w:r>
        <w:rPr>
          <w:rFonts w:ascii="Arial" w:cs="Arial" w:eastAsia="Arial" w:hAnsi="Arial"/>
          <w:sz w:val="16"/>
          <w:szCs w:val="16"/>
          <w:color w:val="auto"/>
        </w:rPr>
        <w:t>.</w:t>
      </w:r>
    </w:p>
    <w:p>
      <w:pPr>
        <w:spacing w:after="0" w:line="216" w:lineRule="exact"/>
        <w:rPr>
          <w:sz w:val="20"/>
          <w:szCs w:val="20"/>
          <w:color w:val="auto"/>
        </w:rPr>
      </w:pPr>
    </w:p>
    <w:p>
      <w:pPr>
        <w:ind w:left="4140" w:hanging="410"/>
        <w:spacing w:after="0"/>
        <w:tabs>
          <w:tab w:leader="none" w:pos="4140" w:val="left"/>
        </w:tabs>
        <w:numPr>
          <w:ilvl w:val="2"/>
          <w:numId w:val="78"/>
        </w:numPr>
        <w:rPr>
          <w:rFonts w:ascii="Arial" w:cs="Arial" w:eastAsia="Arial" w:hAnsi="Arial"/>
          <w:sz w:val="20"/>
          <w:szCs w:val="20"/>
          <w:color w:val="auto"/>
        </w:rPr>
      </w:pPr>
      <w:r>
        <w:rPr>
          <w:rFonts w:ascii="Arial" w:cs="Arial" w:eastAsia="Arial" w:hAnsi="Arial"/>
          <w:sz w:val="20"/>
          <w:szCs w:val="20"/>
          <w:b w:val="1"/>
          <w:bCs w:val="1"/>
          <w:color w:val="auto"/>
        </w:rPr>
        <w:t>Third Party Platform Rights.</w:t>
      </w:r>
    </w:p>
    <w:p>
      <w:pPr>
        <w:spacing w:after="0" w:line="215" w:lineRule="exact"/>
        <w:rPr>
          <w:rFonts w:ascii="Arial" w:cs="Arial" w:eastAsia="Arial" w:hAnsi="Arial"/>
          <w:sz w:val="20"/>
          <w:szCs w:val="20"/>
          <w:color w:val="auto"/>
        </w:rPr>
      </w:pPr>
    </w:p>
    <w:p>
      <w:pPr>
        <w:ind w:left="1020" w:firstLine="1949"/>
        <w:spacing w:after="0" w:line="232" w:lineRule="auto"/>
        <w:tabs>
          <w:tab w:leader="none" w:pos="3349"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Notice of Third Party Platform Rights</w:t>
      </w:r>
      <w:r>
        <w:rPr>
          <w:rFonts w:ascii="Arial" w:cs="Arial" w:eastAsia="Arial" w:hAnsi="Arial"/>
          <w:sz w:val="18"/>
          <w:szCs w:val="18"/>
          <w:color w:val="auto"/>
        </w:rPr>
        <w:t>. MacroGenics will be responsible for using</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obtain and maintain rights to use any and all Patents or Know-How (whether through acquisition or a license) that Cover the use of the MacroGenics Platform under this Agreement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Platform Rights</w:t>
      </w:r>
      <w:r>
        <w:rPr>
          <w:rFonts w:ascii="Arial" w:cs="Arial" w:eastAsia="Arial" w:hAnsi="Arial"/>
          <w:sz w:val="18"/>
          <w:szCs w:val="18"/>
          <w:color w:val="auto"/>
        </w:rPr>
        <w:t>”; any such agreement, a “</w:t>
      </w:r>
      <w:r>
        <w:rPr>
          <w:rFonts w:ascii="Arial" w:cs="Arial" w:eastAsia="Arial" w:hAnsi="Arial"/>
          <w:sz w:val="18"/>
          <w:szCs w:val="18"/>
          <w:b w:val="1"/>
          <w:bCs w:val="1"/>
          <w:color w:val="auto"/>
        </w:rPr>
        <w:t>Supplemental Platform Upstream License</w:t>
      </w:r>
      <w:r>
        <w:rPr>
          <w:rFonts w:ascii="Arial" w:cs="Arial" w:eastAsia="Arial" w:hAnsi="Arial"/>
          <w:sz w:val="18"/>
          <w:szCs w:val="18"/>
          <w:color w:val="auto"/>
        </w:rPr>
        <w:t>”). For clarity, MacroGenics’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under this Section 3.8(a)(i) (Notice of Third Party Platform Rights) shall extend to any improvements of the MacroGenics Platform generated or developed after the Effective Date solely to the extent (1) MacroGenics actually uses such improvements in the performance of its activities under this Agreement or (2) the CD123 Development Plan or any Research Plan permits the use of such improvements. [***] Patents or Know-How comprise Third Party Platform Rights, [***] MacroGenics in its reasonable discretion [***] Third Party Platform Rights, or otherwise upon MacroGenics otherwise becoming aware of any such Third Party Platform Rights), or [***] pursuant to Section 3.8(a)</w:t>
      </w:r>
    </w:p>
    <w:p>
      <w:pPr>
        <w:spacing w:after="0" w:line="5" w:lineRule="exact"/>
        <w:rPr>
          <w:rFonts w:ascii="Arial" w:cs="Arial" w:eastAsia="Arial" w:hAnsi="Arial"/>
          <w:sz w:val="18"/>
          <w:szCs w:val="18"/>
          <w:color w:val="auto"/>
        </w:rPr>
      </w:pPr>
    </w:p>
    <w:p>
      <w:pPr>
        <w:ind w:left="1020" w:right="140" w:firstLine="5"/>
        <w:spacing w:after="0" w:line="210" w:lineRule="auto"/>
        <w:tabs>
          <w:tab w:leader="none" w:pos="1366"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(Third Party Platform Rights Dispute), MacroGenics [***]. If MacroGenics [***] after such determination is made in accordance with the immediately preceding sentence (such period, the “</w:t>
      </w:r>
      <w:r>
        <w:rPr>
          <w:rFonts w:ascii="Arial" w:cs="Arial" w:eastAsia="Arial" w:hAnsi="Arial"/>
          <w:sz w:val="20"/>
          <w:szCs w:val="20"/>
          <w:b w:val="1"/>
          <w:bCs w:val="1"/>
          <w:color w:val="auto"/>
        </w:rPr>
        <w:t>MacroGenics Negotiation Period</w:t>
      </w:r>
      <w:r>
        <w:rPr>
          <w:rFonts w:ascii="Arial" w:cs="Arial" w:eastAsia="Arial" w:hAnsi="Arial"/>
          <w:sz w:val="20"/>
          <w:szCs w:val="20"/>
          <w:color w:val="auto"/>
        </w:rPr>
        <w:t xml:space="preserve">”), [***];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if MacroGenics is [***]. For clarity, the Parties understand and agree that any Patent or Know-How</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Controlled by a Third Party that Covers a Research Molecule or Research Product due [***], shall not be deemed a “Third Party Platform Right”. Notwithstanding anything to the contrary herein, this Section 3.8(a)(i) (Notice of Third Party Platform Rights) shall not apply to the Parties’ rights and obligations with respect to any Identified Patent, the acquisition of such rights and obligations are separately addressed in </w:t>
      </w:r>
      <w:r>
        <w:rPr>
          <w:rFonts w:ascii="Arial" w:cs="Arial" w:eastAsia="Arial" w:hAnsi="Arial"/>
          <w:sz w:val="20"/>
          <w:szCs w:val="20"/>
          <w:b w:val="1"/>
          <w:bCs w:val="1"/>
          <w:color w:val="auto"/>
        </w:rPr>
        <w:t>Schedule 10.4(c)(iii)</w:t>
      </w:r>
      <w:r>
        <w:rPr>
          <w:rFonts w:ascii="Arial" w:cs="Arial" w:eastAsia="Arial" w:hAnsi="Arial"/>
          <w:sz w:val="20"/>
          <w:szCs w:val="20"/>
          <w:color w:val="auto"/>
        </w:rPr>
        <w:t xml:space="preserve"> (Special Offset and Indemnification).</w:t>
      </w:r>
    </w:p>
    <w:p>
      <w:pPr>
        <w:spacing w:after="0" w:line="204" w:lineRule="exact"/>
        <w:rPr>
          <w:rFonts w:ascii="Arial" w:cs="Arial" w:eastAsia="Arial" w:hAnsi="Arial"/>
          <w:sz w:val="20"/>
          <w:szCs w:val="20"/>
          <w:color w:val="auto"/>
        </w:rPr>
      </w:pPr>
    </w:p>
    <w:p>
      <w:pPr>
        <w:ind w:left="1020" w:firstLine="1949"/>
        <w:spacing w:after="0" w:line="224" w:lineRule="auto"/>
        <w:tabs>
          <w:tab w:leader="none" w:pos="3403" w:val="left"/>
        </w:tabs>
        <w:numPr>
          <w:ilvl w:val="1"/>
          <w:numId w:val="80"/>
        </w:numPr>
        <w:rPr>
          <w:rFonts w:ascii="Arial" w:cs="Arial" w:eastAsia="Arial" w:hAnsi="Arial"/>
          <w:sz w:val="19"/>
          <w:szCs w:val="19"/>
          <w:color w:val="auto"/>
        </w:rPr>
      </w:pPr>
      <w:r>
        <w:rPr>
          <w:rFonts w:ascii="Arial" w:cs="Arial" w:eastAsia="Arial" w:hAnsi="Arial"/>
          <w:sz w:val="19"/>
          <w:szCs w:val="19"/>
          <w:b w:val="1"/>
          <w:bCs w:val="1"/>
          <w:color w:val="auto"/>
        </w:rPr>
        <w:t>Negotiation of Supplemental Platform Upstream License</w:t>
      </w:r>
      <w:r>
        <w:rPr>
          <w:rFonts w:ascii="Arial" w:cs="Arial" w:eastAsia="Arial" w:hAnsi="Arial"/>
          <w:sz w:val="19"/>
          <w:szCs w:val="19"/>
          <w:color w:val="auto"/>
        </w:rPr>
        <w:t>. MacroGenics will use good</w:t>
      </w:r>
      <w:r>
        <w:rPr>
          <w:rFonts w:ascii="Arial" w:cs="Arial" w:eastAsia="Arial" w:hAnsi="Arial"/>
          <w:sz w:val="19"/>
          <w:szCs w:val="19"/>
          <w:b w:val="1"/>
          <w:bCs w:val="1"/>
          <w:color w:val="auto"/>
        </w:rPr>
        <w:t xml:space="preserve"> </w:t>
      </w:r>
      <w:r>
        <w:rPr>
          <w:rFonts w:ascii="Arial" w:cs="Arial" w:eastAsia="Arial" w:hAnsi="Arial"/>
          <w:sz w:val="19"/>
          <w:szCs w:val="19"/>
          <w:color w:val="auto"/>
        </w:rPr>
        <w:t>faith efforts to negotiate a license under Third Party Platform Rights that: (A) to the extent such license also grants rights for any other molecule or product being Exploited by MacroGenics or a (sub)licensee of MacroGenics, [***] the Third Party Platform Rights such that MacroGenics or its Affiliate Controls such rights as MacroGenics Licensed Technology. If any proposed license under Third Party Platform Rights [***], then, to the extent MacroGenics [***] under such Third Party Platform Rights, MacroGenics will [***], unless otherwise agreed by the Parties in writing, MacroGenics will [***] and, as between the Parties, Gilead will [***]. At Gilead’s request, MacroGenics will reasonably cooperate with Gilead to [***]. Prior to execution of any Supplemental Platform</w:t>
      </w:r>
    </w:p>
    <w:p>
      <w:pPr>
        <w:sectPr>
          <w:pgSz w:w="11900" w:h="16838" w:orient="portrait"/>
          <w:cols w:equalWidth="0" w:num="1">
            <w:col w:w="10620"/>
          </w:cols>
          <w:pgMar w:left="40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620"/>
          </w:cols>
          <w:pgMar w:left="400" w:top="1440" w:right="879" w:bottom="1440" w:gutter="0" w:footer="0" w:header="0"/>
          <w:type w:val="continuous"/>
        </w:sectPr>
      </w:pPr>
    </w:p>
    <w:bookmarkStart w:id="152" w:name="page153"/>
    <w:bookmarkEnd w:id="152"/>
    <w:p>
      <w:pPr>
        <w:ind w:left="1020" w:right="360"/>
        <w:spacing w:after="0" w:line="244" w:lineRule="auto"/>
        <w:rPr>
          <w:sz w:val="20"/>
          <w:szCs w:val="20"/>
          <w:color w:val="auto"/>
        </w:rPr>
      </w:pPr>
      <w:r>
        <w:rPr>
          <w:rFonts w:ascii="Arial" w:cs="Arial" w:eastAsia="Arial" w:hAnsi="Arial"/>
          <w:sz w:val="18"/>
          <w:szCs w:val="18"/>
          <w:color w:val="auto"/>
        </w:rPr>
        <w:t xml:space="preserve">Upstream License, MacroGenics will [***]. MacroGenics may request, no sooner than [***] Supplemental Platform Upstream License in [***] such Supplemental Platform Upstream License and Gilead will promptly [***]; </w:t>
      </w:r>
      <w:r>
        <w:rPr>
          <w:rFonts w:ascii="Arial" w:cs="Arial" w:eastAsia="Arial" w:hAnsi="Arial"/>
          <w:sz w:val="18"/>
          <w:szCs w:val="18"/>
          <w:i w:val="1"/>
          <w:iCs w:val="1"/>
          <w:color w:val="auto"/>
        </w:rPr>
        <w:t>provided</w:t>
      </w:r>
    </w:p>
    <w:p>
      <w:pPr>
        <w:ind w:left="1020" w:right="580"/>
        <w:spacing w:after="0" w:line="226" w:lineRule="auto"/>
        <w:rPr>
          <w:sz w:val="20"/>
          <w:szCs w:val="20"/>
          <w:color w:val="auto"/>
        </w:rPr>
      </w:pPr>
      <w:r>
        <w:rPr>
          <w:rFonts w:ascii="Arial" w:cs="Arial" w:eastAsia="Arial" w:hAnsi="Arial"/>
          <w:sz w:val="18"/>
          <w:szCs w:val="18"/>
          <w:color w:val="auto"/>
        </w:rPr>
        <w:t>that, in the event that MacroGenics includes the terms set forth in [***] of this Section 3.8(a)(ii) (Negotiation of Supplemental Platform Upstream License) and the activities described in [***] hereof take place, Gilead shall not</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unreasonably [***].</w:t>
      </w:r>
    </w:p>
    <w:p>
      <w:pPr>
        <w:spacing w:after="0" w:line="261" w:lineRule="exact"/>
        <w:rPr>
          <w:sz w:val="20"/>
          <w:szCs w:val="20"/>
          <w:color w:val="auto"/>
        </w:rPr>
      </w:pPr>
    </w:p>
    <w:p>
      <w:pPr>
        <w:ind w:left="1020" w:firstLine="1949"/>
        <w:spacing w:after="0" w:line="233" w:lineRule="auto"/>
        <w:tabs>
          <w:tab w:leader="none" w:pos="3457" w:val="left"/>
        </w:tabs>
        <w:numPr>
          <w:ilvl w:val="2"/>
          <w:numId w:val="81"/>
        </w:numPr>
        <w:rPr>
          <w:rFonts w:ascii="Arial" w:cs="Arial" w:eastAsia="Arial" w:hAnsi="Arial"/>
          <w:sz w:val="18"/>
          <w:szCs w:val="18"/>
          <w:color w:val="auto"/>
        </w:rPr>
      </w:pPr>
      <w:r>
        <w:rPr>
          <w:rFonts w:ascii="Arial" w:cs="Arial" w:eastAsia="Arial" w:hAnsi="Arial"/>
          <w:sz w:val="18"/>
          <w:szCs w:val="18"/>
          <w:b w:val="1"/>
          <w:bCs w:val="1"/>
          <w:color w:val="auto"/>
        </w:rPr>
        <w:t>Third Party Platform Rights Dispute</w:t>
      </w:r>
      <w:r>
        <w:rPr>
          <w:rFonts w:ascii="Arial" w:cs="Arial" w:eastAsia="Arial" w:hAnsi="Arial"/>
          <w:sz w:val="18"/>
          <w:szCs w:val="18"/>
          <w:color w:val="auto"/>
        </w:rPr>
        <w:t>. If a Party disputes whether certain Patents or</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Cover the use of the MacroGenics Platform under this Agreement (it being understood that any Patent that is the subject of a dispute under this subsection (iii) shall be valid and enforceable as of the date either Party submits a dispute for resolution hereunder), then each Party may refer the matter to their respective intellectual property counsel (the “</w:t>
      </w:r>
      <w:r>
        <w:rPr>
          <w:rFonts w:ascii="Arial" w:cs="Arial" w:eastAsia="Arial" w:hAnsi="Arial"/>
          <w:sz w:val="18"/>
          <w:szCs w:val="18"/>
          <w:b w:val="1"/>
          <w:bCs w:val="1"/>
          <w:color w:val="auto"/>
        </w:rPr>
        <w:t>IP Counsels</w:t>
      </w:r>
      <w:r>
        <w:rPr>
          <w:rFonts w:ascii="Arial" w:cs="Arial" w:eastAsia="Arial" w:hAnsi="Arial"/>
          <w:sz w:val="18"/>
          <w:szCs w:val="18"/>
          <w:color w:val="auto"/>
        </w:rPr>
        <w:t>”) for resolution. The IP Counsels will meet promptly to discuss and resolve the matter within [***] after referral of such matter to such IP Counsels. If the IP Counsels cannot agree on a resolution to the matter within such [***], then either Party may refer such matter for resolution to an independent Third Party expert agreed upon by the Parties within [***] after the IP Counsels have failed to resolve such matter. Such independent Third Party expert will be an attorney [***] (or who has such other similar credentials as agreed by the Parties), and unless otherwise agreed in writing by the Parties, must not be a current or former employee, contractor, agent or consultant of either Party or its Affiliates. [***] pursuant to this Section 3.8(a)(iii) (Third Party Platform Rights Dispute) [***]such expert and the Parties [***]. Within [***] of the engagement of such expert by the disputing Party, such expert will deliver its written decision to the Parties (including a detailed report as to such expert’s rationale for such decision), [***]. Notwithstanding any provision to the contrary set forth in this Agreement, at any time during the pendency of any such dispute, Gilead will have the right to (1) obtain rights to such Third Party Platform Rights from the applicable Third Party and (2) if the expert [***] the MacroGenics Platform under this Agreement (as described in Section 3.8(a)(i) (Notice of Third Party Platform Rights)), [***] such Third Parties with respect to such Third Party Platform Rights [***], in all cases, [***] in accordance with this Agreement, [***].</w:t>
      </w:r>
    </w:p>
    <w:p>
      <w:pPr>
        <w:spacing w:after="0" w:line="270" w:lineRule="exact"/>
        <w:rPr>
          <w:rFonts w:ascii="Arial" w:cs="Arial" w:eastAsia="Arial" w:hAnsi="Arial"/>
          <w:sz w:val="18"/>
          <w:szCs w:val="18"/>
          <w:color w:val="auto"/>
        </w:rPr>
      </w:pPr>
    </w:p>
    <w:p>
      <w:pPr>
        <w:ind w:left="1020" w:right="60" w:firstLine="1950"/>
        <w:spacing w:after="0" w:line="214" w:lineRule="auto"/>
        <w:tabs>
          <w:tab w:leader="none" w:pos="3447" w:val="left"/>
        </w:tabs>
        <w:numPr>
          <w:ilvl w:val="2"/>
          <w:numId w:val="81"/>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 If Gilead obtains rights to Third Party Platform Rights pursuant to Section 3.8(a)(i)</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(Notice of Third Party Platform Rights) or Section 3.8(a)(iii) (Third Party Platform Rights Dispute), then Gilead [***] Third Parties under any agreement between Gilead and such Third Parties with respect to such Third Party Platform Rights [***], in all cases, [***] under this Agreement (which, for clarity, will include the use of the MacroGenics Platform under this Agreement), [***] a Licensed Product under this Agreement (including, for clarity, any [***];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in no event [***] MacroGenics for a given Calendar Quarter [***] Gilead may [***] that are [***] in a</w:t>
      </w:r>
      <w:r>
        <w:rPr>
          <w:rFonts w:ascii="Arial" w:cs="Arial" w:eastAsia="Arial" w:hAnsi="Arial"/>
          <w:sz w:val="20"/>
          <w:szCs w:val="20"/>
          <w:i w:val="1"/>
          <w:iCs w:val="1"/>
          <w:color w:val="auto"/>
        </w:rPr>
        <w:t xml:space="preserve"> </w:t>
      </w:r>
      <w:r>
        <w:rPr>
          <w:rFonts w:ascii="Arial" w:cs="Arial" w:eastAsia="Arial" w:hAnsi="Arial"/>
          <w:sz w:val="20"/>
          <w:szCs w:val="20"/>
          <w:color w:val="auto"/>
        </w:rPr>
        <w:t>Calendar Quarter but are not [***] MacroGenics in such Calendar Quarter as a result [***] MacroGenics in any subsequent Calendar Quarter (subject to the [***]) [***].</w:t>
      </w:r>
    </w:p>
    <w:p>
      <w:pPr>
        <w:spacing w:after="0" w:line="276" w:lineRule="exact"/>
        <w:rPr>
          <w:rFonts w:ascii="Arial" w:cs="Arial" w:eastAsia="Arial" w:hAnsi="Arial"/>
          <w:sz w:val="20"/>
          <w:szCs w:val="20"/>
          <w:color w:val="auto"/>
        </w:rPr>
      </w:pPr>
    </w:p>
    <w:p>
      <w:pPr>
        <w:ind w:left="2740" w:hanging="419"/>
        <w:spacing w:after="0"/>
        <w:tabs>
          <w:tab w:leader="none" w:pos="2740" w:val="left"/>
        </w:tabs>
        <w:numPr>
          <w:ilvl w:val="1"/>
          <w:numId w:val="82"/>
        </w:numPr>
        <w:rPr>
          <w:rFonts w:ascii="Arial" w:cs="Arial" w:eastAsia="Arial" w:hAnsi="Arial"/>
          <w:sz w:val="20"/>
          <w:szCs w:val="20"/>
          <w:color w:val="auto"/>
        </w:rPr>
      </w:pPr>
      <w:r>
        <w:rPr>
          <w:rFonts w:ascii="Arial" w:cs="Arial" w:eastAsia="Arial" w:hAnsi="Arial"/>
          <w:sz w:val="20"/>
          <w:szCs w:val="20"/>
          <w:b w:val="1"/>
          <w:bCs w:val="1"/>
          <w:color w:val="auto"/>
        </w:rPr>
        <w:t>MacroGenics Identified Rights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20" w:right="120" w:firstLine="1949"/>
        <w:spacing w:after="0" w:line="233" w:lineRule="auto"/>
        <w:tabs>
          <w:tab w:leader="none" w:pos="3349" w:val="left"/>
        </w:tabs>
        <w:numPr>
          <w:ilvl w:val="2"/>
          <w:numId w:val="82"/>
        </w:numPr>
        <w:rPr>
          <w:rFonts w:ascii="Arial" w:cs="Arial" w:eastAsia="Arial" w:hAnsi="Arial"/>
          <w:sz w:val="18"/>
          <w:szCs w:val="18"/>
          <w:color w:val="auto"/>
        </w:rPr>
      </w:pPr>
      <w:r>
        <w:rPr>
          <w:rFonts w:ascii="Arial" w:cs="Arial" w:eastAsia="Arial" w:hAnsi="Arial"/>
          <w:sz w:val="18"/>
          <w:szCs w:val="18"/>
          <w:b w:val="1"/>
          <w:bCs w:val="1"/>
          <w:color w:val="auto"/>
        </w:rPr>
        <w:t>Notice of MacroGenics Identified Rights</w:t>
      </w:r>
      <w:r>
        <w:rPr>
          <w:rFonts w:ascii="Arial" w:cs="Arial" w:eastAsia="Arial" w:hAnsi="Arial"/>
          <w:sz w:val="18"/>
          <w:szCs w:val="18"/>
          <w:color w:val="auto"/>
        </w:rPr>
        <w:t>. If MacroGenics or any of its Affiliates is</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to [***] Third Party under which MacroGenics or its Affiliate [***] (“</w:t>
      </w:r>
      <w:r>
        <w:rPr>
          <w:rFonts w:ascii="Arial" w:cs="Arial" w:eastAsia="Arial" w:hAnsi="Arial"/>
          <w:sz w:val="18"/>
          <w:szCs w:val="18"/>
          <w:b w:val="1"/>
          <w:bCs w:val="1"/>
          <w:color w:val="auto"/>
        </w:rPr>
        <w:t>MacroGenics Identified Rights</w:t>
      </w:r>
      <w:r>
        <w:rPr>
          <w:rFonts w:ascii="Arial" w:cs="Arial" w:eastAsia="Arial" w:hAnsi="Arial"/>
          <w:sz w:val="18"/>
          <w:szCs w:val="18"/>
          <w:color w:val="auto"/>
        </w:rPr>
        <w:t>”; such agreement, a “</w:t>
      </w:r>
      <w:r>
        <w:rPr>
          <w:rFonts w:ascii="Arial" w:cs="Arial" w:eastAsia="Arial" w:hAnsi="Arial"/>
          <w:sz w:val="18"/>
          <w:szCs w:val="18"/>
          <w:b w:val="1"/>
          <w:bCs w:val="1"/>
          <w:color w:val="auto"/>
        </w:rPr>
        <w:t>MacroGenics Identified Upstream License</w:t>
      </w:r>
      <w:r>
        <w:rPr>
          <w:rFonts w:ascii="Arial" w:cs="Arial" w:eastAsia="Arial" w:hAnsi="Arial"/>
          <w:sz w:val="18"/>
          <w:szCs w:val="18"/>
          <w:color w:val="auto"/>
        </w:rPr>
        <w:t>”), then MacroGenics [***]. Following the Option Effective Date for the applicable Licensed Molecule or Licensed Product, Gilead will have [***] such MacroGenics Identified Rights, [***] to the extent such MacroGenics Identified Rights [***] Licensed Molecule or Licensed Product [***] and</w:t>
      </w:r>
    </w:p>
    <w:p>
      <w:pPr>
        <w:spacing w:after="0" w:line="2" w:lineRule="exact"/>
        <w:rPr>
          <w:rFonts w:ascii="Arial" w:cs="Arial" w:eastAsia="Arial" w:hAnsi="Arial"/>
          <w:sz w:val="18"/>
          <w:szCs w:val="18"/>
          <w:color w:val="auto"/>
        </w:rPr>
      </w:pPr>
    </w:p>
    <w:p>
      <w:pPr>
        <w:ind w:left="1500" w:hanging="475"/>
        <w:spacing w:after="0"/>
        <w:tabs>
          <w:tab w:leader="none" w:pos="15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products or programs of MacroGenics, [***].</w:t>
      </w:r>
    </w:p>
    <w:p>
      <w:pPr>
        <w:spacing w:after="0" w:line="288" w:lineRule="exact"/>
        <w:rPr>
          <w:rFonts w:ascii="Arial" w:cs="Arial" w:eastAsia="Arial" w:hAnsi="Arial"/>
          <w:sz w:val="20"/>
          <w:szCs w:val="20"/>
          <w:color w:val="auto"/>
        </w:rPr>
      </w:pPr>
    </w:p>
    <w:p>
      <w:pPr>
        <w:ind w:left="1020" w:right="80" w:firstLine="1949"/>
        <w:spacing w:after="0" w:line="232" w:lineRule="auto"/>
        <w:tabs>
          <w:tab w:leader="none" w:pos="3403" w:val="left"/>
        </w:tabs>
        <w:numPr>
          <w:ilvl w:val="2"/>
          <w:numId w:val="83"/>
        </w:numPr>
        <w:rPr>
          <w:rFonts w:ascii="Arial" w:cs="Arial" w:eastAsia="Arial" w:hAnsi="Arial"/>
          <w:sz w:val="18"/>
          <w:szCs w:val="18"/>
          <w:color w:val="auto"/>
        </w:rPr>
      </w:pPr>
      <w:r>
        <w:rPr>
          <w:rFonts w:ascii="Arial" w:cs="Arial" w:eastAsia="Arial" w:hAnsi="Arial"/>
          <w:sz w:val="18"/>
          <w:szCs w:val="18"/>
          <w:b w:val="1"/>
          <w:bCs w:val="1"/>
          <w:color w:val="auto"/>
        </w:rPr>
        <w:t>Negotiation of MacroGenics Identified Upstream License</w:t>
      </w:r>
      <w:r>
        <w:rPr>
          <w:rFonts w:ascii="Arial" w:cs="Arial" w:eastAsia="Arial" w:hAnsi="Arial"/>
          <w:sz w:val="18"/>
          <w:szCs w:val="18"/>
          <w:color w:val="auto"/>
        </w:rPr>
        <w:t>. MacroGenics will use good</w:t>
      </w:r>
      <w:r>
        <w:rPr>
          <w:rFonts w:ascii="Arial" w:cs="Arial" w:eastAsia="Arial" w:hAnsi="Arial"/>
          <w:sz w:val="18"/>
          <w:szCs w:val="18"/>
          <w:b w:val="1"/>
          <w:bCs w:val="1"/>
          <w:color w:val="auto"/>
        </w:rPr>
        <w:t xml:space="preserve"> </w:t>
      </w:r>
      <w:r>
        <w:rPr>
          <w:rFonts w:ascii="Arial" w:cs="Arial" w:eastAsia="Arial" w:hAnsi="Arial"/>
          <w:sz w:val="18"/>
          <w:szCs w:val="18"/>
          <w:color w:val="auto"/>
        </w:rPr>
        <w:t>faith efforts to negotiate a license under MacroGenics Identified Rights that:(A) to the extent such license also grants right for any other molecule or product being Exploited by MacroGenics or a (sub)licensee of MacroGenics [***] as MacroGenics Licensed Technology. If [***] MacroGenics Identified Rights [***] MacroGenics Identified Rights, then, to the extent MacroGenics [***] MacroGenics Identified Rights, MacroGenics will [***] agreed by the Parties in writing, MacroGenics [***] MacroGenics Identified Rights [***] MacroGenics Identified Rights [***]. At Gilead’s request, MacroGenics will reasonably cooperate with Gilead [***] MacroGenics Identified Upstream License that [***] Licensed Molecule or Licensed Product, MacroGenics will [***] MacroGenics Identified Upstream License, [***] MacroGenics Identified Upstream License. MacroGenics may request, [***] MacroGenics Identified Upstream License</w:t>
      </w:r>
    </w:p>
    <w:p>
      <w:pPr>
        <w:spacing w:after="0" w:line="3" w:lineRule="exact"/>
        <w:rPr>
          <w:rFonts w:ascii="Arial" w:cs="Arial" w:eastAsia="Arial" w:hAnsi="Arial"/>
          <w:sz w:val="18"/>
          <w:szCs w:val="18"/>
          <w:color w:val="auto"/>
        </w:rPr>
      </w:pPr>
    </w:p>
    <w:p>
      <w:pPr>
        <w:ind w:left="1020" w:right="380" w:firstLine="5"/>
        <w:spacing w:after="0" w:line="220" w:lineRule="auto"/>
        <w:tabs>
          <w:tab w:leader="none" w:pos="1498"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MacroGenics Identified Upstream License and Gilead will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that MacroGenics includes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-326390</wp:posOffset>
            </wp:positionV>
            <wp:extent cx="311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10620"/>
          </w:cols>
          <w:pgMar w:left="400" w:top="1324"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620"/>
          </w:cols>
          <w:pgMar w:left="400" w:top="1324" w:right="879" w:bottom="1440" w:gutter="0" w:footer="0" w:header="0"/>
          <w:type w:val="continuous"/>
        </w:sectPr>
      </w:pPr>
    </w:p>
    <w:bookmarkStart w:id="153" w:name="page154"/>
    <w:bookmarkEnd w:id="153"/>
    <w:p>
      <w:pPr>
        <w:ind w:left="1020" w:right="160"/>
        <w:spacing w:after="0" w:line="236" w:lineRule="auto"/>
        <w:rPr>
          <w:sz w:val="20"/>
          <w:szCs w:val="20"/>
          <w:color w:val="auto"/>
        </w:rPr>
      </w:pPr>
      <w:r>
        <w:rPr>
          <w:rFonts w:ascii="Arial" w:cs="Arial" w:eastAsia="Arial" w:hAnsi="Arial"/>
          <w:sz w:val="20"/>
          <w:szCs w:val="20"/>
          <w:color w:val="auto"/>
        </w:rPr>
        <w:t>set forth in [***] of this Section 3.8(b)(ii) (Negotiation of MacroGenics Identified Upstream License) and the activities described in [***] hereof take place, [***].</w:t>
      </w:r>
    </w:p>
    <w:p>
      <w:pPr>
        <w:spacing w:after="0" w:line="271" w:lineRule="exact"/>
        <w:rPr>
          <w:sz w:val="20"/>
          <w:szCs w:val="20"/>
          <w:color w:val="auto"/>
        </w:rPr>
      </w:pPr>
    </w:p>
    <w:p>
      <w:pPr>
        <w:ind w:left="2740" w:hanging="419"/>
        <w:spacing w:after="0"/>
        <w:tabs>
          <w:tab w:leader="none" w:pos="2740" w:val="left"/>
        </w:tabs>
        <w:numPr>
          <w:ilvl w:val="1"/>
          <w:numId w:val="84"/>
        </w:numPr>
        <w:rPr>
          <w:rFonts w:ascii="Arial" w:cs="Arial" w:eastAsia="Arial" w:hAnsi="Arial"/>
          <w:sz w:val="20"/>
          <w:szCs w:val="20"/>
          <w:color w:val="auto"/>
        </w:rPr>
      </w:pPr>
      <w:r>
        <w:rPr>
          <w:rFonts w:ascii="Arial" w:cs="Arial" w:eastAsia="Arial" w:hAnsi="Arial"/>
          <w:sz w:val="20"/>
          <w:szCs w:val="20"/>
          <w:b w:val="1"/>
          <w:bCs w:val="1"/>
          <w:color w:val="auto"/>
        </w:rPr>
        <w:t>[***] Upstream Licenses</w:t>
      </w:r>
      <w:r>
        <w:rPr>
          <w:rFonts w:ascii="Arial" w:cs="Arial" w:eastAsia="Arial" w:hAnsi="Arial"/>
          <w:sz w:val="20"/>
          <w:szCs w:val="20"/>
          <w:color w:val="auto"/>
        </w:rPr>
        <w:t>.</w:t>
      </w:r>
    </w:p>
    <w:p>
      <w:pPr>
        <w:spacing w:after="0" w:line="302" w:lineRule="exact"/>
        <w:rPr>
          <w:rFonts w:ascii="Arial" w:cs="Arial" w:eastAsia="Arial" w:hAnsi="Arial"/>
          <w:sz w:val="20"/>
          <w:szCs w:val="20"/>
          <w:color w:val="auto"/>
        </w:rPr>
      </w:pPr>
    </w:p>
    <w:p>
      <w:pPr>
        <w:ind w:left="1020" w:firstLine="1950"/>
        <w:spacing w:after="0" w:line="231" w:lineRule="auto"/>
        <w:tabs>
          <w:tab w:leader="none" w:pos="3349"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 Supplemental Platform Upstream License, MacroGenics Identified Upstream License or Identified Patent Upstream License (such agreement, a [***] </w:t>
      </w:r>
      <w:r>
        <w:rPr>
          <w:rFonts w:ascii="Arial" w:cs="Arial" w:eastAsia="Arial" w:hAnsi="Arial"/>
          <w:sz w:val="18"/>
          <w:szCs w:val="18"/>
          <w:b w:val="1"/>
          <w:bCs w:val="1"/>
          <w:color w:val="auto"/>
        </w:rPr>
        <w:t>Upstream License</w:t>
      </w:r>
      <w:r>
        <w:rPr>
          <w:rFonts w:ascii="Arial" w:cs="Arial" w:eastAsia="Arial" w:hAnsi="Arial"/>
          <w:sz w:val="18"/>
          <w:szCs w:val="18"/>
          <w:color w:val="auto"/>
        </w:rPr>
        <w:t xml:space="preserve">”), MacroGenics will [***] MacroGenics may redact commercially sensitive information or other information unrelated to the Licensed Molecules or Licensed Products from such copy (which, for clarity, will not include information regarding the scope of the license grants, territory or term of such [***] Upstream License). [***] of the [***] Upstream License, Gilead [***] Third Party Platform Rights, MacroGenics Identified Rights or Identified Patent Rights [***] Notwithstanding the foregoing, if MacroGenics [***] in accordance with Section 3.8(a)(ii) (Negotiation of Supplemental Platform Upstream License), Section 3.8(b)(ii) (Negotiation of MacroGenics Identified Upstream License) or </w:t>
      </w:r>
      <w:r>
        <w:rPr>
          <w:rFonts w:ascii="Arial" w:cs="Arial" w:eastAsia="Arial" w:hAnsi="Arial"/>
          <w:sz w:val="18"/>
          <w:szCs w:val="18"/>
          <w:b w:val="1"/>
          <w:bCs w:val="1"/>
          <w:color w:val="auto"/>
        </w:rPr>
        <w:t>Schedule 10.4(c)(iii)</w:t>
      </w:r>
      <w:r>
        <w:rPr>
          <w:rFonts w:ascii="Arial" w:cs="Arial" w:eastAsia="Arial" w:hAnsi="Arial"/>
          <w:sz w:val="18"/>
          <w:szCs w:val="18"/>
          <w:color w:val="auto"/>
        </w:rPr>
        <w:t xml:space="preserve"> (Special Offset and Indemnification), as applicable, and in each case, Gilead [***], then Gilead will [***] Upstream License as long as</w:t>
      </w:r>
    </w:p>
    <w:p>
      <w:pPr>
        <w:spacing w:after="0" w:line="5" w:lineRule="exact"/>
        <w:rPr>
          <w:rFonts w:ascii="Arial" w:cs="Arial" w:eastAsia="Arial" w:hAnsi="Arial"/>
          <w:sz w:val="18"/>
          <w:szCs w:val="18"/>
          <w:color w:val="auto"/>
        </w:rPr>
      </w:pPr>
    </w:p>
    <w:p>
      <w:pPr>
        <w:ind w:left="1500" w:hanging="474"/>
        <w:spacing w:after="0" w:line="222" w:lineRule="auto"/>
        <w:tabs>
          <w:tab w:leader="none" w:pos="15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pursuant to Section 3.8(a)(ii) (Negotiation of Supplemental Platform Upstream License), Section 3.8(b)(ii)</w:t>
      </w:r>
    </w:p>
    <w:p>
      <w:pPr>
        <w:ind w:left="1020" w:right="1380"/>
        <w:spacing w:after="0" w:line="227" w:lineRule="auto"/>
        <w:rPr>
          <w:sz w:val="20"/>
          <w:szCs w:val="20"/>
          <w:color w:val="auto"/>
        </w:rPr>
      </w:pPr>
      <w:r>
        <w:rPr>
          <w:rFonts w:ascii="Arial" w:cs="Arial" w:eastAsia="Arial" w:hAnsi="Arial"/>
          <w:sz w:val="20"/>
          <w:szCs w:val="20"/>
          <w:color w:val="auto"/>
        </w:rPr>
        <w:t xml:space="preserve">(Negotiation of MacroGenics Identified Upstream License) or </w:t>
      </w:r>
      <w:r>
        <w:rPr>
          <w:rFonts w:ascii="Arial" w:cs="Arial" w:eastAsia="Arial" w:hAnsi="Arial"/>
          <w:sz w:val="20"/>
          <w:szCs w:val="20"/>
          <w:b w:val="1"/>
          <w:bCs w:val="1"/>
          <w:color w:val="auto"/>
        </w:rPr>
        <w:t>Schedule 10.4(c)(iii)</w:t>
      </w:r>
      <w:r>
        <w:rPr>
          <w:rFonts w:ascii="Arial" w:cs="Arial" w:eastAsia="Arial" w:hAnsi="Arial"/>
          <w:sz w:val="20"/>
          <w:szCs w:val="20"/>
          <w:color w:val="auto"/>
        </w:rPr>
        <w:t xml:space="preserve"> (Special Offset and Indemnification), as applicable.</w:t>
      </w:r>
    </w:p>
    <w:p>
      <w:pPr>
        <w:spacing w:after="0" w:line="264" w:lineRule="exact"/>
        <w:rPr>
          <w:sz w:val="20"/>
          <w:szCs w:val="20"/>
          <w:color w:val="auto"/>
        </w:rPr>
      </w:pPr>
    </w:p>
    <w:p>
      <w:pPr>
        <w:ind w:left="1020" w:right="100" w:firstLine="1950"/>
        <w:spacing w:after="0" w:line="218" w:lineRule="auto"/>
        <w:tabs>
          <w:tab w:leader="none" w:pos="3404" w:val="left"/>
        </w:tabs>
        <w:numPr>
          <w:ilvl w:val="1"/>
          <w:numId w:val="85"/>
        </w:numPr>
        <w:rPr>
          <w:rFonts w:ascii="Arial" w:cs="Arial" w:eastAsia="Arial" w:hAnsi="Arial"/>
          <w:sz w:val="20"/>
          <w:szCs w:val="20"/>
          <w:color w:val="auto"/>
        </w:rPr>
      </w:pPr>
      <w:r>
        <w:rPr>
          <w:rFonts w:ascii="Arial" w:cs="Arial" w:eastAsia="Arial" w:hAnsi="Arial"/>
          <w:sz w:val="20"/>
          <w:szCs w:val="20"/>
          <w:color w:val="auto"/>
        </w:rPr>
        <w:t>In the event that Gilead [***] Upstream License in accordance with this Section 3.8(c) ([***] Upstream Licenses), [***] Third Party Platform Rights, MacroGenics Identified Rights or Identified Patent Rights (as applicable) [***] MacroGenics Licensed Technology [***] Gilead pursuant to [***], (2) such agreement will thereafter be [***] Upstream License Agreements, and (3) Gilead hereby agrees [***] Upstream License Agreement with respect to [***] Upstream License Agreement.</w:t>
      </w:r>
    </w:p>
    <w:p>
      <w:pPr>
        <w:spacing w:after="0" w:line="278" w:lineRule="exact"/>
        <w:rPr>
          <w:rFonts w:ascii="Arial" w:cs="Arial" w:eastAsia="Arial" w:hAnsi="Arial"/>
          <w:sz w:val="20"/>
          <w:szCs w:val="20"/>
          <w:color w:val="auto"/>
        </w:rPr>
      </w:pPr>
    </w:p>
    <w:p>
      <w:pPr>
        <w:ind w:left="1020" w:right="180" w:firstLine="1950"/>
        <w:spacing w:after="0" w:line="238" w:lineRule="auto"/>
        <w:tabs>
          <w:tab w:leader="none" w:pos="3458"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Gilead does not [***] Upstream License as an Upstream License Agreement pursuant to this Section 3.8(c) ([***] Upstream Licenses), then Gilead and its Affiliates will have [***] Upstream License. Notwithstanding any other provision of this Agreement, [***] MacroGenics CD123 Know-How, MacroGenics CD123 Patents, MacroGenics Research Know-How and MacroGenics Research Patents shall be [***] Third Party Platform Rights, MacroGenics Identified Rights or Identified Patent Rights licensed to MacroGenics or any of its Affiliates pursuant to a license or other agreement entered into by MacroGenics or its Affiliates after the Effective Date [***] Upstream License Agreement pursuant to this Section 3.8(c) ([***] Upstream Licenses).</w:t>
      </w:r>
    </w:p>
    <w:p>
      <w:pPr>
        <w:spacing w:after="0" w:line="271" w:lineRule="exact"/>
        <w:rPr>
          <w:rFonts w:ascii="Arial" w:cs="Arial" w:eastAsia="Arial" w:hAnsi="Arial"/>
          <w:sz w:val="18"/>
          <w:szCs w:val="18"/>
          <w:color w:val="auto"/>
        </w:rPr>
      </w:pPr>
    </w:p>
    <w:p>
      <w:pPr>
        <w:ind w:left="1020" w:right="20" w:firstLine="1301"/>
        <w:spacing w:after="0" w:line="233" w:lineRule="auto"/>
        <w:tabs>
          <w:tab w:leader="none" w:pos="2744"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Responsibility for Payments under Upstream License Agreements. </w:t>
      </w:r>
      <w:r>
        <w:rPr>
          <w:rFonts w:ascii="Arial" w:cs="Arial" w:eastAsia="Arial" w:hAnsi="Arial"/>
          <w:sz w:val="18"/>
          <w:szCs w:val="18"/>
          <w:color w:val="auto"/>
        </w:rPr>
        <w:t>MacroGenics [***]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under the Existing Upstream License Agreements (other than, subject to Section 3.6 (Sublicense under the MacroGenics Manufacturing In-Licenses), [***] MacroGenics under the MacroGenics Manufacturing In-Licenses to the extent related to the Manufacture of Licensed Molecules or Licensed Products, [***] and (ii) to any Third Party under any Supplemental Platform Upstream License, as described in Section 3.8(a) (Third Party Platform Rights). With respect to any MacroGenics Identified Upstream License that becomes an Upstream License Agreement pursuant to Section</w:t>
      </w:r>
    </w:p>
    <w:p>
      <w:pPr>
        <w:spacing w:after="0" w:line="4" w:lineRule="exact"/>
        <w:rPr>
          <w:rFonts w:ascii="Arial" w:cs="Arial" w:eastAsia="Arial" w:hAnsi="Arial"/>
          <w:sz w:val="18"/>
          <w:szCs w:val="18"/>
          <w:color w:val="auto"/>
        </w:rPr>
      </w:pPr>
    </w:p>
    <w:p>
      <w:pPr>
        <w:ind w:left="1020" w:right="20"/>
        <w:spacing w:after="0" w:line="217" w:lineRule="auto"/>
        <w:rPr>
          <w:rFonts w:ascii="Arial" w:cs="Arial" w:eastAsia="Arial" w:hAnsi="Arial"/>
          <w:sz w:val="18"/>
          <w:szCs w:val="18"/>
          <w:color w:val="auto"/>
        </w:rPr>
      </w:pPr>
      <w:r>
        <w:rPr>
          <w:rFonts w:ascii="Arial" w:cs="Arial" w:eastAsia="Arial" w:hAnsi="Arial"/>
          <w:sz w:val="20"/>
          <w:szCs w:val="20"/>
          <w:color w:val="auto"/>
        </w:rPr>
        <w:t>3.8(c)(i) ([***]Upstream Licenses), Gilead will [***] Section 3.8(c)(i) ([***] Upstream Licenses) and that arise from the Exploitation of any Licensed Molecule or Licensed Product by Gilead, its Affiliates or Sublicensees under this Agreement, subject to Gilead’s [***].</w:t>
      </w:r>
    </w:p>
    <w:p>
      <w:pPr>
        <w:spacing w:after="0" w:line="4"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8"/>
          <w:szCs w:val="18"/>
          <w:b w:val="1"/>
          <w:bCs w:val="1"/>
          <w:color w:val="auto"/>
        </w:rPr>
        <w:t>Materials Transfer</w:t>
      </w:r>
      <w:r>
        <w:rPr>
          <w:rFonts w:ascii="Arial" w:cs="Arial" w:eastAsia="Arial" w:hAnsi="Arial"/>
          <w:sz w:val="18"/>
          <w:szCs w:val="18"/>
          <w:color w:val="auto"/>
        </w:rPr>
        <w:t>. In order to facilitate the activities under, or to confirm any results of, a Program,</w:t>
      </w:r>
    </w:p>
    <w:p>
      <w:pPr>
        <w:spacing w:after="0" w:line="6" w:lineRule="exact"/>
        <w:rPr>
          <w:sz w:val="20"/>
          <w:szCs w:val="20"/>
          <w:color w:val="auto"/>
        </w:rPr>
      </w:pPr>
    </w:p>
    <w:p>
      <w:pPr>
        <w:ind w:left="1020" w:right="520"/>
        <w:spacing w:after="0" w:line="226" w:lineRule="auto"/>
        <w:rPr>
          <w:sz w:val="20"/>
          <w:szCs w:val="20"/>
          <w:color w:val="auto"/>
        </w:rPr>
      </w:pPr>
      <w:r>
        <w:rPr>
          <w:rFonts w:ascii="Arial" w:cs="Arial" w:eastAsia="Arial" w:hAnsi="Arial"/>
          <w:sz w:val="18"/>
          <w:szCs w:val="18"/>
          <w:color w:val="auto"/>
        </w:rPr>
        <w:t>either Party may provide to the other Party certain biological materials or chemical compounds Controlled by the supplying Party (collectively, “</w:t>
      </w:r>
      <w:r>
        <w:rPr>
          <w:rFonts w:ascii="Arial" w:cs="Arial" w:eastAsia="Arial" w:hAnsi="Arial"/>
          <w:sz w:val="18"/>
          <w:szCs w:val="18"/>
          <w:b w:val="1"/>
          <w:bCs w:val="1"/>
          <w:color w:val="auto"/>
        </w:rPr>
        <w:t>Materials</w:t>
      </w:r>
      <w:r>
        <w:rPr>
          <w:rFonts w:ascii="Arial" w:cs="Arial" w:eastAsia="Arial" w:hAnsi="Arial"/>
          <w:sz w:val="18"/>
          <w:szCs w:val="18"/>
          <w:color w:val="auto"/>
        </w:rPr>
        <w:t>”). Except as otherwise expressly set forth under this Agreement, all such</w:t>
      </w:r>
    </w:p>
    <w:p>
      <w:pPr>
        <w:ind w:left="1020"/>
        <w:spacing w:after="0" w:line="224" w:lineRule="auto"/>
        <w:rPr>
          <w:sz w:val="20"/>
          <w:szCs w:val="20"/>
          <w:color w:val="auto"/>
        </w:rPr>
      </w:pPr>
      <w:r>
        <w:rPr>
          <w:rFonts w:ascii="Arial" w:cs="Arial" w:eastAsia="Arial" w:hAnsi="Arial"/>
          <w:sz w:val="19"/>
          <w:szCs w:val="19"/>
          <w:color w:val="auto"/>
        </w:rPr>
        <w:t>Materials delivered to the other Party will remain the sole property of the supplying Party, will be used only in the</w:t>
      </w:r>
    </w:p>
    <w:p>
      <w:pPr>
        <w:ind w:left="1020" w:right="120"/>
        <w:spacing w:after="0" w:line="255" w:lineRule="auto"/>
        <w:rPr>
          <w:sz w:val="20"/>
          <w:szCs w:val="20"/>
          <w:color w:val="auto"/>
        </w:rPr>
      </w:pPr>
      <w:r>
        <w:rPr>
          <w:rFonts w:ascii="Arial" w:cs="Arial" w:eastAsia="Arial" w:hAnsi="Arial"/>
          <w:sz w:val="16"/>
          <w:szCs w:val="16"/>
          <w:color w:val="auto"/>
        </w:rPr>
        <w:t>performance of activities conducted in accordance with the CD123 Development Plan or applicable Research Plan or to confirm any results of a Program, will not be used or delivered to or for the benefit of any Third Party without the prior</w:t>
      </w:r>
    </w:p>
    <w:p>
      <w:pPr>
        <w:ind w:left="1020"/>
        <w:spacing w:after="0" w:line="235" w:lineRule="auto"/>
        <w:rPr>
          <w:sz w:val="20"/>
          <w:szCs w:val="20"/>
          <w:color w:val="auto"/>
        </w:rPr>
      </w:pPr>
      <w:r>
        <w:rPr>
          <w:rFonts w:ascii="Arial" w:cs="Arial" w:eastAsia="Arial" w:hAnsi="Arial"/>
          <w:sz w:val="18"/>
          <w:szCs w:val="18"/>
          <w:color w:val="auto"/>
        </w:rPr>
        <w:t>written consent of the supplying Party (except for Permitted Subcontractors performing any activities under the CD123</w:t>
      </w:r>
    </w:p>
    <w:p>
      <w:pPr>
        <w:ind w:left="1020" w:right="60"/>
        <w:spacing w:after="0" w:line="226" w:lineRule="auto"/>
        <w:rPr>
          <w:sz w:val="20"/>
          <w:szCs w:val="20"/>
          <w:color w:val="auto"/>
        </w:rPr>
      </w:pPr>
      <w:r>
        <w:rPr>
          <w:rFonts w:ascii="Arial" w:cs="Arial" w:eastAsia="Arial" w:hAnsi="Arial"/>
          <w:sz w:val="18"/>
          <w:szCs w:val="18"/>
          <w:color w:val="auto"/>
        </w:rPr>
        <w:t>Development Plan or a Research Plan), and will be used in compliance with Applicable Law and Regulations (including GLP, cGMP, and cGCP, as applicable). Each Party will use the Materials supplied under this Agreement with prudence</w:t>
      </w:r>
    </w:p>
    <w:p>
      <w:pPr>
        <w:ind w:left="1020"/>
        <w:spacing w:after="0" w:line="236" w:lineRule="auto"/>
        <w:rPr>
          <w:sz w:val="20"/>
          <w:szCs w:val="20"/>
          <w:color w:val="auto"/>
        </w:rPr>
      </w:pPr>
      <w:r>
        <w:rPr>
          <w:rFonts w:ascii="Arial" w:cs="Arial" w:eastAsia="Arial" w:hAnsi="Arial"/>
          <w:sz w:val="18"/>
          <w:szCs w:val="18"/>
          <w:color w:val="auto"/>
        </w:rPr>
        <w:t>and appropriate caution in any experimental work as not all of their characteristics may be known. The supplying Party</w:t>
      </w:r>
    </w:p>
    <w:p>
      <w:pPr>
        <w:spacing w:after="0" w:line="1" w:lineRule="exact"/>
        <w:rPr>
          <w:sz w:val="20"/>
          <w:szCs w:val="20"/>
          <w:color w:val="auto"/>
        </w:rPr>
      </w:pPr>
    </w:p>
    <w:p>
      <w:pPr>
        <w:ind w:left="1020" w:right="160"/>
        <w:spacing w:after="0" w:line="226" w:lineRule="auto"/>
        <w:rPr>
          <w:sz w:val="20"/>
          <w:szCs w:val="20"/>
          <w:color w:val="auto"/>
        </w:rPr>
      </w:pPr>
      <w:r>
        <w:rPr>
          <w:rFonts w:ascii="Arial" w:cs="Arial" w:eastAsia="Arial" w:hAnsi="Arial"/>
          <w:sz w:val="18"/>
          <w:szCs w:val="18"/>
          <w:color w:val="auto"/>
        </w:rPr>
        <w:t>will provide the other Party the most current material safety data sheet for the Materials upon transfer of any Materials. Prior to the supply of any Materials by or on behalf of the supplying Party, the Parties will, upon the supplying Party’s</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request, enter into a</w:t>
      </w:r>
    </w:p>
    <w:p>
      <w:pPr>
        <w:sectPr>
          <w:pgSz w:w="11900" w:h="16838" w:orient="portrait"/>
          <w:cols w:equalWidth="0" w:num="1">
            <w:col w:w="10620"/>
          </w:cols>
          <w:pgMar w:left="400" w:top="1405"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620"/>
          </w:cols>
          <w:pgMar w:left="400" w:top="1405" w:right="879" w:bottom="1440" w:gutter="0" w:footer="0" w:header="0"/>
          <w:type w:val="continuous"/>
        </w:sectPr>
      </w:pPr>
    </w:p>
    <w:bookmarkStart w:id="154" w:name="page155"/>
    <w:bookmarkEnd w:id="154"/>
    <w:p>
      <w:pPr>
        <w:ind w:left="1020" w:right="200"/>
        <w:spacing w:after="0" w:line="231" w:lineRule="auto"/>
        <w:rPr>
          <w:sz w:val="20"/>
          <w:szCs w:val="20"/>
          <w:color w:val="auto"/>
        </w:rPr>
      </w:pPr>
      <w:r>
        <w:rPr>
          <w:rFonts w:ascii="Arial" w:cs="Arial" w:eastAsia="Arial" w:hAnsi="Arial"/>
          <w:sz w:val="19"/>
          <w:szCs w:val="19"/>
          <w:color w:val="auto"/>
        </w:rPr>
        <w:t>material transfer agreement with respect to such supply. Except as expressly set forth in this Agreement, THE MATERIALS ARE PROVIDED “AS IS” AND WITHOUT ANY REPRESENTATION OR WARRANTY, EXPRESS</w:t>
      </w:r>
    </w:p>
    <w:p>
      <w:pPr>
        <w:ind w:left="1020" w:right="160"/>
        <w:spacing w:after="0" w:line="215" w:lineRule="auto"/>
        <w:rPr>
          <w:sz w:val="20"/>
          <w:szCs w:val="20"/>
          <w:color w:val="auto"/>
        </w:rPr>
      </w:pPr>
      <w:r>
        <w:rPr>
          <w:rFonts w:ascii="Arial" w:cs="Arial" w:eastAsia="Arial" w:hAnsi="Arial"/>
          <w:sz w:val="19"/>
          <w:szCs w:val="19"/>
          <w:color w:val="auto"/>
        </w:rPr>
        <w:t>OR IMPLIED, INCLUDING ANY IMPLIED WARRANTY OF MERCHANTABILITY OR OF FITNESS FOR ANY PARTICULAR PURPOSE OR ANY WARRANTY THAT THE USE OF THE MATERIALS WILL NOT INFRINGE</w:t>
      </w:r>
    </w:p>
    <w:p>
      <w:pPr>
        <w:ind w:left="1020"/>
        <w:spacing w:after="0"/>
        <w:rPr>
          <w:sz w:val="20"/>
          <w:szCs w:val="20"/>
          <w:color w:val="auto"/>
        </w:rPr>
      </w:pPr>
      <w:r>
        <w:rPr>
          <w:rFonts w:ascii="Arial" w:cs="Arial" w:eastAsia="Arial" w:hAnsi="Arial"/>
          <w:sz w:val="20"/>
          <w:szCs w:val="20"/>
          <w:color w:val="auto"/>
        </w:rPr>
        <w:t>OR VIOLATE ANY PATENT OR OTHER PROPRIETARY RIGHTS OF ANY THIRD PARTY.</w:t>
      </w:r>
    </w:p>
    <w:p>
      <w:pPr>
        <w:spacing w:after="0" w:line="19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6"/>
          <w:szCs w:val="16"/>
          <w:b w:val="1"/>
          <w:bCs w:val="1"/>
          <w:color w:val="auto"/>
        </w:rPr>
        <w:t>Exclusivity</w:t>
      </w:r>
      <w:r>
        <w:rPr>
          <w:rFonts w:ascii="Arial" w:cs="Arial" w:eastAsia="Arial" w:hAnsi="Arial"/>
          <w:sz w:val="16"/>
          <w:szCs w:val="16"/>
          <w:color w:val="auto"/>
        </w:rPr>
        <w:t>.</w:t>
      </w:r>
    </w:p>
    <w:p>
      <w:pPr>
        <w:spacing w:after="0" w:line="216" w:lineRule="exact"/>
        <w:rPr>
          <w:sz w:val="20"/>
          <w:szCs w:val="20"/>
          <w:color w:val="auto"/>
        </w:rPr>
      </w:pPr>
    </w:p>
    <w:p>
      <w:pPr>
        <w:ind w:left="1020" w:right="40" w:firstLine="1301"/>
        <w:spacing w:after="0" w:line="213" w:lineRule="auto"/>
        <w:tabs>
          <w:tab w:leader="none" w:pos="2734" w:val="left"/>
        </w:tabs>
        <w:numPr>
          <w:ilvl w:val="1"/>
          <w:numId w:val="87"/>
        </w:numPr>
        <w:rPr>
          <w:rFonts w:ascii="Arial" w:cs="Arial" w:eastAsia="Arial" w:hAnsi="Arial"/>
          <w:sz w:val="20"/>
          <w:szCs w:val="20"/>
          <w:color w:val="auto"/>
        </w:rPr>
      </w:pPr>
      <w:r>
        <w:rPr>
          <w:rFonts w:ascii="Arial" w:cs="Arial" w:eastAsia="Arial" w:hAnsi="Arial"/>
          <w:sz w:val="20"/>
          <w:szCs w:val="20"/>
          <w:b w:val="1"/>
          <w:bCs w:val="1"/>
          <w:color w:val="auto"/>
        </w:rPr>
        <w:t>CD123 Program Exclusivity</w:t>
      </w:r>
      <w:r>
        <w:rPr>
          <w:rFonts w:ascii="Arial" w:cs="Arial" w:eastAsia="Arial" w:hAnsi="Arial"/>
          <w:sz w:val="20"/>
          <w:szCs w:val="20"/>
          <w:color w:val="auto"/>
        </w:rPr>
        <w:t>. Commencing on the Effective Date and continuing until the earlier</w:t>
      </w:r>
      <w:r>
        <w:rPr>
          <w:rFonts w:ascii="Arial" w:cs="Arial" w:eastAsia="Arial" w:hAnsi="Arial"/>
          <w:sz w:val="20"/>
          <w:szCs w:val="20"/>
          <w:b w:val="1"/>
          <w:bCs w:val="1"/>
          <w:color w:val="auto"/>
        </w:rPr>
        <w:t xml:space="preserve"> </w:t>
      </w:r>
      <w:r>
        <w:rPr>
          <w:rFonts w:ascii="Arial" w:cs="Arial" w:eastAsia="Arial" w:hAnsi="Arial"/>
          <w:sz w:val="20"/>
          <w:szCs w:val="20"/>
          <w:color w:val="auto"/>
        </w:rPr>
        <w:t>of (i) the five (5) year anniversary of the Effective Date or (ii) the termination of the CD123 Development Program in accordance with Section 4.13 (CD123 Development Program Termination) or Article 18 (Term and Termination), except as permitted under this Agreement, including in connection with</w:t>
      </w:r>
    </w:p>
    <w:p>
      <w:pPr>
        <w:spacing w:after="0" w:line="2" w:lineRule="exact"/>
        <w:rPr>
          <w:rFonts w:ascii="Arial" w:cs="Arial" w:eastAsia="Arial" w:hAnsi="Arial"/>
          <w:sz w:val="20"/>
          <w:szCs w:val="20"/>
          <w:color w:val="auto"/>
        </w:rPr>
      </w:pPr>
    </w:p>
    <w:p>
      <w:pPr>
        <w:jc w:val="both"/>
        <w:ind w:left="1020" w:firstLine="5"/>
        <w:spacing w:after="0" w:line="223" w:lineRule="auto"/>
        <w:tabs>
          <w:tab w:leader="none" w:pos="1306"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any Development or other activities conducted with respect to CD123 Molecules or CD123 Products pursuant to the CD123 Development Plan, or (2) the exercise of MacroGenics’ retained rights set forth in Section 3.5 (Retained Rights), MacroGenics shall not, itself, or with or through any of its Affiliates or any Third Party, Develop, have Developed, Commercialize, or have Commercialized any compound or product containing a multi-specific (which includes, for clarity, a bi-specific) antibody molecule that is directed to each of CD3 and CD123.</w:t>
      </w:r>
    </w:p>
    <w:p>
      <w:pPr>
        <w:spacing w:after="0" w:line="204" w:lineRule="exact"/>
        <w:rPr>
          <w:rFonts w:ascii="Arial" w:cs="Arial" w:eastAsia="Arial" w:hAnsi="Arial"/>
          <w:sz w:val="19"/>
          <w:szCs w:val="19"/>
          <w:color w:val="auto"/>
        </w:rPr>
      </w:pPr>
    </w:p>
    <w:p>
      <w:pPr>
        <w:ind w:left="1020" w:right="60" w:firstLine="1301"/>
        <w:spacing w:after="0" w:line="234" w:lineRule="auto"/>
        <w:tabs>
          <w:tab w:leader="none" w:pos="2744"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Research Program Exclusivity</w:t>
      </w:r>
      <w:r>
        <w:rPr>
          <w:rFonts w:ascii="Arial" w:cs="Arial" w:eastAsia="Arial" w:hAnsi="Arial"/>
          <w:sz w:val="18"/>
          <w:szCs w:val="18"/>
          <w:color w:val="auto"/>
        </w:rPr>
        <w:t>. On a Research Program-by-Research Program basis,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the Research Target Combination License Date for a given Licensed Research Target Combination that is the subject of a Research Program and ending upon the earlier of (i) the five (5) year anniversary of the Initiation of a Phase 1 Clinical Trial for the first Research Product for such Research Program or (ii) the termination of such Research Program in accordance with Section 5.10 (Research Program Termination) or Article 18 (Term and Termination), except as permitted under this Agreement, including in connection with the conduct of MacroGenics’ activities with respect to such Research Program during the Research Term pursuant to the applicable Research Plan, MacroGenics shall not, itself, or with or through any of its Affiliates or any Third Party, Develop, have Developed, Commercialize, or have Commercialized any compound or product that is directed to the Licensed Research Target Combination that is the subject of such Research Program.</w:t>
      </w:r>
    </w:p>
    <w:p>
      <w:pPr>
        <w:spacing w:after="0" w:line="276" w:lineRule="exact"/>
        <w:rPr>
          <w:rFonts w:ascii="Arial" w:cs="Arial" w:eastAsia="Arial" w:hAnsi="Arial"/>
          <w:sz w:val="18"/>
          <w:szCs w:val="18"/>
          <w:color w:val="auto"/>
        </w:rPr>
      </w:pPr>
    </w:p>
    <w:p>
      <w:pPr>
        <w:ind w:left="1020" w:right="100" w:firstLine="1302"/>
        <w:spacing w:after="0" w:line="236" w:lineRule="auto"/>
        <w:tabs>
          <w:tab w:leader="none" w:pos="2733"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Business Combinations</w:t>
      </w:r>
      <w:r>
        <w:rPr>
          <w:rFonts w:ascii="Arial" w:cs="Arial" w:eastAsia="Arial" w:hAnsi="Arial"/>
          <w:sz w:val="18"/>
          <w:szCs w:val="18"/>
          <w:color w:val="auto"/>
        </w:rPr>
        <w:t>. MacroGenics will not be in breach of the restrictions set forth in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3.10(a) (CD123 Program Exclusivity) or Section 3.10(b) (Research Program Exclusivity) if MacroGenics or any of its Affiliates undergoes a Change of Control with a Third Party (together with such Third Party and its Affiliates following the closing of the applicable Change of Control transaction, the “</w:t>
      </w:r>
      <w:r>
        <w:rPr>
          <w:rFonts w:ascii="Arial" w:cs="Arial" w:eastAsia="Arial" w:hAnsi="Arial"/>
          <w:sz w:val="18"/>
          <w:szCs w:val="18"/>
          <w:b w:val="1"/>
          <w:bCs w:val="1"/>
          <w:color w:val="auto"/>
        </w:rPr>
        <w:t>Acquired Party</w:t>
      </w:r>
      <w:r>
        <w:rPr>
          <w:rFonts w:ascii="Arial" w:cs="Arial" w:eastAsia="Arial" w:hAnsi="Arial"/>
          <w:sz w:val="18"/>
          <w:szCs w:val="18"/>
          <w:color w:val="auto"/>
        </w:rPr>
        <w:t>”) that (either directly or through an Affiliate, or in collaboration with any other Third Party) at the closing of the Change of Control transaction is, or later performs, any Development or Commercialization activities on a compound or product that would be in breach of Section 3.10(a) (CD123 Program Exclusivity) or Section 3.10(b) (Research Program Exclusivity), if performed by MacroGenics (such compound or product, “</w:t>
      </w:r>
      <w:r>
        <w:rPr>
          <w:rFonts w:ascii="Arial" w:cs="Arial" w:eastAsia="Arial" w:hAnsi="Arial"/>
          <w:sz w:val="18"/>
          <w:szCs w:val="18"/>
          <w:b w:val="1"/>
          <w:bCs w:val="1"/>
          <w:color w:val="auto"/>
        </w:rPr>
        <w:t>Competitive Product</w:t>
      </w:r>
      <w:r>
        <w:rPr>
          <w:rFonts w:ascii="Arial" w:cs="Arial" w:eastAsia="Arial" w:hAnsi="Arial"/>
          <w:sz w:val="18"/>
          <w:szCs w:val="18"/>
          <w:color w:val="auto"/>
        </w:rPr>
        <w:t>”) and such Acquired Party may perform such Development or Commercialization activities on a Competitive Product in the Territory, as long as [***] the Licensed Molecules, Licensed Products or Programs hereunder, Confidential Information of MacroGenics.</w:t>
      </w:r>
    </w:p>
    <w:p>
      <w:pPr>
        <w:spacing w:after="0" w:line="179" w:lineRule="exact"/>
        <w:rPr>
          <w:sz w:val="20"/>
          <w:szCs w:val="20"/>
          <w:color w:val="auto"/>
        </w:rPr>
      </w:pPr>
    </w:p>
    <w:p>
      <w:pPr>
        <w:ind w:left="1380" w:hanging="355"/>
        <w:spacing w:after="0"/>
        <w:tabs>
          <w:tab w:leader="none" w:pos="1380" w:val="left"/>
        </w:tabs>
        <w:numPr>
          <w:ilvl w:val="0"/>
          <w:numId w:val="89"/>
        </w:numPr>
        <w:rPr>
          <w:rFonts w:ascii="Arial" w:cs="Arial" w:eastAsia="Arial" w:hAnsi="Arial"/>
          <w:sz w:val="20"/>
          <w:szCs w:val="20"/>
          <w:color w:val="auto"/>
        </w:rPr>
      </w:pPr>
      <w:r>
        <w:rPr>
          <w:rFonts w:ascii="Arial" w:cs="Arial" w:eastAsia="Arial" w:hAnsi="Arial"/>
          <w:sz w:val="20"/>
          <w:szCs w:val="20"/>
          <w:b w:val="1"/>
          <w:bCs w:val="1"/>
          <w:color w:val="auto"/>
        </w:rPr>
        <w:t>CD123 Development Program; CD123 Option</w:t>
      </w:r>
      <w:r>
        <w:rPr>
          <w:rFonts w:ascii="Arial" w:cs="Arial" w:eastAsia="Arial" w:hAnsi="Arial"/>
          <w:sz w:val="20"/>
          <w:szCs w:val="20"/>
          <w:color w:val="auto"/>
        </w:rPr>
        <w:t>.</w:t>
      </w:r>
    </w:p>
    <w:p>
      <w:pPr>
        <w:spacing w:after="0" w:line="229" w:lineRule="exact"/>
        <w:rPr>
          <w:sz w:val="20"/>
          <w:szCs w:val="20"/>
          <w:color w:val="auto"/>
        </w:rPr>
      </w:pPr>
    </w:p>
    <w:p>
      <w:pPr>
        <w:ind w:left="1020" w:right="20" w:firstLine="648"/>
        <w:spacing w:after="0" w:line="23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CD123 Development Plan</w:t>
      </w:r>
      <w:r>
        <w:rPr>
          <w:rFonts w:ascii="Arial" w:cs="Arial" w:eastAsia="Arial" w:hAnsi="Arial"/>
          <w:sz w:val="18"/>
          <w:szCs w:val="18"/>
          <w:color w:val="auto"/>
        </w:rPr>
        <w:t>. During the CD123 Development Term, all Development and Manufacturing activities to be conducted by or on behalf of the Parties for the CD123 Molecules and CD123 Products will be conducted</w:t>
      </w:r>
    </w:p>
    <w:p>
      <w:pPr>
        <w:ind w:left="1020"/>
        <w:spacing w:after="0" w:line="223" w:lineRule="auto"/>
        <w:rPr>
          <w:sz w:val="20"/>
          <w:szCs w:val="20"/>
          <w:color w:val="auto"/>
        </w:rPr>
      </w:pPr>
      <w:r>
        <w:rPr>
          <w:rFonts w:ascii="Arial" w:cs="Arial" w:eastAsia="Arial" w:hAnsi="Arial"/>
          <w:sz w:val="19"/>
          <w:szCs w:val="19"/>
          <w:color w:val="auto"/>
        </w:rPr>
        <w:t>solely pursuant to a written development plan (the “</w:t>
      </w:r>
      <w:r>
        <w:rPr>
          <w:rFonts w:ascii="Arial" w:cs="Arial" w:eastAsia="Arial" w:hAnsi="Arial"/>
          <w:sz w:val="19"/>
          <w:szCs w:val="19"/>
          <w:b w:val="1"/>
          <w:bCs w:val="1"/>
          <w:color w:val="auto"/>
        </w:rPr>
        <w:t>CD123 Development Plan</w:t>
      </w:r>
      <w:r>
        <w:rPr>
          <w:rFonts w:ascii="Arial" w:cs="Arial" w:eastAsia="Arial" w:hAnsi="Arial"/>
          <w:sz w:val="19"/>
          <w:szCs w:val="19"/>
          <w:color w:val="auto"/>
        </w:rPr>
        <w:t>” and such activities the “</w:t>
      </w:r>
      <w:r>
        <w:rPr>
          <w:rFonts w:ascii="Arial" w:cs="Arial" w:eastAsia="Arial" w:hAnsi="Arial"/>
          <w:sz w:val="19"/>
          <w:szCs w:val="19"/>
          <w:b w:val="1"/>
          <w:bCs w:val="1"/>
          <w:color w:val="auto"/>
        </w:rPr>
        <w:t>CD123</w:t>
      </w:r>
    </w:p>
    <w:p>
      <w:pPr>
        <w:spacing w:after="0" w:line="1" w:lineRule="exact"/>
        <w:rPr>
          <w:sz w:val="20"/>
          <w:szCs w:val="20"/>
          <w:color w:val="auto"/>
        </w:rPr>
      </w:pPr>
    </w:p>
    <w:p>
      <w:pPr>
        <w:ind w:left="1020" w:right="200"/>
        <w:spacing w:after="0" w:line="226" w:lineRule="auto"/>
        <w:rPr>
          <w:sz w:val="20"/>
          <w:szCs w:val="20"/>
          <w:color w:val="auto"/>
        </w:rPr>
      </w:pPr>
      <w:r>
        <w:rPr>
          <w:rFonts w:ascii="Arial" w:cs="Arial" w:eastAsia="Arial" w:hAnsi="Arial"/>
          <w:sz w:val="18"/>
          <w:szCs w:val="18"/>
          <w:b w:val="1"/>
          <w:bCs w:val="1"/>
          <w:color w:val="auto"/>
        </w:rPr>
        <w:t>Development Program</w:t>
      </w:r>
      <w:r>
        <w:rPr>
          <w:rFonts w:ascii="Arial" w:cs="Arial" w:eastAsia="Arial" w:hAnsi="Arial"/>
          <w:sz w:val="18"/>
          <w:szCs w:val="18"/>
          <w:color w:val="auto"/>
        </w:rPr>
        <w:t>”). The initial CD123 Development Plan is set forth on</w:t>
      </w:r>
      <w:r>
        <w:rPr>
          <w:rFonts w:ascii="Arial" w:cs="Arial" w:eastAsia="Arial" w:hAnsi="Arial"/>
          <w:sz w:val="18"/>
          <w:szCs w:val="18"/>
          <w:b w:val="1"/>
          <w:bCs w:val="1"/>
          <w:color w:val="auto"/>
        </w:rPr>
        <w:t xml:space="preserve"> Schedule 4.1(a) </w:t>
      </w:r>
      <w:r>
        <w:rPr>
          <w:rFonts w:ascii="Arial" w:cs="Arial" w:eastAsia="Arial" w:hAnsi="Arial"/>
          <w:sz w:val="18"/>
          <w:szCs w:val="18"/>
          <w:color w:val="auto"/>
        </w:rPr>
        <w:t>(CD123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includes the material Development and Manufacturing activities anticipated to be required to complete the</w:t>
      </w:r>
    </w:p>
    <w:p>
      <w:pPr>
        <w:ind w:left="1020"/>
        <w:spacing w:after="0" w:line="224" w:lineRule="auto"/>
        <w:rPr>
          <w:sz w:val="20"/>
          <w:szCs w:val="20"/>
          <w:color w:val="auto"/>
        </w:rPr>
      </w:pPr>
      <w:r>
        <w:rPr>
          <w:rFonts w:ascii="Arial" w:cs="Arial" w:eastAsia="Arial" w:hAnsi="Arial"/>
          <w:sz w:val="19"/>
          <w:szCs w:val="19"/>
          <w:color w:val="auto"/>
        </w:rPr>
        <w:t>Phase 1 Clinical Trial for the MGD024 Product (consistent with the clinical protocol synopsis attached hereto in</w:t>
      </w:r>
    </w:p>
    <w:p>
      <w:pPr>
        <w:ind w:left="1020" w:right="60"/>
        <w:spacing w:after="0" w:line="255" w:lineRule="auto"/>
        <w:rPr>
          <w:sz w:val="20"/>
          <w:szCs w:val="20"/>
          <w:color w:val="auto"/>
        </w:rPr>
      </w:pPr>
      <w:r>
        <w:rPr>
          <w:rFonts w:ascii="Arial" w:cs="Arial" w:eastAsia="Arial" w:hAnsi="Arial"/>
          <w:sz w:val="16"/>
          <w:szCs w:val="16"/>
          <w:b w:val="1"/>
          <w:bCs w:val="1"/>
          <w:color w:val="auto"/>
        </w:rPr>
        <w:t xml:space="preserve">Schedule 4.1(b) </w:t>
      </w:r>
      <w:r>
        <w:rPr>
          <w:rFonts w:ascii="Arial" w:cs="Arial" w:eastAsia="Arial" w:hAnsi="Arial"/>
          <w:sz w:val="16"/>
          <w:szCs w:val="16"/>
          <w:color w:val="auto"/>
        </w:rPr>
        <w:t>(Clinical Protocol Synopsis)) and the responsible Party(ies) for the performance of such activities (such</w:t>
      </w:r>
      <w:r>
        <w:rPr>
          <w:rFonts w:ascii="Arial" w:cs="Arial" w:eastAsia="Arial" w:hAnsi="Arial"/>
          <w:sz w:val="16"/>
          <w:szCs w:val="16"/>
          <w:b w:val="1"/>
          <w:bCs w:val="1"/>
          <w:color w:val="auto"/>
        </w:rPr>
        <w:t xml:space="preserve"> </w:t>
      </w:r>
      <w:r>
        <w:rPr>
          <w:rFonts w:ascii="Arial" w:cs="Arial" w:eastAsia="Arial" w:hAnsi="Arial"/>
          <w:sz w:val="16"/>
          <w:szCs w:val="16"/>
          <w:color w:val="auto"/>
        </w:rPr>
        <w:t>plan, the “</w:t>
      </w:r>
      <w:r>
        <w:rPr>
          <w:rFonts w:ascii="Arial" w:cs="Arial" w:eastAsia="Arial" w:hAnsi="Arial"/>
          <w:sz w:val="16"/>
          <w:szCs w:val="16"/>
          <w:b w:val="1"/>
          <w:bCs w:val="1"/>
          <w:color w:val="auto"/>
        </w:rPr>
        <w:t>Initial CD123 Development Plan</w:t>
      </w:r>
      <w:r>
        <w:rPr>
          <w:rFonts w:ascii="Arial" w:cs="Arial" w:eastAsia="Arial" w:hAnsi="Arial"/>
          <w:sz w:val="16"/>
          <w:szCs w:val="16"/>
          <w:color w:val="auto"/>
        </w:rPr>
        <w:t>”). The CD123 Development Plan allocates the performance of specific</w:t>
      </w:r>
    </w:p>
    <w:p>
      <w:pPr>
        <w:spacing w:after="0" w:line="1" w:lineRule="exact"/>
        <w:rPr>
          <w:sz w:val="20"/>
          <w:szCs w:val="20"/>
          <w:color w:val="auto"/>
        </w:rPr>
      </w:pPr>
    </w:p>
    <w:p>
      <w:pPr>
        <w:ind w:left="1020" w:right="560"/>
        <w:spacing w:after="0" w:line="227" w:lineRule="auto"/>
        <w:rPr>
          <w:sz w:val="20"/>
          <w:szCs w:val="20"/>
          <w:color w:val="auto"/>
        </w:rPr>
      </w:pPr>
      <w:r>
        <w:rPr>
          <w:rFonts w:ascii="Arial" w:cs="Arial" w:eastAsia="Arial" w:hAnsi="Arial"/>
          <w:sz w:val="20"/>
          <w:szCs w:val="20"/>
          <w:color w:val="auto"/>
        </w:rPr>
        <w:t>activities to each of MacroGenics (the “</w:t>
      </w:r>
      <w:r>
        <w:rPr>
          <w:rFonts w:ascii="Arial" w:cs="Arial" w:eastAsia="Arial" w:hAnsi="Arial"/>
          <w:sz w:val="20"/>
          <w:szCs w:val="20"/>
          <w:b w:val="1"/>
          <w:bCs w:val="1"/>
          <w:color w:val="auto"/>
        </w:rPr>
        <w:t>MacroGenics CD123 Development Activities</w:t>
      </w:r>
      <w:r>
        <w:rPr>
          <w:rFonts w:ascii="Arial" w:cs="Arial" w:eastAsia="Arial" w:hAnsi="Arial"/>
          <w:sz w:val="20"/>
          <w:szCs w:val="20"/>
          <w:color w:val="auto"/>
        </w:rPr>
        <w:t>”) and Gilead (the “</w:t>
      </w:r>
      <w:r>
        <w:rPr>
          <w:rFonts w:ascii="Arial" w:cs="Arial" w:eastAsia="Arial" w:hAnsi="Arial"/>
          <w:sz w:val="20"/>
          <w:szCs w:val="20"/>
          <w:b w:val="1"/>
          <w:bCs w:val="1"/>
          <w:color w:val="auto"/>
        </w:rPr>
        <w:t>Gilead</w:t>
      </w:r>
      <w:r>
        <w:rPr>
          <w:rFonts w:ascii="Arial" w:cs="Arial" w:eastAsia="Arial" w:hAnsi="Arial"/>
          <w:sz w:val="20"/>
          <w:szCs w:val="20"/>
          <w:color w:val="auto"/>
        </w:rPr>
        <w:t xml:space="preserve"> </w:t>
      </w:r>
      <w:r>
        <w:rPr>
          <w:rFonts w:ascii="Arial" w:cs="Arial" w:eastAsia="Arial" w:hAnsi="Arial"/>
          <w:sz w:val="20"/>
          <w:szCs w:val="20"/>
          <w:b w:val="1"/>
          <w:bCs w:val="1"/>
          <w:color w:val="auto"/>
        </w:rPr>
        <w:t>CD123 Development Activities</w:t>
      </w:r>
      <w:r>
        <w:rPr>
          <w:rFonts w:ascii="Arial" w:cs="Arial" w:eastAsia="Arial" w:hAnsi="Arial"/>
          <w:sz w:val="20"/>
          <w:szCs w:val="20"/>
          <w:color w:val="auto"/>
        </w:rPr>
        <w:t>”) and specifies activities, if 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620"/>
          </w:cols>
          <w:pgMar w:left="400" w:top="1392" w:right="879" w:bottom="1440" w:gutter="0" w:footer="0" w:header="0"/>
        </w:sectPr>
      </w:pPr>
    </w:p>
    <w:bookmarkStart w:id="155" w:name="page156"/>
    <w:bookmarkEnd w:id="155"/>
    <w:p>
      <w:pPr>
        <w:ind w:left="1020" w:right="60"/>
        <w:spacing w:after="0" w:line="247" w:lineRule="auto"/>
        <w:rPr>
          <w:sz w:val="20"/>
          <w:szCs w:val="20"/>
          <w:color w:val="auto"/>
        </w:rPr>
      </w:pPr>
      <w:r>
        <w:rPr>
          <w:rFonts w:ascii="Arial" w:cs="Arial" w:eastAsia="Arial" w:hAnsi="Arial"/>
          <w:sz w:val="18"/>
          <w:szCs w:val="18"/>
          <w:color w:val="auto"/>
        </w:rPr>
        <w:t>be performed jointly by the Parties (the “</w:t>
      </w:r>
      <w:r>
        <w:rPr>
          <w:rFonts w:ascii="Arial" w:cs="Arial" w:eastAsia="Arial" w:hAnsi="Arial"/>
          <w:sz w:val="18"/>
          <w:szCs w:val="18"/>
          <w:b w:val="1"/>
          <w:bCs w:val="1"/>
          <w:color w:val="auto"/>
        </w:rPr>
        <w:t>Joint CD123 Development Activities</w:t>
      </w:r>
      <w:r>
        <w:rPr>
          <w:rFonts w:ascii="Arial" w:cs="Arial" w:eastAsia="Arial" w:hAnsi="Arial"/>
          <w:sz w:val="18"/>
          <w:szCs w:val="18"/>
          <w:color w:val="auto"/>
        </w:rPr>
        <w:t>”). The JSC shall (a) review, discuss and determine whether to approve any updates or amendments to the CD123 Development Plan [***], and (b) oversee and</w:t>
      </w:r>
    </w:p>
    <w:p>
      <w:pPr>
        <w:spacing w:after="0" w:line="1" w:lineRule="exact"/>
        <w:rPr>
          <w:sz w:val="20"/>
          <w:szCs w:val="20"/>
          <w:color w:val="auto"/>
        </w:rPr>
      </w:pPr>
    </w:p>
    <w:p>
      <w:pPr>
        <w:ind w:left="1020" w:right="340"/>
        <w:spacing w:after="0" w:line="226" w:lineRule="auto"/>
        <w:rPr>
          <w:sz w:val="20"/>
          <w:szCs w:val="20"/>
          <w:color w:val="auto"/>
        </w:rPr>
      </w:pPr>
      <w:r>
        <w:rPr>
          <w:rFonts w:ascii="Arial" w:cs="Arial" w:eastAsia="Arial" w:hAnsi="Arial"/>
          <w:sz w:val="18"/>
          <w:szCs w:val="18"/>
          <w:color w:val="auto"/>
        </w:rPr>
        <w:t>facilitate cooperation and information transfer between the Parties in conducting the activities set forth in the CD123 Development Plan. In addition, each Party shall have the right to propose additional amendments to the CD123</w:t>
      </w:r>
    </w:p>
    <w:p>
      <w:pPr>
        <w:ind w:left="1020"/>
        <w:spacing w:after="0" w:line="236" w:lineRule="auto"/>
        <w:rPr>
          <w:sz w:val="20"/>
          <w:szCs w:val="20"/>
          <w:color w:val="auto"/>
        </w:rPr>
      </w:pPr>
      <w:r>
        <w:rPr>
          <w:rFonts w:ascii="Arial" w:cs="Arial" w:eastAsia="Arial" w:hAnsi="Arial"/>
          <w:sz w:val="18"/>
          <w:szCs w:val="18"/>
          <w:color w:val="auto"/>
        </w:rPr>
        <w:t>Development Plan in connection with the progress of the CD123 Development Program for the JSC to review, discuss</w:t>
      </w:r>
    </w:p>
    <w:p>
      <w:pPr>
        <w:spacing w:after="0" w:line="1" w:lineRule="exact"/>
        <w:rPr>
          <w:sz w:val="20"/>
          <w:szCs w:val="20"/>
          <w:color w:val="auto"/>
        </w:rPr>
      </w:pPr>
    </w:p>
    <w:p>
      <w:pPr>
        <w:ind w:left="1020" w:right="220"/>
        <w:spacing w:after="0" w:line="255" w:lineRule="auto"/>
        <w:rPr>
          <w:sz w:val="20"/>
          <w:szCs w:val="20"/>
          <w:color w:val="auto"/>
        </w:rPr>
      </w:pPr>
      <w:r>
        <w:rPr>
          <w:rFonts w:ascii="Arial" w:cs="Arial" w:eastAsia="Arial" w:hAnsi="Arial"/>
          <w:sz w:val="16"/>
          <w:szCs w:val="16"/>
          <w:color w:val="auto"/>
        </w:rPr>
        <w:t>and determine whether to approve. Any proposed amendments to the CD123 Development Plan will become effective only upon approval by the JSC. During the CD123 Development Term, each Party shall not, and shall procure that its</w:t>
      </w:r>
    </w:p>
    <w:p>
      <w:pPr>
        <w:ind w:left="1020"/>
        <w:spacing w:after="0" w:line="223" w:lineRule="auto"/>
        <w:rPr>
          <w:sz w:val="20"/>
          <w:szCs w:val="20"/>
          <w:color w:val="auto"/>
        </w:rPr>
      </w:pPr>
      <w:r>
        <w:rPr>
          <w:rFonts w:ascii="Arial" w:cs="Arial" w:eastAsia="Arial" w:hAnsi="Arial"/>
          <w:sz w:val="19"/>
          <w:szCs w:val="19"/>
          <w:color w:val="auto"/>
        </w:rPr>
        <w:t>Affiliates, Sublicensees and Permitted Subcontractors shall not, perform any pre-clinical or clinical Development</w:t>
      </w:r>
    </w:p>
    <w:p>
      <w:pPr>
        <w:ind w:left="1020" w:right="260"/>
        <w:spacing w:after="0" w:line="250" w:lineRule="auto"/>
        <w:rPr>
          <w:sz w:val="20"/>
          <w:szCs w:val="20"/>
          <w:color w:val="auto"/>
        </w:rPr>
      </w:pPr>
      <w:r>
        <w:rPr>
          <w:rFonts w:ascii="Arial" w:cs="Arial" w:eastAsia="Arial" w:hAnsi="Arial"/>
          <w:sz w:val="18"/>
          <w:szCs w:val="18"/>
          <w:color w:val="auto"/>
        </w:rPr>
        <w:t>activities with respect to any CD123 Molecule or CD123 Product other than (i) the activities expressly set forth in the CD123 Development Plan and (ii) any activities expressly permitted pursuant to Section 3.5 (Retained Rights).</w:t>
      </w:r>
    </w:p>
    <w:p>
      <w:pPr>
        <w:spacing w:after="0" w:line="187"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4.2</w:t>
        <w:tab/>
        <w:t>[***].</w:t>
      </w:r>
    </w:p>
    <w:p>
      <w:pPr>
        <w:spacing w:after="0" w:line="48" w:lineRule="exact"/>
        <w:rPr>
          <w:sz w:val="20"/>
          <w:szCs w:val="20"/>
          <w:color w:val="auto"/>
        </w:rPr>
      </w:pPr>
    </w:p>
    <w:p>
      <w:pPr>
        <w:ind w:left="2740" w:hanging="418"/>
        <w:spacing w:after="0"/>
        <w:tabs>
          <w:tab w:leader="none" w:pos="2740"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Excused Delays</w:t>
      </w:r>
      <w:r>
        <w:rPr>
          <w:rFonts w:ascii="Arial" w:cs="Arial" w:eastAsia="Arial" w:hAnsi="Arial"/>
          <w:sz w:val="20"/>
          <w:szCs w:val="20"/>
          <w:color w:val="auto"/>
        </w:rPr>
        <w:t>. If MacroGenics is delayed [***].</w:t>
      </w:r>
    </w:p>
    <w:p>
      <w:pPr>
        <w:spacing w:after="0" w:line="53" w:lineRule="exact"/>
        <w:rPr>
          <w:rFonts w:ascii="Arial" w:cs="Arial" w:eastAsia="Arial" w:hAnsi="Arial"/>
          <w:sz w:val="20"/>
          <w:szCs w:val="20"/>
          <w:color w:val="auto"/>
        </w:rPr>
      </w:pPr>
    </w:p>
    <w:p>
      <w:pPr>
        <w:ind w:left="1020" w:right="140" w:firstLine="1302"/>
        <w:spacing w:after="0" w:line="221" w:lineRule="auto"/>
        <w:tabs>
          <w:tab w:leader="none" w:pos="2744"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Required Regulatory Activities</w:t>
      </w:r>
      <w:r>
        <w:rPr>
          <w:rFonts w:ascii="Arial" w:cs="Arial" w:eastAsia="Arial" w:hAnsi="Arial"/>
          <w:sz w:val="20"/>
          <w:szCs w:val="20"/>
          <w:color w:val="auto"/>
        </w:rPr>
        <w:t>. If any Regulatory Authority requires [***] (“</w:t>
      </w:r>
      <w:r>
        <w:rPr>
          <w:rFonts w:ascii="Arial" w:cs="Arial" w:eastAsia="Arial" w:hAnsi="Arial"/>
          <w:sz w:val="20"/>
          <w:szCs w:val="20"/>
          <w:b w:val="1"/>
          <w:bCs w:val="1"/>
          <w:color w:val="auto"/>
        </w:rPr>
        <w:t>Required Regulatory Activities</w:t>
      </w:r>
      <w:r>
        <w:rPr>
          <w:rFonts w:ascii="Arial" w:cs="Arial" w:eastAsia="Arial" w:hAnsi="Arial"/>
          <w:sz w:val="20"/>
          <w:szCs w:val="20"/>
          <w:color w:val="auto"/>
        </w:rPr>
        <w:t>”), [***]. The Parties, through the JSC, will promptly develop, discuss and determine whether to</w:t>
      </w:r>
      <w:r>
        <w:rPr>
          <w:rFonts w:ascii="Arial" w:cs="Arial" w:eastAsia="Arial" w:hAnsi="Arial"/>
          <w:sz w:val="20"/>
          <w:szCs w:val="20"/>
          <w:b w:val="1"/>
          <w:bCs w:val="1"/>
          <w:color w:val="auto"/>
        </w:rPr>
        <w:t xml:space="preserve"> </w:t>
      </w:r>
      <w:r>
        <w:rPr>
          <w:rFonts w:ascii="Arial" w:cs="Arial" w:eastAsia="Arial" w:hAnsi="Arial"/>
          <w:sz w:val="20"/>
          <w:szCs w:val="20"/>
          <w:color w:val="auto"/>
        </w:rPr>
        <w:t>approve (1) an amendment to the CD123 Development Plan to reflect such Required Regulatory Activities [***] (“</w:t>
      </w:r>
      <w:r>
        <w:rPr>
          <w:rFonts w:ascii="Arial" w:cs="Arial" w:eastAsia="Arial" w:hAnsi="Arial"/>
          <w:sz w:val="20"/>
          <w:szCs w:val="20"/>
          <w:b w:val="1"/>
          <w:bCs w:val="1"/>
          <w:color w:val="auto"/>
        </w:rPr>
        <w:t>Required Regulatory Activities Budget</w:t>
      </w:r>
      <w:r>
        <w:rPr>
          <w:rFonts w:ascii="Arial" w:cs="Arial" w:eastAsia="Arial" w:hAnsi="Arial"/>
          <w:sz w:val="20"/>
          <w:szCs w:val="20"/>
          <w:color w:val="auto"/>
        </w:rPr>
        <w:t>”).</w:t>
      </w:r>
    </w:p>
    <w:p>
      <w:pPr>
        <w:spacing w:after="0" w:line="273" w:lineRule="exact"/>
        <w:rPr>
          <w:sz w:val="20"/>
          <w:szCs w:val="20"/>
          <w:color w:val="auto"/>
        </w:rPr>
      </w:pPr>
    </w:p>
    <w:p>
      <w:pPr>
        <w:ind w:left="1020" w:right="160" w:firstLine="648"/>
        <w:spacing w:after="0" w:line="23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Conduct of the Phase 1 Clinical Trial of MGD024</w:t>
      </w:r>
      <w:r>
        <w:rPr>
          <w:rFonts w:ascii="Arial" w:cs="Arial" w:eastAsia="Arial" w:hAnsi="Arial"/>
          <w:sz w:val="18"/>
          <w:szCs w:val="18"/>
          <w:color w:val="auto"/>
        </w:rPr>
        <w:t>. MacroGenics shall be responsible for, and shall use Commercially Reasonable Efforts to conduct, [***] the Phase 1 Clinical Trial for the MGD024 Product, as further</w:t>
      </w:r>
    </w:p>
    <w:p>
      <w:pPr>
        <w:spacing w:after="0" w:line="1" w:lineRule="exact"/>
        <w:rPr>
          <w:sz w:val="20"/>
          <w:szCs w:val="20"/>
          <w:color w:val="auto"/>
        </w:rPr>
      </w:pPr>
    </w:p>
    <w:p>
      <w:pPr>
        <w:ind w:left="1020" w:right="60"/>
        <w:spacing w:after="0" w:line="226" w:lineRule="auto"/>
        <w:rPr>
          <w:sz w:val="20"/>
          <w:szCs w:val="20"/>
          <w:color w:val="auto"/>
        </w:rPr>
      </w:pPr>
      <w:r>
        <w:rPr>
          <w:rFonts w:ascii="Arial" w:cs="Arial" w:eastAsia="Arial" w:hAnsi="Arial"/>
          <w:sz w:val="18"/>
          <w:szCs w:val="18"/>
          <w:color w:val="auto"/>
        </w:rPr>
        <w:t>described in, and in accordance with, the CD123 Development Plan. If Gilead does not exercise the CD123 Option during the [***], then MacroGenics shall be responsible for, and shall use Commercially Reasonable Efforts to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-48895</wp:posOffset>
            </wp:positionV>
            <wp:extent cx="31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1020" w:right="580" w:firstLine="5"/>
        <w:spacing w:after="0" w:line="227" w:lineRule="auto"/>
        <w:tabs>
          <w:tab w:leader="none" w:pos="1498"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Phase 1 Clinical Trial for MGD024 Product, as further described in, and in accordance with, the CD123 Development Plan.</w:t>
      </w:r>
    </w:p>
    <w:p>
      <w:pPr>
        <w:spacing w:after="0" w:line="179"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b w:val="1"/>
          <w:bCs w:val="1"/>
          <w:color w:val="auto"/>
        </w:rPr>
        <w:t>Performance Standards</w:t>
      </w:r>
      <w:r>
        <w:rPr>
          <w:rFonts w:ascii="Arial" w:cs="Arial" w:eastAsia="Arial" w:hAnsi="Arial"/>
          <w:sz w:val="16"/>
          <w:szCs w:val="16"/>
          <w:color w:val="auto"/>
        </w:rPr>
        <w:t>. Each Party shall use Commercially Reasonable Efforts to conduct the CD123</w:t>
      </w:r>
    </w:p>
    <w:p>
      <w:pPr>
        <w:spacing w:after="0" w:line="6" w:lineRule="exact"/>
        <w:rPr>
          <w:sz w:val="20"/>
          <w:szCs w:val="20"/>
          <w:color w:val="auto"/>
        </w:rPr>
      </w:pPr>
    </w:p>
    <w:p>
      <w:pPr>
        <w:ind w:left="1020" w:right="40"/>
        <w:spacing w:after="0" w:line="226" w:lineRule="auto"/>
        <w:rPr>
          <w:sz w:val="20"/>
          <w:szCs w:val="20"/>
          <w:color w:val="auto"/>
        </w:rPr>
      </w:pPr>
      <w:r>
        <w:rPr>
          <w:rFonts w:ascii="Arial" w:cs="Arial" w:eastAsia="Arial" w:hAnsi="Arial"/>
          <w:sz w:val="18"/>
          <w:szCs w:val="18"/>
          <w:color w:val="auto"/>
        </w:rPr>
        <w:t>Development Program activities for which it is responsible pursuant to the CD123 Development Plan and in compliance with all Applicable Laws and Regulations, including applicable national and international (e.g., ICH, GCP, GLP and</w:t>
      </w:r>
    </w:p>
    <w:p>
      <w:pPr>
        <w:ind w:left="1020"/>
        <w:spacing w:after="0" w:line="224" w:lineRule="auto"/>
        <w:rPr>
          <w:sz w:val="20"/>
          <w:szCs w:val="20"/>
          <w:color w:val="auto"/>
        </w:rPr>
      </w:pPr>
      <w:r>
        <w:rPr>
          <w:rFonts w:ascii="Arial" w:cs="Arial" w:eastAsia="Arial" w:hAnsi="Arial"/>
          <w:sz w:val="19"/>
          <w:szCs w:val="19"/>
          <w:color w:val="auto"/>
        </w:rPr>
        <w:t>cGMP) guidelines. Additionally, each Party shall use Commercially Reasonable Efforts to provide any assistance</w:t>
      </w:r>
    </w:p>
    <w:p>
      <w:pPr>
        <w:ind w:left="1020" w:right="340"/>
        <w:spacing w:after="0" w:line="220" w:lineRule="auto"/>
        <w:rPr>
          <w:sz w:val="20"/>
          <w:szCs w:val="20"/>
          <w:color w:val="auto"/>
        </w:rPr>
      </w:pPr>
      <w:r>
        <w:rPr>
          <w:rFonts w:ascii="Arial" w:cs="Arial" w:eastAsia="Arial" w:hAnsi="Arial"/>
          <w:sz w:val="20"/>
          <w:szCs w:val="20"/>
          <w:color w:val="auto"/>
        </w:rPr>
        <w:t>required by the other Party to address or complete activities for which such other Party is responsible pursuant to the CD123 Development Plan, or as otherwise mutually agreed upon by the Parties.</w:t>
      </w:r>
    </w:p>
    <w:p>
      <w:pPr>
        <w:spacing w:after="0" w:line="191"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6"/>
          <w:szCs w:val="16"/>
          <w:b w:val="1"/>
          <w:bCs w:val="1"/>
          <w:color w:val="auto"/>
        </w:rPr>
        <w:t>Assumed CD123 Development Activities</w:t>
      </w:r>
      <w:r>
        <w:rPr>
          <w:rFonts w:ascii="Arial" w:cs="Arial" w:eastAsia="Arial" w:hAnsi="Arial"/>
          <w:sz w:val="16"/>
          <w:szCs w:val="16"/>
          <w:color w:val="auto"/>
        </w:rPr>
        <w:t>.</w:t>
      </w:r>
    </w:p>
    <w:p>
      <w:pPr>
        <w:spacing w:after="0" w:line="216" w:lineRule="exact"/>
        <w:rPr>
          <w:sz w:val="20"/>
          <w:szCs w:val="20"/>
          <w:color w:val="auto"/>
        </w:rPr>
      </w:pPr>
    </w:p>
    <w:p>
      <w:pPr>
        <w:jc w:val="both"/>
        <w:ind w:left="1020" w:firstLine="1302"/>
        <w:spacing w:after="0" w:line="221" w:lineRule="auto"/>
        <w:tabs>
          <w:tab w:leader="none" w:pos="2733" w:val="left"/>
        </w:tabs>
        <w:numPr>
          <w:ilvl w:val="0"/>
          <w:numId w:val="92"/>
        </w:numPr>
        <w:rPr>
          <w:rFonts w:ascii="Arial" w:cs="Arial" w:eastAsia="Arial" w:hAnsi="Arial"/>
          <w:sz w:val="20"/>
          <w:szCs w:val="20"/>
          <w:color w:val="auto"/>
        </w:rPr>
      </w:pPr>
      <w:r>
        <w:rPr>
          <w:rFonts w:ascii="Arial" w:cs="Arial" w:eastAsia="Arial" w:hAnsi="Arial"/>
          <w:sz w:val="20"/>
          <w:szCs w:val="20"/>
          <w:b w:val="1"/>
          <w:bCs w:val="1"/>
          <w:color w:val="auto"/>
        </w:rPr>
        <w:t>Conditions for Assumption</w:t>
      </w:r>
      <w:r>
        <w:rPr>
          <w:rFonts w:ascii="Arial" w:cs="Arial" w:eastAsia="Arial" w:hAnsi="Arial"/>
          <w:sz w:val="20"/>
          <w:szCs w:val="20"/>
          <w:color w:val="auto"/>
        </w:rPr>
        <w:t>. If, following a Change of Control of MacroGenics or Bankruptcy</w:t>
      </w:r>
      <w:r>
        <w:rPr>
          <w:rFonts w:ascii="Arial" w:cs="Arial" w:eastAsia="Arial" w:hAnsi="Arial"/>
          <w:sz w:val="20"/>
          <w:szCs w:val="20"/>
          <w:b w:val="1"/>
          <w:bCs w:val="1"/>
          <w:color w:val="auto"/>
        </w:rPr>
        <w:t xml:space="preserve"> </w:t>
      </w:r>
      <w:r>
        <w:rPr>
          <w:rFonts w:ascii="Arial" w:cs="Arial" w:eastAsia="Arial" w:hAnsi="Arial"/>
          <w:sz w:val="20"/>
          <w:szCs w:val="20"/>
          <w:color w:val="auto"/>
        </w:rPr>
        <w:t>Event of MacroGenics that occurs any time after the Effective Date, Gilead reasonably believes that MacroGenics has defaulted on its obligations to perform one or more Development activities allocated to it under the CD123 Development Plan [***], then Gilead may provide MacroGenics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00"/>
          </w:cols>
          <w:pgMar w:left="400" w:top="1318" w:right="899" w:bottom="1440" w:gutter="0" w:footer="0" w:header="0"/>
        </w:sectPr>
      </w:pPr>
    </w:p>
    <w:bookmarkStart w:id="156" w:name="page157"/>
    <w:bookmarkEnd w:id="156"/>
    <w:p>
      <w:pPr>
        <w:spacing w:after="0" w:line="189"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with written notice regarding such failure to perform. [***] (the “</w:t>
      </w:r>
      <w:r>
        <w:rPr>
          <w:rFonts w:ascii="Arial" w:cs="Arial" w:eastAsia="Arial" w:hAnsi="Arial"/>
          <w:sz w:val="19"/>
          <w:szCs w:val="19"/>
          <w:b w:val="1"/>
          <w:bCs w:val="1"/>
          <w:color w:val="auto"/>
        </w:rPr>
        <w:t>CD123 Development Activities Cure Period</w:t>
      </w:r>
      <w:r>
        <w:rPr>
          <w:rFonts w:ascii="Arial" w:cs="Arial" w:eastAsia="Arial" w:hAnsi="Arial"/>
          <w:sz w:val="19"/>
          <w:szCs w:val="19"/>
          <w:color w:val="auto"/>
        </w:rPr>
        <w:t>”) and</w:t>
      </w:r>
    </w:p>
    <w:p>
      <w:pPr>
        <w:spacing w:after="0" w:line="6" w:lineRule="exact"/>
        <w:rPr>
          <w:sz w:val="20"/>
          <w:szCs w:val="20"/>
          <w:color w:val="auto"/>
        </w:rPr>
      </w:pPr>
    </w:p>
    <w:p>
      <w:pPr>
        <w:jc w:val="both"/>
        <w:ind w:left="1020" w:firstLine="6"/>
        <w:spacing w:after="0" w:line="235"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Gilead’s request, the Parties will meet and cooperate to agree in good faith on a plan to resolve such material delay. If (A) MacroGenics has not commenced performance of such Development activities during the applicable CD123 Development Activities Cure Period, (B) MacroGenics notifies Gilead in writing that it anticipates that it will be unable to perform such Development activities or (C) MacroGenics does not perform such Development activities in accordance with the CD123 Development Plan or otherwise in accordance with this Article 4 (CD123 Development Program; CD123 Option), [***], Gilead may, upon written notice to MacroGenics, assume those Development activities that are the subject of such default by MacroGenics (the “</w:t>
      </w:r>
      <w:r>
        <w:rPr>
          <w:rFonts w:ascii="Arial" w:cs="Arial" w:eastAsia="Arial" w:hAnsi="Arial"/>
          <w:sz w:val="18"/>
          <w:szCs w:val="18"/>
          <w:b w:val="1"/>
          <w:bCs w:val="1"/>
          <w:color w:val="auto"/>
        </w:rPr>
        <w:t>Assumed CD123 Development Activities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020" w:right="20" w:firstLine="1301"/>
        <w:spacing w:after="0" w:line="233" w:lineRule="auto"/>
        <w:tabs>
          <w:tab w:leader="none" w:pos="2743"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Effects of Assumption</w:t>
      </w:r>
      <w:r>
        <w:rPr>
          <w:rFonts w:ascii="Arial" w:cs="Arial" w:eastAsia="Arial" w:hAnsi="Arial"/>
          <w:sz w:val="18"/>
          <w:szCs w:val="18"/>
          <w:color w:val="auto"/>
        </w:rPr>
        <w:t>. With respect to any Assumed CD123 Development Activities: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MacroGenics will work collaboratively and in good faith with Gilead, and make its personnel reasonably available to Gilead, in each case, in order to (1) transfer any applicable technology, materials or contracts with Permitted Subcontractors to Gilead that are necessary or reasonably useful for the performance of the applicable Assumed CD123 Development Activities, and (2) provide such other reasonable assistance so as to enable Gilead to assume performance of the applicable Assumed CD123 Development Activities, as mutually agreed upon by the Parties and set forth in an amendment to the CD123 Development Plan; (ii) the JSC will update the CD123 Development Plan to allocate performance of the Assumed CD123 Development Activities to Gilead and such Assumed CD123 Development Activities will thereafter be Gilead CD123 Development Activities; and (iii) Gilead will be solely responsible for all FTE Costs and Out-of-Pocket Costs incurred by or on behalf of Gilead in connection with the performance of the applicable Assumed CD123 Development Activities in accordance with the CD123 Development Plan (as applied to Gilead,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For the avoidance of doubt, in the event Gilead performs any Assumed CD123 Development Activities under this Agreement, (A) Gilead’s performance of such Assumed CD123 Development Activities will not effect the timing of the license grants under Section 3.1 (Licenses to Gilead) or the mechanism for Gilead to exercise the CD123 Option (including all payment obligations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provisions or obligations of MacroGenics relevant to the performance of such activities (including the generation and submission of the CD123 Data Package) shall thereafter apply to Gilead, </w:t>
      </w:r>
      <w:r>
        <w:rPr>
          <w:rFonts w:ascii="Arial" w:cs="Arial" w:eastAsia="Arial" w:hAnsi="Arial"/>
          <w:sz w:val="18"/>
          <w:szCs w:val="18"/>
          <w:i w:val="1"/>
          <w:iCs w:val="1"/>
          <w:color w:val="auto"/>
        </w:rPr>
        <w:t>mutatis mutandis</w:t>
      </w:r>
      <w:r>
        <w:rPr>
          <w:rFonts w:ascii="Arial" w:cs="Arial" w:eastAsia="Arial" w:hAnsi="Arial"/>
          <w:sz w:val="18"/>
          <w:szCs w:val="18"/>
          <w:color w:val="auto"/>
        </w:rPr>
        <w:t>; and (B) the assumption of such activities by Gilead shall not, by itself, be deemed to be a breach by MacroGenics of any of its obligations under this Agreement.</w:t>
      </w:r>
    </w:p>
    <w:p>
      <w:pPr>
        <w:spacing w:after="0" w:line="203" w:lineRule="exact"/>
        <w:rPr>
          <w:sz w:val="20"/>
          <w:szCs w:val="20"/>
          <w:color w:val="auto"/>
        </w:rPr>
      </w:pPr>
    </w:p>
    <w:p>
      <w:pPr>
        <w:ind w:left="1020" w:right="260" w:firstLine="648"/>
        <w:spacing w:after="0" w:line="23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CD123 Development Program Costs</w:t>
      </w:r>
      <w:r>
        <w:rPr>
          <w:rFonts w:ascii="Arial" w:cs="Arial" w:eastAsia="Arial" w:hAnsi="Arial"/>
          <w:sz w:val="18"/>
          <w:szCs w:val="18"/>
          <w:color w:val="auto"/>
        </w:rPr>
        <w:t>. [***] CD123 Development Program. Notwithstanding the foregoing, Gilead shall [***] in performing the Required Regulatory Activities to the extent such costs are incurred in</w:t>
      </w:r>
    </w:p>
    <w:p>
      <w:pPr>
        <w:ind w:left="1020"/>
        <w:spacing w:after="0" w:line="236" w:lineRule="auto"/>
        <w:rPr>
          <w:sz w:val="20"/>
          <w:szCs w:val="20"/>
          <w:color w:val="auto"/>
        </w:rPr>
      </w:pPr>
      <w:r>
        <w:rPr>
          <w:rFonts w:ascii="Arial" w:cs="Arial" w:eastAsia="Arial" w:hAnsi="Arial"/>
          <w:sz w:val="18"/>
          <w:szCs w:val="18"/>
          <w:color w:val="auto"/>
        </w:rPr>
        <w:t>accordance with the CD123 Development Plan [***] in accordance with the immediately preceding sentence, and Gilead</w:t>
      </w:r>
    </w:p>
    <w:p>
      <w:pPr>
        <w:ind w:left="1020" w:right="100"/>
        <w:spacing w:after="0" w:line="226" w:lineRule="auto"/>
        <w:rPr>
          <w:sz w:val="20"/>
          <w:szCs w:val="20"/>
          <w:color w:val="auto"/>
        </w:rPr>
      </w:pPr>
      <w:r>
        <w:rPr>
          <w:rFonts w:ascii="Arial" w:cs="Arial" w:eastAsia="Arial" w:hAnsi="Arial"/>
          <w:sz w:val="18"/>
          <w:szCs w:val="18"/>
          <w:color w:val="auto"/>
        </w:rPr>
        <w:t>shall [***] provide notice to the JSC and the JSC shall promptly discuss in good faith and approve an amendment to the CD123 Development Plan or the Required Regulatory Activities Budget in accordance with Section 2.1 (Joint Steering</w:t>
      </w:r>
    </w:p>
    <w:p>
      <w:pPr>
        <w:spacing w:after="0" w:line="2" w:lineRule="exact"/>
        <w:rPr>
          <w:sz w:val="20"/>
          <w:szCs w:val="20"/>
          <w:color w:val="auto"/>
        </w:rPr>
      </w:pPr>
    </w:p>
    <w:p>
      <w:pPr>
        <w:ind w:left="1020" w:right="380"/>
        <w:spacing w:after="0" w:line="227" w:lineRule="auto"/>
        <w:rPr>
          <w:sz w:val="20"/>
          <w:szCs w:val="20"/>
          <w:color w:val="auto"/>
        </w:rPr>
      </w:pPr>
      <w:r>
        <w:rPr>
          <w:rFonts w:ascii="Arial" w:cs="Arial" w:eastAsia="Arial" w:hAnsi="Arial"/>
          <w:sz w:val="20"/>
          <w:szCs w:val="20"/>
          <w:color w:val="auto"/>
        </w:rPr>
        <w:t>Committee) [***]. [***] JSC approving an amendment to the CD123 Development Plan or the Required Regulatory Activities Budget, [***].</w:t>
      </w:r>
    </w:p>
    <w:p>
      <w:pPr>
        <w:spacing w:after="0" w:line="258" w:lineRule="exact"/>
        <w:rPr>
          <w:sz w:val="20"/>
          <w:szCs w:val="20"/>
          <w:color w:val="auto"/>
        </w:rPr>
      </w:pPr>
    </w:p>
    <w:p>
      <w:pPr>
        <w:ind w:left="1020" w:firstLine="648"/>
        <w:spacing w:after="0" w:line="24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Records; Updates</w:t>
      </w:r>
      <w:r>
        <w:rPr>
          <w:rFonts w:ascii="Arial" w:cs="Arial" w:eastAsia="Arial" w:hAnsi="Arial"/>
          <w:sz w:val="18"/>
          <w:szCs w:val="18"/>
          <w:color w:val="auto"/>
        </w:rPr>
        <w:t>. [***], each Party shall maintain complete, current and accurate records of all activities conducted under the CD123 Development Program, and all data and other information resulting from the performance of</w:t>
      </w:r>
    </w:p>
    <w:p>
      <w:pPr>
        <w:spacing w:after="0" w:line="1" w:lineRule="exact"/>
        <w:rPr>
          <w:sz w:val="20"/>
          <w:szCs w:val="20"/>
          <w:color w:val="auto"/>
        </w:rPr>
      </w:pPr>
    </w:p>
    <w:p>
      <w:pPr>
        <w:ind w:left="1020" w:right="40"/>
        <w:spacing w:after="0" w:line="226" w:lineRule="auto"/>
        <w:rPr>
          <w:sz w:val="20"/>
          <w:szCs w:val="20"/>
          <w:color w:val="auto"/>
        </w:rPr>
      </w:pPr>
      <w:r>
        <w:rPr>
          <w:rFonts w:ascii="Arial" w:cs="Arial" w:eastAsia="Arial" w:hAnsi="Arial"/>
          <w:sz w:val="18"/>
          <w:szCs w:val="18"/>
          <w:color w:val="auto"/>
        </w:rPr>
        <w:t>such activities. Such records shall fully and properly reflect all work performed and results achieved in the performance of any CD123 Development Program activities in good scientific manner appropriate for regulatory and patent purposes.</w:t>
      </w:r>
    </w:p>
    <w:p>
      <w:pPr>
        <w:spacing w:after="0" w:line="2" w:lineRule="exact"/>
        <w:rPr>
          <w:sz w:val="20"/>
          <w:szCs w:val="20"/>
          <w:color w:val="auto"/>
        </w:rPr>
      </w:pPr>
    </w:p>
    <w:p>
      <w:pPr>
        <w:ind w:left="1020" w:right="280"/>
        <w:spacing w:after="0" w:line="266" w:lineRule="auto"/>
        <w:rPr>
          <w:sz w:val="20"/>
          <w:szCs w:val="20"/>
          <w:color w:val="auto"/>
        </w:rPr>
      </w:pPr>
      <w:r>
        <w:rPr>
          <w:rFonts w:ascii="Arial" w:cs="Arial" w:eastAsia="Arial" w:hAnsi="Arial"/>
          <w:sz w:val="18"/>
          <w:szCs w:val="18"/>
          <w:color w:val="auto"/>
        </w:rPr>
        <w:t>Additionally, during each JSC meeting, each Party shall provide the JSC with an update on the results and progress of any CD123 Development Program activities conducted by or on behalf of such Party since the prior JSC meeting.</w:t>
      </w:r>
    </w:p>
    <w:p>
      <w:pPr>
        <w:spacing w:after="0" w:line="167"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9"/>
          <w:szCs w:val="19"/>
          <w:b w:val="1"/>
          <w:bCs w:val="1"/>
          <w:color w:val="auto"/>
        </w:rPr>
        <w:t>Data Ownership</w:t>
      </w:r>
      <w:r>
        <w:rPr>
          <w:rFonts w:ascii="Arial" w:cs="Arial" w:eastAsia="Arial" w:hAnsi="Arial"/>
          <w:sz w:val="19"/>
          <w:szCs w:val="19"/>
          <w:color w:val="auto"/>
        </w:rPr>
        <w:t>. [***].</w:t>
      </w:r>
    </w:p>
    <w:p>
      <w:pPr>
        <w:spacing w:after="0" w:line="297"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8"/>
          <w:szCs w:val="18"/>
          <w:b w:val="1"/>
          <w:bCs w:val="1"/>
          <w:color w:val="auto"/>
        </w:rPr>
        <w:t>CD123 Option</w:t>
      </w:r>
      <w:r>
        <w:rPr>
          <w:rFonts w:ascii="Arial" w:cs="Arial" w:eastAsia="Arial" w:hAnsi="Arial"/>
          <w:sz w:val="18"/>
          <w:szCs w:val="18"/>
          <w:color w:val="auto"/>
        </w:rPr>
        <w:t>.</w:t>
      </w:r>
    </w:p>
    <w:p>
      <w:pPr>
        <w:spacing w:after="0" w:line="216" w:lineRule="exact"/>
        <w:rPr>
          <w:sz w:val="20"/>
          <w:szCs w:val="20"/>
          <w:color w:val="auto"/>
        </w:rPr>
      </w:pPr>
    </w:p>
    <w:p>
      <w:pPr>
        <w:ind w:left="1020" w:right="600" w:firstLine="1301"/>
        <w:spacing w:after="0" w:line="264" w:lineRule="auto"/>
        <w:tabs>
          <w:tab w:leader="none" w:pos="2734"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Option Grant</w:t>
      </w:r>
      <w:r>
        <w:rPr>
          <w:rFonts w:ascii="Arial" w:cs="Arial" w:eastAsia="Arial" w:hAnsi="Arial"/>
          <w:sz w:val="19"/>
          <w:szCs w:val="19"/>
          <w:color w:val="auto"/>
        </w:rPr>
        <w:t>. Gilead has an exclusive option to obtain an exclusive (subject to Section 3.5</w:t>
      </w:r>
      <w:r>
        <w:rPr>
          <w:rFonts w:ascii="Arial" w:cs="Arial" w:eastAsia="Arial" w:hAnsi="Arial"/>
          <w:sz w:val="19"/>
          <w:szCs w:val="19"/>
          <w:b w:val="1"/>
          <w:bCs w:val="1"/>
          <w:color w:val="auto"/>
        </w:rPr>
        <w:t xml:space="preserve"> </w:t>
      </w:r>
      <w:r>
        <w:rPr>
          <w:rFonts w:ascii="Arial" w:cs="Arial" w:eastAsia="Arial" w:hAnsi="Arial"/>
          <w:sz w:val="19"/>
          <w:szCs w:val="19"/>
          <w:color w:val="auto"/>
        </w:rPr>
        <w:t>(Retained Rights)), royalty-bearing, non-transferable (other than in accordance with Section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620"/>
          </w:cols>
          <w:pgMar w:left="400" w:top="1440" w:right="879" w:bottom="1440" w:gutter="0" w:footer="0" w:header="0"/>
        </w:sectPr>
      </w:pPr>
    </w:p>
    <w:bookmarkStart w:id="157" w:name="page158"/>
    <w:bookmarkEnd w:id="157"/>
    <w:p>
      <w:pPr>
        <w:ind w:left="1020"/>
        <w:spacing w:after="0" w:line="236" w:lineRule="auto"/>
        <w:rPr>
          <w:sz w:val="20"/>
          <w:szCs w:val="20"/>
          <w:color w:val="auto"/>
        </w:rPr>
      </w:pPr>
      <w:r>
        <w:rPr>
          <w:rFonts w:ascii="Arial" w:cs="Arial" w:eastAsia="Arial" w:hAnsi="Arial"/>
          <w:sz w:val="20"/>
          <w:szCs w:val="20"/>
          <w:color w:val="auto"/>
        </w:rPr>
        <w:t>19.4 (Assignment; Change of Control)) license, with the [***], MacroGenics Licensed Technology, to Exploit CD123 Molecules and CD123 Products in the Field in the Territory (“</w:t>
      </w:r>
      <w:r>
        <w:rPr>
          <w:rFonts w:ascii="Arial" w:cs="Arial" w:eastAsia="Arial" w:hAnsi="Arial"/>
          <w:sz w:val="20"/>
          <w:szCs w:val="20"/>
          <w:b w:val="1"/>
          <w:bCs w:val="1"/>
          <w:color w:val="auto"/>
        </w:rPr>
        <w:t>CD123 Option</w:t>
      </w:r>
      <w:r>
        <w:rPr>
          <w:rFonts w:ascii="Arial" w:cs="Arial" w:eastAsia="Arial" w:hAnsi="Arial"/>
          <w:sz w:val="20"/>
          <w:szCs w:val="20"/>
          <w:color w:val="auto"/>
        </w:rPr>
        <w:t>”).</w:t>
      </w:r>
    </w:p>
    <w:p>
      <w:pPr>
        <w:spacing w:after="0" w:line="190"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Option Term</w:t>
      </w:r>
      <w:r>
        <w:rPr>
          <w:rFonts w:ascii="Arial" w:cs="Arial" w:eastAsia="Arial" w:hAnsi="Arial"/>
          <w:sz w:val="20"/>
          <w:szCs w:val="20"/>
          <w:color w:val="auto"/>
        </w:rPr>
        <w:t>. If [***], the Phase 1 Clinical Trial of the MGD024 Product [***].</w:t>
      </w:r>
    </w:p>
    <w:p>
      <w:pPr>
        <w:spacing w:after="0" w:line="297" w:lineRule="exact"/>
        <w:rPr>
          <w:sz w:val="20"/>
          <w:szCs w:val="20"/>
          <w:color w:val="auto"/>
        </w:rPr>
      </w:pPr>
    </w:p>
    <w:p>
      <w:pPr>
        <w:ind w:left="1020" w:right="260" w:firstLine="1302"/>
        <w:spacing w:after="0" w:line="262" w:lineRule="auto"/>
        <w:tabs>
          <w:tab w:leader="none" w:pos="2744"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CD123 Data Package</w:t>
      </w:r>
      <w:r>
        <w:rPr>
          <w:rFonts w:ascii="Arial" w:cs="Arial" w:eastAsia="Arial" w:hAnsi="Arial"/>
          <w:sz w:val="16"/>
          <w:szCs w:val="16"/>
          <w:color w:val="auto"/>
        </w:rPr>
        <w:t>. MacroGenics shall deliver each CD123 Data Package to Gilead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promptly as possible, and in no event [***] CD123 Development Program that are required to generate the applicable CD123 Data Package. [***] following Gilead’s receipt of a CD123 Data Package, Gilead may provide MacroGenics with written notice if Gilead believes in good faith that the purported CD123 Data Package provided by MacroGenics does not contain all of the information required to be provided in such data package, as set forth in </w:t>
      </w:r>
      <w:r>
        <w:rPr>
          <w:rFonts w:ascii="Arial" w:cs="Arial" w:eastAsia="Arial" w:hAnsi="Arial"/>
          <w:sz w:val="16"/>
          <w:szCs w:val="16"/>
          <w:b w:val="1"/>
          <w:bCs w:val="1"/>
          <w:color w:val="auto"/>
        </w:rPr>
        <w:t>Schedule 1.114</w:t>
      </w:r>
      <w:r>
        <w:rPr>
          <w:rFonts w:ascii="Arial" w:cs="Arial" w:eastAsia="Arial" w:hAnsi="Arial"/>
          <w:sz w:val="16"/>
          <w:szCs w:val="16"/>
          <w:color w:val="auto"/>
        </w:rPr>
        <w:t xml:space="preserve"> or</w:t>
      </w:r>
    </w:p>
    <w:p>
      <w:pPr>
        <w:spacing w:after="0" w:line="3" w:lineRule="exact"/>
        <w:rPr>
          <w:rFonts w:ascii="Arial" w:cs="Arial" w:eastAsia="Arial" w:hAnsi="Arial"/>
          <w:sz w:val="16"/>
          <w:szCs w:val="16"/>
          <w:color w:val="auto"/>
        </w:rPr>
      </w:pPr>
    </w:p>
    <w:p>
      <w:pPr>
        <w:ind w:left="1020" w:right="20"/>
        <w:spacing w:after="0" w:line="232" w:lineRule="auto"/>
        <w:rPr>
          <w:rFonts w:ascii="Arial" w:cs="Arial" w:eastAsia="Arial" w:hAnsi="Arial"/>
          <w:sz w:val="16"/>
          <w:szCs w:val="16"/>
          <w:color w:val="auto"/>
        </w:rPr>
      </w:pPr>
      <w:r>
        <w:rPr>
          <w:rFonts w:ascii="Arial" w:cs="Arial" w:eastAsia="Arial" w:hAnsi="Arial"/>
          <w:sz w:val="18"/>
          <w:szCs w:val="18"/>
          <w:b w:val="1"/>
          <w:bCs w:val="1"/>
          <w:color w:val="auto"/>
        </w:rPr>
        <w:t>1.118</w:t>
      </w:r>
      <w:r>
        <w:rPr>
          <w:rFonts w:ascii="Arial" w:cs="Arial" w:eastAsia="Arial" w:hAnsi="Arial"/>
          <w:sz w:val="18"/>
          <w:szCs w:val="18"/>
          <w:color w:val="auto"/>
        </w:rPr>
        <w:t>, as applicable (each, a “</w:t>
      </w:r>
      <w:r>
        <w:rPr>
          <w:rFonts w:ascii="Arial" w:cs="Arial" w:eastAsia="Arial" w:hAnsi="Arial"/>
          <w:sz w:val="18"/>
          <w:szCs w:val="18"/>
          <w:b w:val="1"/>
          <w:bCs w:val="1"/>
          <w:color w:val="auto"/>
        </w:rPr>
        <w:t>Deficiency Notice</w:t>
      </w:r>
      <w:r>
        <w:rPr>
          <w:rFonts w:ascii="Arial" w:cs="Arial" w:eastAsia="Arial" w:hAnsi="Arial"/>
          <w:sz w:val="18"/>
          <w:szCs w:val="18"/>
          <w:color w:val="auto"/>
        </w:rPr>
        <w:t>”), which Deficiency Notice will reasonably specify the missing item(s).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MacroGenics will modify such CD123 Data Package to reflect such comments and will provide an updated CD123 Data Package that includes the missing information [***] Deficiency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clarity, MacroGenics shall not be required to generate any additional data that is not in existence as of the date of delivery of each CD123 Data Package (including re-running previously performed studies) to the extent such data is supplementary and not required to be set forth in such CD123 Data Package or comply with any requests to modify the presentation or formatting of the then-existing data unless required to be set forth in such CD123 Data Package. If Gilead provides a Deficiency Notice, then the applicable Option Period will be extended [***]. In addition, at any time during the Option Period after Gilead’s receipt of a CD123 Data Package, Gilead may, itself or through the JSC, provide MacroGenics with written notice requesting assistance and cooperation from MacroGenics in analyzing such CD123 Data Package, including a request for a discussion with MacroGenics representative(s) who have relevant knowledge and information regarding such CD123 Data Package, and MacroGenics will use good faith efforts to promptly provide any such assistance and cooperation reasonably requested by Gilead. Additionally, during the CD123 Development Term, Gilead shall use good faith efforts to assist MacroGenics in its efforts to coordinate and compile the contents of the CD123 Data Package in advance of completion of the activities under the CD123 Development Program and to respond to MacroGenics’ queries regarding the formatting and completeness of such aspects of the CD123 Data Package.</w:t>
      </w:r>
    </w:p>
    <w:p>
      <w:pPr>
        <w:spacing w:after="0" w:line="192" w:lineRule="exact"/>
        <w:rPr>
          <w:rFonts w:ascii="Arial" w:cs="Arial" w:eastAsia="Arial" w:hAnsi="Arial"/>
          <w:sz w:val="16"/>
          <w:szCs w:val="16"/>
          <w:color w:val="auto"/>
        </w:rPr>
      </w:pPr>
    </w:p>
    <w:p>
      <w:pPr>
        <w:ind w:left="1020" w:right="20" w:firstLine="1301"/>
        <w:spacing w:after="0" w:line="233" w:lineRule="auto"/>
        <w:tabs>
          <w:tab w:leader="none" w:pos="2734" w:val="left"/>
        </w:tabs>
        <w:numPr>
          <w:ilvl w:val="0"/>
          <w:numId w:val="95"/>
        </w:numPr>
        <w:rPr>
          <w:rFonts w:ascii="Arial" w:cs="Arial" w:eastAsia="Arial" w:hAnsi="Arial"/>
          <w:sz w:val="19"/>
          <w:szCs w:val="19"/>
          <w:color w:val="auto"/>
        </w:rPr>
      </w:pPr>
      <w:r>
        <w:rPr>
          <w:rFonts w:ascii="Arial" w:cs="Arial" w:eastAsia="Arial" w:hAnsi="Arial"/>
          <w:sz w:val="19"/>
          <w:szCs w:val="19"/>
          <w:b w:val="1"/>
          <w:bCs w:val="1"/>
          <w:color w:val="auto"/>
        </w:rPr>
        <w:t>CD123 Clinical Study Report</w:t>
      </w:r>
      <w:r>
        <w:rPr>
          <w:rFonts w:ascii="Arial" w:cs="Arial" w:eastAsia="Arial" w:hAnsi="Arial"/>
          <w:sz w:val="19"/>
          <w:szCs w:val="19"/>
          <w:color w:val="auto"/>
        </w:rPr>
        <w:t>. MacroGenics shall deliver the Clinical Study Report [***] the</w:t>
      </w:r>
      <w:r>
        <w:rPr>
          <w:rFonts w:ascii="Arial" w:cs="Arial" w:eastAsia="Arial" w:hAnsi="Arial"/>
          <w:sz w:val="19"/>
          <w:szCs w:val="19"/>
          <w:b w:val="1"/>
          <w:bCs w:val="1"/>
          <w:color w:val="auto"/>
        </w:rPr>
        <w:t xml:space="preserve"> </w:t>
      </w:r>
      <w:r>
        <w:rPr>
          <w:rFonts w:ascii="Arial" w:cs="Arial" w:eastAsia="Arial" w:hAnsi="Arial"/>
          <w:sz w:val="19"/>
          <w:szCs w:val="19"/>
          <w:color w:val="auto"/>
        </w:rPr>
        <w:t>Phase 1 Clinical Trial [***] Clinical Study Report. If Gilead does not exercise the CD123 Option [***] the Clinical Study Report for [***] the Phase 1 Clinical Trial, MacroGenics will [***] the Phase 1 Clinical Trial [***] Clinical Study Report. For clarity, the Clinical Study Report will not be required as part of the CD123 Data Package.</w:t>
      </w:r>
    </w:p>
    <w:p>
      <w:pPr>
        <w:spacing w:after="0" w:line="204" w:lineRule="exact"/>
        <w:rPr>
          <w:rFonts w:ascii="Arial" w:cs="Arial" w:eastAsia="Arial" w:hAnsi="Arial"/>
          <w:sz w:val="19"/>
          <w:szCs w:val="19"/>
          <w:color w:val="auto"/>
        </w:rPr>
      </w:pPr>
    </w:p>
    <w:p>
      <w:pPr>
        <w:ind w:left="1020" w:right="620" w:firstLine="1302"/>
        <w:spacing w:after="0" w:line="232" w:lineRule="auto"/>
        <w:tabs>
          <w:tab w:leader="none" w:pos="2744" w:val="left"/>
        </w:tabs>
        <w:numPr>
          <w:ilvl w:val="0"/>
          <w:numId w:val="95"/>
        </w:numPr>
        <w:rPr>
          <w:rFonts w:ascii="Arial" w:cs="Arial" w:eastAsia="Arial" w:hAnsi="Arial"/>
          <w:sz w:val="20"/>
          <w:szCs w:val="20"/>
          <w:color w:val="auto"/>
        </w:rPr>
      </w:pPr>
      <w:r>
        <w:rPr>
          <w:rFonts w:ascii="Arial" w:cs="Arial" w:eastAsia="Arial" w:hAnsi="Arial"/>
          <w:sz w:val="20"/>
          <w:szCs w:val="20"/>
          <w:b w:val="1"/>
          <w:bCs w:val="1"/>
          <w:color w:val="auto"/>
        </w:rPr>
        <w:t>Option Exercise</w:t>
      </w:r>
      <w:r>
        <w:rPr>
          <w:rFonts w:ascii="Arial" w:cs="Arial" w:eastAsia="Arial" w:hAnsi="Arial"/>
          <w:sz w:val="20"/>
          <w:szCs w:val="20"/>
          <w:color w:val="auto"/>
        </w:rPr>
        <w:t>. Gilead may exercise the CD123 Option [***] (“</w:t>
      </w:r>
      <w:r>
        <w:rPr>
          <w:rFonts w:ascii="Arial" w:cs="Arial" w:eastAsia="Arial" w:hAnsi="Arial"/>
          <w:sz w:val="20"/>
          <w:szCs w:val="20"/>
          <w:b w:val="1"/>
          <w:bCs w:val="1"/>
          <w:color w:val="auto"/>
        </w:rPr>
        <w:t>CD123 Option Exercise Notice</w:t>
      </w:r>
      <w:r>
        <w:rPr>
          <w:rFonts w:ascii="Arial" w:cs="Arial" w:eastAsia="Arial" w:hAnsi="Arial"/>
          <w:sz w:val="20"/>
          <w:szCs w:val="20"/>
          <w:color w:val="auto"/>
        </w:rPr>
        <w:t>”) [***] “</w:t>
      </w:r>
      <w:r>
        <w:rPr>
          <w:rFonts w:ascii="Arial" w:cs="Arial" w:eastAsia="Arial" w:hAnsi="Arial"/>
          <w:sz w:val="20"/>
          <w:szCs w:val="20"/>
          <w:b w:val="1"/>
          <w:bCs w:val="1"/>
          <w:color w:val="auto"/>
        </w:rPr>
        <w:t>CD123 Option Exercise Date</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-2153285</wp:posOffset>
            </wp:positionV>
            <wp:extent cx="31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57" w:lineRule="exact"/>
        <w:rPr>
          <w:sz w:val="20"/>
          <w:szCs w:val="20"/>
          <w:color w:val="auto"/>
        </w:rPr>
      </w:pPr>
    </w:p>
    <w:p>
      <w:pPr>
        <w:ind w:left="1020" w:right="200" w:firstLine="648"/>
        <w:spacing w:after="0" w:line="236" w:lineRule="auto"/>
        <w:rPr>
          <w:sz w:val="20"/>
          <w:szCs w:val="20"/>
          <w:color w:val="auto"/>
        </w:rPr>
      </w:pPr>
      <w:r>
        <w:rPr>
          <w:rFonts w:ascii="Arial" w:cs="Arial" w:eastAsia="Arial" w:hAnsi="Arial"/>
          <w:sz w:val="20"/>
          <w:szCs w:val="20"/>
          <w:color w:val="auto"/>
        </w:rPr>
        <w:t>4.10 [***] MacroGenics, through completion of such activities, in accordance with the CD123 Development Plan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620"/>
          </w:cols>
          <w:pgMar w:left="400" w:top="1324" w:right="879" w:bottom="1440" w:gutter="0" w:footer="0" w:header="0"/>
        </w:sectPr>
      </w:pPr>
    </w:p>
    <w:bookmarkStart w:id="158" w:name="page159"/>
    <w:bookmarkEnd w:id="158"/>
    <w:p>
      <w:pPr>
        <w:spacing w:after="0" w:line="200" w:lineRule="exact"/>
        <w:rPr>
          <w:sz w:val="20"/>
          <w:szCs w:val="20"/>
          <w:color w:val="auto"/>
        </w:rPr>
      </w:pPr>
    </w:p>
    <w:p>
      <w:pPr>
        <w:spacing w:after="0" w:line="246" w:lineRule="exact"/>
        <w:rPr>
          <w:sz w:val="20"/>
          <w:szCs w:val="20"/>
          <w:color w:val="auto"/>
        </w:rPr>
      </w:pPr>
    </w:p>
    <w:p>
      <w:pPr>
        <w:ind w:left="1020" w:right="660" w:firstLine="648"/>
        <w:spacing w:after="0" w:line="24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color w:val="auto"/>
        </w:rPr>
        <w:t>CD123 Development Term and Transfer of Development Activities</w:t>
      </w:r>
      <w:r>
        <w:rPr>
          <w:rFonts w:ascii="Arial" w:cs="Arial" w:eastAsia="Arial" w:hAnsi="Arial"/>
          <w:sz w:val="18"/>
          <w:szCs w:val="18"/>
          <w:color w:val="auto"/>
        </w:rPr>
        <w:t>. The CD123 Development Program shall commence on the Effective Date and, unless earlier terminated pursuant to Section 4.13 (CD123</w:t>
      </w:r>
    </w:p>
    <w:p>
      <w:pPr>
        <w:spacing w:after="0" w:line="1" w:lineRule="exact"/>
        <w:rPr>
          <w:sz w:val="20"/>
          <w:szCs w:val="20"/>
          <w:color w:val="auto"/>
        </w:rPr>
      </w:pPr>
    </w:p>
    <w:p>
      <w:pPr>
        <w:ind w:left="1020" w:right="100"/>
        <w:spacing w:after="0" w:line="226" w:lineRule="auto"/>
        <w:rPr>
          <w:sz w:val="20"/>
          <w:szCs w:val="20"/>
          <w:color w:val="auto"/>
        </w:rPr>
      </w:pPr>
      <w:r>
        <w:rPr>
          <w:rFonts w:ascii="Arial" w:cs="Arial" w:eastAsia="Arial" w:hAnsi="Arial"/>
          <w:sz w:val="18"/>
          <w:szCs w:val="18"/>
          <w:color w:val="auto"/>
        </w:rPr>
        <w:t>Development Program Termination) or Article 18 (Term and Termination), expire upon the earlier of the CD123 Option Effective Date or the Outside Date, in each case, in accordance with Section 6.1(b)(i) (CD123 Program Effectiveness)</w:t>
      </w:r>
    </w:p>
    <w:p>
      <w:pPr>
        <w:ind w:left="1020"/>
        <w:spacing w:after="0" w:line="23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CD123 Development Term</w:t>
      </w:r>
      <w:r>
        <w:rPr>
          <w:rFonts w:ascii="Arial" w:cs="Arial" w:eastAsia="Arial" w:hAnsi="Arial"/>
          <w:sz w:val="18"/>
          <w:szCs w:val="18"/>
          <w:color w:val="auto"/>
        </w:rPr>
        <w:t>”). If Gilead exercises the CD123 Option, then, at such times after the CD123 Option</w:t>
      </w:r>
    </w:p>
    <w:p>
      <w:pPr>
        <w:spacing w:after="0" w:line="1" w:lineRule="exact"/>
        <w:rPr>
          <w:sz w:val="20"/>
          <w:szCs w:val="20"/>
          <w:color w:val="auto"/>
        </w:rPr>
      </w:pPr>
    </w:p>
    <w:p>
      <w:pPr>
        <w:ind w:left="1020" w:right="20"/>
        <w:spacing w:after="0" w:line="255" w:lineRule="auto"/>
        <w:rPr>
          <w:sz w:val="20"/>
          <w:szCs w:val="20"/>
          <w:color w:val="auto"/>
        </w:rPr>
      </w:pPr>
      <w:r>
        <w:rPr>
          <w:rFonts w:ascii="Arial" w:cs="Arial" w:eastAsia="Arial" w:hAnsi="Arial"/>
          <w:sz w:val="16"/>
          <w:szCs w:val="16"/>
          <w:color w:val="auto"/>
        </w:rPr>
        <w:t>Effective Date as set forth in Section 4.12 (Technology Transfer), MacroGenics will, and will cause its Affiliates and Permitted Subcontractors to, cooperate with Gilead as Gilead may reasonably request to facilitate an orderly transition of</w:t>
      </w:r>
    </w:p>
    <w:p>
      <w:pPr>
        <w:ind w:left="1020"/>
        <w:spacing w:after="0" w:line="235" w:lineRule="auto"/>
        <w:rPr>
          <w:sz w:val="20"/>
          <w:szCs w:val="20"/>
          <w:color w:val="auto"/>
        </w:rPr>
      </w:pPr>
      <w:r>
        <w:rPr>
          <w:rFonts w:ascii="Arial" w:cs="Arial" w:eastAsia="Arial" w:hAnsi="Arial"/>
          <w:sz w:val="18"/>
          <w:szCs w:val="18"/>
          <w:color w:val="auto"/>
        </w:rPr>
        <w:t>the Development of the MGD024 Product to Gilead or its designee. Without limiting the foregoing, if Gilead exercises</w:t>
      </w:r>
    </w:p>
    <w:p>
      <w:pPr>
        <w:ind w:left="1020" w:right="40"/>
        <w:spacing w:after="0" w:line="226" w:lineRule="auto"/>
        <w:rPr>
          <w:sz w:val="20"/>
          <w:szCs w:val="20"/>
          <w:color w:val="auto"/>
        </w:rPr>
      </w:pPr>
      <w:r>
        <w:rPr>
          <w:rFonts w:ascii="Arial" w:cs="Arial" w:eastAsia="Arial" w:hAnsi="Arial"/>
          <w:sz w:val="18"/>
          <w:szCs w:val="18"/>
          <w:color w:val="auto"/>
        </w:rPr>
        <w:t>the CD123 Option [***] CD123 Option Effective Date, MacroGenics will (a) cooperate, and will ensure that its Affiliates and Permitted Subcontractors cooperate, with Gilead’s reasonable requests to transfer the conduct of the Phase</w:t>
      </w:r>
    </w:p>
    <w:p>
      <w:pPr>
        <w:spacing w:after="0" w:line="2" w:lineRule="exact"/>
        <w:rPr>
          <w:sz w:val="20"/>
          <w:szCs w:val="20"/>
          <w:color w:val="auto"/>
        </w:rPr>
      </w:pPr>
    </w:p>
    <w:p>
      <w:pPr>
        <w:ind w:left="1020" w:right="140"/>
        <w:spacing w:after="0" w:line="239" w:lineRule="auto"/>
        <w:rPr>
          <w:sz w:val="20"/>
          <w:szCs w:val="20"/>
          <w:color w:val="auto"/>
        </w:rPr>
      </w:pPr>
      <w:r>
        <w:rPr>
          <w:rFonts w:ascii="Arial" w:cs="Arial" w:eastAsia="Arial" w:hAnsi="Arial"/>
          <w:sz w:val="19"/>
          <w:szCs w:val="19"/>
          <w:color w:val="auto"/>
        </w:rPr>
        <w:t>1 Clinical Trial for the MGD024 Product to Gilead or its designees or (b) continue to conduct the Phase 1 Clinical Trial for the MGD024 Product at Gilead’s cost and in accordance with the CD123 Development Plan [***].</w:t>
      </w:r>
    </w:p>
    <w:p>
      <w:pPr>
        <w:spacing w:after="0" w:line="258" w:lineRule="exact"/>
        <w:rPr>
          <w:sz w:val="20"/>
          <w:szCs w:val="20"/>
          <w:color w:val="auto"/>
        </w:rPr>
      </w:pPr>
    </w:p>
    <w:p>
      <w:pPr>
        <w:ind w:left="1020" w:right="20" w:firstLine="648"/>
        <w:spacing w:after="0" w:line="24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color w:val="auto"/>
        </w:rPr>
        <w:t>Technology Transfer</w:t>
      </w:r>
      <w:r>
        <w:rPr>
          <w:rFonts w:ascii="Arial" w:cs="Arial" w:eastAsia="Arial" w:hAnsi="Arial"/>
          <w:sz w:val="18"/>
          <w:szCs w:val="18"/>
          <w:color w:val="auto"/>
        </w:rPr>
        <w:t>. [***] CD123 Option Effective Date, MacroGenics will provide Gilead with copies of all MacroGenics CD123 Know-How (other than MacroGenics CD123 Know-How relating to the Manufacture of</w:t>
      </w:r>
    </w:p>
    <w:p>
      <w:pPr>
        <w:spacing w:after="0" w:line="1" w:lineRule="exact"/>
        <w:rPr>
          <w:sz w:val="20"/>
          <w:szCs w:val="20"/>
          <w:color w:val="auto"/>
        </w:rPr>
      </w:pPr>
    </w:p>
    <w:p>
      <w:pPr>
        <w:ind w:left="1020" w:right="320"/>
        <w:spacing w:after="0" w:line="226" w:lineRule="auto"/>
        <w:rPr>
          <w:sz w:val="20"/>
          <w:szCs w:val="20"/>
          <w:color w:val="auto"/>
        </w:rPr>
      </w:pPr>
      <w:r>
        <w:rPr>
          <w:rFonts w:ascii="Arial" w:cs="Arial" w:eastAsia="Arial" w:hAnsi="Arial"/>
          <w:sz w:val="18"/>
          <w:szCs w:val="18"/>
          <w:color w:val="auto"/>
        </w:rPr>
        <w:t>CD123 Molecule and CD123 Products, the initial transfer of which will be performed in accordance with Section 9.4 (Manufacturing Technology Transfer)) that is necessary or reasonably useful for the Exploitation of the CD123</w:t>
      </w:r>
    </w:p>
    <w:p>
      <w:pPr>
        <w:ind w:left="1020"/>
        <w:spacing w:after="0" w:line="236" w:lineRule="auto"/>
        <w:rPr>
          <w:sz w:val="20"/>
          <w:szCs w:val="20"/>
          <w:color w:val="auto"/>
        </w:rPr>
      </w:pPr>
      <w:r>
        <w:rPr>
          <w:rFonts w:ascii="Arial" w:cs="Arial" w:eastAsia="Arial" w:hAnsi="Arial"/>
          <w:sz w:val="18"/>
          <w:szCs w:val="18"/>
          <w:color w:val="auto"/>
        </w:rPr>
        <w:t>Molecules and CD123 Products. To facilitate such transfer, the Parties may mutually agree upon a written technology</w:t>
      </w:r>
    </w:p>
    <w:p>
      <w:pPr>
        <w:spacing w:after="0" w:line="1" w:lineRule="exact"/>
        <w:rPr>
          <w:sz w:val="20"/>
          <w:szCs w:val="20"/>
          <w:color w:val="auto"/>
        </w:rPr>
      </w:pPr>
    </w:p>
    <w:p>
      <w:pPr>
        <w:ind w:left="1020" w:right="80"/>
        <w:spacing w:after="0" w:line="226" w:lineRule="auto"/>
        <w:rPr>
          <w:sz w:val="20"/>
          <w:szCs w:val="20"/>
          <w:color w:val="auto"/>
        </w:rPr>
      </w:pPr>
      <w:r>
        <w:rPr>
          <w:rFonts w:ascii="Arial" w:cs="Arial" w:eastAsia="Arial" w:hAnsi="Arial"/>
          <w:sz w:val="18"/>
          <w:szCs w:val="18"/>
          <w:color w:val="auto"/>
        </w:rPr>
        <w:t>transfer plan to transfer to Gilead such MacroGenics CD123 Know-How (“</w:t>
      </w:r>
      <w:r>
        <w:rPr>
          <w:rFonts w:ascii="Arial" w:cs="Arial" w:eastAsia="Arial" w:hAnsi="Arial"/>
          <w:sz w:val="18"/>
          <w:szCs w:val="18"/>
          <w:b w:val="1"/>
          <w:bCs w:val="1"/>
          <w:color w:val="auto"/>
        </w:rPr>
        <w:t>CD123 Technology Transfer Plan</w:t>
      </w:r>
      <w:r>
        <w:rPr>
          <w:rFonts w:ascii="Arial" w:cs="Arial" w:eastAsia="Arial" w:hAnsi="Arial"/>
          <w:sz w:val="18"/>
          <w:szCs w:val="18"/>
          <w:color w:val="auto"/>
        </w:rPr>
        <w:t>”), which will set forth a process for the transfer of such MacroGenics CD123 Know-How, and an overall timeline for its progress</w:t>
      </w:r>
    </w:p>
    <w:p>
      <w:pPr>
        <w:spacing w:after="0" w:line="2" w:lineRule="exact"/>
        <w:rPr>
          <w:sz w:val="20"/>
          <w:szCs w:val="20"/>
          <w:color w:val="auto"/>
        </w:rPr>
      </w:pPr>
    </w:p>
    <w:p>
      <w:pPr>
        <w:ind w:left="1020" w:right="220"/>
        <w:spacing w:after="0" w:line="255" w:lineRule="auto"/>
        <w:rPr>
          <w:sz w:val="20"/>
          <w:szCs w:val="20"/>
          <w:color w:val="auto"/>
        </w:rPr>
      </w:pPr>
      <w:r>
        <w:rPr>
          <w:rFonts w:ascii="Arial" w:cs="Arial" w:eastAsia="Arial" w:hAnsi="Arial"/>
          <w:sz w:val="16"/>
          <w:szCs w:val="16"/>
          <w:color w:val="auto"/>
        </w:rPr>
        <w:t>and completion. Each Party shall complete the activities allocated to it under the CD123 Technology Transfer Plan (if any such plan is agreed upon) and shall use Commercially Reasonable Efforts to do so within the timelines set forth in</w:t>
      </w:r>
    </w:p>
    <w:p>
      <w:pPr>
        <w:ind w:left="1020"/>
        <w:spacing w:after="0" w:line="235" w:lineRule="auto"/>
        <w:rPr>
          <w:sz w:val="20"/>
          <w:szCs w:val="20"/>
          <w:color w:val="auto"/>
        </w:rPr>
      </w:pPr>
      <w:r>
        <w:rPr>
          <w:rFonts w:ascii="Arial" w:cs="Arial" w:eastAsia="Arial" w:hAnsi="Arial"/>
          <w:sz w:val="18"/>
          <w:szCs w:val="18"/>
          <w:color w:val="auto"/>
        </w:rPr>
        <w:t>such plan. Thereafter, on a periodic basis during the [***] MacroGenics CD123 Know-How (the “</w:t>
      </w:r>
      <w:r>
        <w:rPr>
          <w:rFonts w:ascii="Arial" w:cs="Arial" w:eastAsia="Arial" w:hAnsi="Arial"/>
          <w:sz w:val="18"/>
          <w:szCs w:val="18"/>
          <w:b w:val="1"/>
          <w:bCs w:val="1"/>
          <w:color w:val="auto"/>
        </w:rPr>
        <w:t>CD123 Technology</w:t>
      </w:r>
    </w:p>
    <w:p>
      <w:pPr>
        <w:ind w:left="1020" w:right="300"/>
        <w:spacing w:after="0" w:line="226" w:lineRule="auto"/>
        <w:rPr>
          <w:sz w:val="20"/>
          <w:szCs w:val="20"/>
          <w:color w:val="auto"/>
        </w:rPr>
      </w:pPr>
      <w:r>
        <w:rPr>
          <w:rFonts w:ascii="Arial" w:cs="Arial" w:eastAsia="Arial" w:hAnsi="Arial"/>
          <w:sz w:val="18"/>
          <w:szCs w:val="18"/>
          <w:b w:val="1"/>
          <w:bCs w:val="1"/>
          <w:color w:val="auto"/>
        </w:rPr>
        <w:t>Transfer Period</w:t>
      </w:r>
      <w:r>
        <w:rPr>
          <w:rFonts w:ascii="Arial" w:cs="Arial" w:eastAsia="Arial" w:hAnsi="Arial"/>
          <w:sz w:val="18"/>
          <w:szCs w:val="18"/>
          <w:color w:val="auto"/>
        </w:rPr>
        <w:t>”), as Gilead may reasonably request, MacroGenics will provide to Gilead copies of MacroGenics</w:t>
      </w:r>
      <w:r>
        <w:rPr>
          <w:rFonts w:ascii="Arial" w:cs="Arial" w:eastAsia="Arial" w:hAnsi="Arial"/>
          <w:sz w:val="18"/>
          <w:szCs w:val="18"/>
          <w:b w:val="1"/>
          <w:bCs w:val="1"/>
          <w:color w:val="auto"/>
        </w:rPr>
        <w:t xml:space="preserve"> </w:t>
      </w:r>
      <w:r>
        <w:rPr>
          <w:rFonts w:ascii="Arial" w:cs="Arial" w:eastAsia="Arial" w:hAnsi="Arial"/>
          <w:sz w:val="18"/>
          <w:szCs w:val="18"/>
          <w:color w:val="auto"/>
        </w:rPr>
        <w:t>CD123 Know-How [***] Gilead to continue to Exploit any CD123 Molecules and CD123 Products and (c) related to</w:t>
      </w:r>
    </w:p>
    <w:p>
      <w:pPr>
        <w:ind w:left="1020"/>
        <w:spacing w:after="0" w:line="236" w:lineRule="auto"/>
        <w:rPr>
          <w:sz w:val="20"/>
          <w:szCs w:val="20"/>
          <w:color w:val="auto"/>
        </w:rPr>
      </w:pPr>
      <w:r>
        <w:rPr>
          <w:rFonts w:ascii="Arial" w:cs="Arial" w:eastAsia="Arial" w:hAnsi="Arial"/>
          <w:sz w:val="18"/>
          <w:szCs w:val="18"/>
          <w:color w:val="auto"/>
        </w:rPr>
        <w:t>any activities conducted in connection with the CD123 Development Plan or the Manufacture of MGD024 Products. In</w:t>
      </w:r>
    </w:p>
    <w:p>
      <w:pPr>
        <w:spacing w:after="0" w:line="1" w:lineRule="exact"/>
        <w:rPr>
          <w:sz w:val="20"/>
          <w:szCs w:val="20"/>
          <w:color w:val="auto"/>
        </w:rPr>
      </w:pPr>
    </w:p>
    <w:p>
      <w:pPr>
        <w:ind w:left="1020" w:right="180"/>
        <w:spacing w:after="0" w:line="226" w:lineRule="auto"/>
        <w:rPr>
          <w:sz w:val="20"/>
          <w:szCs w:val="20"/>
          <w:color w:val="auto"/>
        </w:rPr>
      </w:pPr>
      <w:r>
        <w:rPr>
          <w:rFonts w:ascii="Arial" w:cs="Arial" w:eastAsia="Arial" w:hAnsi="Arial"/>
          <w:sz w:val="18"/>
          <w:szCs w:val="18"/>
          <w:color w:val="auto"/>
        </w:rPr>
        <w:t>addition to providing copies of the MacroGenics CD123 Know-How in accordance with this Section 4.12 (Technology Transfer), MacroGenics will make its personnel reasonably available to Gilead during the CD123 Technology Transfer</w:t>
      </w:r>
    </w:p>
    <w:p>
      <w:pPr>
        <w:ind w:left="1020"/>
        <w:spacing w:after="0" w:line="224" w:lineRule="auto"/>
        <w:rPr>
          <w:sz w:val="20"/>
          <w:szCs w:val="20"/>
          <w:color w:val="auto"/>
        </w:rPr>
      </w:pPr>
      <w:r>
        <w:rPr>
          <w:rFonts w:ascii="Arial" w:cs="Arial" w:eastAsia="Arial" w:hAnsi="Arial"/>
          <w:sz w:val="19"/>
          <w:szCs w:val="19"/>
          <w:color w:val="auto"/>
        </w:rPr>
        <w:t>Period, [***] MacroGenics Technology in connection with the Exploitation of the CD123 Molecules and CD123</w:t>
      </w:r>
    </w:p>
    <w:p>
      <w:pPr>
        <w:ind w:left="1020" w:right="200"/>
        <w:spacing w:after="0" w:line="220" w:lineRule="auto"/>
        <w:rPr>
          <w:sz w:val="20"/>
          <w:szCs w:val="20"/>
          <w:color w:val="auto"/>
        </w:rPr>
      </w:pPr>
      <w:r>
        <w:rPr>
          <w:rFonts w:ascii="Arial" w:cs="Arial" w:eastAsia="Arial" w:hAnsi="Arial"/>
          <w:sz w:val="20"/>
          <w:szCs w:val="20"/>
          <w:color w:val="auto"/>
        </w:rPr>
        <w:t>Products. Other than as set forth in the preceding sentence, [***] MacroGenics CD123 Know-How in accordance with this Section 4.12 (Technology Transfer).</w:t>
      </w:r>
    </w:p>
    <w:p>
      <w:pPr>
        <w:spacing w:after="0" w:line="17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6"/>
          <w:szCs w:val="16"/>
          <w:b w:val="1"/>
          <w:bCs w:val="1"/>
          <w:color w:val="auto"/>
        </w:rPr>
        <w:t>CD123 Development Program Termination</w:t>
      </w:r>
      <w:r>
        <w:rPr>
          <w:rFonts w:ascii="Arial" w:cs="Arial" w:eastAsia="Arial" w:hAnsi="Arial"/>
          <w:sz w:val="16"/>
          <w:szCs w:val="16"/>
          <w:color w:val="auto"/>
        </w:rPr>
        <w:t>. In the event that: (a) Gilead does not exercise the CD123</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Option [***], the following shall occur: (i) the CD123 Development Program and all rights and licenses granted by one</w:t>
      </w:r>
    </w:p>
    <w:p>
      <w:pPr>
        <w:ind w:left="1020"/>
        <w:spacing w:after="0" w:line="234" w:lineRule="auto"/>
        <w:rPr>
          <w:sz w:val="20"/>
          <w:szCs w:val="20"/>
          <w:color w:val="auto"/>
        </w:rPr>
      </w:pPr>
      <w:r>
        <w:rPr>
          <w:rFonts w:ascii="Arial" w:cs="Arial" w:eastAsia="Arial" w:hAnsi="Arial"/>
          <w:sz w:val="18"/>
          <w:szCs w:val="18"/>
          <w:color w:val="auto"/>
        </w:rPr>
        <w:t>Party to the other in connection therewith (including pursuant to Sections 3.1(c) (Development Term License), 3.1(d)</w:t>
      </w:r>
    </w:p>
    <w:p>
      <w:pPr>
        <w:spacing w:after="0" w:line="1" w:lineRule="exact"/>
        <w:rPr>
          <w:sz w:val="20"/>
          <w:szCs w:val="20"/>
          <w:color w:val="auto"/>
        </w:rPr>
      </w:pPr>
    </w:p>
    <w:p>
      <w:pPr>
        <w:ind w:left="1020" w:right="140"/>
        <w:spacing w:after="0" w:line="226" w:lineRule="auto"/>
        <w:rPr>
          <w:sz w:val="20"/>
          <w:szCs w:val="20"/>
          <w:color w:val="auto"/>
        </w:rPr>
      </w:pPr>
      <w:r>
        <w:rPr>
          <w:rFonts w:ascii="Arial" w:cs="Arial" w:eastAsia="Arial" w:hAnsi="Arial"/>
          <w:sz w:val="18"/>
          <w:szCs w:val="18"/>
          <w:color w:val="auto"/>
        </w:rPr>
        <w:t>(Exploitation License for CD123 Molecules and CD123 Products) and 3.2(b) (Development License for CD123 Molecules and Products)) shall terminate in their entirety, (ii) this Agreement shall terminate with respect to the CD123</w:t>
      </w:r>
    </w:p>
    <w:p>
      <w:pPr>
        <w:ind w:left="1020"/>
        <w:spacing w:after="0" w:line="236" w:lineRule="auto"/>
        <w:rPr>
          <w:sz w:val="20"/>
          <w:szCs w:val="20"/>
          <w:color w:val="auto"/>
        </w:rPr>
      </w:pPr>
      <w:r>
        <w:rPr>
          <w:rFonts w:ascii="Arial" w:cs="Arial" w:eastAsia="Arial" w:hAnsi="Arial"/>
          <w:sz w:val="18"/>
          <w:szCs w:val="18"/>
          <w:color w:val="auto"/>
        </w:rPr>
        <w:t>Molecules and CD123 Products and for clarity, (1) CD123 Molecules shall not be deemed Licensed Molecules and</w:t>
      </w:r>
    </w:p>
    <w:p>
      <w:pPr>
        <w:spacing w:after="0" w:line="1" w:lineRule="exact"/>
        <w:rPr>
          <w:sz w:val="20"/>
          <w:szCs w:val="20"/>
          <w:color w:val="auto"/>
        </w:rPr>
      </w:pPr>
    </w:p>
    <w:p>
      <w:pPr>
        <w:ind w:left="1020" w:right="80"/>
        <w:spacing w:after="0" w:line="255" w:lineRule="auto"/>
        <w:rPr>
          <w:sz w:val="20"/>
          <w:szCs w:val="20"/>
          <w:color w:val="auto"/>
        </w:rPr>
      </w:pPr>
      <w:r>
        <w:rPr>
          <w:rFonts w:ascii="Arial" w:cs="Arial" w:eastAsia="Arial" w:hAnsi="Arial"/>
          <w:sz w:val="16"/>
          <w:szCs w:val="16"/>
          <w:color w:val="auto"/>
        </w:rPr>
        <w:t>CD123 Products shall not be deemed Licensed Products hereunder, (2) no molecule shall be deemed a CD123 Molecule or MGD024 and no product shall be deemed a CD123 Product or MGD024 Product hereunder and (3) no CD123</w:t>
      </w:r>
    </w:p>
    <w:p>
      <w:pPr>
        <w:ind w:left="1020"/>
        <w:spacing w:after="0" w:line="235" w:lineRule="auto"/>
        <w:rPr>
          <w:sz w:val="20"/>
          <w:szCs w:val="20"/>
          <w:color w:val="auto"/>
        </w:rPr>
      </w:pPr>
      <w:r>
        <w:rPr>
          <w:rFonts w:ascii="Arial" w:cs="Arial" w:eastAsia="Arial" w:hAnsi="Arial"/>
          <w:sz w:val="18"/>
          <w:szCs w:val="18"/>
          <w:color w:val="auto"/>
        </w:rPr>
        <w:t>Development Milestone Payments, Commercial Milestone Payments or royalties, in each case, will be due for CD123</w:t>
      </w:r>
    </w:p>
    <w:p>
      <w:pPr>
        <w:ind w:left="1020" w:right="160"/>
        <w:spacing w:after="0" w:line="226" w:lineRule="auto"/>
        <w:rPr>
          <w:sz w:val="20"/>
          <w:szCs w:val="20"/>
          <w:color w:val="auto"/>
        </w:rPr>
      </w:pPr>
      <w:r>
        <w:rPr>
          <w:rFonts w:ascii="Arial" w:cs="Arial" w:eastAsia="Arial" w:hAnsi="Arial"/>
          <w:sz w:val="18"/>
          <w:szCs w:val="18"/>
          <w:color w:val="auto"/>
        </w:rPr>
        <w:t>Products, (iii) MacroGenics’ exclusivity obligations pursuant to Section 3.10(a) (CD123 Program Exclusivity) shall terminate immediately and (iv) Gilead shall promptly return to MacroGenics or destroy (at MacroGenics’ election) any</w:t>
      </w:r>
    </w:p>
    <w:p>
      <w:pPr>
        <w:ind w:left="1020"/>
        <w:spacing w:after="0" w:line="236" w:lineRule="auto"/>
        <w:rPr>
          <w:sz w:val="20"/>
          <w:szCs w:val="20"/>
          <w:color w:val="auto"/>
        </w:rPr>
      </w:pPr>
      <w:r>
        <w:rPr>
          <w:rFonts w:ascii="Arial" w:cs="Arial" w:eastAsia="Arial" w:hAnsi="Arial"/>
          <w:sz w:val="18"/>
          <w:szCs w:val="18"/>
          <w:color w:val="auto"/>
        </w:rPr>
        <w:t>and all MacroGenics CD123 Know-How and any other Confidential Information of MacroGenics or its Affiliates solely</w:t>
      </w:r>
    </w:p>
    <w:p>
      <w:pPr>
        <w:spacing w:after="0" w:line="1" w:lineRule="exact"/>
        <w:rPr>
          <w:sz w:val="20"/>
          <w:szCs w:val="20"/>
          <w:color w:val="auto"/>
        </w:rPr>
      </w:pPr>
    </w:p>
    <w:p>
      <w:pPr>
        <w:ind w:left="1020" w:right="440"/>
        <w:spacing w:after="0" w:line="226" w:lineRule="auto"/>
        <w:rPr>
          <w:sz w:val="20"/>
          <w:szCs w:val="20"/>
          <w:color w:val="auto"/>
        </w:rPr>
      </w:pPr>
      <w:r>
        <w:rPr>
          <w:rFonts w:ascii="Arial" w:cs="Arial" w:eastAsia="Arial" w:hAnsi="Arial"/>
          <w:sz w:val="18"/>
          <w:szCs w:val="18"/>
          <w:color w:val="auto"/>
        </w:rPr>
        <w:t>related to the CD123 Molecules, CD123 Products or the CD123 Development Program, in accordance with Section 12.1(e) (Obligations Upon Termination). For the avoidance of doubt, upon the early termination of the CD123</w:t>
      </w:r>
    </w:p>
    <w:p>
      <w:pPr>
        <w:ind w:left="1020"/>
        <w:spacing w:after="0" w:line="236" w:lineRule="auto"/>
        <w:rPr>
          <w:sz w:val="20"/>
          <w:szCs w:val="20"/>
          <w:color w:val="auto"/>
        </w:rPr>
      </w:pPr>
      <w:r>
        <w:rPr>
          <w:rFonts w:ascii="Arial" w:cs="Arial" w:eastAsia="Arial" w:hAnsi="Arial"/>
          <w:sz w:val="18"/>
          <w:szCs w:val="18"/>
          <w:color w:val="auto"/>
        </w:rPr>
        <w:t>Development Program in accordance with this Section 4.13 (CD123 Development Plan Termination), MacroGenics shall</w:t>
      </w:r>
    </w:p>
    <w:p>
      <w:pPr>
        <w:spacing w:after="0" w:line="1" w:lineRule="exact"/>
        <w:rPr>
          <w:sz w:val="20"/>
          <w:szCs w:val="20"/>
          <w:color w:val="auto"/>
        </w:rPr>
      </w:pPr>
    </w:p>
    <w:p>
      <w:pPr>
        <w:ind w:left="1020" w:right="120"/>
        <w:spacing w:after="0" w:line="226" w:lineRule="auto"/>
        <w:rPr>
          <w:sz w:val="20"/>
          <w:szCs w:val="20"/>
          <w:color w:val="auto"/>
        </w:rPr>
      </w:pPr>
      <w:r>
        <w:rPr>
          <w:rFonts w:ascii="Arial" w:cs="Arial" w:eastAsia="Arial" w:hAnsi="Arial"/>
          <w:sz w:val="18"/>
          <w:szCs w:val="18"/>
          <w:color w:val="auto"/>
        </w:rPr>
        <w:t>have no further obligations to Gilead with respect to any CD123 Molecule or CD123 Product and shall have the right to Exploit (or not Exploit) in any manner whatsoever, any CD123 Molecule or CD123 Product, in MacroGenics’ sole</w:t>
      </w:r>
    </w:p>
    <w:p>
      <w:pPr>
        <w:spacing w:after="0" w:line="2" w:lineRule="exact"/>
        <w:rPr>
          <w:sz w:val="20"/>
          <w:szCs w:val="20"/>
          <w:color w:val="auto"/>
        </w:rPr>
      </w:pPr>
    </w:p>
    <w:p>
      <w:pPr>
        <w:ind w:left="1020" w:right="580"/>
        <w:spacing w:after="0" w:line="227" w:lineRule="auto"/>
        <w:rPr>
          <w:sz w:val="20"/>
          <w:szCs w:val="20"/>
          <w:color w:val="auto"/>
        </w:rPr>
      </w:pPr>
      <w:r>
        <w:rPr>
          <w:rFonts w:ascii="Arial" w:cs="Arial" w:eastAsia="Arial" w:hAnsi="Arial"/>
          <w:sz w:val="20"/>
          <w:szCs w:val="20"/>
          <w:color w:val="auto"/>
        </w:rPr>
        <w:t>discretion, without provision or disclosure of any related information or other Know-How to Gilead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20"/>
          </w:cols>
          <w:pgMar w:left="400" w:top="1440" w:right="879" w:bottom="1440" w:gutter="0" w:footer="0" w:header="0"/>
        </w:sectPr>
      </w:pPr>
    </w:p>
    <w:bookmarkStart w:id="159" w:name="page160"/>
    <w:bookmarkEnd w:id="159"/>
    <w:p>
      <w:pPr>
        <w:ind w:left="1680" w:right="1800" w:hanging="654"/>
        <w:spacing w:after="0" w:line="471" w:lineRule="auto"/>
        <w:tabs>
          <w:tab w:leader="none" w:pos="1379" w:val="left"/>
        </w:tabs>
        <w:numPr>
          <w:ilvl w:val="0"/>
          <w:numId w:val="96"/>
        </w:numPr>
        <w:rPr>
          <w:rFonts w:ascii="Arial" w:cs="Arial" w:eastAsia="Arial" w:hAnsi="Arial"/>
          <w:sz w:val="20"/>
          <w:szCs w:val="20"/>
          <w:color w:val="auto"/>
        </w:rPr>
      </w:pPr>
      <w:r>
        <w:rPr>
          <w:rFonts w:ascii="Arial" w:cs="Arial" w:eastAsia="Arial" w:hAnsi="Arial"/>
          <w:sz w:val="20"/>
          <w:szCs w:val="20"/>
          <w:b w:val="1"/>
          <w:bCs w:val="1"/>
          <w:color w:val="auto"/>
        </w:rPr>
        <w:t>Research Target Nomination; Research Plans; Licensed Research Target Combinations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5.1 </w:t>
      </w:r>
      <w:r>
        <w:rPr>
          <w:rFonts w:ascii="Arial" w:cs="Arial" w:eastAsia="Arial" w:hAnsi="Arial"/>
          <w:sz w:val="20"/>
          <w:szCs w:val="20"/>
          <w:b w:val="1"/>
          <w:bCs w:val="1"/>
          <w:color w:val="auto"/>
        </w:rPr>
        <w:t>Research Target Nomination</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1020" w:right="20" w:firstLine="1302"/>
        <w:spacing w:after="0" w:line="227" w:lineRule="auto"/>
        <w:tabs>
          <w:tab w:leader="none" w:pos="2733" w:val="left"/>
        </w:tabs>
        <w:numPr>
          <w:ilvl w:val="1"/>
          <w:numId w:val="96"/>
        </w:numPr>
        <w:rPr>
          <w:rFonts w:ascii="Arial" w:cs="Arial" w:eastAsia="Arial" w:hAnsi="Arial"/>
          <w:sz w:val="19"/>
          <w:szCs w:val="19"/>
          <w:color w:val="auto"/>
        </w:rPr>
      </w:pPr>
      <w:r>
        <w:rPr>
          <w:rFonts w:ascii="Arial" w:cs="Arial" w:eastAsia="Arial" w:hAnsi="Arial"/>
          <w:sz w:val="19"/>
          <w:szCs w:val="19"/>
          <w:b w:val="1"/>
          <w:bCs w:val="1"/>
          <w:color w:val="auto"/>
        </w:rPr>
        <w:t>Research Target Nomination Right</w:t>
      </w:r>
      <w:r>
        <w:rPr>
          <w:rFonts w:ascii="Arial" w:cs="Arial" w:eastAsia="Arial" w:hAnsi="Arial"/>
          <w:sz w:val="19"/>
          <w:szCs w:val="19"/>
          <w:color w:val="auto"/>
        </w:rPr>
        <w:t>. [***] (“</w:t>
      </w:r>
      <w:r>
        <w:rPr>
          <w:rFonts w:ascii="Arial" w:cs="Arial" w:eastAsia="Arial" w:hAnsi="Arial"/>
          <w:sz w:val="19"/>
          <w:szCs w:val="19"/>
          <w:b w:val="1"/>
          <w:bCs w:val="1"/>
          <w:color w:val="auto"/>
        </w:rPr>
        <w:t>Research Target Selection Period</w:t>
      </w:r>
      <w:r>
        <w:rPr>
          <w:rFonts w:ascii="Arial" w:cs="Arial" w:eastAsia="Arial" w:hAnsi="Arial"/>
          <w:sz w:val="19"/>
          <w:szCs w:val="19"/>
          <w:color w:val="auto"/>
        </w:rPr>
        <w:t>”), Gilead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right, in its sole discretion (subject to the remainder of this Article 5 (Research Target Nomination; Research Plans; Licensed Research Target Combinations)), [***], a “</w:t>
      </w:r>
      <w:r>
        <w:rPr>
          <w:rFonts w:ascii="Arial" w:cs="Arial" w:eastAsia="Arial" w:hAnsi="Arial"/>
          <w:sz w:val="19"/>
          <w:szCs w:val="19"/>
          <w:b w:val="1"/>
          <w:bCs w:val="1"/>
          <w:color w:val="auto"/>
        </w:rPr>
        <w:t>Research Target Combination</w:t>
      </w:r>
      <w:r>
        <w:rPr>
          <w:rFonts w:ascii="Arial" w:cs="Arial" w:eastAsia="Arial" w:hAnsi="Arial"/>
          <w:sz w:val="19"/>
          <w:szCs w:val="19"/>
          <w:color w:val="auto"/>
        </w:rPr>
        <w:t>” and such right, the “</w:t>
      </w:r>
      <w:r>
        <w:rPr>
          <w:rFonts w:ascii="Arial" w:cs="Arial" w:eastAsia="Arial" w:hAnsi="Arial"/>
          <w:sz w:val="19"/>
          <w:szCs w:val="19"/>
          <w:b w:val="1"/>
          <w:bCs w:val="1"/>
          <w:color w:val="auto"/>
        </w:rPr>
        <w:t>Research Target Nomination Right</w:t>
      </w:r>
      <w:r>
        <w:rPr>
          <w:rFonts w:ascii="Arial" w:cs="Arial" w:eastAsia="Arial" w:hAnsi="Arial"/>
          <w:sz w:val="19"/>
          <w:szCs w:val="19"/>
          <w:color w:val="auto"/>
        </w:rPr>
        <w:t>”) for each of up to two (2) Research Programs for which the Parties would Develop Research Molecules and Research Products in accordance with the remainder of this Article 5 (Research Target Nomination; Research Plans; Licensed Research Target Combinations).</w:t>
      </w:r>
    </w:p>
    <w:p>
      <w:pPr>
        <w:spacing w:after="0" w:line="191" w:lineRule="exact"/>
        <w:rPr>
          <w:rFonts w:ascii="Arial" w:cs="Arial" w:eastAsia="Arial" w:hAnsi="Arial"/>
          <w:sz w:val="19"/>
          <w:szCs w:val="19"/>
          <w:color w:val="auto"/>
        </w:rPr>
      </w:pPr>
    </w:p>
    <w:p>
      <w:pPr>
        <w:ind w:left="1020" w:firstLine="1301"/>
        <w:spacing w:after="0" w:line="243" w:lineRule="auto"/>
        <w:tabs>
          <w:tab w:leader="none" w:pos="2744"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Gatekeeper</w:t>
      </w:r>
      <w:r>
        <w:rPr>
          <w:rFonts w:ascii="Arial" w:cs="Arial" w:eastAsia="Arial" w:hAnsi="Arial"/>
          <w:sz w:val="18"/>
          <w:szCs w:val="18"/>
          <w:color w:val="auto"/>
        </w:rPr>
        <w:t>. Within [***] following Gilead’s request, the Parties will mutually agree on one (1)</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who is not affiliated with either Party, who is experienced in the biopharmaceutical industry and who is able to take on an obligation of confidentiality to both Parties (such individual, the “</w:t>
      </w:r>
      <w:r>
        <w:rPr>
          <w:rFonts w:ascii="Arial" w:cs="Arial" w:eastAsia="Arial" w:hAnsi="Arial"/>
          <w:sz w:val="18"/>
          <w:szCs w:val="18"/>
          <w:b w:val="1"/>
          <w:bCs w:val="1"/>
          <w:color w:val="auto"/>
        </w:rPr>
        <w:t>Gatekeeper</w:t>
      </w:r>
      <w:r>
        <w:rPr>
          <w:rFonts w:ascii="Arial" w:cs="Arial" w:eastAsia="Arial" w:hAnsi="Arial"/>
          <w:sz w:val="18"/>
          <w:szCs w:val="18"/>
          <w:color w:val="auto"/>
        </w:rPr>
        <w:t>”). Gilead will pay the Out-of-Pocket Costs for the Gatekeeper. The Gatekeeper will be required to keep the identity of any Proposed Research Target Combinations confidential and not disclose the identity of any Proposed Research Target Combinations to MacroGenics or its Affiliates except as otherwise set forth in Section 5.1(c) (Confirmed Research Target Combinations).</w:t>
      </w:r>
    </w:p>
    <w:p>
      <w:pPr>
        <w:spacing w:after="0" w:line="187" w:lineRule="exact"/>
        <w:rPr>
          <w:rFonts w:ascii="Arial" w:cs="Arial" w:eastAsia="Arial" w:hAnsi="Arial"/>
          <w:sz w:val="18"/>
          <w:szCs w:val="18"/>
          <w:color w:val="auto"/>
        </w:rPr>
      </w:pPr>
    </w:p>
    <w:p>
      <w:pPr>
        <w:ind w:left="1020" w:right="260" w:firstLine="1301"/>
        <w:spacing w:after="0" w:line="248" w:lineRule="auto"/>
        <w:tabs>
          <w:tab w:leader="none" w:pos="2734"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Confirmed Research Target Combinations</w:t>
      </w:r>
      <w:r>
        <w:rPr>
          <w:rFonts w:ascii="Arial" w:cs="Arial" w:eastAsia="Arial" w:hAnsi="Arial"/>
          <w:sz w:val="18"/>
          <w:szCs w:val="18"/>
          <w:color w:val="auto"/>
        </w:rPr>
        <w:t>. To exercise a Research Target Nomination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Gilead shall, within the Research Target Selection Period, notify the Gatekeeper in writing of the identity of a given Research Target Combination that Gilead wishes to nominate (each, a “</w:t>
      </w:r>
      <w:r>
        <w:rPr>
          <w:rFonts w:ascii="Arial" w:cs="Arial" w:eastAsia="Arial" w:hAnsi="Arial"/>
          <w:sz w:val="18"/>
          <w:szCs w:val="18"/>
          <w:b w:val="1"/>
          <w:bCs w:val="1"/>
          <w:color w:val="auto"/>
        </w:rPr>
        <w:t>Proposed Research Target Combination</w:t>
      </w:r>
      <w:r>
        <w:rPr>
          <w:rFonts w:ascii="Arial" w:cs="Arial" w:eastAsia="Arial" w:hAnsi="Arial"/>
          <w:sz w:val="18"/>
          <w:szCs w:val="18"/>
          <w:color w:val="auto"/>
        </w:rPr>
        <w:t>”). Gilead shall [***]. Notwithstanding the foregoing, Gilead shall notify MacroGenics in writing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80"/>
          </w:cols>
          <w:pgMar w:left="400" w:top="1318" w:right="919" w:bottom="1440" w:gutter="0" w:footer="0" w:header="0"/>
        </w:sectPr>
      </w:pPr>
    </w:p>
    <w:bookmarkStart w:id="160" w:name="page161"/>
    <w:bookmarkEnd w:id="160"/>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 xml:space="preserve">identity of the Effector Target that Gilead intends to nominate in a given Research Target Combination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Effector Target constitutes an Other Effector Target, Gilead shall have the right to include</w:t>
      </w:r>
    </w:p>
    <w:p>
      <w:pPr>
        <w:ind w:left="1020"/>
        <w:spacing w:after="0" w:line="226" w:lineRule="auto"/>
        <w:rPr>
          <w:sz w:val="20"/>
          <w:szCs w:val="20"/>
          <w:color w:val="auto"/>
        </w:rPr>
      </w:pPr>
      <w:r>
        <w:rPr>
          <w:rFonts w:ascii="Arial" w:cs="Arial" w:eastAsia="Arial" w:hAnsi="Arial"/>
          <w:sz w:val="18"/>
          <w:szCs w:val="18"/>
          <w:color w:val="auto"/>
        </w:rPr>
        <w:t>such Other Effector Target in a Proposed Research Target Combination solely with MacroGenics’ prior written approval (which may be withheld in MacroGenics’ sole discretion). [***] Gatekeeper’s receipt of such notice from Gilead, the</w:t>
      </w:r>
    </w:p>
    <w:p>
      <w:pPr>
        <w:ind w:left="1020"/>
        <w:spacing w:after="0" w:line="224" w:lineRule="auto"/>
        <w:rPr>
          <w:sz w:val="20"/>
          <w:szCs w:val="20"/>
          <w:color w:val="auto"/>
        </w:rPr>
      </w:pPr>
      <w:r>
        <w:rPr>
          <w:rFonts w:ascii="Arial" w:cs="Arial" w:eastAsia="Arial" w:hAnsi="Arial"/>
          <w:sz w:val="19"/>
          <w:szCs w:val="19"/>
          <w:color w:val="auto"/>
        </w:rPr>
        <w:t>Gatekeeper will notify MacroGenics that Gilead nominated a Proposed Research Target Combination. Within [***]</w:t>
      </w:r>
    </w:p>
    <w:p>
      <w:pPr>
        <w:ind w:left="1020"/>
        <w:spacing w:after="0" w:line="226" w:lineRule="auto"/>
        <w:rPr>
          <w:sz w:val="20"/>
          <w:szCs w:val="20"/>
          <w:color w:val="auto"/>
        </w:rPr>
      </w:pPr>
      <w:r>
        <w:rPr>
          <w:rFonts w:ascii="Arial" w:cs="Arial" w:eastAsia="Arial" w:hAnsi="Arial"/>
          <w:sz w:val="18"/>
          <w:szCs w:val="18"/>
          <w:color w:val="auto"/>
        </w:rPr>
        <w:t>Gatekeeper, MacroGenics will submit a schedule of the current Unavailable Target Combinations. The Gatekeeper will verify whether the Proposed Research Target Combination is on the list of Unavailable Target Combinations and notify</w:t>
      </w:r>
    </w:p>
    <w:p>
      <w:pPr>
        <w:ind w:left="1020"/>
        <w:spacing w:after="0" w:line="236" w:lineRule="auto"/>
        <w:rPr>
          <w:sz w:val="20"/>
          <w:szCs w:val="20"/>
          <w:color w:val="auto"/>
        </w:rPr>
      </w:pPr>
      <w:r>
        <w:rPr>
          <w:rFonts w:ascii="Arial" w:cs="Arial" w:eastAsia="Arial" w:hAnsi="Arial"/>
          <w:sz w:val="18"/>
          <w:szCs w:val="18"/>
          <w:color w:val="auto"/>
        </w:rPr>
        <w:t>the Parties in writing if the Proposed Research Target Combination is not an Unavailable Target Combination. If the</w:t>
      </w:r>
    </w:p>
    <w:p>
      <w:pPr>
        <w:spacing w:after="0" w:line="1" w:lineRule="exact"/>
        <w:rPr>
          <w:sz w:val="20"/>
          <w:szCs w:val="20"/>
          <w:color w:val="auto"/>
        </w:rPr>
      </w:pPr>
    </w:p>
    <w:p>
      <w:pPr>
        <w:ind w:left="1020"/>
        <w:spacing w:after="0" w:line="255" w:lineRule="auto"/>
        <w:rPr>
          <w:sz w:val="20"/>
          <w:szCs w:val="20"/>
          <w:color w:val="auto"/>
        </w:rPr>
      </w:pPr>
      <w:r>
        <w:rPr>
          <w:rFonts w:ascii="Arial" w:cs="Arial" w:eastAsia="Arial" w:hAnsi="Arial"/>
          <w:sz w:val="16"/>
          <w:szCs w:val="16"/>
          <w:color w:val="auto"/>
        </w:rPr>
        <w:t>Gatekeeper confirms that the Proposed Research Target Combination is not an Unavailable Target Combination, then the Proposed Research Target Combination shall be deemed to be a “</w:t>
      </w:r>
      <w:r>
        <w:rPr>
          <w:rFonts w:ascii="Arial" w:cs="Arial" w:eastAsia="Arial" w:hAnsi="Arial"/>
          <w:sz w:val="16"/>
          <w:szCs w:val="16"/>
          <w:b w:val="1"/>
          <w:bCs w:val="1"/>
          <w:color w:val="auto"/>
        </w:rPr>
        <w:t>Confirmed Research Target Combination</w:t>
      </w:r>
      <w:r>
        <w:rPr>
          <w:rFonts w:ascii="Arial" w:cs="Arial" w:eastAsia="Arial" w:hAnsi="Arial"/>
          <w:sz w:val="16"/>
          <w:szCs w:val="16"/>
          <w:color w:val="auto"/>
        </w:rPr>
        <w:t>” as of the</w:t>
      </w:r>
    </w:p>
    <w:p>
      <w:pPr>
        <w:ind w:left="1020"/>
        <w:spacing w:after="0" w:line="235" w:lineRule="auto"/>
        <w:rPr>
          <w:sz w:val="20"/>
          <w:szCs w:val="20"/>
          <w:color w:val="auto"/>
        </w:rPr>
      </w:pPr>
      <w:r>
        <w:rPr>
          <w:rFonts w:ascii="Arial" w:cs="Arial" w:eastAsia="Arial" w:hAnsi="Arial"/>
          <w:sz w:val="18"/>
          <w:szCs w:val="18"/>
          <w:color w:val="auto"/>
        </w:rPr>
        <w:t>date of such notification by the Gatekeeper. If the Gatekeeper notifies the Parties that the Proposed Research Target</w:t>
      </w:r>
    </w:p>
    <w:p>
      <w:pPr>
        <w:jc w:val="both"/>
        <w:ind w:left="1020"/>
        <w:spacing w:after="0" w:line="226" w:lineRule="auto"/>
        <w:rPr>
          <w:sz w:val="20"/>
          <w:szCs w:val="20"/>
          <w:color w:val="auto"/>
        </w:rPr>
      </w:pPr>
      <w:r>
        <w:rPr>
          <w:rFonts w:ascii="Arial" w:cs="Arial" w:eastAsia="Arial" w:hAnsi="Arial"/>
          <w:sz w:val="18"/>
          <w:szCs w:val="18"/>
          <w:color w:val="auto"/>
        </w:rPr>
        <w:t>Combination is an Unavailable Target Combination, then Gilead shall [***] Proposed Research Target Combinations in accordance with the procedure set forth in this Section 5.1(c) (Confirmed Research Target Combinations), [***] two (2)</w:t>
      </w:r>
    </w:p>
    <w:p>
      <w:pPr>
        <w:ind w:left="1020"/>
        <w:spacing w:after="0" w:line="236" w:lineRule="auto"/>
        <w:rPr>
          <w:sz w:val="20"/>
          <w:szCs w:val="20"/>
          <w:color w:val="auto"/>
        </w:rPr>
      </w:pPr>
      <w:r>
        <w:rPr>
          <w:rFonts w:ascii="Arial" w:cs="Arial" w:eastAsia="Arial" w:hAnsi="Arial"/>
          <w:sz w:val="18"/>
          <w:szCs w:val="18"/>
          <w:color w:val="auto"/>
        </w:rPr>
        <w:t>Confirmed Research Target Combinations. Upon the expiration of the Research Target Selection Period, Gilead shall no</w:t>
      </w:r>
    </w:p>
    <w:p>
      <w:pPr>
        <w:spacing w:after="0" w:line="1" w:lineRule="exact"/>
        <w:rPr>
          <w:sz w:val="20"/>
          <w:szCs w:val="20"/>
          <w:color w:val="auto"/>
        </w:rPr>
      </w:pPr>
    </w:p>
    <w:p>
      <w:pPr>
        <w:ind w:left="1020"/>
        <w:spacing w:after="0" w:line="220" w:lineRule="auto"/>
        <w:rPr>
          <w:sz w:val="20"/>
          <w:szCs w:val="20"/>
          <w:color w:val="auto"/>
        </w:rPr>
      </w:pPr>
      <w:r>
        <w:rPr>
          <w:rFonts w:ascii="Arial" w:cs="Arial" w:eastAsia="Arial" w:hAnsi="Arial"/>
          <w:sz w:val="20"/>
          <w:szCs w:val="20"/>
          <w:color w:val="auto"/>
        </w:rPr>
        <w:t>longer have the right to nominate any Proposed Research Target Combination, except as set forth in Section 5.1(d) ([***]).</w:t>
      </w:r>
    </w:p>
    <w:p>
      <w:pPr>
        <w:spacing w:after="0" w:line="272" w:lineRule="exact"/>
        <w:rPr>
          <w:sz w:val="20"/>
          <w:szCs w:val="20"/>
          <w:color w:val="auto"/>
        </w:rPr>
      </w:pPr>
    </w:p>
    <w:p>
      <w:pPr>
        <w:ind w:left="1020" w:right="20" w:firstLine="1302"/>
        <w:spacing w:after="0" w:line="239" w:lineRule="auto"/>
        <w:tabs>
          <w:tab w:leader="none" w:pos="2744"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 Within the period of [***]</w:t>
      </w:r>
      <w:r>
        <w:rPr>
          <w:rFonts w:ascii="Arial" w:cs="Arial" w:eastAsia="Arial" w:hAnsi="Arial"/>
          <w:sz w:val="18"/>
          <w:szCs w:val="18"/>
          <w:b w:val="1"/>
          <w:bCs w:val="1"/>
          <w:color w:val="auto"/>
        </w:rPr>
        <w:t xml:space="preserve"> Period</w:t>
      </w:r>
      <w:r>
        <w:rPr>
          <w:rFonts w:ascii="Arial" w:cs="Arial" w:eastAsia="Arial" w:hAnsi="Arial"/>
          <w:sz w:val="18"/>
          <w:szCs w:val="18"/>
          <w:color w:val="auto"/>
        </w:rPr>
        <w:t>”), Gilead shall have [***] the Research Target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Combination for either Research Program. To exercise such [***], Gilead will, [***] notify the Gatekeeper in writing of the [***] Research Target Combination that Gilead [***] Confirmed Research Target Combination and the procedure set forth in Section 5.1(c) (Confirmed Research Target Combinations) for confirming whether a Proposed Research Target Combination is not an Unavailable Target Combination (including the procedure applicable to any Proposed Research Target Combination that contains an Effector Target)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94" w:lineRule="exact"/>
        <w:rPr>
          <w:sz w:val="20"/>
          <w:szCs w:val="20"/>
          <w:color w:val="auto"/>
        </w:rPr>
      </w:pPr>
    </w:p>
    <w:p>
      <w:pPr>
        <w:ind w:left="1020" w:right="380" w:firstLine="648"/>
        <w:spacing w:after="0" w:line="222"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b w:val="1"/>
          <w:bCs w:val="1"/>
          <w:color w:val="auto"/>
        </w:rPr>
        <w:t>Research Program</w:t>
      </w:r>
      <w:r>
        <w:rPr>
          <w:rFonts w:ascii="Arial" w:cs="Arial" w:eastAsia="Arial" w:hAnsi="Arial"/>
          <w:sz w:val="20"/>
          <w:szCs w:val="20"/>
          <w:color w:val="auto"/>
        </w:rPr>
        <w:t>. On a Research Target Combination-by-Research Target Combination basis, [***] Parties receive notification (in accordance with Section</w:t>
      </w:r>
    </w:p>
    <w:p>
      <w:pPr>
        <w:ind w:left="1020"/>
        <w:spacing w:after="0" w:line="224" w:lineRule="auto"/>
        <w:rPr>
          <w:sz w:val="20"/>
          <w:szCs w:val="20"/>
          <w:color w:val="auto"/>
        </w:rPr>
      </w:pPr>
      <w:r>
        <w:rPr>
          <w:rFonts w:ascii="Arial" w:cs="Arial" w:eastAsia="Arial" w:hAnsi="Arial"/>
          <w:sz w:val="19"/>
          <w:szCs w:val="19"/>
          <w:color w:val="auto"/>
        </w:rPr>
        <w:t>5.1 (Research Target Nomination)) that a given Research Target Combination is a Confirmed Research Target</w:t>
      </w:r>
    </w:p>
    <w:p>
      <w:pPr>
        <w:ind w:left="1020"/>
        <w:spacing w:after="0" w:line="226" w:lineRule="auto"/>
        <w:rPr>
          <w:sz w:val="20"/>
          <w:szCs w:val="20"/>
          <w:color w:val="auto"/>
        </w:rPr>
      </w:pPr>
      <w:r>
        <w:rPr>
          <w:rFonts w:ascii="Arial" w:cs="Arial" w:eastAsia="Arial" w:hAnsi="Arial"/>
          <w:sz w:val="18"/>
          <w:szCs w:val="18"/>
          <w:color w:val="auto"/>
        </w:rPr>
        <w:t>Combination, the Parties shall, through the JSC, discuss in good faith and mutually agree upon a research and early development plan (“</w:t>
      </w:r>
      <w:r>
        <w:rPr>
          <w:rFonts w:ascii="Arial" w:cs="Arial" w:eastAsia="Arial" w:hAnsi="Arial"/>
          <w:sz w:val="18"/>
          <w:szCs w:val="18"/>
          <w:b w:val="1"/>
          <w:bCs w:val="1"/>
          <w:color w:val="auto"/>
        </w:rPr>
        <w:t>Research Plan</w:t>
      </w:r>
      <w:r>
        <w:rPr>
          <w:rFonts w:ascii="Arial" w:cs="Arial" w:eastAsia="Arial" w:hAnsi="Arial"/>
          <w:sz w:val="18"/>
          <w:szCs w:val="18"/>
          <w:color w:val="auto"/>
        </w:rPr>
        <w:t xml:space="preserve">”), which shall be attached hereto as </w:t>
      </w:r>
      <w:r>
        <w:rPr>
          <w:rFonts w:ascii="Arial" w:cs="Arial" w:eastAsia="Arial" w:hAnsi="Arial"/>
          <w:sz w:val="18"/>
          <w:szCs w:val="18"/>
          <w:b w:val="1"/>
          <w:bCs w:val="1"/>
          <w:color w:val="auto"/>
        </w:rPr>
        <w:t>Schedule 5.2</w:t>
      </w:r>
      <w:r>
        <w:rPr>
          <w:rFonts w:ascii="Arial" w:cs="Arial" w:eastAsia="Arial" w:hAnsi="Arial"/>
          <w:sz w:val="18"/>
          <w:szCs w:val="18"/>
          <w:color w:val="auto"/>
        </w:rPr>
        <w:t xml:space="preserve"> (Research Plan), for which the</w:t>
      </w:r>
    </w:p>
    <w:p>
      <w:pPr>
        <w:ind w:left="1020"/>
        <w:spacing w:after="0" w:line="236" w:lineRule="auto"/>
        <w:rPr>
          <w:sz w:val="20"/>
          <w:szCs w:val="20"/>
          <w:color w:val="auto"/>
        </w:rPr>
      </w:pPr>
      <w:r>
        <w:rPr>
          <w:rFonts w:ascii="Arial" w:cs="Arial" w:eastAsia="Arial" w:hAnsi="Arial"/>
          <w:sz w:val="18"/>
          <w:szCs w:val="18"/>
          <w:color w:val="auto"/>
        </w:rPr>
        <w:t>overall objective is to generate and characterize Research Molecules and Research Products that are directed to the</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applicable Confirmed Research Target Combination, from which Gilead can select a product candidate to progress for further Development (such program with respect to a Confirmed Research Target Combination, a “</w:t>
      </w:r>
      <w:r>
        <w:rPr>
          <w:rFonts w:ascii="Arial" w:cs="Arial" w:eastAsia="Arial" w:hAnsi="Arial"/>
          <w:sz w:val="18"/>
          <w:szCs w:val="18"/>
          <w:b w:val="1"/>
          <w:bCs w:val="1"/>
          <w:color w:val="auto"/>
        </w:rPr>
        <w:t>Research</w:t>
      </w:r>
    </w:p>
    <w:p>
      <w:pPr>
        <w:spacing w:after="0" w:line="2"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b w:val="1"/>
          <w:bCs w:val="1"/>
          <w:color w:val="auto"/>
        </w:rPr>
        <w:t>Program</w:t>
      </w:r>
      <w:r>
        <w:rPr>
          <w:rFonts w:ascii="Arial" w:cs="Arial" w:eastAsia="Arial" w:hAnsi="Arial"/>
          <w:sz w:val="18"/>
          <w:szCs w:val="18"/>
          <w:color w:val="auto"/>
        </w:rPr>
        <w:t>”). The Research Plan shall: (a) establish the criteria for evaluating potential Research Molecule candidates; (b)</w:t>
      </w:r>
      <w:r>
        <w:rPr>
          <w:rFonts w:ascii="Arial" w:cs="Arial" w:eastAsia="Arial" w:hAnsi="Arial"/>
          <w:sz w:val="18"/>
          <w:szCs w:val="18"/>
          <w:b w:val="1"/>
          <w:bCs w:val="1"/>
          <w:color w:val="auto"/>
        </w:rPr>
        <w:t xml:space="preserve"> </w:t>
      </w:r>
      <w:r>
        <w:rPr>
          <w:rFonts w:ascii="Arial" w:cs="Arial" w:eastAsia="Arial" w:hAnsi="Arial"/>
          <w:sz w:val="18"/>
          <w:szCs w:val="18"/>
          <w:color w:val="auto"/>
        </w:rPr>
        <w:t>define the deliverables, timelines and responsibilities of each Party through the progression of selecting Research</w:t>
      </w:r>
    </w:p>
    <w:p>
      <w:pPr>
        <w:ind w:left="1020"/>
        <w:spacing w:after="0" w:line="236" w:lineRule="auto"/>
        <w:rPr>
          <w:sz w:val="20"/>
          <w:szCs w:val="20"/>
          <w:color w:val="auto"/>
        </w:rPr>
      </w:pPr>
      <w:r>
        <w:rPr>
          <w:rFonts w:ascii="Arial" w:cs="Arial" w:eastAsia="Arial" w:hAnsi="Arial"/>
          <w:sz w:val="18"/>
          <w:szCs w:val="18"/>
          <w:color w:val="auto"/>
        </w:rPr>
        <w:t>Molecule candidates [***] (the “</w:t>
      </w:r>
      <w:r>
        <w:rPr>
          <w:rFonts w:ascii="Arial" w:cs="Arial" w:eastAsia="Arial" w:hAnsi="Arial"/>
          <w:sz w:val="18"/>
          <w:szCs w:val="18"/>
          <w:b w:val="1"/>
          <w:bCs w:val="1"/>
          <w:color w:val="auto"/>
        </w:rPr>
        <w:t>Research Budget</w:t>
      </w:r>
      <w:r>
        <w:rPr>
          <w:rFonts w:ascii="Arial" w:cs="Arial" w:eastAsia="Arial" w:hAnsi="Arial"/>
          <w:sz w:val="18"/>
          <w:szCs w:val="18"/>
          <w:color w:val="auto"/>
        </w:rPr>
        <w:t>”). On a Research Program-by-Research Program basis, Gilead shall,</w:t>
      </w:r>
    </w:p>
    <w:p>
      <w:pPr>
        <w:spacing w:after="0" w:line="1" w:lineRule="exact"/>
        <w:rPr>
          <w:sz w:val="20"/>
          <w:szCs w:val="20"/>
          <w:color w:val="auto"/>
        </w:rPr>
      </w:pPr>
    </w:p>
    <w:p>
      <w:pPr>
        <w:jc w:val="both"/>
        <w:ind w:left="1020"/>
        <w:spacing w:after="0" w:line="226" w:lineRule="auto"/>
        <w:rPr>
          <w:sz w:val="20"/>
          <w:szCs w:val="20"/>
          <w:color w:val="auto"/>
        </w:rPr>
      </w:pPr>
      <w:r>
        <w:rPr>
          <w:rFonts w:ascii="Arial" w:cs="Arial" w:eastAsia="Arial" w:hAnsi="Arial"/>
          <w:sz w:val="18"/>
          <w:szCs w:val="18"/>
          <w:color w:val="auto"/>
        </w:rPr>
        <w:t>within [***] Research Plan for the Confirmed Research Target Combination that is the subject of such Research Program (such date of JSC approval of the initial Research Plan, the “</w:t>
      </w:r>
      <w:r>
        <w:rPr>
          <w:rFonts w:ascii="Arial" w:cs="Arial" w:eastAsia="Arial" w:hAnsi="Arial"/>
          <w:sz w:val="18"/>
          <w:szCs w:val="18"/>
          <w:b w:val="1"/>
          <w:bCs w:val="1"/>
          <w:color w:val="auto"/>
        </w:rPr>
        <w:t>Research Target Combination License Date</w:t>
      </w:r>
      <w:r>
        <w:rPr>
          <w:rFonts w:ascii="Arial" w:cs="Arial" w:eastAsia="Arial" w:hAnsi="Arial"/>
          <w:sz w:val="18"/>
          <w:szCs w:val="18"/>
          <w:color w:val="auto"/>
        </w:rPr>
        <w:t>”),</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 (the “</w:t>
      </w:r>
      <w:r>
        <w:rPr>
          <w:rFonts w:ascii="Arial" w:cs="Arial" w:eastAsia="Arial" w:hAnsi="Arial"/>
          <w:sz w:val="20"/>
          <w:szCs w:val="20"/>
          <w:b w:val="1"/>
          <w:bCs w:val="1"/>
          <w:color w:val="auto"/>
        </w:rPr>
        <w:t>Research Target Combination License Fee</w:t>
      </w:r>
      <w:r>
        <w:rPr>
          <w:rFonts w:ascii="Arial" w:cs="Arial" w:eastAsia="Arial" w:hAnsi="Arial"/>
          <w:sz w:val="20"/>
          <w:szCs w:val="20"/>
          <w:color w:val="auto"/>
        </w:rPr>
        <w:t>”). Effective as of the Research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620"/>
          </w:cols>
          <w:pgMar w:left="400" w:top="1440" w:right="879" w:bottom="1440" w:gutter="0" w:footer="0" w:header="0"/>
        </w:sectPr>
      </w:pPr>
    </w:p>
    <w:bookmarkStart w:id="161" w:name="page162"/>
    <w:bookmarkEnd w:id="161"/>
    <w:p>
      <w:pPr>
        <w:spacing w:after="0" w:line="189" w:lineRule="exact"/>
        <w:rPr>
          <w:sz w:val="20"/>
          <w:szCs w:val="20"/>
          <w:color w:val="auto"/>
        </w:rPr>
      </w:pPr>
    </w:p>
    <w:p>
      <w:pPr>
        <w:jc w:val="both"/>
        <w:ind w:left="1020"/>
        <w:spacing w:after="0" w:line="214" w:lineRule="auto"/>
        <w:rPr>
          <w:sz w:val="20"/>
          <w:szCs w:val="20"/>
          <w:color w:val="auto"/>
        </w:rPr>
      </w:pPr>
      <w:r>
        <w:rPr>
          <w:rFonts w:ascii="Arial" w:cs="Arial" w:eastAsia="Arial" w:hAnsi="Arial"/>
          <w:sz w:val="20"/>
          <w:szCs w:val="20"/>
          <w:color w:val="auto"/>
        </w:rPr>
        <w:t>Combination License Date, the applicable Confirmed Research Target Combination shall be deemed a “</w:t>
      </w:r>
      <w:r>
        <w:rPr>
          <w:rFonts w:ascii="Arial" w:cs="Arial" w:eastAsia="Arial" w:hAnsi="Arial"/>
          <w:sz w:val="20"/>
          <w:szCs w:val="20"/>
          <w:b w:val="1"/>
          <w:bCs w:val="1"/>
          <w:color w:val="auto"/>
        </w:rPr>
        <w:t>Licensed</w:t>
      </w:r>
      <w:r>
        <w:rPr>
          <w:rFonts w:ascii="Arial" w:cs="Arial" w:eastAsia="Arial" w:hAnsi="Arial"/>
          <w:sz w:val="20"/>
          <w:szCs w:val="20"/>
          <w:color w:val="auto"/>
        </w:rPr>
        <w:t xml:space="preserve"> </w:t>
      </w:r>
      <w:r>
        <w:rPr>
          <w:rFonts w:ascii="Arial" w:cs="Arial" w:eastAsia="Arial" w:hAnsi="Arial"/>
          <w:sz w:val="20"/>
          <w:szCs w:val="20"/>
          <w:b w:val="1"/>
          <w:bCs w:val="1"/>
          <w:color w:val="auto"/>
        </w:rPr>
        <w:t>Research Target Combination</w:t>
      </w:r>
      <w:r>
        <w:rPr>
          <w:rFonts w:ascii="Arial" w:cs="Arial" w:eastAsia="Arial" w:hAnsi="Arial"/>
          <w:sz w:val="20"/>
          <w:szCs w:val="20"/>
          <w:color w:val="auto"/>
        </w:rPr>
        <w:t>”, and the license granted under Section 3.1(a) (Research Term License) shall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be effective as to such Licensed Research Target Combination. The JSC shall</w:t>
      </w:r>
    </w:p>
    <w:p>
      <w:pPr>
        <w:spacing w:after="0" w:line="1" w:lineRule="exact"/>
        <w:rPr>
          <w:sz w:val="20"/>
          <w:szCs w:val="20"/>
          <w:color w:val="auto"/>
        </w:rPr>
      </w:pPr>
    </w:p>
    <w:p>
      <w:pPr>
        <w:jc w:val="both"/>
        <w:ind w:left="1020" w:firstLine="5"/>
        <w:spacing w:after="0" w:line="235" w:lineRule="auto"/>
        <w:tabs>
          <w:tab w:leader="none" w:pos="1277"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 discuss and determine whether to approve any updates or amendments to each Research Plan no less than once per Calendar Quarter; and (ii) oversee and facilitate cooperation and information transfer between the Parties in conducting the activities set forth in each Research Plan. In addition, each Party shall have the right to propose additional amendments to a Research Plan in connection with the progress of the applicable Research Program for the JSC to review, discuss and determine whether to approve. Any proposed amendments to a Research Plan will become effective only upon approval by the JSC. During the applicable Research Term for each Research Program, each Party shall not, and shall procure that its Affiliates, Sublicensees and Permitted Subcontractors shall not, perform any pre-clinical or clinical Development activities with respect to any Research Molecules or Research Products under such Research Program other than the activities expressly set forth in applicable Research Plan.</w:t>
      </w:r>
    </w:p>
    <w:p>
      <w:pPr>
        <w:spacing w:after="0" w:line="181"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b w:val="1"/>
          <w:bCs w:val="1"/>
          <w:color w:val="auto"/>
        </w:rPr>
        <w:t>Performance Standards</w:t>
      </w:r>
      <w:r>
        <w:rPr>
          <w:rFonts w:ascii="Arial" w:cs="Arial" w:eastAsia="Arial" w:hAnsi="Arial"/>
          <w:sz w:val="16"/>
          <w:szCs w:val="16"/>
          <w:color w:val="auto"/>
        </w:rPr>
        <w:t>. During the Research Term for each Research Program, each Party shall use</w:t>
      </w:r>
    </w:p>
    <w:p>
      <w:pPr>
        <w:spacing w:after="0" w:line="6" w:lineRule="exact"/>
        <w:rPr>
          <w:sz w:val="20"/>
          <w:szCs w:val="20"/>
          <w:color w:val="auto"/>
        </w:rPr>
      </w:pPr>
    </w:p>
    <w:p>
      <w:pPr>
        <w:ind w:left="1020" w:right="60"/>
        <w:spacing w:after="0" w:line="226" w:lineRule="auto"/>
        <w:rPr>
          <w:sz w:val="20"/>
          <w:szCs w:val="20"/>
          <w:color w:val="auto"/>
        </w:rPr>
      </w:pPr>
      <w:r>
        <w:rPr>
          <w:rFonts w:ascii="Arial" w:cs="Arial" w:eastAsia="Arial" w:hAnsi="Arial"/>
          <w:sz w:val="18"/>
          <w:szCs w:val="18"/>
          <w:color w:val="auto"/>
        </w:rPr>
        <w:t>Commercially Reasonable Efforts to conduct the activities allocated to such Party in the applicable Research Plan and in compliance with all Applicable Laws and Regulations, including applicable national and international (e.g., ICH, GCP,</w:t>
      </w:r>
    </w:p>
    <w:p>
      <w:pPr>
        <w:ind w:left="1020"/>
        <w:spacing w:after="0" w:line="236" w:lineRule="auto"/>
        <w:rPr>
          <w:sz w:val="20"/>
          <w:szCs w:val="20"/>
          <w:color w:val="auto"/>
        </w:rPr>
      </w:pPr>
      <w:r>
        <w:rPr>
          <w:rFonts w:ascii="Arial" w:cs="Arial" w:eastAsia="Arial" w:hAnsi="Arial"/>
          <w:sz w:val="18"/>
          <w:szCs w:val="18"/>
          <w:color w:val="auto"/>
        </w:rPr>
        <w:t>GLP and cGMP) guidelines, and the JSC shall oversee and facilitate the conduct of such activities. Additionally, each</w:t>
      </w:r>
    </w:p>
    <w:p>
      <w:pPr>
        <w:spacing w:after="0" w:line="1" w:lineRule="exact"/>
        <w:rPr>
          <w:sz w:val="20"/>
          <w:szCs w:val="20"/>
          <w:color w:val="auto"/>
        </w:rPr>
      </w:pPr>
    </w:p>
    <w:p>
      <w:pPr>
        <w:ind w:left="1020" w:right="300"/>
        <w:spacing w:after="0" w:line="255" w:lineRule="auto"/>
        <w:rPr>
          <w:sz w:val="20"/>
          <w:szCs w:val="20"/>
          <w:color w:val="auto"/>
        </w:rPr>
      </w:pPr>
      <w:r>
        <w:rPr>
          <w:rFonts w:ascii="Arial" w:cs="Arial" w:eastAsia="Arial" w:hAnsi="Arial"/>
          <w:sz w:val="16"/>
          <w:szCs w:val="16"/>
          <w:color w:val="auto"/>
        </w:rPr>
        <w:t>Party shall use Commercially Reasonable Efforts to provide any assistance required by the other Party to address or complete activities for which such other Party is responsible pursuant to the Research Plans, or as otherwise mutually</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agreed upon by the Parties.</w:t>
      </w:r>
    </w:p>
    <w:p>
      <w:pPr>
        <w:spacing w:after="0" w:line="194" w:lineRule="exact"/>
        <w:rPr>
          <w:sz w:val="20"/>
          <w:szCs w:val="20"/>
          <w:color w:val="auto"/>
        </w:rPr>
      </w:pPr>
    </w:p>
    <w:p>
      <w:pPr>
        <w:ind w:left="1020" w:right="140" w:firstLine="648"/>
        <w:spacing w:after="0" w:line="24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Research Plan Costs</w:t>
      </w:r>
      <w:r>
        <w:rPr>
          <w:rFonts w:ascii="Arial" w:cs="Arial" w:eastAsia="Arial" w:hAnsi="Arial"/>
          <w:sz w:val="18"/>
          <w:szCs w:val="18"/>
          <w:color w:val="auto"/>
        </w:rPr>
        <w:t>. [***] conduct of activities under each Research Program. [***] in connection with the conduct of Research Program activities allocated to [***] under the applicable Research Plan, to the extent such</w:t>
      </w:r>
    </w:p>
    <w:p>
      <w:pPr>
        <w:spacing w:after="0" w:line="1" w:lineRule="exact"/>
        <w:rPr>
          <w:sz w:val="20"/>
          <w:szCs w:val="20"/>
          <w:color w:val="auto"/>
        </w:rPr>
      </w:pPr>
    </w:p>
    <w:p>
      <w:pPr>
        <w:ind w:left="1020" w:right="20"/>
        <w:spacing w:after="0" w:line="226" w:lineRule="auto"/>
        <w:rPr>
          <w:sz w:val="20"/>
          <w:szCs w:val="20"/>
          <w:color w:val="auto"/>
        </w:rPr>
      </w:pPr>
      <w:r>
        <w:rPr>
          <w:rFonts w:ascii="Arial" w:cs="Arial" w:eastAsia="Arial" w:hAnsi="Arial"/>
          <w:sz w:val="18"/>
          <w:szCs w:val="18"/>
          <w:color w:val="auto"/>
        </w:rPr>
        <w:t>costs are [***] Research Budget, [***]. If MacroGenics [***] in performing the Research Program activities allocated to MacroGenics under the applicable Research Plan that [***] Research Budget, [***] (including in connection with the</w:t>
      </w:r>
    </w:p>
    <w:p>
      <w:pPr>
        <w:spacing w:after="0" w:line="2" w:lineRule="exact"/>
        <w:rPr>
          <w:sz w:val="20"/>
          <w:szCs w:val="20"/>
          <w:color w:val="auto"/>
        </w:rPr>
      </w:pPr>
    </w:p>
    <w:p>
      <w:pPr>
        <w:ind w:left="1020" w:right="580"/>
        <w:spacing w:after="0" w:line="226" w:lineRule="auto"/>
        <w:rPr>
          <w:sz w:val="20"/>
          <w:szCs w:val="20"/>
          <w:color w:val="auto"/>
        </w:rPr>
      </w:pPr>
      <w:r>
        <w:rPr>
          <w:rFonts w:ascii="Arial" w:cs="Arial" w:eastAsia="Arial" w:hAnsi="Arial"/>
          <w:sz w:val="18"/>
          <w:szCs w:val="18"/>
          <w:color w:val="auto"/>
        </w:rPr>
        <w:t>performance of Regulatory Activities pursuant to Section 7.2 (Research Molecules and Research Products)) [***] Research Program activities that is [***] the JSC and the JSC shall promptly discuss in good faith and approve an</w:t>
      </w:r>
    </w:p>
    <w:p>
      <w:pPr>
        <w:ind w:left="1020"/>
        <w:spacing w:after="0" w:line="236" w:lineRule="auto"/>
        <w:rPr>
          <w:sz w:val="20"/>
          <w:szCs w:val="20"/>
          <w:color w:val="auto"/>
        </w:rPr>
      </w:pPr>
      <w:r>
        <w:rPr>
          <w:rFonts w:ascii="Arial" w:cs="Arial" w:eastAsia="Arial" w:hAnsi="Arial"/>
          <w:sz w:val="18"/>
          <w:szCs w:val="18"/>
          <w:color w:val="auto"/>
        </w:rPr>
        <w:t>amendment to the Research Plan or Research Budget in accordance with Section 2.1 (Joint Steering Committee) that</w:t>
      </w:r>
    </w:p>
    <w:p>
      <w:pPr>
        <w:spacing w:after="0" w:line="1" w:lineRule="exact"/>
        <w:rPr>
          <w:sz w:val="20"/>
          <w:szCs w:val="20"/>
          <w:color w:val="auto"/>
        </w:rPr>
      </w:pPr>
    </w:p>
    <w:p>
      <w:pPr>
        <w:ind w:left="1020" w:right="880" w:firstLine="6"/>
        <w:spacing w:after="0" w:line="220" w:lineRule="auto"/>
        <w:tabs>
          <w:tab w:leader="none" w:pos="1498" w:val="left"/>
        </w:tabs>
        <w:numPr>
          <w:ilvl w:val="0"/>
          <w:numId w:val="99"/>
        </w:numPr>
        <w:rPr>
          <w:rFonts w:ascii="Arial" w:cs="Arial" w:eastAsia="Arial" w:hAnsi="Arial"/>
          <w:sz w:val="20"/>
          <w:szCs w:val="20"/>
          <w:color w:val="auto"/>
        </w:rPr>
      </w:pPr>
      <w:r>
        <w:rPr>
          <w:rFonts w:ascii="Arial" w:cs="Arial" w:eastAsia="Arial" w:hAnsi="Arial"/>
          <w:sz w:val="20"/>
          <w:szCs w:val="20"/>
          <w:color w:val="auto"/>
        </w:rPr>
        <w:t>Research Budget or [***] applicable Research Plan). For clarity, in the absence of the JSC approving an amendment to the Research Plan or Research Budget, [***].</w:t>
      </w:r>
    </w:p>
    <w:p>
      <w:pPr>
        <w:spacing w:after="0" w:line="285" w:lineRule="exact"/>
        <w:rPr>
          <w:sz w:val="20"/>
          <w:szCs w:val="20"/>
          <w:color w:val="auto"/>
        </w:rPr>
      </w:pPr>
    </w:p>
    <w:p>
      <w:pPr>
        <w:ind w:left="1020" w:right="240" w:firstLine="648"/>
        <w:spacing w:after="0" w:line="26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Research Term</w:t>
      </w:r>
      <w:r>
        <w:rPr>
          <w:rFonts w:ascii="Arial" w:cs="Arial" w:eastAsia="Arial" w:hAnsi="Arial"/>
          <w:sz w:val="16"/>
          <w:szCs w:val="16"/>
          <w:color w:val="auto"/>
        </w:rPr>
        <w:t>. On a Research Program-by-Research Program basis, the term of a Research Program shall commence on the Research Target Combination License Date for the applicable Research Target Combination to</w:t>
      </w:r>
    </w:p>
    <w:p>
      <w:pPr>
        <w:ind w:left="1020"/>
        <w:spacing w:after="0" w:line="212" w:lineRule="auto"/>
        <w:rPr>
          <w:sz w:val="20"/>
          <w:szCs w:val="20"/>
          <w:color w:val="auto"/>
        </w:rPr>
      </w:pPr>
      <w:r>
        <w:rPr>
          <w:rFonts w:ascii="Arial" w:cs="Arial" w:eastAsia="Arial" w:hAnsi="Arial"/>
          <w:sz w:val="20"/>
          <w:szCs w:val="20"/>
          <w:color w:val="auto"/>
        </w:rPr>
        <w:t>which such Research Program is directed and continue until the earlier of</w:t>
      </w:r>
    </w:p>
    <w:p>
      <w:pPr>
        <w:jc w:val="both"/>
        <w:ind w:left="1020" w:firstLine="5"/>
        <w:spacing w:after="0" w:line="212" w:lineRule="auto"/>
        <w:tabs>
          <w:tab w:leader="none" w:pos="129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end of the Research Program Opt-In Term for such Research Program, in the event that Gilead does not exercise its Research Program Opt-In for such Research Program, (b) the Research Program Opt-In Effective Date for such Research Program and (c) [***] of the Research Target Combination License Date for the Licensed Research Target Combination that is the subject of such Research Program (the “</w:t>
      </w:r>
      <w:r>
        <w:rPr>
          <w:rFonts w:ascii="Arial" w:cs="Arial" w:eastAsia="Arial" w:hAnsi="Arial"/>
          <w:sz w:val="20"/>
          <w:szCs w:val="20"/>
          <w:b w:val="1"/>
          <w:bCs w:val="1"/>
          <w:color w:val="auto"/>
        </w:rPr>
        <w:t>Research Term</w:t>
      </w:r>
      <w:r>
        <w:rPr>
          <w:rFonts w:ascii="Arial" w:cs="Arial" w:eastAsia="Arial" w:hAnsi="Arial"/>
          <w:sz w:val="20"/>
          <w:szCs w:val="20"/>
          <w:color w:val="auto"/>
        </w:rPr>
        <w:t>” for such Research Program). On a Research Program-by-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620"/>
          </w:cols>
          <w:pgMar w:left="400" w:top="1440" w:right="879" w:bottom="1440" w:gutter="0" w:footer="0" w:header="0"/>
        </w:sectPr>
      </w:pPr>
    </w:p>
    <w:bookmarkStart w:id="162" w:name="page163"/>
    <w:bookmarkEnd w:id="162"/>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Research Program basis, if Gilead exercises the Research Program Opt-In for a Research Program, then MacroGenics will, and will cause its Affiliates and Permitted Subcontractors to, cooperate with Gilead as Gilead may reasonably</w:t>
      </w:r>
    </w:p>
    <w:p>
      <w:pPr>
        <w:jc w:val="both"/>
        <w:ind w:left="1020"/>
        <w:spacing w:after="0" w:line="226" w:lineRule="auto"/>
        <w:rPr>
          <w:sz w:val="20"/>
          <w:szCs w:val="20"/>
          <w:color w:val="auto"/>
        </w:rPr>
      </w:pPr>
      <w:r>
        <w:rPr>
          <w:rFonts w:ascii="Arial" w:cs="Arial" w:eastAsia="Arial" w:hAnsi="Arial"/>
          <w:sz w:val="18"/>
          <w:szCs w:val="18"/>
          <w:color w:val="auto"/>
        </w:rPr>
        <w:t>request to facilitate an orderly transition of the Development of the applicable Research Molecules and Research Products to Gilead or its designee. During the Research Term for a given Research Program, Gilead shall have right,</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upon reasonable request and at such times mutually agreed upon by the Parties, to conduct a periodic assessment of the</w:t>
      </w:r>
    </w:p>
    <w:p>
      <w:pPr>
        <w:ind w:left="1020"/>
        <w:spacing w:after="0" w:line="227" w:lineRule="auto"/>
        <w:rPr>
          <w:sz w:val="20"/>
          <w:szCs w:val="20"/>
          <w:color w:val="auto"/>
        </w:rPr>
      </w:pPr>
      <w:r>
        <w:rPr>
          <w:rFonts w:ascii="Arial" w:cs="Arial" w:eastAsia="Arial" w:hAnsi="Arial"/>
          <w:sz w:val="19"/>
          <w:szCs w:val="19"/>
          <w:color w:val="auto"/>
        </w:rPr>
        <w:t>intellectual property landscape for the Research Molecules under such Research Program (an “</w:t>
      </w:r>
      <w:r>
        <w:rPr>
          <w:rFonts w:ascii="Arial" w:cs="Arial" w:eastAsia="Arial" w:hAnsi="Arial"/>
          <w:sz w:val="19"/>
          <w:szCs w:val="19"/>
          <w:b w:val="1"/>
          <w:bCs w:val="1"/>
          <w:color w:val="auto"/>
        </w:rPr>
        <w:t>IP Assessment</w:t>
      </w:r>
      <w:r>
        <w:rPr>
          <w:rFonts w:ascii="Arial" w:cs="Arial" w:eastAsia="Arial" w:hAnsi="Arial"/>
          <w:sz w:val="19"/>
          <w:szCs w:val="19"/>
          <w:color w:val="auto"/>
        </w:rPr>
        <w:t>”).</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MacroGenics shall reasonably cooperate with Gilead in its conduct of such IP Assessment.</w:t>
      </w:r>
    </w:p>
    <w:p>
      <w:pPr>
        <w:spacing w:after="0" w:line="207" w:lineRule="exact"/>
        <w:rPr>
          <w:sz w:val="20"/>
          <w:szCs w:val="20"/>
          <w:color w:val="auto"/>
        </w:rPr>
      </w:pPr>
    </w:p>
    <w:p>
      <w:pPr>
        <w:ind w:left="1020" w:right="200" w:firstLine="648"/>
        <w:spacing w:after="0" w:line="269"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color w:val="auto"/>
        </w:rPr>
        <w:t>Records; Updates</w:t>
      </w:r>
      <w:r>
        <w:rPr>
          <w:rFonts w:ascii="Arial" w:cs="Arial" w:eastAsia="Arial" w:hAnsi="Arial"/>
          <w:sz w:val="16"/>
          <w:szCs w:val="16"/>
          <w:color w:val="auto"/>
        </w:rPr>
        <w:t>. During the Term and [***], each Party shall maintain complete, current and accurate records of all activities conducted by or on behalf of such Party pursuant to each Research Plan, and all data and other</w:t>
      </w:r>
    </w:p>
    <w:p>
      <w:pPr>
        <w:ind w:left="1020"/>
        <w:spacing w:after="0" w:line="223" w:lineRule="auto"/>
        <w:rPr>
          <w:sz w:val="20"/>
          <w:szCs w:val="20"/>
          <w:color w:val="auto"/>
        </w:rPr>
      </w:pPr>
      <w:r>
        <w:rPr>
          <w:rFonts w:ascii="Arial" w:cs="Arial" w:eastAsia="Arial" w:hAnsi="Arial"/>
          <w:sz w:val="19"/>
          <w:szCs w:val="19"/>
          <w:color w:val="auto"/>
        </w:rPr>
        <w:t>information resulting from the performance of such activities. Such records shall fully and properly reflect all work</w:t>
      </w:r>
    </w:p>
    <w:p>
      <w:pPr>
        <w:spacing w:after="0" w:line="1" w:lineRule="exact"/>
        <w:rPr>
          <w:sz w:val="20"/>
          <w:szCs w:val="20"/>
          <w:color w:val="auto"/>
        </w:rPr>
      </w:pPr>
    </w:p>
    <w:p>
      <w:pPr>
        <w:ind w:left="1020" w:right="100"/>
        <w:spacing w:after="0" w:line="255" w:lineRule="auto"/>
        <w:rPr>
          <w:sz w:val="20"/>
          <w:szCs w:val="20"/>
          <w:color w:val="auto"/>
        </w:rPr>
      </w:pPr>
      <w:r>
        <w:rPr>
          <w:rFonts w:ascii="Arial" w:cs="Arial" w:eastAsia="Arial" w:hAnsi="Arial"/>
          <w:sz w:val="16"/>
          <w:szCs w:val="16"/>
          <w:color w:val="auto"/>
        </w:rPr>
        <w:t>performed and results achieved in the performance of any Research Program activities in good scientific manner appropriate for regulatory and patent purposes. Additionally, during each JSC meeting, each Party shall provide the JSC</w:t>
      </w:r>
    </w:p>
    <w:p>
      <w:pPr>
        <w:ind w:left="1020"/>
        <w:spacing w:after="0" w:line="235" w:lineRule="auto"/>
        <w:rPr>
          <w:sz w:val="20"/>
          <w:szCs w:val="20"/>
          <w:color w:val="auto"/>
        </w:rPr>
      </w:pPr>
      <w:r>
        <w:rPr>
          <w:rFonts w:ascii="Arial" w:cs="Arial" w:eastAsia="Arial" w:hAnsi="Arial"/>
          <w:sz w:val="18"/>
          <w:szCs w:val="18"/>
          <w:color w:val="auto"/>
        </w:rPr>
        <w:t>with an update on the results and progress of any Research Program activities conducted by or on behalf of such Party</w:t>
      </w:r>
    </w:p>
    <w:p>
      <w:pPr>
        <w:ind w:left="1020" w:right="120"/>
        <w:spacing w:after="0" w:line="255" w:lineRule="auto"/>
        <w:rPr>
          <w:sz w:val="20"/>
          <w:szCs w:val="20"/>
          <w:color w:val="auto"/>
        </w:rPr>
      </w:pPr>
      <w:r>
        <w:rPr>
          <w:rFonts w:ascii="Arial" w:cs="Arial" w:eastAsia="Arial" w:hAnsi="Arial"/>
          <w:sz w:val="16"/>
          <w:szCs w:val="16"/>
          <w:color w:val="auto"/>
        </w:rPr>
        <w:t>since the prior JSC meeting. In addition, on a Calendar Quarter basis during the Research Term for a given Research Program, each performing Party shall provide the other Party with access to all information and data generated by or on</w:t>
      </w:r>
    </w:p>
    <w:p>
      <w:pPr>
        <w:spacing w:after="0" w:line="1" w:lineRule="exact"/>
        <w:rPr>
          <w:sz w:val="20"/>
          <w:szCs w:val="20"/>
          <w:color w:val="auto"/>
        </w:rPr>
      </w:pPr>
    </w:p>
    <w:p>
      <w:pPr>
        <w:ind w:left="1020" w:right="140"/>
        <w:spacing w:after="0" w:line="227" w:lineRule="auto"/>
        <w:rPr>
          <w:sz w:val="20"/>
          <w:szCs w:val="20"/>
          <w:color w:val="auto"/>
        </w:rPr>
      </w:pPr>
      <w:r>
        <w:rPr>
          <w:rFonts w:ascii="Arial" w:cs="Arial" w:eastAsia="Arial" w:hAnsi="Arial"/>
          <w:sz w:val="20"/>
          <w:szCs w:val="20"/>
          <w:color w:val="auto"/>
        </w:rPr>
        <w:t>behalf of such Party under such Research Program, with such access being provided through a secure dataroom or such other format mutually agreed upon by the Parties.</w:t>
      </w:r>
    </w:p>
    <w:p>
      <w:pPr>
        <w:spacing w:after="0" w:line="191"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9"/>
          <w:szCs w:val="19"/>
          <w:b w:val="1"/>
          <w:bCs w:val="1"/>
          <w:color w:val="auto"/>
        </w:rPr>
        <w:t>Data Ownership</w:t>
      </w:r>
      <w:r>
        <w:rPr>
          <w:rFonts w:ascii="Arial" w:cs="Arial" w:eastAsia="Arial" w:hAnsi="Arial"/>
          <w:sz w:val="19"/>
          <w:szCs w:val="19"/>
          <w:color w:val="auto"/>
        </w:rPr>
        <w:t>. [***].</w:t>
      </w:r>
    </w:p>
    <w:p>
      <w:pPr>
        <w:spacing w:after="0" w:line="297"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8"/>
          <w:szCs w:val="18"/>
          <w:b w:val="1"/>
          <w:bCs w:val="1"/>
          <w:color w:val="auto"/>
        </w:rPr>
        <w:t>Research Program Opt-In</w:t>
      </w:r>
      <w:r>
        <w:rPr>
          <w:rFonts w:ascii="Arial" w:cs="Arial" w:eastAsia="Arial" w:hAnsi="Arial"/>
          <w:sz w:val="18"/>
          <w:szCs w:val="18"/>
          <w:color w:val="auto"/>
        </w:rPr>
        <w:t>.</w:t>
      </w:r>
    </w:p>
    <w:p>
      <w:pPr>
        <w:spacing w:after="0" w:line="216" w:lineRule="exact"/>
        <w:rPr>
          <w:sz w:val="20"/>
          <w:szCs w:val="20"/>
          <w:color w:val="auto"/>
        </w:rPr>
      </w:pPr>
    </w:p>
    <w:p>
      <w:pPr>
        <w:ind w:left="1020" w:right="240" w:firstLine="1301"/>
        <w:spacing w:after="0" w:line="215" w:lineRule="auto"/>
        <w:tabs>
          <w:tab w:leader="none" w:pos="2734" w:val="left"/>
        </w:tabs>
        <w:numPr>
          <w:ilvl w:val="0"/>
          <w:numId w:val="101"/>
        </w:numPr>
        <w:rPr>
          <w:rFonts w:ascii="Arial" w:cs="Arial" w:eastAsia="Arial" w:hAnsi="Arial"/>
          <w:sz w:val="20"/>
          <w:szCs w:val="20"/>
          <w:color w:val="auto"/>
        </w:rPr>
      </w:pPr>
      <w:r>
        <w:rPr>
          <w:rFonts w:ascii="Arial" w:cs="Arial" w:eastAsia="Arial" w:hAnsi="Arial"/>
          <w:sz w:val="20"/>
          <w:szCs w:val="20"/>
          <w:b w:val="1"/>
          <w:bCs w:val="1"/>
          <w:color w:val="auto"/>
        </w:rPr>
        <w:t>Opt-In Grant</w:t>
      </w:r>
      <w:r>
        <w:rPr>
          <w:rFonts w:ascii="Arial" w:cs="Arial" w:eastAsia="Arial" w:hAnsi="Arial"/>
          <w:sz w:val="20"/>
          <w:szCs w:val="20"/>
          <w:color w:val="auto"/>
        </w:rPr>
        <w:t>. On a Research Program-by-Research Program basis, Gilead has an exclusive</w:t>
      </w:r>
      <w:r>
        <w:rPr>
          <w:rFonts w:ascii="Arial" w:cs="Arial" w:eastAsia="Arial" w:hAnsi="Arial"/>
          <w:sz w:val="20"/>
          <w:szCs w:val="20"/>
          <w:b w:val="1"/>
          <w:bCs w:val="1"/>
          <w:color w:val="auto"/>
        </w:rPr>
        <w:t xml:space="preserve"> </w:t>
      </w:r>
      <w:r>
        <w:rPr>
          <w:rFonts w:ascii="Arial" w:cs="Arial" w:eastAsia="Arial" w:hAnsi="Arial"/>
          <w:sz w:val="20"/>
          <w:szCs w:val="20"/>
          <w:color w:val="auto"/>
        </w:rPr>
        <w:t>option to obtain an exclusive, royalty-bearing, non-transferable (except in accordance with Section 19.4 (Assignment; Change of Control)) license under the MacroGenics Research Technology, with the right to grant sublicenses [***], to Exploit Research Molecules and Research Products that are directed to the applicable Licensed Research Target Combination that is the subject of such Research Program in the Field in the Territory (the “</w:t>
      </w:r>
      <w:r>
        <w:rPr>
          <w:rFonts w:ascii="Arial" w:cs="Arial" w:eastAsia="Arial" w:hAnsi="Arial"/>
          <w:sz w:val="20"/>
          <w:szCs w:val="20"/>
          <w:b w:val="1"/>
          <w:bCs w:val="1"/>
          <w:color w:val="auto"/>
        </w:rPr>
        <w:t>Research Program Opt-In</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left="1020" w:right="560" w:firstLine="1301"/>
        <w:spacing w:after="0" w:line="263" w:lineRule="auto"/>
        <w:tabs>
          <w:tab w:leader="none" w:pos="2744"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Research Program Data Package</w:t>
      </w:r>
      <w:r>
        <w:rPr>
          <w:rFonts w:ascii="Arial" w:cs="Arial" w:eastAsia="Arial" w:hAnsi="Arial"/>
          <w:sz w:val="18"/>
          <w:szCs w:val="18"/>
          <w:color w:val="auto"/>
        </w:rPr>
        <w:t>. MacroGenics shall deliver each Research Program Data</w:t>
      </w:r>
      <w:r>
        <w:rPr>
          <w:rFonts w:ascii="Arial" w:cs="Arial" w:eastAsia="Arial" w:hAnsi="Arial"/>
          <w:sz w:val="18"/>
          <w:szCs w:val="18"/>
          <w:b w:val="1"/>
          <w:bCs w:val="1"/>
          <w:color w:val="auto"/>
        </w:rPr>
        <w:t xml:space="preserve"> </w:t>
      </w:r>
      <w:r>
        <w:rPr>
          <w:rFonts w:ascii="Arial" w:cs="Arial" w:eastAsia="Arial" w:hAnsi="Arial"/>
          <w:sz w:val="18"/>
          <w:szCs w:val="18"/>
          <w:color w:val="auto"/>
        </w:rPr>
        <w:t>Package to Gilead [***] Research Program that were required to generate the applicable Research Program Data Package ([***], for purposes of the Research Program Data Package, being deemed [***].</w:t>
      </w:r>
    </w:p>
    <w:p>
      <w:pPr>
        <w:spacing w:after="0" w:line="251" w:lineRule="exact"/>
        <w:rPr>
          <w:rFonts w:ascii="Arial" w:cs="Arial" w:eastAsia="Arial" w:hAnsi="Arial"/>
          <w:sz w:val="18"/>
          <w:szCs w:val="18"/>
          <w:color w:val="auto"/>
        </w:rPr>
      </w:pPr>
    </w:p>
    <w:p>
      <w:pPr>
        <w:ind w:left="1020" w:right="60" w:firstLine="1949"/>
        <w:spacing w:after="0" w:line="268" w:lineRule="auto"/>
        <w:tabs>
          <w:tab w:leader="none" w:pos="3349" w:val="left"/>
        </w:tabs>
        <w:numPr>
          <w:ilvl w:val="1"/>
          <w:numId w:val="101"/>
        </w:numPr>
        <w:rPr>
          <w:rFonts w:ascii="Arial" w:cs="Arial" w:eastAsia="Arial" w:hAnsi="Arial"/>
          <w:sz w:val="16"/>
          <w:szCs w:val="16"/>
          <w:color w:val="auto"/>
        </w:rPr>
      </w:pPr>
      <w:r>
        <w:rPr>
          <w:rFonts w:ascii="Arial" w:cs="Arial" w:eastAsia="Arial" w:hAnsi="Arial"/>
          <w:sz w:val="16"/>
          <w:szCs w:val="16"/>
          <w:b w:val="1"/>
          <w:bCs w:val="1"/>
          <w:color w:val="auto"/>
        </w:rPr>
        <w:t>Deficiency Notice</w:t>
      </w:r>
      <w:r>
        <w:rPr>
          <w:rFonts w:ascii="Arial" w:cs="Arial" w:eastAsia="Arial" w:hAnsi="Arial"/>
          <w:sz w:val="16"/>
          <w:szCs w:val="16"/>
          <w:color w:val="auto"/>
        </w:rPr>
        <w:t>. [***] Research Program Data Package, Gilead may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MacroGenics with a Deficiency Notice if Gilead believes in good faith that the purported Research Program Data Package provided by MacroGenics does not contain all of the information required to be provided in such Research Program Data Package, which Deficiency Notice will reasonably specify any missing item(s). MacroGenics will modify such Research Program Data Package to reflect such comments and will provide an updated Research Program Data Package that includes the missing information [***] Deficiency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clarity, MacroGenics shall not be required to generate any additional data that is not in existence as of the date of delivery of such Research Program Data Package (including re-running any previously performed studies) to the extent such data is supplementary and not required to be set forth in such Research Program Data Package or comply with any requests to modify the presentation or formatting of the then- existing data unless required to be set forth in such Research Program Data Package. If Gilead provides a Deficiency Notice, then the applicable Research Program Opt-In Term will be extended [***].</w:t>
      </w:r>
    </w:p>
    <w:p>
      <w:pPr>
        <w:spacing w:after="0" w:line="200" w:lineRule="exact"/>
        <w:rPr>
          <w:rFonts w:ascii="Arial" w:cs="Arial" w:eastAsia="Arial" w:hAnsi="Arial"/>
          <w:sz w:val="16"/>
          <w:szCs w:val="16"/>
          <w:color w:val="auto"/>
        </w:rPr>
      </w:pPr>
    </w:p>
    <w:p>
      <w:pPr>
        <w:spacing w:after="0" w:line="256" w:lineRule="exact"/>
        <w:rPr>
          <w:rFonts w:ascii="Arial" w:cs="Arial" w:eastAsia="Arial" w:hAnsi="Arial"/>
          <w:sz w:val="16"/>
          <w:szCs w:val="16"/>
          <w:color w:val="auto"/>
        </w:rPr>
      </w:pPr>
    </w:p>
    <w:p>
      <w:pPr>
        <w:ind w:left="1020" w:right="200" w:firstLine="1949"/>
        <w:spacing w:after="0" w:line="215" w:lineRule="auto"/>
        <w:tabs>
          <w:tab w:leader="none" w:pos="3403" w:val="left"/>
        </w:tabs>
        <w:numPr>
          <w:ilvl w:val="1"/>
          <w:numId w:val="101"/>
        </w:numPr>
        <w:rPr>
          <w:rFonts w:ascii="Arial" w:cs="Arial" w:eastAsia="Arial" w:hAnsi="Arial"/>
          <w:sz w:val="20"/>
          <w:szCs w:val="20"/>
          <w:color w:val="auto"/>
        </w:rPr>
      </w:pPr>
      <w:r>
        <w:rPr>
          <w:rFonts w:ascii="Arial" w:cs="Arial" w:eastAsia="Arial" w:hAnsi="Arial"/>
          <w:sz w:val="20"/>
          <w:szCs w:val="20"/>
          <w:b w:val="1"/>
          <w:bCs w:val="1"/>
          <w:color w:val="auto"/>
        </w:rPr>
        <w:t>Cooperation</w:t>
      </w:r>
      <w:r>
        <w:rPr>
          <w:rFonts w:ascii="Arial" w:cs="Arial" w:eastAsia="Arial" w:hAnsi="Arial"/>
          <w:sz w:val="20"/>
          <w:szCs w:val="20"/>
          <w:color w:val="auto"/>
        </w:rPr>
        <w:t>. In addition, [***], Gilead may, itself or through the JSC,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MacroGenics with written notice requesting assistance and cooperation from MacroGenics in analyzing such Research Program Data Package, including a request for a discussion with MacroGenics representative(s) who have relevant knowledge and information regarding such Research Program Data Package, and MacroGenics will use good faith efforts to provide any such assistance and cooperation reasonably requested by Gilead. Additionally, during the applicable Research Program Opt-In Term, Gilead shall use good faith efforts to assist MacroGenics in its efforts to coordinate and compile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-1800860</wp:posOffset>
            </wp:positionV>
            <wp:extent cx="31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ectPr>
          <w:pgSz w:w="11900" w:h="16838" w:orient="portrait"/>
          <w:cols w:equalWidth="0" w:num="1">
            <w:col w:w="10620"/>
          </w:cols>
          <w:pgMar w:left="40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620"/>
          </w:cols>
          <w:pgMar w:left="400" w:top="1440" w:right="879" w:bottom="1440" w:gutter="0" w:footer="0" w:header="0"/>
          <w:type w:val="continuous"/>
        </w:sectPr>
      </w:pPr>
    </w:p>
    <w:bookmarkStart w:id="163" w:name="page164"/>
    <w:bookmarkEnd w:id="163"/>
    <w:p>
      <w:pPr>
        <w:ind w:left="1020" w:right="180"/>
        <w:spacing w:after="0" w:line="227" w:lineRule="auto"/>
        <w:rPr>
          <w:sz w:val="20"/>
          <w:szCs w:val="20"/>
          <w:color w:val="auto"/>
        </w:rPr>
      </w:pPr>
      <w:r>
        <w:rPr>
          <w:rFonts w:ascii="Arial" w:cs="Arial" w:eastAsia="Arial" w:hAnsi="Arial"/>
          <w:sz w:val="20"/>
          <w:szCs w:val="20"/>
          <w:color w:val="auto"/>
        </w:rPr>
        <w:t>contents of the Research Program Data Package in advance of completion of the activities under the Research Program and to respond to MacroGenics’ queries regarding the formatting and completeness of such aspects of the Research Program Data Package.</w:t>
      </w:r>
    </w:p>
    <w:p>
      <w:pPr>
        <w:spacing w:after="0" w:line="178" w:lineRule="exact"/>
        <w:rPr>
          <w:sz w:val="20"/>
          <w:szCs w:val="20"/>
          <w:color w:val="auto"/>
        </w:rPr>
      </w:pPr>
    </w:p>
    <w:p>
      <w:pPr>
        <w:ind w:left="1020" w:right="100" w:firstLine="1301"/>
        <w:spacing w:after="0" w:line="239" w:lineRule="auto"/>
        <w:tabs>
          <w:tab w:leader="none" w:pos="2734"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Option Exercise</w:t>
      </w:r>
      <w:r>
        <w:rPr>
          <w:rFonts w:ascii="Arial" w:cs="Arial" w:eastAsia="Arial" w:hAnsi="Arial"/>
          <w:sz w:val="18"/>
          <w:szCs w:val="18"/>
          <w:color w:val="auto"/>
        </w:rPr>
        <w:t>. On a Research Program-by-Research Program basis, Gilead may exercise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 Opt-In for a Research Program by providing written notification to MacroGenics that it is doing so (“</w:t>
      </w:r>
      <w:r>
        <w:rPr>
          <w:rFonts w:ascii="Arial" w:cs="Arial" w:eastAsia="Arial" w:hAnsi="Arial"/>
          <w:sz w:val="18"/>
          <w:szCs w:val="18"/>
          <w:b w:val="1"/>
          <w:bCs w:val="1"/>
          <w:color w:val="auto"/>
        </w:rPr>
        <w:t>Research Program Opt-In Exercise Notice</w:t>
      </w:r>
      <w:r>
        <w:rPr>
          <w:rFonts w:ascii="Arial" w:cs="Arial" w:eastAsia="Arial" w:hAnsi="Arial"/>
          <w:sz w:val="18"/>
          <w:szCs w:val="18"/>
          <w:color w:val="auto"/>
        </w:rPr>
        <w:t>”) [***] (the “</w:t>
      </w:r>
      <w:r>
        <w:rPr>
          <w:rFonts w:ascii="Arial" w:cs="Arial" w:eastAsia="Arial" w:hAnsi="Arial"/>
          <w:sz w:val="18"/>
          <w:szCs w:val="18"/>
          <w:b w:val="1"/>
          <w:bCs w:val="1"/>
          <w:color w:val="auto"/>
        </w:rPr>
        <w:t>Research Program Opt-In Term</w:t>
      </w:r>
      <w:r>
        <w:rPr>
          <w:rFonts w:ascii="Arial" w:cs="Arial" w:eastAsia="Arial" w:hAnsi="Arial"/>
          <w:sz w:val="18"/>
          <w:szCs w:val="18"/>
          <w:color w:val="auto"/>
        </w:rPr>
        <w:t>”). Upon MacroGenics’ receipt of a Research Program Opt-In Exercise Notice for a Research Program during the Research Program Opt-In Term, the license to Gilead under Section 3.1(b) (Exploitation Licenses for Research Molecules and Research Products) for the Research Molecules and Research Products that are directed to the applicable Licensed Research Target Combination that is the subject of such Research Program [***] (“</w:t>
      </w:r>
      <w:r>
        <w:rPr>
          <w:rFonts w:ascii="Arial" w:cs="Arial" w:eastAsia="Arial" w:hAnsi="Arial"/>
          <w:sz w:val="18"/>
          <w:szCs w:val="18"/>
          <w:b w:val="1"/>
          <w:bCs w:val="1"/>
          <w:color w:val="auto"/>
        </w:rPr>
        <w:t>Research Program Opt-In Date</w:t>
      </w:r>
      <w:r>
        <w:rPr>
          <w:rFonts w:ascii="Arial" w:cs="Arial" w:eastAsia="Arial" w:hAnsi="Arial"/>
          <w:sz w:val="18"/>
          <w:szCs w:val="18"/>
          <w:color w:val="auto"/>
        </w:rPr>
        <w:t>”) [***].</w:t>
      </w:r>
    </w:p>
    <w:p>
      <w:pPr>
        <w:spacing w:after="0" w:line="260"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8"/>
          <w:szCs w:val="18"/>
          <w:b w:val="1"/>
          <w:bCs w:val="1"/>
          <w:color w:val="auto"/>
        </w:rPr>
        <w:t>Technology Transfer</w:t>
      </w:r>
      <w:r>
        <w:rPr>
          <w:rFonts w:ascii="Arial" w:cs="Arial" w:eastAsia="Arial" w:hAnsi="Arial"/>
          <w:sz w:val="18"/>
          <w:szCs w:val="18"/>
          <w:color w:val="auto"/>
        </w:rPr>
        <w:t>. [***] Research Program Opt-In Effective Date for a Research Program,</w:t>
      </w:r>
    </w:p>
    <w:p>
      <w:pPr>
        <w:spacing w:after="0" w:line="6" w:lineRule="exact"/>
        <w:rPr>
          <w:sz w:val="20"/>
          <w:szCs w:val="20"/>
          <w:color w:val="auto"/>
        </w:rPr>
      </w:pPr>
    </w:p>
    <w:p>
      <w:pPr>
        <w:ind w:left="1020" w:right="460"/>
        <w:spacing w:after="0" w:line="255" w:lineRule="auto"/>
        <w:rPr>
          <w:sz w:val="20"/>
          <w:szCs w:val="20"/>
          <w:color w:val="auto"/>
        </w:rPr>
      </w:pPr>
      <w:r>
        <w:rPr>
          <w:rFonts w:ascii="Arial" w:cs="Arial" w:eastAsia="Arial" w:hAnsi="Arial"/>
          <w:sz w:val="16"/>
          <w:szCs w:val="16"/>
          <w:color w:val="auto"/>
        </w:rPr>
        <w:t>MacroGenics will provide Gilead with copies of all MacroGenics Research Know-How (other than MacroGenics Research Know-How relating to the Manufacture of the applicable Research Molecules and Research Products, the</w:t>
      </w:r>
    </w:p>
    <w:p>
      <w:pPr>
        <w:ind w:left="1020"/>
        <w:spacing w:after="0" w:line="235" w:lineRule="auto"/>
        <w:rPr>
          <w:sz w:val="20"/>
          <w:szCs w:val="20"/>
          <w:color w:val="auto"/>
        </w:rPr>
      </w:pPr>
      <w:r>
        <w:rPr>
          <w:rFonts w:ascii="Arial" w:cs="Arial" w:eastAsia="Arial" w:hAnsi="Arial"/>
          <w:sz w:val="18"/>
          <w:szCs w:val="18"/>
          <w:color w:val="auto"/>
        </w:rPr>
        <w:t>initial transfer of which will be performed in accordance with Section 9.4 (Manufacturing Technology Transfer)) that</w:t>
      </w:r>
    </w:p>
    <w:p>
      <w:pPr>
        <w:ind w:left="1020" w:firstLine="5"/>
        <w:spacing w:after="0" w:line="271" w:lineRule="auto"/>
        <w:tabs>
          <w:tab w:leader="none" w:pos="149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Research Molecules and Research Products. To facilitate each such transfer, the Parties may mutually agree upon a written technology transfer plan to such MacroGenics Research Know-How (“</w:t>
      </w:r>
      <w:r>
        <w:rPr>
          <w:rFonts w:ascii="Arial" w:cs="Arial" w:eastAsia="Arial" w:hAnsi="Arial"/>
          <w:sz w:val="16"/>
          <w:szCs w:val="16"/>
          <w:b w:val="1"/>
          <w:bCs w:val="1"/>
          <w:color w:val="auto"/>
        </w:rPr>
        <w:t>Research Program Technology 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which will set forth a process and schedule for the transfer of such MacroGenics Research Know-How, projected</w:t>
      </w:r>
      <w:r>
        <w:rPr>
          <w:rFonts w:ascii="Arial" w:cs="Arial" w:eastAsia="Arial" w:hAnsi="Arial"/>
          <w:sz w:val="16"/>
          <w:szCs w:val="16"/>
          <w:b w:val="1"/>
          <w:bCs w:val="1"/>
          <w:color w:val="auto"/>
        </w:rPr>
        <w:t xml:space="preserve"> </w:t>
      </w:r>
      <w:r>
        <w:rPr>
          <w:rFonts w:ascii="Arial" w:cs="Arial" w:eastAsia="Arial" w:hAnsi="Arial"/>
          <w:sz w:val="16"/>
          <w:szCs w:val="16"/>
          <w:color w:val="auto"/>
        </w:rPr>
        <w:t>levels of support to be provided by each Party, allocation among the Parties of the major activities for such technology transfer and an overall timeline for its progress and completion. Each Party shall complete the activities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620"/>
          </w:cols>
          <w:pgMar w:left="400" w:top="1405" w:right="879" w:bottom="1440" w:gutter="0" w:footer="0" w:header="0"/>
        </w:sectPr>
      </w:pPr>
    </w:p>
    <w:bookmarkStart w:id="164" w:name="page165"/>
    <w:bookmarkEnd w:id="164"/>
    <w:p>
      <w:pPr>
        <w:spacing w:after="0" w:line="195" w:lineRule="exact"/>
        <w:rPr>
          <w:sz w:val="20"/>
          <w:szCs w:val="20"/>
          <w:color w:val="auto"/>
        </w:rPr>
      </w:pPr>
    </w:p>
    <w:p>
      <w:pPr>
        <w:ind w:left="1020"/>
        <w:spacing w:after="0" w:line="274" w:lineRule="auto"/>
        <w:rPr>
          <w:sz w:val="20"/>
          <w:szCs w:val="20"/>
          <w:color w:val="auto"/>
        </w:rPr>
      </w:pPr>
      <w:r>
        <w:rPr>
          <w:rFonts w:ascii="Arial" w:cs="Arial" w:eastAsia="Arial" w:hAnsi="Arial"/>
          <w:sz w:val="16"/>
          <w:szCs w:val="16"/>
          <w:color w:val="auto"/>
        </w:rPr>
        <w:t>to it under each Research Program Technology Transfer Plan (if any such plan is agreed upon). Thereafter, on a periodic basis [***] MacroGenics Research Know-How (the “</w:t>
      </w:r>
      <w:r>
        <w:rPr>
          <w:rFonts w:ascii="Arial" w:cs="Arial" w:eastAsia="Arial" w:hAnsi="Arial"/>
          <w:sz w:val="16"/>
          <w:szCs w:val="16"/>
          <w:b w:val="1"/>
          <w:bCs w:val="1"/>
          <w:color w:val="auto"/>
        </w:rPr>
        <w:t>Research Program Technology Transfer Period</w:t>
      </w:r>
      <w:r>
        <w:rPr>
          <w:rFonts w:ascii="Arial" w:cs="Arial" w:eastAsia="Arial" w:hAnsi="Arial"/>
          <w:sz w:val="16"/>
          <w:szCs w:val="16"/>
          <w:color w:val="auto"/>
        </w:rPr>
        <w:t>”) as Gilead may</w:t>
      </w:r>
    </w:p>
    <w:p>
      <w:pPr>
        <w:spacing w:after="0" w:line="1" w:lineRule="exact"/>
        <w:rPr>
          <w:sz w:val="20"/>
          <w:szCs w:val="20"/>
          <w:color w:val="auto"/>
        </w:rPr>
      </w:pPr>
    </w:p>
    <w:p>
      <w:pPr>
        <w:ind w:left="1020"/>
        <w:spacing w:after="0" w:line="215" w:lineRule="auto"/>
        <w:rPr>
          <w:sz w:val="20"/>
          <w:szCs w:val="20"/>
          <w:color w:val="auto"/>
        </w:rPr>
      </w:pPr>
      <w:r>
        <w:rPr>
          <w:rFonts w:ascii="Arial" w:cs="Arial" w:eastAsia="Arial" w:hAnsi="Arial"/>
          <w:sz w:val="19"/>
          <w:szCs w:val="19"/>
          <w:color w:val="auto"/>
        </w:rPr>
        <w:t>reasonably request, MacroGenics will provide to Gilead copies of all MacroGenics Research Know-How that is (a) created, developed, invented or otherwise made in the [***] MacroGenics Research Know-How, [***] Research</w:t>
      </w:r>
    </w:p>
    <w:p>
      <w:pPr>
        <w:ind w:left="1020"/>
        <w:spacing w:after="0" w:line="234" w:lineRule="auto"/>
        <w:rPr>
          <w:sz w:val="20"/>
          <w:szCs w:val="20"/>
          <w:color w:val="auto"/>
        </w:rPr>
      </w:pPr>
      <w:r>
        <w:rPr>
          <w:rFonts w:ascii="Arial" w:cs="Arial" w:eastAsia="Arial" w:hAnsi="Arial"/>
          <w:sz w:val="18"/>
          <w:szCs w:val="18"/>
          <w:color w:val="auto"/>
        </w:rPr>
        <w:t>Molecules and Research Products in accordance with the terms of this Agreement [***] Research Plan. In addition to</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providing copies of the MacroGenics Research Know-How in accordance with this Section 5.9 (Technology Transfer), MacroGenics will make its personnel reasonably available to Gilead during the Research Program Technology Transfer</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Period, at Gilead’s expense, so as to enable Gilead to practice under the MacroGenics Technology in connection with the</w:t>
      </w:r>
    </w:p>
    <w:p>
      <w:pPr>
        <w:spacing w:after="0" w:line="19" w:lineRule="exact"/>
        <w:rPr>
          <w:sz w:val="20"/>
          <w:szCs w:val="20"/>
          <w:color w:val="auto"/>
        </w:rPr>
      </w:pPr>
    </w:p>
    <w:p>
      <w:pPr>
        <w:ind w:left="1020"/>
        <w:spacing w:after="0" w:line="250" w:lineRule="auto"/>
        <w:rPr>
          <w:sz w:val="20"/>
          <w:szCs w:val="20"/>
          <w:color w:val="auto"/>
        </w:rPr>
      </w:pPr>
      <w:r>
        <w:rPr>
          <w:rFonts w:ascii="Arial" w:cs="Arial" w:eastAsia="Arial" w:hAnsi="Arial"/>
          <w:sz w:val="18"/>
          <w:szCs w:val="18"/>
          <w:color w:val="auto"/>
        </w:rPr>
        <w:t>Exploitation of the applicable Research Molecules and Research Products. Other than as set forth in the preceding sentence, [***] MacroGenics Research Know- How in accordance with this Section 5.9 (Technology Transfer).</w:t>
      </w:r>
    </w:p>
    <w:p>
      <w:pPr>
        <w:spacing w:after="0" w:line="170"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5.10</w:t>
      </w:r>
      <w:r>
        <w:rPr>
          <w:sz w:val="20"/>
          <w:szCs w:val="20"/>
          <w:color w:val="auto"/>
        </w:rPr>
        <w:tab/>
      </w:r>
      <w:r>
        <w:rPr>
          <w:rFonts w:ascii="Arial" w:cs="Arial" w:eastAsia="Arial" w:hAnsi="Arial"/>
          <w:sz w:val="16"/>
          <w:szCs w:val="16"/>
          <w:b w:val="1"/>
          <w:bCs w:val="1"/>
          <w:color w:val="auto"/>
        </w:rPr>
        <w:t>Research Program Termination</w:t>
      </w:r>
      <w:r>
        <w:rPr>
          <w:rFonts w:ascii="Arial" w:cs="Arial" w:eastAsia="Arial" w:hAnsi="Arial"/>
          <w:sz w:val="16"/>
          <w:szCs w:val="16"/>
          <w:color w:val="auto"/>
        </w:rPr>
        <w:t>. On a Research Program-by-Research Program basis, in the event that</w:t>
      </w:r>
    </w:p>
    <w:p>
      <w:pPr>
        <w:spacing w:after="0" w:line="6" w:lineRule="exact"/>
        <w:rPr>
          <w:sz w:val="20"/>
          <w:szCs w:val="20"/>
          <w:color w:val="auto"/>
        </w:rPr>
      </w:pPr>
    </w:p>
    <w:p>
      <w:pPr>
        <w:ind w:left="1020" w:right="40" w:firstLine="5"/>
        <w:spacing w:after="0" w:line="207" w:lineRule="auto"/>
        <w:tabs>
          <w:tab w:leader="none" w:pos="128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Gilead does not exercise the Research Program Opt-In during the Research Program Opt-In Term for a Research Program or pay the Research Program Opt-In Exercise Fee in accordance with Section 5.8(c) (Option Exercise) or (b) the Outside Date for such Research Program occurs prior to the Research Program Opt-In Effective Date for such Research Program, the following shall occur: (i) such Research Program and all rights and licenses granted by one Party to the other in connection therewith (including pursuant to Sections 3.1(a) (Research Term License), 3.1(b) (Exploitation Licenses for Research Molecules and Research Products) and 3.2(a) (Research Term License)) shall terminate in their entirety,</w:t>
      </w:r>
    </w:p>
    <w:p>
      <w:pPr>
        <w:spacing w:after="0" w:line="2" w:lineRule="exact"/>
        <w:rPr>
          <w:rFonts w:ascii="Arial" w:cs="Arial" w:eastAsia="Arial" w:hAnsi="Arial"/>
          <w:sz w:val="20"/>
          <w:szCs w:val="20"/>
          <w:color w:val="auto"/>
        </w:rPr>
      </w:pPr>
    </w:p>
    <w:p>
      <w:pPr>
        <w:jc w:val="both"/>
        <w:ind w:left="1020" w:firstLine="5"/>
        <w:spacing w:after="0" w:line="257" w:lineRule="auto"/>
        <w:tabs>
          <w:tab w:leader="none" w:pos="131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this Agreement shall terminate with respect to such Research Program as well as all Research Products and Research Molecules with respect to such Research Program and for clarity, (1) Research Molecules with respect to such Research Program shall not be deemed Licensed Molecules and Research Products with respect to such Research Program shall not be deemed Licensed Products and (2) no Research Product Development Milestone Payments, Commercial Milestone Payments or royalties, in each case, will be due for Research Products with respect to such Research Program,</w:t>
      </w:r>
    </w:p>
    <w:p>
      <w:pPr>
        <w:jc w:val="both"/>
        <w:ind w:left="1020" w:firstLine="6"/>
        <w:spacing w:after="0" w:line="233" w:lineRule="auto"/>
        <w:tabs>
          <w:tab w:leader="none" w:pos="138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MacroGenics’ exclusivity obligations pursuant to Section 3.10(b) (Research Program Exclusivity) with respect to the applicable Research Molecules and Research Products shall terminate immediately and (iv) Gilead shall promptly return to MacroGenics or destroy (at MacroGenics’ election) any and all MacroGenics Research Know-How and any other Confidential Information of MacroGenics or its Affiliates solely related to the applicable Research Molecules, Research Products or such Research Program, in accordance with Section 12.1(e) (Obligations Upon Termination). For the avoidance of doubt, upon the early termination of a given Research Program in accordance with this Section 5.10 (Research Program Termination), MacroGenics shall have no further obligations to Gilead with respect to the applicable Research Target Combination and any Research Molecule or Research Product and shall have the right to Exploit (or to not Exploit) in any manner whatsoever any Research Molecule or Research Product, in MacroGenics’ sole discretion, without provision or disclosure of any related information or other Know-How to Gilead in connection therewith.</w:t>
      </w:r>
    </w:p>
    <w:p>
      <w:pPr>
        <w:spacing w:after="0" w:line="196" w:lineRule="exact"/>
        <w:rPr>
          <w:sz w:val="20"/>
          <w:szCs w:val="20"/>
          <w:color w:val="auto"/>
        </w:rPr>
      </w:pPr>
    </w:p>
    <w:p>
      <w:pPr>
        <w:ind w:left="1380" w:hanging="354"/>
        <w:spacing w:after="0"/>
        <w:tabs>
          <w:tab w:leader="none" w:pos="1380" w:val="left"/>
        </w:tabs>
        <w:numPr>
          <w:ilvl w:val="0"/>
          <w:numId w:val="107"/>
        </w:numPr>
        <w:rPr>
          <w:rFonts w:ascii="Arial" w:cs="Arial" w:eastAsia="Arial" w:hAnsi="Arial"/>
          <w:sz w:val="20"/>
          <w:szCs w:val="20"/>
          <w:color w:val="auto"/>
        </w:rPr>
      </w:pPr>
      <w:r>
        <w:rPr>
          <w:rFonts w:ascii="Arial" w:cs="Arial" w:eastAsia="Arial" w:hAnsi="Arial"/>
          <w:sz w:val="20"/>
          <w:szCs w:val="20"/>
          <w:b w:val="1"/>
          <w:bCs w:val="1"/>
          <w:color w:val="auto"/>
        </w:rPr>
        <w:t>Gilead Development</w:t>
      </w: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b w:val="1"/>
          <w:bCs w:val="1"/>
          <w:color w:val="auto"/>
        </w:rPr>
        <w:t>Antitrust Filings</w:t>
      </w:r>
      <w:r>
        <w:rPr>
          <w:rFonts w:ascii="Arial" w:cs="Arial" w:eastAsia="Arial" w:hAnsi="Arial"/>
          <w:sz w:val="18"/>
          <w:szCs w:val="18"/>
          <w:color w:val="auto"/>
        </w:rPr>
        <w:t>.</w:t>
      </w:r>
    </w:p>
    <w:p>
      <w:pPr>
        <w:spacing w:after="0" w:line="216" w:lineRule="exact"/>
        <w:rPr>
          <w:sz w:val="20"/>
          <w:szCs w:val="20"/>
          <w:color w:val="auto"/>
        </w:rPr>
      </w:pPr>
    </w:p>
    <w:p>
      <w:pPr>
        <w:ind w:left="1020" w:right="80" w:firstLine="1301"/>
        <w:spacing w:after="0" w:line="219" w:lineRule="auto"/>
        <w:tabs>
          <w:tab w:leader="none" w:pos="2732" w:val="left"/>
        </w:tabs>
        <w:numPr>
          <w:ilvl w:val="0"/>
          <w:numId w:val="108"/>
        </w:numPr>
        <w:rPr>
          <w:rFonts w:ascii="Arial" w:cs="Arial" w:eastAsia="Arial" w:hAnsi="Arial"/>
          <w:sz w:val="20"/>
          <w:szCs w:val="20"/>
          <w:color w:val="auto"/>
        </w:rPr>
      </w:pPr>
      <w:r>
        <w:rPr>
          <w:rFonts w:ascii="Arial" w:cs="Arial" w:eastAsia="Arial" w:hAnsi="Arial"/>
          <w:sz w:val="20"/>
          <w:szCs w:val="20"/>
          <w:b w:val="1"/>
          <w:bCs w:val="1"/>
          <w:color w:val="auto"/>
        </w:rPr>
        <w:t>Filings</w:t>
      </w:r>
      <w:r>
        <w:rPr>
          <w:rFonts w:ascii="Arial" w:cs="Arial" w:eastAsia="Arial" w:hAnsi="Arial"/>
          <w:sz w:val="20"/>
          <w:szCs w:val="20"/>
          <w:color w:val="auto"/>
        </w:rPr>
        <w:t>. If Gilead determines, in its sole discretion, that any filings, notices, applications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submissions under Antitrust Law are necessary or advisable in connection with Gilead’s exercise of the CD123 Option or a Research Program Opt-In (“</w:t>
      </w:r>
      <w:r>
        <w:rPr>
          <w:rFonts w:ascii="Arial" w:cs="Arial" w:eastAsia="Arial" w:hAnsi="Arial"/>
          <w:sz w:val="20"/>
          <w:szCs w:val="20"/>
          <w:b w:val="1"/>
          <w:bCs w:val="1"/>
          <w:color w:val="auto"/>
        </w:rPr>
        <w:t>Antitrust Filing</w:t>
      </w:r>
      <w:r>
        <w:rPr>
          <w:rFonts w:ascii="Arial" w:cs="Arial" w:eastAsia="Arial" w:hAnsi="Arial"/>
          <w:sz w:val="20"/>
          <w:szCs w:val="20"/>
          <w:color w:val="auto"/>
        </w:rPr>
        <w:t>”), then Gilead and MacroGenics will submit such Antitrust Filings (in draft form where applicable) as soon as reasonably practicable. MacroGenics will furnish in a timely manner all information, documents and assistance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620"/>
          </w:cols>
          <w:pgMar w:left="400" w:top="1440" w:right="879" w:bottom="1440" w:gutter="0" w:footer="0" w:header="0"/>
        </w:sectPr>
      </w:pPr>
    </w:p>
    <w:bookmarkStart w:id="165" w:name="page166"/>
    <w:bookmarkEnd w:id="165"/>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 xml:space="preserve">[***], in connection with the antitrust assessment and, if applicable, with the preparation of any such Antitrust Filings,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information may be redacted as necessary to address legal privilege or confidentiality concerns, or to</w:t>
      </w:r>
    </w:p>
    <w:p>
      <w:pPr>
        <w:ind w:left="1020"/>
        <w:spacing w:after="0" w:line="226" w:lineRule="auto"/>
        <w:rPr>
          <w:sz w:val="20"/>
          <w:szCs w:val="20"/>
          <w:color w:val="auto"/>
        </w:rPr>
      </w:pPr>
      <w:r>
        <w:rPr>
          <w:rFonts w:ascii="Arial" w:cs="Arial" w:eastAsia="Arial" w:hAnsi="Arial"/>
          <w:sz w:val="18"/>
          <w:szCs w:val="18"/>
          <w:color w:val="auto"/>
        </w:rPr>
        <w:t>comply with Applicable Laws and Regulations, and that any information that is considered competitively sensitive may be designated as for “outside antitrust counsel only”. In connection with any such Antitrust Filing, the Parties will</w:t>
      </w:r>
    </w:p>
    <w:p>
      <w:pPr>
        <w:ind w:left="1020"/>
        <w:spacing w:after="0" w:line="236" w:lineRule="auto"/>
        <w:rPr>
          <w:sz w:val="20"/>
          <w:szCs w:val="20"/>
          <w:color w:val="auto"/>
        </w:rPr>
      </w:pPr>
      <w:r>
        <w:rPr>
          <w:rFonts w:ascii="Arial" w:cs="Arial" w:eastAsia="Arial" w:hAnsi="Arial"/>
          <w:sz w:val="18"/>
          <w:szCs w:val="18"/>
          <w:color w:val="auto"/>
        </w:rPr>
        <w:t>furnish promptly to the United States Federal Trade Commission, the Antitrust Division of the United States Department</w:t>
      </w:r>
    </w:p>
    <w:p>
      <w:pPr>
        <w:spacing w:after="0" w:line="1" w:lineRule="exact"/>
        <w:rPr>
          <w:sz w:val="20"/>
          <w:szCs w:val="20"/>
          <w:color w:val="auto"/>
        </w:rPr>
      </w:pPr>
    </w:p>
    <w:p>
      <w:pPr>
        <w:ind w:left="1020"/>
        <w:spacing w:after="0" w:line="215" w:lineRule="auto"/>
        <w:rPr>
          <w:sz w:val="20"/>
          <w:szCs w:val="20"/>
          <w:color w:val="auto"/>
        </w:rPr>
      </w:pPr>
      <w:r>
        <w:rPr>
          <w:rFonts w:ascii="Arial" w:cs="Arial" w:eastAsia="Arial" w:hAnsi="Arial"/>
          <w:sz w:val="19"/>
          <w:szCs w:val="19"/>
          <w:color w:val="auto"/>
        </w:rPr>
        <w:t>of Justice and any other applicable Governmental Entity any additional information requested within their authority under the HSR Act or other Antitrust Law, use reasonable efforts to obtain antitrust clearance for the transactions</w:t>
      </w:r>
    </w:p>
    <w:p>
      <w:pPr>
        <w:ind w:left="1020"/>
        <w:spacing w:after="0" w:line="234" w:lineRule="auto"/>
        <w:rPr>
          <w:sz w:val="20"/>
          <w:szCs w:val="20"/>
          <w:color w:val="auto"/>
        </w:rPr>
      </w:pPr>
      <w:r>
        <w:rPr>
          <w:rFonts w:ascii="Arial" w:cs="Arial" w:eastAsia="Arial" w:hAnsi="Arial"/>
          <w:sz w:val="18"/>
          <w:szCs w:val="18"/>
          <w:color w:val="auto"/>
        </w:rPr>
        <w:t>contemplated hereunder as soon as practicable and otherwise cooperate with each other in any such governmental</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antitrust clearance process. [***]. Notwithstanding the foregoing, nothing in this Section 6.1(a) (Filings) or otherwise in this Agreement will require Gilead or its Affiliates to, in connection with obtaining antitrust clearance for any of the</w:t>
      </w:r>
    </w:p>
    <w:p>
      <w:pPr>
        <w:ind w:left="1020"/>
        <w:spacing w:after="0" w:line="236" w:lineRule="auto"/>
        <w:rPr>
          <w:sz w:val="20"/>
          <w:szCs w:val="20"/>
          <w:color w:val="auto"/>
        </w:rPr>
      </w:pPr>
      <w:r>
        <w:rPr>
          <w:rFonts w:ascii="Arial" w:cs="Arial" w:eastAsia="Arial" w:hAnsi="Arial"/>
          <w:sz w:val="18"/>
          <w:szCs w:val="18"/>
          <w:color w:val="auto"/>
        </w:rPr>
        <w:t>transactions contemplated hereunder, (i) propose, negotiate, effect or agree to, the sale, divestiture, license or other</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disposition of any assets or businesses of Gilead or any of its Affiliates or otherwise take any action that limits its freedom of action with respect to, or its ability to retain, any of the businesses, product lines or assets of Gilead or any of</w:t>
      </w:r>
    </w:p>
    <w:p>
      <w:pPr>
        <w:spacing w:after="0" w:line="2" w:lineRule="exact"/>
        <w:rPr>
          <w:sz w:val="20"/>
          <w:szCs w:val="20"/>
          <w:color w:val="auto"/>
        </w:rPr>
      </w:pPr>
    </w:p>
    <w:p>
      <w:pPr>
        <w:ind w:left="1020"/>
        <w:spacing w:after="0" w:line="227" w:lineRule="auto"/>
        <w:rPr>
          <w:sz w:val="20"/>
          <w:szCs w:val="20"/>
          <w:color w:val="auto"/>
        </w:rPr>
      </w:pPr>
      <w:r>
        <w:rPr>
          <w:rFonts w:ascii="Arial" w:cs="Arial" w:eastAsia="Arial" w:hAnsi="Arial"/>
          <w:sz w:val="20"/>
          <w:szCs w:val="20"/>
          <w:color w:val="auto"/>
        </w:rPr>
        <w:t>its Affiliates, or (ii) litigate or otherwise formally oppose any determination (whether judicial or administrative in nature) by a Governmental Entity seeking to impose any of the restrictions referenced in clause (ii) above.</w:t>
      </w:r>
    </w:p>
    <w:p>
      <w:pPr>
        <w:spacing w:after="0" w:line="177" w:lineRule="exact"/>
        <w:rPr>
          <w:sz w:val="20"/>
          <w:szCs w:val="20"/>
          <w:color w:val="auto"/>
        </w:rPr>
      </w:pPr>
    </w:p>
    <w:p>
      <w:pPr>
        <w:ind w:left="2740" w:hanging="419"/>
        <w:spacing w:after="0"/>
        <w:tabs>
          <w:tab w:leader="none" w:pos="274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Effectiveness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20" w:right="80" w:firstLine="1949"/>
        <w:spacing w:after="0" w:line="221" w:lineRule="auto"/>
        <w:tabs>
          <w:tab w:leader="none" w:pos="3349" w:val="left"/>
        </w:tabs>
        <w:numPr>
          <w:ilvl w:val="1"/>
          <w:numId w:val="109"/>
        </w:numPr>
        <w:rPr>
          <w:rFonts w:ascii="Arial" w:cs="Arial" w:eastAsia="Arial" w:hAnsi="Arial"/>
          <w:sz w:val="20"/>
          <w:szCs w:val="20"/>
          <w:color w:val="auto"/>
        </w:rPr>
      </w:pPr>
      <w:r>
        <w:rPr>
          <w:rFonts w:ascii="Arial" w:cs="Arial" w:eastAsia="Arial" w:hAnsi="Arial"/>
          <w:sz w:val="20"/>
          <w:szCs w:val="20"/>
          <w:b w:val="1"/>
          <w:bCs w:val="1"/>
          <w:color w:val="auto"/>
        </w:rPr>
        <w:t>CD123 Development Program Effectiveness</w:t>
      </w:r>
      <w:r>
        <w:rPr>
          <w:rFonts w:ascii="Arial" w:cs="Arial" w:eastAsia="Arial" w:hAnsi="Arial"/>
          <w:sz w:val="20"/>
          <w:szCs w:val="20"/>
          <w:color w:val="auto"/>
        </w:rPr>
        <w:t>. Following the CD123 Option Exercise</w:t>
      </w:r>
      <w:r>
        <w:rPr>
          <w:rFonts w:ascii="Arial" w:cs="Arial" w:eastAsia="Arial" w:hAnsi="Arial"/>
          <w:sz w:val="20"/>
          <w:szCs w:val="20"/>
          <w:b w:val="1"/>
          <w:bCs w:val="1"/>
          <w:color w:val="auto"/>
        </w:rPr>
        <w:t xml:space="preserve"> </w:t>
      </w:r>
      <w:r>
        <w:rPr>
          <w:rFonts w:ascii="Arial" w:cs="Arial" w:eastAsia="Arial" w:hAnsi="Arial"/>
          <w:sz w:val="20"/>
          <w:szCs w:val="20"/>
          <w:color w:val="auto"/>
        </w:rPr>
        <w:t>Date, the license set forth in Section 3.1(d) (Exploitation License for CD123 Molecules and CD123 Products) [***], the “</w:t>
      </w:r>
      <w:r>
        <w:rPr>
          <w:rFonts w:ascii="Arial" w:cs="Arial" w:eastAsia="Arial" w:hAnsi="Arial"/>
          <w:sz w:val="20"/>
          <w:szCs w:val="20"/>
          <w:b w:val="1"/>
          <w:bCs w:val="1"/>
          <w:color w:val="auto"/>
        </w:rPr>
        <w:t>CD123 Option Effective Date</w:t>
      </w:r>
      <w:r>
        <w:rPr>
          <w:rFonts w:ascii="Arial" w:cs="Arial" w:eastAsia="Arial" w:hAnsi="Arial"/>
          <w:sz w:val="20"/>
          <w:szCs w:val="20"/>
          <w:color w:val="auto"/>
        </w:rPr>
        <w:t>.” In addition, [***] CD123 Option Exercise Notice, the CD123 Development Term [***].</w:t>
      </w:r>
    </w:p>
    <w:p>
      <w:pPr>
        <w:spacing w:after="0" w:line="273" w:lineRule="exact"/>
        <w:rPr>
          <w:rFonts w:ascii="Arial" w:cs="Arial" w:eastAsia="Arial" w:hAnsi="Arial"/>
          <w:sz w:val="20"/>
          <w:szCs w:val="20"/>
          <w:color w:val="auto"/>
        </w:rPr>
      </w:pPr>
    </w:p>
    <w:p>
      <w:pPr>
        <w:ind w:left="1020" w:firstLine="1949"/>
        <w:spacing w:after="0" w:line="215" w:lineRule="auto"/>
        <w:tabs>
          <w:tab w:leader="none" w:pos="3403" w:val="left"/>
        </w:tabs>
        <w:numPr>
          <w:ilvl w:val="1"/>
          <w:numId w:val="109"/>
        </w:numPr>
        <w:rPr>
          <w:rFonts w:ascii="Arial" w:cs="Arial" w:eastAsia="Arial" w:hAnsi="Arial"/>
          <w:sz w:val="20"/>
          <w:szCs w:val="20"/>
          <w:color w:val="auto"/>
        </w:rPr>
      </w:pPr>
      <w:r>
        <w:rPr>
          <w:rFonts w:ascii="Arial" w:cs="Arial" w:eastAsia="Arial" w:hAnsi="Arial"/>
          <w:sz w:val="20"/>
          <w:szCs w:val="20"/>
          <w:b w:val="1"/>
          <w:bCs w:val="1"/>
          <w:color w:val="auto"/>
        </w:rPr>
        <w:t>Research Programs Effectiveness</w:t>
      </w:r>
      <w:r>
        <w:rPr>
          <w:rFonts w:ascii="Arial" w:cs="Arial" w:eastAsia="Arial" w:hAnsi="Arial"/>
          <w:sz w:val="20"/>
          <w:szCs w:val="20"/>
          <w:color w:val="auto"/>
        </w:rPr>
        <w:t>. On a Research Program-by-Research Program basis,</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the Research Program Opt-In Date for a Research Program, the license set forth in Section 3.1(b) (Exploitation Licenses for Research Molecules and Research Products) for the Research Molecules and Research Products that are directed to the applicable Licensed Research Target Combination [***], the “</w:t>
      </w:r>
      <w:r>
        <w:rPr>
          <w:rFonts w:ascii="Arial" w:cs="Arial" w:eastAsia="Arial" w:hAnsi="Arial"/>
          <w:sz w:val="20"/>
          <w:szCs w:val="20"/>
          <w:b w:val="1"/>
          <w:bCs w:val="1"/>
          <w:color w:val="auto"/>
        </w:rPr>
        <w:t>Research Program Opt-In Effective</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 Research Program Opt-In Exercise Notice for a Research Program, the Research Term for such Research</w:t>
      </w:r>
      <w:r>
        <w:rPr>
          <w:rFonts w:ascii="Arial" w:cs="Arial" w:eastAsia="Arial" w:hAnsi="Arial"/>
          <w:sz w:val="20"/>
          <w:szCs w:val="20"/>
          <w:b w:val="1"/>
          <w:bCs w:val="1"/>
          <w:color w:val="auto"/>
        </w:rPr>
        <w:t xml:space="preserve"> </w:t>
      </w:r>
      <w:r>
        <w:rPr>
          <w:rFonts w:ascii="Arial" w:cs="Arial" w:eastAsia="Arial" w:hAnsi="Arial"/>
          <w:sz w:val="20"/>
          <w:szCs w:val="20"/>
          <w:color w:val="auto"/>
        </w:rPr>
        <w:t>Program [***].</w:t>
      </w:r>
    </w:p>
    <w:p>
      <w:pPr>
        <w:spacing w:after="0" w:line="289" w:lineRule="exact"/>
        <w:rPr>
          <w:rFonts w:ascii="Arial" w:cs="Arial" w:eastAsia="Arial" w:hAnsi="Arial"/>
          <w:sz w:val="20"/>
          <w:szCs w:val="20"/>
          <w:color w:val="auto"/>
        </w:rPr>
      </w:pPr>
    </w:p>
    <w:p>
      <w:pPr>
        <w:ind w:left="1020" w:right="80" w:firstLine="1302"/>
        <w:spacing w:after="0" w:line="227" w:lineRule="auto"/>
        <w:tabs>
          <w:tab w:leader="none" w:pos="2733" w:val="left"/>
        </w:tabs>
        <w:numPr>
          <w:ilvl w:val="0"/>
          <w:numId w:val="109"/>
        </w:numPr>
        <w:rPr>
          <w:rFonts w:ascii="Arial" w:cs="Arial" w:eastAsia="Arial" w:hAnsi="Arial"/>
          <w:sz w:val="19"/>
          <w:szCs w:val="19"/>
          <w:color w:val="auto"/>
        </w:rPr>
      </w:pPr>
      <w:r>
        <w:rPr>
          <w:rFonts w:ascii="Arial" w:cs="Arial" w:eastAsia="Arial" w:hAnsi="Arial"/>
          <w:sz w:val="19"/>
          <w:szCs w:val="19"/>
          <w:b w:val="1"/>
          <w:bCs w:val="1"/>
          <w:color w:val="auto"/>
        </w:rPr>
        <w:t>Outside Date</w:t>
      </w:r>
      <w:r>
        <w:rPr>
          <w:rFonts w:ascii="Arial" w:cs="Arial" w:eastAsia="Arial" w:hAnsi="Arial"/>
          <w:sz w:val="19"/>
          <w:szCs w:val="19"/>
          <w:color w:val="auto"/>
        </w:rPr>
        <w:t>. If (i) Gilead determines any Antitrust Filings are necessary or advisable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Gilead’s exercise of the CD123 Option or a Research Program Opt-In and (ii) the CD123 Option Effective Date or applicable Research Program Opt-In Effective Date does not occur on or before [***] after the CD123 Option Exercise Date or applicable Research Program Opt-In Date (the “</w:t>
      </w:r>
      <w:r>
        <w:rPr>
          <w:rFonts w:ascii="Arial" w:cs="Arial" w:eastAsia="Arial" w:hAnsi="Arial"/>
          <w:sz w:val="19"/>
          <w:szCs w:val="19"/>
          <w:b w:val="1"/>
          <w:bCs w:val="1"/>
          <w:color w:val="auto"/>
        </w:rPr>
        <w:t>Initial Outside Date</w:t>
      </w:r>
      <w:r>
        <w:rPr>
          <w:rFonts w:ascii="Arial" w:cs="Arial" w:eastAsia="Arial" w:hAnsi="Arial"/>
          <w:sz w:val="19"/>
          <w:szCs w:val="19"/>
          <w:color w:val="auto"/>
        </w:rPr>
        <w:t>”), then Gilead [***] provide written notice to MacroGenics on or prior to the applicable Initial Outside Date to extend such Initial Outside Date by [***] (the Initial Outside Date, as it may be extended, if applicable, the “</w:t>
      </w:r>
      <w:r>
        <w:rPr>
          <w:rFonts w:ascii="Arial" w:cs="Arial" w:eastAsia="Arial" w:hAnsi="Arial"/>
          <w:sz w:val="19"/>
          <w:szCs w:val="19"/>
          <w:b w:val="1"/>
          <w:bCs w:val="1"/>
          <w:color w:val="auto"/>
        </w:rPr>
        <w:t>Outside Date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620"/>
          </w:cols>
          <w:pgMar w:left="400" w:top="1440" w:right="879" w:bottom="1440" w:gutter="0" w:footer="0" w:header="0"/>
        </w:sectPr>
      </w:pPr>
    </w:p>
    <w:bookmarkStart w:id="166" w:name="page167"/>
    <w:bookmarkEnd w:id="166"/>
    <w:p>
      <w:pPr>
        <w:spacing w:after="0" w:line="195" w:lineRule="exact"/>
        <w:rPr>
          <w:sz w:val="20"/>
          <w:szCs w:val="20"/>
          <w:color w:val="auto"/>
        </w:rPr>
      </w:pPr>
    </w:p>
    <w:p>
      <w:pPr>
        <w:jc w:val="both"/>
        <w:ind w:left="1020"/>
        <w:spacing w:after="0" w:line="231"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Parties may mutually agree to extend the Outside Date if such extension is necessary for</w:t>
      </w:r>
      <w:r>
        <w:rPr>
          <w:rFonts w:ascii="Arial" w:cs="Arial" w:eastAsia="Arial" w:hAnsi="Arial"/>
          <w:sz w:val="19"/>
          <w:szCs w:val="19"/>
          <w:i w:val="1"/>
          <w:iCs w:val="1"/>
          <w:color w:val="auto"/>
        </w:rPr>
        <w:t xml:space="preserve"> </w:t>
      </w:r>
      <w:r>
        <w:rPr>
          <w:rFonts w:ascii="Arial" w:cs="Arial" w:eastAsia="Arial" w:hAnsi="Arial"/>
          <w:sz w:val="19"/>
          <w:szCs w:val="19"/>
          <w:color w:val="auto"/>
        </w:rPr>
        <w:t>Gilead to litigate, defend against, or otherwise contest any challenge, claim, lawsuit or other cause of action in</w:t>
      </w:r>
    </w:p>
    <w:p>
      <w:pPr>
        <w:jc w:val="both"/>
        <w:ind w:left="1020"/>
        <w:spacing w:after="0" w:line="220" w:lineRule="auto"/>
        <w:rPr>
          <w:sz w:val="20"/>
          <w:szCs w:val="20"/>
          <w:color w:val="auto"/>
        </w:rPr>
      </w:pPr>
      <w:r>
        <w:rPr>
          <w:rFonts w:ascii="Arial" w:cs="Arial" w:eastAsia="Arial" w:hAnsi="Arial"/>
          <w:sz w:val="20"/>
          <w:szCs w:val="20"/>
          <w:color w:val="auto"/>
        </w:rPr>
        <w:t>connection with the Gilead’s exercise of the CD123 Option Effective Date or applicable Research Program Opt-In Effective Date pursuant to or under any Antitrust Law.</w:t>
      </w:r>
    </w:p>
    <w:p>
      <w:pPr>
        <w:spacing w:after="0" w:line="179" w:lineRule="exact"/>
        <w:rPr>
          <w:sz w:val="20"/>
          <w:szCs w:val="20"/>
          <w:color w:val="auto"/>
        </w:rPr>
      </w:pPr>
    </w:p>
    <w:p>
      <w:pPr>
        <w:jc w:val="center"/>
        <w:ind w:right="-759"/>
        <w:spacing w:after="0"/>
        <w:tabs>
          <w:tab w:leader="none" w:pos="1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b w:val="1"/>
          <w:bCs w:val="1"/>
          <w:color w:val="auto"/>
        </w:rPr>
        <w:t>Further Assurances</w:t>
      </w:r>
      <w:r>
        <w:rPr>
          <w:rFonts w:ascii="Arial" w:cs="Arial" w:eastAsia="Arial" w:hAnsi="Arial"/>
          <w:sz w:val="18"/>
          <w:szCs w:val="18"/>
          <w:color w:val="auto"/>
        </w:rPr>
        <w:t>. Without limiting the foregoing obligations in this Section</w:t>
      </w:r>
    </w:p>
    <w:p>
      <w:pPr>
        <w:spacing w:after="0" w:line="4" w:lineRule="exact"/>
        <w:rPr>
          <w:sz w:val="20"/>
          <w:szCs w:val="20"/>
          <w:color w:val="auto"/>
        </w:rPr>
      </w:pPr>
    </w:p>
    <w:p>
      <w:pPr>
        <w:ind w:left="1020" w:right="120"/>
        <w:spacing w:after="0" w:line="234" w:lineRule="auto"/>
        <w:rPr>
          <w:sz w:val="20"/>
          <w:szCs w:val="20"/>
          <w:color w:val="auto"/>
        </w:rPr>
      </w:pPr>
      <w:r>
        <w:rPr>
          <w:rFonts w:ascii="Arial" w:cs="Arial" w:eastAsia="Arial" w:hAnsi="Arial"/>
          <w:sz w:val="18"/>
          <w:szCs w:val="18"/>
          <w:color w:val="auto"/>
        </w:rPr>
        <w:t>6.1 (Antitrust Filings), each Party will promptly notify the other of the receipt and content of any inquiries or requests for additional information made by any Governmental Entity in connection with Gilead’s exercise of the CD123 Option</w:t>
      </w:r>
    </w:p>
    <w:p>
      <w:pPr>
        <w:spacing w:after="0" w:line="1" w:lineRule="exact"/>
        <w:rPr>
          <w:sz w:val="20"/>
          <w:szCs w:val="20"/>
          <w:color w:val="auto"/>
        </w:rPr>
      </w:pPr>
    </w:p>
    <w:p>
      <w:pPr>
        <w:ind w:left="1020" w:right="60"/>
        <w:spacing w:after="0" w:line="226" w:lineRule="auto"/>
        <w:rPr>
          <w:sz w:val="20"/>
          <w:szCs w:val="20"/>
          <w:color w:val="auto"/>
        </w:rPr>
      </w:pPr>
      <w:r>
        <w:rPr>
          <w:rFonts w:ascii="Arial" w:cs="Arial" w:eastAsia="Arial" w:hAnsi="Arial"/>
          <w:sz w:val="18"/>
          <w:szCs w:val="18"/>
          <w:color w:val="auto"/>
        </w:rPr>
        <w:t>or a Research Program Opt-In and keep the other apprised on a prompt basis of the status of any such inquiry or request. Each Party will promptly inform the other Party of any oral communication with, and provide copies of written</w:t>
      </w:r>
    </w:p>
    <w:p>
      <w:pPr>
        <w:ind w:left="1020"/>
        <w:spacing w:after="0" w:line="224" w:lineRule="auto"/>
        <w:rPr>
          <w:sz w:val="20"/>
          <w:szCs w:val="20"/>
          <w:color w:val="auto"/>
        </w:rPr>
      </w:pPr>
      <w:r>
        <w:rPr>
          <w:rFonts w:ascii="Arial" w:cs="Arial" w:eastAsia="Arial" w:hAnsi="Arial"/>
          <w:sz w:val="19"/>
          <w:szCs w:val="19"/>
          <w:color w:val="auto"/>
        </w:rPr>
        <w:t>communications with, any Governmental Entity regarding Gilead’s exercise of the CD123 Option or a Research</w:t>
      </w:r>
    </w:p>
    <w:p>
      <w:pPr>
        <w:jc w:val="both"/>
        <w:ind w:left="1020"/>
        <w:spacing w:after="0" w:line="226" w:lineRule="auto"/>
        <w:rPr>
          <w:sz w:val="20"/>
          <w:szCs w:val="20"/>
          <w:color w:val="auto"/>
        </w:rPr>
      </w:pPr>
      <w:r>
        <w:rPr>
          <w:rFonts w:ascii="Arial" w:cs="Arial" w:eastAsia="Arial" w:hAnsi="Arial"/>
          <w:sz w:val="18"/>
          <w:szCs w:val="18"/>
          <w:color w:val="auto"/>
        </w:rPr>
        <w:t>Program Opt-In. Except as prohibited by Applicable Law and Regulations, no Party will independently participate in any meeting or conference call with any Governmental Entity in respect of any such filings, investigation or other such</w:t>
      </w:r>
    </w:p>
    <w:p>
      <w:pPr>
        <w:spacing w:after="0" w:line="2" w:lineRule="exact"/>
        <w:rPr>
          <w:sz w:val="20"/>
          <w:szCs w:val="20"/>
          <w:color w:val="auto"/>
        </w:rPr>
      </w:pPr>
    </w:p>
    <w:p>
      <w:pPr>
        <w:ind w:left="1020" w:right="380"/>
        <w:spacing w:after="0" w:line="227" w:lineRule="auto"/>
        <w:rPr>
          <w:sz w:val="20"/>
          <w:szCs w:val="20"/>
          <w:color w:val="auto"/>
        </w:rPr>
      </w:pPr>
      <w:r>
        <w:rPr>
          <w:rFonts w:ascii="Arial" w:cs="Arial" w:eastAsia="Arial" w:hAnsi="Arial"/>
          <w:sz w:val="20"/>
          <w:szCs w:val="20"/>
          <w:color w:val="auto"/>
        </w:rPr>
        <w:t>inquiry without giving the other Party prior notice of the meeting and, to the extent permitted by such Governmental Entity, the opportunity to attend and participate.</w:t>
      </w:r>
    </w:p>
    <w:p>
      <w:pPr>
        <w:spacing w:after="0" w:line="179"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b w:val="1"/>
          <w:bCs w:val="1"/>
          <w:color w:val="auto"/>
        </w:rPr>
        <w:t>CD123 Molecules and CD123 Products</w:t>
      </w:r>
      <w:r>
        <w:rPr>
          <w:rFonts w:ascii="Arial" w:cs="Arial" w:eastAsia="Arial" w:hAnsi="Arial"/>
          <w:sz w:val="18"/>
          <w:szCs w:val="18"/>
          <w:color w:val="auto"/>
        </w:rPr>
        <w:t>. After the CD123 Option Effective Date, Gilead shall [***], for</w:t>
      </w:r>
    </w:p>
    <w:p>
      <w:pPr>
        <w:spacing w:after="0" w:line="6" w:lineRule="exact"/>
        <w:rPr>
          <w:sz w:val="20"/>
          <w:szCs w:val="20"/>
          <w:color w:val="auto"/>
        </w:rPr>
      </w:pPr>
    </w:p>
    <w:p>
      <w:pPr>
        <w:ind w:left="1020" w:right="60"/>
        <w:spacing w:after="0" w:line="226" w:lineRule="auto"/>
        <w:rPr>
          <w:sz w:val="20"/>
          <w:szCs w:val="20"/>
          <w:color w:val="auto"/>
        </w:rPr>
      </w:pPr>
      <w:r>
        <w:rPr>
          <w:rFonts w:ascii="Arial" w:cs="Arial" w:eastAsia="Arial" w:hAnsi="Arial"/>
          <w:sz w:val="18"/>
          <w:szCs w:val="18"/>
          <w:color w:val="auto"/>
        </w:rPr>
        <w:t>the Development of the CD123 Molecules and CD123 Products. Gilead shall use Commercially Reasonable Efforts to Develop [***]. After the CD123 Option Effective Date, Gilead [***] Development or obtaining Regulatory Approval of</w:t>
      </w:r>
    </w:p>
    <w:p>
      <w:pPr>
        <w:spacing w:after="0" w:line="2" w:lineRule="exact"/>
        <w:rPr>
          <w:sz w:val="20"/>
          <w:szCs w:val="20"/>
          <w:color w:val="auto"/>
        </w:rPr>
      </w:pPr>
    </w:p>
    <w:p>
      <w:pPr>
        <w:ind w:left="1020" w:right="3300" w:firstLine="1"/>
        <w:spacing w:after="0" w:line="227" w:lineRule="auto"/>
        <w:rPr>
          <w:sz w:val="20"/>
          <w:szCs w:val="20"/>
          <w:color w:val="auto"/>
        </w:rPr>
      </w:pPr>
      <w:r>
        <w:rPr>
          <w:rFonts w:ascii="Arial" w:cs="Arial" w:eastAsia="Arial" w:hAnsi="Arial"/>
          <w:sz w:val="20"/>
          <w:szCs w:val="20"/>
          <w:color w:val="auto"/>
        </w:rPr>
        <w:t>any CD123 Molecules or CD123 Products other than as set forth in this Section 6.2 (CD123 Molecules and CD123 Products).</w:t>
      </w:r>
    </w:p>
    <w:p>
      <w:pPr>
        <w:spacing w:after="0" w:line="191" w:lineRule="exact"/>
        <w:rPr>
          <w:sz w:val="20"/>
          <w:szCs w:val="20"/>
          <w:color w:val="auto"/>
        </w:rPr>
      </w:pPr>
    </w:p>
    <w:p>
      <w:pPr>
        <w:ind w:left="1020" w:right="160" w:firstLine="648"/>
        <w:spacing w:after="0" w:line="26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Research Molecules and Research Products</w:t>
      </w:r>
      <w:r>
        <w:rPr>
          <w:rFonts w:ascii="Arial" w:cs="Arial" w:eastAsia="Arial" w:hAnsi="Arial"/>
          <w:sz w:val="16"/>
          <w:szCs w:val="16"/>
          <w:color w:val="auto"/>
        </w:rPr>
        <w:t>. On a Research Program-by-Research Program basis, after the applicable Research Program Opt-In Effective Date, Gilead [***] Development of each Research Molecule and</w:t>
      </w:r>
    </w:p>
    <w:p>
      <w:pPr>
        <w:ind w:left="1020"/>
        <w:spacing w:after="0" w:line="236" w:lineRule="auto"/>
        <w:rPr>
          <w:sz w:val="20"/>
          <w:szCs w:val="20"/>
          <w:color w:val="auto"/>
        </w:rPr>
      </w:pPr>
      <w:r>
        <w:rPr>
          <w:rFonts w:ascii="Arial" w:cs="Arial" w:eastAsia="Arial" w:hAnsi="Arial"/>
          <w:sz w:val="18"/>
          <w:szCs w:val="18"/>
          <w:color w:val="auto"/>
        </w:rPr>
        <w:t>Research Product. Gilead shall use Commercially Reasonable Efforts to Develop [***]. After the Research Program</w:t>
      </w:r>
    </w:p>
    <w:p>
      <w:pPr>
        <w:ind w:left="1020" w:right="400"/>
        <w:spacing w:after="0" w:line="255" w:lineRule="auto"/>
        <w:rPr>
          <w:sz w:val="20"/>
          <w:szCs w:val="20"/>
          <w:color w:val="auto"/>
        </w:rPr>
      </w:pPr>
      <w:r>
        <w:rPr>
          <w:rFonts w:ascii="Arial" w:cs="Arial" w:eastAsia="Arial" w:hAnsi="Arial"/>
          <w:sz w:val="16"/>
          <w:szCs w:val="16"/>
          <w:color w:val="auto"/>
        </w:rPr>
        <w:t>Opt-In Effective Date for a Research Program, Gilead will have no other diligence obligations with respect to the Development or obtaining Regulatory Approval of any Research Molecules or Research Products for such Research</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Program other than as set forth in this Section 6.3 (Research Molecules and Research Products).</w:t>
      </w:r>
    </w:p>
    <w:p>
      <w:pPr>
        <w:spacing w:after="0" w:line="207" w:lineRule="exact"/>
        <w:rPr>
          <w:sz w:val="20"/>
          <w:szCs w:val="20"/>
          <w:color w:val="auto"/>
        </w:rPr>
      </w:pPr>
    </w:p>
    <w:p>
      <w:pPr>
        <w:jc w:val="both"/>
        <w:ind w:left="1020" w:firstLine="648"/>
        <w:spacing w:after="0" w:line="253"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b w:val="1"/>
          <w:bCs w:val="1"/>
          <w:color w:val="auto"/>
        </w:rPr>
        <w:t>Performance Standards</w:t>
      </w:r>
      <w:r>
        <w:rPr>
          <w:rFonts w:ascii="Arial" w:cs="Arial" w:eastAsia="Arial" w:hAnsi="Arial"/>
          <w:sz w:val="20"/>
          <w:szCs w:val="20"/>
          <w:color w:val="auto"/>
        </w:rPr>
        <w:t>. Each Party shall conduct all Development activities with respect to the Licensed Molecules and Licensed Products in compliance with all Applicable Laws and Regulations, including applicable national and international (e.g., ICH, GCP, GLP and cGMP) guidelines.</w:t>
      </w:r>
    </w:p>
    <w:p>
      <w:pPr>
        <w:spacing w:after="0" w:line="191" w:lineRule="exact"/>
        <w:rPr>
          <w:sz w:val="20"/>
          <w:szCs w:val="20"/>
          <w:color w:val="auto"/>
        </w:rPr>
      </w:pPr>
    </w:p>
    <w:p>
      <w:pPr>
        <w:ind w:left="1020" w:right="220" w:firstLine="648"/>
        <w:spacing w:after="0" w:line="24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Records</w:t>
      </w:r>
      <w:r>
        <w:rPr>
          <w:rFonts w:ascii="Arial" w:cs="Arial" w:eastAsia="Arial" w:hAnsi="Arial"/>
          <w:sz w:val="18"/>
          <w:szCs w:val="18"/>
          <w:color w:val="auto"/>
        </w:rPr>
        <w:t>. [***] shall maintain complete, current and accurate records of all activities conducted by or on behalf of Gilead in furtherance of the Development of the Licensed Molecules and Licensed Products after the CD123</w:t>
      </w:r>
    </w:p>
    <w:p>
      <w:pPr>
        <w:spacing w:after="0" w:line="1" w:lineRule="exact"/>
        <w:rPr>
          <w:sz w:val="20"/>
          <w:szCs w:val="20"/>
          <w:color w:val="auto"/>
        </w:rPr>
      </w:pPr>
    </w:p>
    <w:p>
      <w:pPr>
        <w:ind w:left="1020" w:right="400"/>
        <w:spacing w:after="0" w:line="255" w:lineRule="auto"/>
        <w:rPr>
          <w:sz w:val="20"/>
          <w:szCs w:val="20"/>
          <w:color w:val="auto"/>
        </w:rPr>
      </w:pPr>
      <w:r>
        <w:rPr>
          <w:rFonts w:ascii="Arial" w:cs="Arial" w:eastAsia="Arial" w:hAnsi="Arial"/>
          <w:sz w:val="16"/>
          <w:szCs w:val="16"/>
          <w:color w:val="auto"/>
        </w:rPr>
        <w:t>Option Effective Date and each Research Program Opt-In Effective Date, as applicable. Such records shall fully and properly reflect all work performed and results achieved in the performance of such Development activities in good</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scientific manner appropriate for regulatory and patent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620"/>
          </w:cols>
          <w:pgMar w:left="400" w:top="1440" w:right="879" w:bottom="1440" w:gutter="0" w:footer="0" w:header="0"/>
        </w:sectPr>
      </w:pPr>
    </w:p>
    <w:bookmarkStart w:id="167" w:name="page168"/>
    <w:bookmarkEnd w:id="167"/>
    <w:p>
      <w:pPr>
        <w:spacing w:after="0" w:line="189" w:lineRule="exact"/>
        <w:rPr>
          <w:sz w:val="20"/>
          <w:szCs w:val="20"/>
          <w:color w:val="auto"/>
        </w:rPr>
      </w:pPr>
    </w:p>
    <w:p>
      <w:pPr>
        <w:ind w:left="1020" w:right="220" w:firstLine="648"/>
        <w:spacing w:after="0" w:line="243"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b w:val="1"/>
          <w:bCs w:val="1"/>
          <w:color w:val="auto"/>
        </w:rPr>
        <w:t>Development Reporting</w:t>
      </w:r>
      <w:r>
        <w:rPr>
          <w:rFonts w:ascii="Arial" w:cs="Arial" w:eastAsia="Arial" w:hAnsi="Arial"/>
          <w:sz w:val="19"/>
          <w:szCs w:val="19"/>
          <w:color w:val="auto"/>
        </w:rPr>
        <w:t>. On a Program-by-Program basis, [***] Licensed Product for a Program in the Field in the Territory, Gilead shall provide MacroGenics [***] Development of Licensed Molecules and Licensed Products under such Program during [***], describing, among other matters, those: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-80645</wp:posOffset>
            </wp:positionV>
            <wp:extent cx="31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34"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9"/>
          <w:szCs w:val="19"/>
          <w:b w:val="1"/>
          <w:bCs w:val="1"/>
          <w:color w:val="auto"/>
        </w:rPr>
        <w:t>Data Ownership</w:t>
      </w:r>
      <w:r>
        <w:rPr>
          <w:rFonts w:ascii="Arial" w:cs="Arial" w:eastAsia="Arial" w:hAnsi="Arial"/>
          <w:sz w:val="19"/>
          <w:szCs w:val="19"/>
          <w:color w:val="auto"/>
        </w:rPr>
        <w:t>. [***].</w:t>
      </w:r>
    </w:p>
    <w:p>
      <w:pPr>
        <w:spacing w:after="0" w:line="54" w:lineRule="exact"/>
        <w:rPr>
          <w:sz w:val="20"/>
          <w:szCs w:val="20"/>
          <w:color w:val="auto"/>
        </w:rPr>
      </w:pPr>
    </w:p>
    <w:p>
      <w:pPr>
        <w:ind w:left="1380" w:hanging="354"/>
        <w:spacing w:after="0"/>
        <w:tabs>
          <w:tab w:leader="none" w:pos="1380" w:val="left"/>
        </w:tabs>
        <w:numPr>
          <w:ilvl w:val="0"/>
          <w:numId w:val="110"/>
        </w:numPr>
        <w:rPr>
          <w:rFonts w:ascii="Arial" w:cs="Arial" w:eastAsia="Arial" w:hAnsi="Arial"/>
          <w:sz w:val="20"/>
          <w:szCs w:val="20"/>
          <w:color w:val="auto"/>
        </w:rPr>
      </w:pPr>
      <w:r>
        <w:rPr>
          <w:rFonts w:ascii="Arial" w:cs="Arial" w:eastAsia="Arial" w:hAnsi="Arial"/>
          <w:sz w:val="20"/>
          <w:szCs w:val="20"/>
          <w:b w:val="1"/>
          <w:bCs w:val="1"/>
          <w:color w:val="auto"/>
        </w:rPr>
        <w:t>Regulatory</w:t>
      </w: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color w:val="auto"/>
        </w:rPr>
        <w:t>CD123 Molecules and CD123 Products</w:t>
      </w:r>
      <w:r>
        <w:rPr>
          <w:rFonts w:ascii="Arial" w:cs="Arial" w:eastAsia="Arial" w:hAnsi="Arial"/>
          <w:sz w:val="16"/>
          <w:szCs w:val="16"/>
          <w:color w:val="auto"/>
        </w:rPr>
        <w:t>.</w:t>
      </w:r>
    </w:p>
    <w:p>
      <w:pPr>
        <w:spacing w:after="0" w:line="229" w:lineRule="exact"/>
        <w:rPr>
          <w:sz w:val="20"/>
          <w:szCs w:val="20"/>
          <w:color w:val="auto"/>
        </w:rPr>
      </w:pPr>
    </w:p>
    <w:p>
      <w:pPr>
        <w:ind w:left="1020" w:right="80" w:firstLine="1301"/>
        <w:spacing w:after="0" w:line="221" w:lineRule="auto"/>
        <w:tabs>
          <w:tab w:leader="none" w:pos="2734" w:val="left"/>
        </w:tabs>
        <w:numPr>
          <w:ilvl w:val="0"/>
          <w:numId w:val="111"/>
        </w:numPr>
        <w:rPr>
          <w:rFonts w:ascii="Arial" w:cs="Arial" w:eastAsia="Arial" w:hAnsi="Arial"/>
          <w:sz w:val="19"/>
          <w:szCs w:val="19"/>
          <w:color w:val="auto"/>
        </w:rPr>
      </w:pPr>
      <w:r>
        <w:rPr>
          <w:rFonts w:ascii="Arial" w:cs="Arial" w:eastAsia="Arial" w:hAnsi="Arial"/>
          <w:sz w:val="19"/>
          <w:szCs w:val="19"/>
          <w:b w:val="1"/>
          <w:bCs w:val="1"/>
          <w:color w:val="auto"/>
        </w:rPr>
        <w:t>CD123 Development Term</w:t>
      </w:r>
      <w:r>
        <w:rPr>
          <w:rFonts w:ascii="Arial" w:cs="Arial" w:eastAsia="Arial" w:hAnsi="Arial"/>
          <w:sz w:val="19"/>
          <w:szCs w:val="19"/>
          <w:color w:val="auto"/>
        </w:rPr>
        <w:t>. During the CD123 Development Term, MacroGenics shall be solely</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responsible, [***], for all Regulatory Activities related to the CD123 Molecules and CD123 Products in the Field in the Territory, and shall own all Regulatory Submissions (including Regulatory Approvals) generated with respect to CD123 Molecules or CD123 Products during the CD123 Development Term. Gilead shall have the right, but not the obligation, to review and comment on all Regulatory Submissions for CD123 Molecules and CD123 Products and MacroGenics shall reasonably incorporate any such comments in such Regulatory Submissions prior to filing thereof and shall promptly provide copies of any Regulatory Submissions (including all material updates thereof) to Gilead. Gilead (or its designee) shall have a right to participate (and MacroGenics may otherwise request Gilead to participate) in meetings and interactions with the Regulatory Authorities that solely relate to any CD123 Molecule or CD123 Product. Gilead shall assist MacroGenics, as reasonably requested by MacroGenics, in connection with the preparation and filing of Regulatory Submissions related to the combination of the [***] with the CD123 Product, including by providing MacroGenics with all necessary data or other information in Gilead’s possession related to (i) [***] Gilead or (ii) the Required Regulatory Activities if Gilead elects to conduct such activities pursuant to Section 4.2(b) (Required Regulatory Activities).</w:t>
      </w:r>
    </w:p>
    <w:p>
      <w:pPr>
        <w:spacing w:after="0" w:line="193" w:lineRule="exact"/>
        <w:rPr>
          <w:rFonts w:ascii="Arial" w:cs="Arial" w:eastAsia="Arial" w:hAnsi="Arial"/>
          <w:sz w:val="19"/>
          <w:szCs w:val="19"/>
          <w:color w:val="auto"/>
        </w:rPr>
      </w:pPr>
    </w:p>
    <w:p>
      <w:pPr>
        <w:ind w:left="1020" w:firstLine="1301"/>
        <w:spacing w:after="0" w:line="236" w:lineRule="auto"/>
        <w:tabs>
          <w:tab w:leader="none" w:pos="2744"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After the CD123 Development Term</w:t>
      </w:r>
      <w:r>
        <w:rPr>
          <w:rFonts w:ascii="Arial" w:cs="Arial" w:eastAsia="Arial" w:hAnsi="Arial"/>
          <w:sz w:val="18"/>
          <w:szCs w:val="18"/>
          <w:color w:val="auto"/>
        </w:rPr>
        <w:t>. After the expiration (but not early termination)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CD123 Development Term (with Gilead having exercised the CD123 Option during such time), Gilead shall have the sole right and sole control over [***], all Regulatory Activities related to the CD123 Molecules and CD123 Products, except for any Regulatory Activities relating to the MacroGenics Manufacturing Facilities, including any Regulatory Authority inspections with respect thereto (for which matters MacroGenics shall have responsibility for in accordance with the Clinical Supply Agreement). MacroGenics will support Gilead as may be reasonably requested by Gilead from time to time in connection with Gilead’s preparation, submission to Regulatory Authorities and maintenance of Regulatory Submissions for CD123 Products, including, upon Gilead’s reasonable request, attending meetings with Regulatory Authorities regarding any CD123 Product. [***] Regulatory Activities [***] related to the CD123 Molecules or CD123 Products. Gilead shall [***] Regulatory Activities requested by Gilead after the CD123 Option Effective Date, in accordance with Section 11.1 (Development Costs, Plan Costs and Manufacturing Costs).</w:t>
      </w:r>
    </w:p>
    <w:p>
      <w:pPr>
        <w:spacing w:after="0" w:line="178" w:lineRule="exact"/>
        <w:rPr>
          <w:sz w:val="20"/>
          <w:szCs w:val="20"/>
          <w:color w:val="auto"/>
        </w:rPr>
      </w:pPr>
    </w:p>
    <w:p>
      <w:pPr>
        <w:ind w:left="1020" w:right="300" w:firstLine="648"/>
        <w:spacing w:after="0" w:line="27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Research Molecules and Research Products</w:t>
      </w:r>
      <w:r>
        <w:rPr>
          <w:rFonts w:ascii="Arial" w:cs="Arial" w:eastAsia="Arial" w:hAnsi="Arial"/>
          <w:sz w:val="16"/>
          <w:szCs w:val="16"/>
          <w:color w:val="auto"/>
        </w:rPr>
        <w:t>. Gilead shall have the sole right and sole control over all Regulatory Activities to be undertaken with respect to Research Molecules and Research Products in connection with</w:t>
      </w:r>
    </w:p>
    <w:p>
      <w:pPr>
        <w:spacing w:after="0" w:line="1" w:lineRule="exact"/>
        <w:rPr>
          <w:sz w:val="20"/>
          <w:szCs w:val="20"/>
          <w:color w:val="auto"/>
        </w:rPr>
      </w:pPr>
    </w:p>
    <w:p>
      <w:pPr>
        <w:ind w:left="1020" w:right="180"/>
        <w:spacing w:after="0" w:line="255" w:lineRule="auto"/>
        <w:rPr>
          <w:sz w:val="20"/>
          <w:szCs w:val="20"/>
          <w:color w:val="auto"/>
        </w:rPr>
      </w:pPr>
      <w:r>
        <w:rPr>
          <w:rFonts w:ascii="Arial" w:cs="Arial" w:eastAsia="Arial" w:hAnsi="Arial"/>
          <w:sz w:val="16"/>
          <w:szCs w:val="16"/>
          <w:color w:val="auto"/>
        </w:rPr>
        <w:t>any Research Program for which Gilead has exercised the Research Program Opt-In. MacroGenics will support Gilead as may be reasonably requested by Gilead from time to time in connection with Gilead’s preparation, submission to</w:t>
      </w:r>
    </w:p>
    <w:p>
      <w:pPr>
        <w:ind w:left="1020"/>
        <w:spacing w:after="0" w:line="235" w:lineRule="auto"/>
        <w:rPr>
          <w:sz w:val="20"/>
          <w:szCs w:val="20"/>
          <w:color w:val="auto"/>
        </w:rPr>
      </w:pPr>
      <w:r>
        <w:rPr>
          <w:rFonts w:ascii="Arial" w:cs="Arial" w:eastAsia="Arial" w:hAnsi="Arial"/>
          <w:sz w:val="18"/>
          <w:szCs w:val="18"/>
          <w:color w:val="auto"/>
        </w:rPr>
        <w:t>Regulatory Authorities and maintenance of Regulatory Submissions for Research Products, including, upon Gilead’s</w:t>
      </w:r>
    </w:p>
    <w:p>
      <w:pPr>
        <w:ind w:left="1020" w:right="60"/>
        <w:spacing w:after="0" w:line="226" w:lineRule="auto"/>
        <w:rPr>
          <w:sz w:val="20"/>
          <w:szCs w:val="20"/>
          <w:color w:val="auto"/>
        </w:rPr>
      </w:pPr>
      <w:r>
        <w:rPr>
          <w:rFonts w:ascii="Arial" w:cs="Arial" w:eastAsia="Arial" w:hAnsi="Arial"/>
          <w:sz w:val="18"/>
          <w:szCs w:val="18"/>
          <w:color w:val="auto"/>
        </w:rPr>
        <w:t xml:space="preserve">reasonable request, attending meetings with Regulatory Authorities regarding any Research Product. [***] related to the Research Molecules or Research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MacroGenics, (a) prior to the Research</w:t>
      </w:r>
    </w:p>
    <w:p>
      <w:pPr>
        <w:spacing w:after="0" w:line="2" w:lineRule="exact"/>
        <w:rPr>
          <w:sz w:val="20"/>
          <w:szCs w:val="20"/>
          <w:color w:val="auto"/>
        </w:rPr>
      </w:pPr>
    </w:p>
    <w:p>
      <w:pPr>
        <w:ind w:left="1020" w:right="180"/>
        <w:spacing w:after="0" w:line="227" w:lineRule="auto"/>
        <w:rPr>
          <w:sz w:val="20"/>
          <w:szCs w:val="20"/>
          <w:color w:val="auto"/>
        </w:rPr>
      </w:pPr>
      <w:r>
        <w:rPr>
          <w:rFonts w:ascii="Arial" w:cs="Arial" w:eastAsia="Arial" w:hAnsi="Arial"/>
          <w:sz w:val="20"/>
          <w:szCs w:val="20"/>
          <w:color w:val="auto"/>
        </w:rPr>
        <w:t>Program Opt-In Effective Date, subject to Section 5.4 (Research Plan Costs), [***] or (b) after the applicable Research Program Opt-In Effective Date, [***] Gilead. Gilead shall [***].</w:t>
      </w:r>
    </w:p>
    <w:p>
      <w:pPr>
        <w:spacing w:after="0" w:line="272"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b w:val="1"/>
          <w:bCs w:val="1"/>
          <w:color w:val="auto"/>
        </w:rPr>
        <w:t>Transfer of Regulatory Materials</w:t>
      </w:r>
      <w:r>
        <w:rPr>
          <w:rFonts w:ascii="Arial" w:cs="Arial" w:eastAsia="Arial" w:hAnsi="Arial"/>
          <w:sz w:val="18"/>
          <w:szCs w:val="18"/>
          <w:color w:val="auto"/>
        </w:rPr>
        <w:t>.</w:t>
      </w:r>
    </w:p>
    <w:p>
      <w:pPr>
        <w:spacing w:after="0" w:line="216" w:lineRule="exact"/>
        <w:rPr>
          <w:sz w:val="20"/>
          <w:szCs w:val="20"/>
          <w:color w:val="auto"/>
        </w:rPr>
      </w:pPr>
    </w:p>
    <w:p>
      <w:pPr>
        <w:ind w:left="1020" w:right="60" w:firstLine="1301"/>
        <w:spacing w:after="0" w:line="221" w:lineRule="auto"/>
        <w:tabs>
          <w:tab w:leader="none" w:pos="2734" w:val="left"/>
        </w:tabs>
        <w:numPr>
          <w:ilvl w:val="0"/>
          <w:numId w:val="112"/>
        </w:numPr>
        <w:rPr>
          <w:rFonts w:ascii="Arial" w:cs="Arial" w:eastAsia="Arial" w:hAnsi="Arial"/>
          <w:sz w:val="20"/>
          <w:szCs w:val="20"/>
          <w:color w:val="auto"/>
        </w:rPr>
      </w:pPr>
      <w:r>
        <w:rPr>
          <w:rFonts w:ascii="Arial" w:cs="Arial" w:eastAsia="Arial" w:hAnsi="Arial"/>
          <w:sz w:val="20"/>
          <w:szCs w:val="20"/>
          <w:b w:val="1"/>
          <w:bCs w:val="1"/>
          <w:color w:val="auto"/>
        </w:rPr>
        <w:t>Regulatory Transfer</w:t>
      </w:r>
      <w:r>
        <w:rPr>
          <w:rFonts w:ascii="Arial" w:cs="Arial" w:eastAsia="Arial" w:hAnsi="Arial"/>
          <w:sz w:val="20"/>
          <w:szCs w:val="20"/>
          <w:color w:val="auto"/>
        </w:rPr>
        <w:t>. Promptly after the CD123 Option Effective Date, MacroGenics will, or will</w:t>
      </w:r>
      <w:r>
        <w:rPr>
          <w:rFonts w:ascii="Arial" w:cs="Arial" w:eastAsia="Arial" w:hAnsi="Arial"/>
          <w:sz w:val="20"/>
          <w:szCs w:val="20"/>
          <w:b w:val="1"/>
          <w:bCs w:val="1"/>
          <w:color w:val="auto"/>
        </w:rPr>
        <w:t xml:space="preserve"> </w:t>
      </w:r>
      <w:r>
        <w:rPr>
          <w:rFonts w:ascii="Arial" w:cs="Arial" w:eastAsia="Arial" w:hAnsi="Arial"/>
          <w:sz w:val="20"/>
          <w:szCs w:val="20"/>
          <w:color w:val="auto"/>
        </w:rPr>
        <w:t>cause its designee to, transfer and assign (and hereby does assign and transfer) to Gilead all rights, title and interests in and to all INDs and all other Regulatory Submissions that solely relate to MGD024 and the MGD024 Product (the “</w:t>
      </w:r>
      <w:r>
        <w:rPr>
          <w:rFonts w:ascii="Arial" w:cs="Arial" w:eastAsia="Arial" w:hAnsi="Arial"/>
          <w:sz w:val="20"/>
          <w:szCs w:val="20"/>
          <w:b w:val="1"/>
          <w:bCs w:val="1"/>
          <w:color w:val="auto"/>
        </w:rPr>
        <w:t>Assigned Regulatory Materials</w:t>
      </w:r>
      <w:r>
        <w:rPr>
          <w:rFonts w:ascii="Arial" w:cs="Arial" w:eastAsia="Arial" w:hAnsi="Arial"/>
          <w:sz w:val="20"/>
          <w:szCs w:val="20"/>
          <w:color w:val="auto"/>
        </w:rPr>
        <w:t>”), including copies of</w:t>
      </w:r>
    </w:p>
    <w:p>
      <w:pPr>
        <w:sectPr>
          <w:pgSz w:w="11900" w:h="16838" w:orient="portrait"/>
          <w:cols w:equalWidth="0" w:num="1">
            <w:col w:w="10620"/>
          </w:cols>
          <w:pgMar w:left="40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620"/>
          </w:cols>
          <w:pgMar w:left="400" w:top="1440" w:right="879" w:bottom="1440" w:gutter="0" w:footer="0" w:header="0"/>
          <w:type w:val="continuous"/>
        </w:sectPr>
      </w:pPr>
    </w:p>
    <w:bookmarkStart w:id="168" w:name="page169"/>
    <w:bookmarkEnd w:id="168"/>
    <w:p>
      <w:pPr>
        <w:ind w:left="1020" w:right="520"/>
        <w:spacing w:after="0" w:line="236" w:lineRule="auto"/>
        <w:rPr>
          <w:sz w:val="20"/>
          <w:szCs w:val="20"/>
          <w:color w:val="auto"/>
        </w:rPr>
      </w:pPr>
      <w:r>
        <w:rPr>
          <w:rFonts w:ascii="Arial" w:cs="Arial" w:eastAsia="Arial" w:hAnsi="Arial"/>
          <w:sz w:val="20"/>
          <w:szCs w:val="20"/>
          <w:color w:val="auto"/>
        </w:rPr>
        <w:t>all such Assigned Regulatory Materials in electronic format, to the extent the same have not been previously made available to Gilead, which transfer will [***] the CD123 Option Effective Date.</w:t>
      </w:r>
    </w:p>
    <w:p>
      <w:pPr>
        <w:spacing w:after="0" w:line="190" w:lineRule="exact"/>
        <w:rPr>
          <w:sz w:val="20"/>
          <w:szCs w:val="20"/>
          <w:color w:val="auto"/>
        </w:rPr>
      </w:pPr>
    </w:p>
    <w:p>
      <w:pPr>
        <w:jc w:val="both"/>
        <w:ind w:left="1020" w:firstLine="1301"/>
        <w:spacing w:after="0" w:line="266" w:lineRule="auto"/>
        <w:tabs>
          <w:tab w:leader="none" w:pos="2743" w:val="left"/>
        </w:tabs>
        <w:numPr>
          <w:ilvl w:val="1"/>
          <w:numId w:val="113"/>
        </w:numPr>
        <w:rPr>
          <w:rFonts w:ascii="Arial" w:cs="Arial" w:eastAsia="Arial" w:hAnsi="Arial"/>
          <w:sz w:val="16"/>
          <w:szCs w:val="16"/>
          <w:color w:val="auto"/>
        </w:rPr>
      </w:pPr>
      <w:r>
        <w:rPr>
          <w:rFonts w:ascii="Arial" w:cs="Arial" w:eastAsia="Arial" w:hAnsi="Arial"/>
          <w:sz w:val="16"/>
          <w:szCs w:val="16"/>
          <w:b w:val="1"/>
          <w:bCs w:val="1"/>
          <w:color w:val="auto"/>
        </w:rPr>
        <w:t>Cooperation</w:t>
      </w:r>
      <w:r>
        <w:rPr>
          <w:rFonts w:ascii="Arial" w:cs="Arial" w:eastAsia="Arial" w:hAnsi="Arial"/>
          <w:sz w:val="16"/>
          <w:szCs w:val="16"/>
          <w:color w:val="auto"/>
        </w:rPr>
        <w:t>. Upon a Party’s written request, the other Party will execute and deliver, or will cause</w:t>
      </w:r>
      <w:r>
        <w:rPr>
          <w:rFonts w:ascii="Arial" w:cs="Arial" w:eastAsia="Arial" w:hAnsi="Arial"/>
          <w:sz w:val="16"/>
          <w:szCs w:val="16"/>
          <w:b w:val="1"/>
          <w:bCs w:val="1"/>
          <w:color w:val="auto"/>
        </w:rPr>
        <w:t xml:space="preserve"> </w:t>
      </w:r>
      <w:r>
        <w:rPr>
          <w:rFonts w:ascii="Arial" w:cs="Arial" w:eastAsia="Arial" w:hAnsi="Arial"/>
          <w:sz w:val="16"/>
          <w:szCs w:val="16"/>
          <w:color w:val="auto"/>
        </w:rPr>
        <w:t>to be executed and delivered, to the requesting Party such endorsements, assignments, commitments, acknowledgements and other documents as may be necessary (a) to assign, convey, transfer and deliver to Gilead all of MacroGenics’ or its applicable Affiliate’s or designee’s rights, title and interests in and to the applicable Assigned Regulatory Materials, or</w:t>
      </w:r>
    </w:p>
    <w:p>
      <w:pPr>
        <w:spacing w:after="0" w:line="2" w:lineRule="exact"/>
        <w:rPr>
          <w:rFonts w:ascii="Arial" w:cs="Arial" w:eastAsia="Arial" w:hAnsi="Arial"/>
          <w:sz w:val="16"/>
          <w:szCs w:val="16"/>
          <w:color w:val="auto"/>
        </w:rPr>
      </w:pPr>
    </w:p>
    <w:p>
      <w:pPr>
        <w:ind w:left="1020" w:right="300" w:firstLine="6"/>
        <w:spacing w:after="0" w:line="226" w:lineRule="auto"/>
        <w:tabs>
          <w:tab w:leader="none" w:pos="13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as a result of the transfer to Gilead of the Assigned Regulatory Materials, including submitting to each applicable Regulatory Authority or other governmental authority in the Territory a letter or other necessary documentation (with copy to the other Party) notifying such Regulatory Authority or other governmental authority of, or otherwise giving effect to, the transfer of ownership to Gilead of the Assigned Regulatory Materials in the Field in the Territory as provided in Section 7.3(a) (Regulatory Transfer).</w:t>
      </w:r>
    </w:p>
    <w:p>
      <w:pPr>
        <w:spacing w:after="0" w:line="191" w:lineRule="exact"/>
        <w:rPr>
          <w:sz w:val="20"/>
          <w:szCs w:val="20"/>
          <w:color w:val="auto"/>
        </w:rPr>
      </w:pPr>
    </w:p>
    <w:p>
      <w:pPr>
        <w:ind w:left="1020" w:right="140" w:firstLine="648"/>
        <w:spacing w:after="0" w:line="23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Right of Reference</w:t>
      </w:r>
      <w:r>
        <w:rPr>
          <w:rFonts w:ascii="Arial" w:cs="Arial" w:eastAsia="Arial" w:hAnsi="Arial"/>
          <w:sz w:val="18"/>
          <w:szCs w:val="18"/>
          <w:color w:val="auto"/>
        </w:rPr>
        <w:t>. MacroGenics will grant, and hereby does grant, to Gilead, effective upon the CD123 Option Effective Date, a “Right of Reference,” as that term is defined in 21 C.F.R. § 314.3(b) (or any successor rule or</w:t>
      </w:r>
    </w:p>
    <w:p>
      <w:pPr>
        <w:ind w:left="1020"/>
        <w:spacing w:after="0" w:line="236" w:lineRule="auto"/>
        <w:rPr>
          <w:sz w:val="20"/>
          <w:szCs w:val="20"/>
          <w:color w:val="auto"/>
        </w:rPr>
      </w:pPr>
      <w:r>
        <w:rPr>
          <w:rFonts w:ascii="Arial" w:cs="Arial" w:eastAsia="Arial" w:hAnsi="Arial"/>
          <w:sz w:val="18"/>
          <w:szCs w:val="18"/>
          <w:color w:val="auto"/>
        </w:rPr>
        <w:t>analogous Applicable Laws and Regulations recognized outside of the United States), to all Regulatory Submissions</w:t>
      </w:r>
    </w:p>
    <w:p>
      <w:pPr>
        <w:ind w:left="1020" w:right="140"/>
        <w:spacing w:after="0" w:line="226" w:lineRule="auto"/>
        <w:rPr>
          <w:sz w:val="20"/>
          <w:szCs w:val="20"/>
          <w:color w:val="auto"/>
        </w:rPr>
      </w:pPr>
      <w:r>
        <w:rPr>
          <w:rFonts w:ascii="Arial" w:cs="Arial" w:eastAsia="Arial" w:hAnsi="Arial"/>
          <w:sz w:val="18"/>
          <w:szCs w:val="18"/>
          <w:color w:val="auto"/>
        </w:rPr>
        <w:t>pertaining to the CD123 Products in the Field submitted by or on behalf of MacroGenics or its Affiliates. Gilead and its Sublicensees may use such right of reference solely for the purpose of seeking, obtaining, supporting and maintaining</w:t>
      </w:r>
    </w:p>
    <w:p>
      <w:pPr>
        <w:ind w:left="1020"/>
        <w:spacing w:after="0" w:line="236" w:lineRule="auto"/>
        <w:rPr>
          <w:sz w:val="20"/>
          <w:szCs w:val="20"/>
          <w:color w:val="auto"/>
        </w:rPr>
      </w:pPr>
      <w:r>
        <w:rPr>
          <w:rFonts w:ascii="Arial" w:cs="Arial" w:eastAsia="Arial" w:hAnsi="Arial"/>
          <w:sz w:val="18"/>
          <w:szCs w:val="18"/>
          <w:color w:val="auto"/>
        </w:rPr>
        <w:t>Regulatory Approval and any Pricing and Reimbursement Approvals, as applicable, for the CD123 Products in the Field</w:t>
      </w:r>
    </w:p>
    <w:p>
      <w:pPr>
        <w:spacing w:after="0" w:line="1" w:lineRule="exact"/>
        <w:rPr>
          <w:sz w:val="20"/>
          <w:szCs w:val="20"/>
          <w:color w:val="auto"/>
        </w:rPr>
      </w:pPr>
    </w:p>
    <w:p>
      <w:pPr>
        <w:ind w:left="1020" w:right="20"/>
        <w:spacing w:after="0" w:line="255" w:lineRule="auto"/>
        <w:rPr>
          <w:sz w:val="20"/>
          <w:szCs w:val="20"/>
          <w:color w:val="auto"/>
        </w:rPr>
      </w:pPr>
      <w:r>
        <w:rPr>
          <w:rFonts w:ascii="Arial" w:cs="Arial" w:eastAsia="Arial" w:hAnsi="Arial"/>
          <w:sz w:val="16"/>
          <w:szCs w:val="16"/>
          <w:color w:val="auto"/>
        </w:rPr>
        <w:t>in the Territory. MacroGenics will take such actions as may be reasonably requested by Gilead to give effect to the intent of this Section 7.4 (Right of Reference), including, if requested by Gilead, (a) providing a signed statement that Gilead</w:t>
      </w:r>
    </w:p>
    <w:p>
      <w:pPr>
        <w:ind w:left="1020"/>
        <w:spacing w:after="0" w:line="235" w:lineRule="auto"/>
        <w:rPr>
          <w:sz w:val="20"/>
          <w:szCs w:val="20"/>
          <w:color w:val="auto"/>
        </w:rPr>
      </w:pPr>
      <w:r>
        <w:rPr>
          <w:rFonts w:ascii="Arial" w:cs="Arial" w:eastAsia="Arial" w:hAnsi="Arial"/>
          <w:sz w:val="18"/>
          <w:szCs w:val="18"/>
          <w:color w:val="auto"/>
        </w:rPr>
        <w:t>may rely on, and that the applicable Regulatory Authority may access, MacroGenics’ Regulatory Submissions in support</w:t>
      </w:r>
    </w:p>
    <w:p>
      <w:pPr>
        <w:ind w:left="1020" w:right="180"/>
        <w:spacing w:after="0" w:line="220" w:lineRule="auto"/>
        <w:rPr>
          <w:sz w:val="20"/>
          <w:szCs w:val="20"/>
          <w:color w:val="auto"/>
        </w:rPr>
      </w:pPr>
      <w:r>
        <w:rPr>
          <w:rFonts w:ascii="Arial" w:cs="Arial" w:eastAsia="Arial" w:hAnsi="Arial"/>
          <w:sz w:val="20"/>
          <w:szCs w:val="20"/>
          <w:color w:val="auto"/>
        </w:rPr>
        <w:t>of Gilead’s application for Regulatory Approval for any CD123 Product, and (b) providing Gilead with any underlying raw data or information submitted by MacroGenics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620"/>
          </w:cols>
          <w:pgMar w:left="400" w:top="1324" w:right="879" w:bottom="1440" w:gutter="0" w:footer="0" w:header="0"/>
        </w:sectPr>
      </w:pPr>
    </w:p>
    <w:bookmarkStart w:id="169" w:name="page170"/>
    <w:bookmarkEnd w:id="169"/>
    <w:p>
      <w:pPr>
        <w:spacing w:after="0" w:line="195" w:lineRule="exact"/>
        <w:rPr>
          <w:sz w:val="20"/>
          <w:szCs w:val="20"/>
          <w:color w:val="auto"/>
        </w:rPr>
      </w:pPr>
    </w:p>
    <w:p>
      <w:pPr>
        <w:ind w:left="1020" w:right="620"/>
        <w:spacing w:after="0" w:line="236" w:lineRule="auto"/>
        <w:rPr>
          <w:sz w:val="20"/>
          <w:szCs w:val="20"/>
          <w:color w:val="auto"/>
        </w:rPr>
      </w:pPr>
      <w:r>
        <w:rPr>
          <w:rFonts w:ascii="Arial" w:cs="Arial" w:eastAsia="Arial" w:hAnsi="Arial"/>
          <w:sz w:val="20"/>
          <w:szCs w:val="20"/>
          <w:color w:val="auto"/>
        </w:rPr>
        <w:t>to the Regulatory Authority with respect to any Regulatory Submissions Controlled by MacroGenics or any of its Affiliates that solely relates to any CD123 Product.</w:t>
      </w:r>
    </w:p>
    <w:p>
      <w:pPr>
        <w:spacing w:after="0" w:line="190" w:lineRule="exact"/>
        <w:rPr>
          <w:sz w:val="20"/>
          <w:szCs w:val="20"/>
          <w:color w:val="auto"/>
        </w:rPr>
      </w:pPr>
    </w:p>
    <w:p>
      <w:pPr>
        <w:ind w:left="1020" w:right="260" w:firstLine="648"/>
        <w:spacing w:after="0" w:line="26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color w:val="auto"/>
        </w:rPr>
        <w:t>Adverse Event Reporting; Global Safety Database</w:t>
      </w:r>
      <w:r>
        <w:rPr>
          <w:rFonts w:ascii="Arial" w:cs="Arial" w:eastAsia="Arial" w:hAnsi="Arial"/>
          <w:sz w:val="16"/>
          <w:szCs w:val="16"/>
          <w:color w:val="auto"/>
        </w:rPr>
        <w:t>. During the CD123 Development Term, MacroGenics shall establish and maintain a drug safety database for MGD024 and the MGD024 Product, and shall be</w:t>
      </w:r>
    </w:p>
    <w:p>
      <w:pPr>
        <w:ind w:left="1020"/>
        <w:spacing w:after="0" w:line="236" w:lineRule="auto"/>
        <w:rPr>
          <w:sz w:val="20"/>
          <w:szCs w:val="20"/>
          <w:color w:val="auto"/>
        </w:rPr>
      </w:pPr>
      <w:r>
        <w:rPr>
          <w:rFonts w:ascii="Arial" w:cs="Arial" w:eastAsia="Arial" w:hAnsi="Arial"/>
          <w:sz w:val="18"/>
          <w:szCs w:val="18"/>
          <w:color w:val="auto"/>
        </w:rPr>
        <w:t>responsible for monitoring of all related clinical experiences, safety monitoring, pharmacovigilance surveillance and</w:t>
      </w:r>
    </w:p>
    <w:p>
      <w:pPr>
        <w:ind w:left="1020" w:right="220"/>
        <w:spacing w:after="0" w:line="226" w:lineRule="auto"/>
        <w:rPr>
          <w:sz w:val="20"/>
          <w:szCs w:val="20"/>
          <w:color w:val="auto"/>
        </w:rPr>
      </w:pPr>
      <w:r>
        <w:rPr>
          <w:rFonts w:ascii="Arial" w:cs="Arial" w:eastAsia="Arial" w:hAnsi="Arial"/>
          <w:sz w:val="18"/>
          <w:szCs w:val="18"/>
          <w:color w:val="auto"/>
        </w:rPr>
        <w:t>compliance and filing of all required safety reports to all Regulatory Authorities in connection therewith (collectively, “</w:t>
      </w:r>
      <w:r>
        <w:rPr>
          <w:rFonts w:ascii="Arial" w:cs="Arial" w:eastAsia="Arial" w:hAnsi="Arial"/>
          <w:sz w:val="18"/>
          <w:szCs w:val="18"/>
          <w:b w:val="1"/>
          <w:bCs w:val="1"/>
          <w:color w:val="auto"/>
        </w:rPr>
        <w:t>Safety/AE Matters</w:t>
      </w:r>
      <w:r>
        <w:rPr>
          <w:rFonts w:ascii="Arial" w:cs="Arial" w:eastAsia="Arial" w:hAnsi="Arial"/>
          <w:sz w:val="18"/>
          <w:szCs w:val="18"/>
          <w:color w:val="auto"/>
        </w:rPr>
        <w:t>”). MacroGenics will use reasonable efforts to complete the transfer to Gilead of such drug safety</w:t>
      </w:r>
    </w:p>
    <w:p>
      <w:pPr>
        <w:ind w:left="1020"/>
        <w:spacing w:after="0" w:line="236" w:lineRule="auto"/>
        <w:rPr>
          <w:sz w:val="20"/>
          <w:szCs w:val="20"/>
          <w:color w:val="auto"/>
        </w:rPr>
      </w:pPr>
      <w:r>
        <w:rPr>
          <w:rFonts w:ascii="Arial" w:cs="Arial" w:eastAsia="Arial" w:hAnsi="Arial"/>
          <w:sz w:val="18"/>
          <w:szCs w:val="18"/>
          <w:color w:val="auto"/>
        </w:rPr>
        <w:t>database for MGD024 and the MGD024 Product promptly following the CD123 Option Effective Date and, following</w:t>
      </w:r>
    </w:p>
    <w:p>
      <w:pPr>
        <w:spacing w:after="0" w:line="1" w:lineRule="exact"/>
        <w:rPr>
          <w:sz w:val="20"/>
          <w:szCs w:val="20"/>
          <w:color w:val="auto"/>
        </w:rPr>
      </w:pPr>
    </w:p>
    <w:p>
      <w:pPr>
        <w:ind w:left="1020"/>
        <w:spacing w:after="0" w:line="255" w:lineRule="auto"/>
        <w:rPr>
          <w:sz w:val="20"/>
          <w:szCs w:val="20"/>
          <w:color w:val="auto"/>
        </w:rPr>
      </w:pPr>
      <w:r>
        <w:rPr>
          <w:rFonts w:ascii="Arial" w:cs="Arial" w:eastAsia="Arial" w:hAnsi="Arial"/>
          <w:sz w:val="16"/>
          <w:szCs w:val="16"/>
          <w:color w:val="auto"/>
        </w:rPr>
        <w:t>such transfer, Gilead will have the sole right and responsibility for holding and maintaining such drug safety database. On a Research Program-by-Research Program basis, Gilead shall have the sole right and sole control over, at its sole cost</w:t>
      </w:r>
    </w:p>
    <w:p>
      <w:pPr>
        <w:spacing w:after="0" w:line="1" w:lineRule="exact"/>
        <w:rPr>
          <w:sz w:val="20"/>
          <w:szCs w:val="20"/>
          <w:color w:val="auto"/>
        </w:rPr>
      </w:pPr>
    </w:p>
    <w:p>
      <w:pPr>
        <w:ind w:left="1020" w:right="700"/>
        <w:spacing w:after="0" w:line="329" w:lineRule="auto"/>
        <w:rPr>
          <w:sz w:val="20"/>
          <w:szCs w:val="20"/>
          <w:color w:val="auto"/>
        </w:rPr>
      </w:pPr>
      <w:r>
        <w:rPr>
          <w:rFonts w:ascii="Arial" w:cs="Arial" w:eastAsia="Arial" w:hAnsi="Arial"/>
          <w:sz w:val="16"/>
          <w:szCs w:val="16"/>
          <w:color w:val="auto"/>
        </w:rPr>
        <w:t>and expense, all Safety/AE Matters in connection with the Research Molecules or Research Products for a given Research Program from and after the Research Program Opt-In Effective Date for such Research Program.</w:t>
      </w:r>
    </w:p>
    <w:p>
      <w:pPr>
        <w:spacing w:after="0" w:line="122" w:lineRule="exact"/>
        <w:rPr>
          <w:sz w:val="20"/>
          <w:szCs w:val="20"/>
          <w:color w:val="auto"/>
        </w:rPr>
      </w:pPr>
    </w:p>
    <w:p>
      <w:pPr>
        <w:ind w:left="1020" w:right="60" w:firstLine="648"/>
        <w:spacing w:after="0" w:line="23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Recalls</w:t>
      </w:r>
      <w:r>
        <w:rPr>
          <w:rFonts w:ascii="Arial" w:cs="Arial" w:eastAsia="Arial" w:hAnsi="Arial"/>
          <w:sz w:val="18"/>
          <w:szCs w:val="18"/>
          <w:color w:val="auto"/>
        </w:rPr>
        <w:t>. On a Program-by-Program basis, during the Collaboration Term for a Program, MacroGenics will be responsible for any recalls, market suspensions or market withdrawals (collectively, “</w:t>
      </w:r>
      <w:r>
        <w:rPr>
          <w:rFonts w:ascii="Arial" w:cs="Arial" w:eastAsia="Arial" w:hAnsi="Arial"/>
          <w:sz w:val="18"/>
          <w:szCs w:val="18"/>
          <w:b w:val="1"/>
          <w:bCs w:val="1"/>
          <w:color w:val="auto"/>
        </w:rPr>
        <w:t>Recalls</w:t>
      </w:r>
      <w:r>
        <w:rPr>
          <w:rFonts w:ascii="Arial" w:cs="Arial" w:eastAsia="Arial" w:hAnsi="Arial"/>
          <w:sz w:val="18"/>
          <w:szCs w:val="18"/>
          <w:color w:val="auto"/>
        </w:rPr>
        <w:t>”) for the Licensed</w:t>
      </w:r>
    </w:p>
    <w:p>
      <w:pPr>
        <w:ind w:left="1020"/>
        <w:spacing w:after="0" w:line="236" w:lineRule="auto"/>
        <w:rPr>
          <w:sz w:val="20"/>
          <w:szCs w:val="20"/>
          <w:color w:val="auto"/>
        </w:rPr>
      </w:pPr>
      <w:r>
        <w:rPr>
          <w:rFonts w:ascii="Arial" w:cs="Arial" w:eastAsia="Arial" w:hAnsi="Arial"/>
          <w:sz w:val="18"/>
          <w:szCs w:val="18"/>
          <w:color w:val="auto"/>
        </w:rPr>
        <w:t>Products for such Program. On a Program-by-Program basis, after completion of the Collaboration Term for a Program,</w:t>
      </w:r>
    </w:p>
    <w:p>
      <w:pPr>
        <w:ind w:left="1020" w:right="100"/>
        <w:spacing w:after="0" w:line="226" w:lineRule="auto"/>
        <w:rPr>
          <w:sz w:val="20"/>
          <w:szCs w:val="20"/>
          <w:color w:val="auto"/>
        </w:rPr>
      </w:pPr>
      <w:r>
        <w:rPr>
          <w:rFonts w:ascii="Arial" w:cs="Arial" w:eastAsia="Arial" w:hAnsi="Arial"/>
          <w:sz w:val="18"/>
          <w:szCs w:val="18"/>
          <w:color w:val="auto"/>
        </w:rPr>
        <w:t>Gilead shall have the sole right and sole control over any Recalls for the Licensed Products for such Program and MacroGenics will reasonably cooperate in any such Recall efforts. Gilead shall promptly notify MacroGenics in writing</w:t>
      </w:r>
    </w:p>
    <w:p>
      <w:pPr>
        <w:ind w:left="1020"/>
        <w:spacing w:after="0" w:line="236" w:lineRule="auto"/>
        <w:rPr>
          <w:sz w:val="20"/>
          <w:szCs w:val="20"/>
          <w:color w:val="auto"/>
        </w:rPr>
      </w:pPr>
      <w:r>
        <w:rPr>
          <w:rFonts w:ascii="Arial" w:cs="Arial" w:eastAsia="Arial" w:hAnsi="Arial"/>
          <w:sz w:val="18"/>
          <w:szCs w:val="18"/>
          <w:color w:val="auto"/>
        </w:rPr>
        <w:t>of any decision or obligation to undertake a Recall of any Licensed Product and to the extent such Recall is with respect</w:t>
      </w:r>
    </w:p>
    <w:p>
      <w:pPr>
        <w:spacing w:after="0" w:line="1" w:lineRule="exact"/>
        <w:rPr>
          <w:sz w:val="20"/>
          <w:szCs w:val="20"/>
          <w:color w:val="auto"/>
        </w:rPr>
      </w:pPr>
    </w:p>
    <w:p>
      <w:pPr>
        <w:ind w:left="1020" w:right="20"/>
        <w:spacing w:after="0" w:line="255" w:lineRule="auto"/>
        <w:rPr>
          <w:sz w:val="20"/>
          <w:szCs w:val="20"/>
          <w:color w:val="auto"/>
        </w:rPr>
      </w:pPr>
      <w:r>
        <w:rPr>
          <w:rFonts w:ascii="Arial" w:cs="Arial" w:eastAsia="Arial" w:hAnsi="Arial"/>
          <w:sz w:val="16"/>
          <w:szCs w:val="16"/>
          <w:color w:val="auto"/>
        </w:rPr>
        <w:t>to the MGD024 Product, Gilead shall include in such notice the reasoning behind such determination and any supporting facts. Subject to Article 15 (Indemnification), (a) if a Recall resulted from a Party’s or its Affiliate’s breach of its</w:t>
      </w:r>
    </w:p>
    <w:p>
      <w:pPr>
        <w:ind w:left="1020"/>
        <w:spacing w:after="0" w:line="223" w:lineRule="auto"/>
        <w:rPr>
          <w:sz w:val="20"/>
          <w:szCs w:val="20"/>
          <w:color w:val="auto"/>
        </w:rPr>
      </w:pPr>
      <w:r>
        <w:rPr>
          <w:rFonts w:ascii="Arial" w:cs="Arial" w:eastAsia="Arial" w:hAnsi="Arial"/>
          <w:sz w:val="19"/>
          <w:szCs w:val="19"/>
          <w:color w:val="auto"/>
        </w:rPr>
        <w:t>obligations under this Agreement or the Clinical Supply Agreement, or from such Party’s or its Affiliate’s gross</w:t>
      </w:r>
    </w:p>
    <w:p>
      <w:pPr>
        <w:ind w:left="1020" w:right="520"/>
        <w:spacing w:after="0" w:line="232" w:lineRule="auto"/>
        <w:rPr>
          <w:sz w:val="20"/>
          <w:szCs w:val="20"/>
          <w:color w:val="auto"/>
        </w:rPr>
      </w:pPr>
      <w:r>
        <w:rPr>
          <w:rFonts w:ascii="Arial" w:cs="Arial" w:eastAsia="Arial" w:hAnsi="Arial"/>
          <w:sz w:val="19"/>
          <w:szCs w:val="19"/>
          <w:color w:val="auto"/>
        </w:rPr>
        <w:t>negligence or willful misconduct, then such Party shall bear the expense of such Recall and (b) with respect to any Recall not covered by clause (a), Gilead shall be responsible for all costs of such Recall.</w:t>
      </w:r>
    </w:p>
    <w:p>
      <w:pPr>
        <w:spacing w:after="0" w:line="204" w:lineRule="exact"/>
        <w:rPr>
          <w:sz w:val="20"/>
          <w:szCs w:val="20"/>
          <w:color w:val="auto"/>
        </w:rPr>
      </w:pPr>
    </w:p>
    <w:p>
      <w:pPr>
        <w:ind w:left="1020" w:right="160" w:firstLine="647"/>
        <w:spacing w:after="0" w:line="23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Conflict</w:t>
      </w:r>
      <w:r>
        <w:rPr>
          <w:rFonts w:ascii="Arial" w:cs="Arial" w:eastAsia="Arial" w:hAnsi="Arial"/>
          <w:sz w:val="18"/>
          <w:szCs w:val="18"/>
          <w:color w:val="auto"/>
        </w:rPr>
        <w:t>. If the Parties rights and obligations in this Article 7 (Regulatory) conflict with the Parties rights and obligations with respect to Development or Commercialization activities under this Agreement, then this Article 7</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(Regulatory) will control solely with respect to any such conflict.</w:t>
      </w:r>
    </w:p>
    <w:p>
      <w:pPr>
        <w:spacing w:after="0" w:line="194" w:lineRule="exact"/>
        <w:rPr>
          <w:sz w:val="20"/>
          <w:szCs w:val="20"/>
          <w:color w:val="auto"/>
        </w:rPr>
      </w:pPr>
    </w:p>
    <w:p>
      <w:pPr>
        <w:ind w:left="1380" w:hanging="355"/>
        <w:spacing w:after="0"/>
        <w:tabs>
          <w:tab w:leader="none" w:pos="1380" w:val="left"/>
        </w:tabs>
        <w:numPr>
          <w:ilvl w:val="0"/>
          <w:numId w:val="115"/>
        </w:numPr>
        <w:rPr>
          <w:rFonts w:ascii="Arial" w:cs="Arial" w:eastAsia="Arial" w:hAnsi="Arial"/>
          <w:sz w:val="20"/>
          <w:szCs w:val="20"/>
          <w:color w:val="auto"/>
        </w:rPr>
      </w:pPr>
      <w:r>
        <w:rPr>
          <w:rFonts w:ascii="Arial" w:cs="Arial" w:eastAsia="Arial" w:hAnsi="Arial"/>
          <w:sz w:val="20"/>
          <w:szCs w:val="20"/>
          <w:b w:val="1"/>
          <w:bCs w:val="1"/>
          <w:color w:val="auto"/>
        </w:rPr>
        <w:t>Commercialization</w:t>
      </w:r>
      <w:r>
        <w:rPr>
          <w:rFonts w:ascii="Arial" w:cs="Arial" w:eastAsia="Arial" w:hAnsi="Arial"/>
          <w:sz w:val="20"/>
          <w:szCs w:val="20"/>
          <w:color w:val="auto"/>
        </w:rPr>
        <w:t>.</w:t>
      </w:r>
    </w:p>
    <w:p>
      <w:pPr>
        <w:spacing w:after="0" w:line="204"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b w:val="1"/>
          <w:bCs w:val="1"/>
          <w:color w:val="auto"/>
        </w:rPr>
        <w:t>Responsibility/Diligence</w:t>
      </w:r>
      <w:r>
        <w:rPr>
          <w:rFonts w:ascii="Arial" w:cs="Arial" w:eastAsia="Arial" w:hAnsi="Arial"/>
          <w:sz w:val="16"/>
          <w:szCs w:val="16"/>
          <w:color w:val="auto"/>
        </w:rPr>
        <w:t>. Effective upon the CD123 Option Effective Date, Gilead shall have the sole</w:t>
      </w:r>
    </w:p>
    <w:p>
      <w:pPr>
        <w:spacing w:after="0" w:line="6" w:lineRule="exact"/>
        <w:rPr>
          <w:sz w:val="20"/>
          <w:szCs w:val="20"/>
          <w:color w:val="auto"/>
        </w:rPr>
      </w:pPr>
    </w:p>
    <w:p>
      <w:pPr>
        <w:ind w:left="1020" w:right="180"/>
        <w:spacing w:after="0" w:line="226" w:lineRule="auto"/>
        <w:rPr>
          <w:sz w:val="20"/>
          <w:szCs w:val="20"/>
          <w:color w:val="auto"/>
        </w:rPr>
      </w:pPr>
      <w:r>
        <w:rPr>
          <w:rFonts w:ascii="Arial" w:cs="Arial" w:eastAsia="Arial" w:hAnsi="Arial"/>
          <w:sz w:val="18"/>
          <w:szCs w:val="18"/>
          <w:color w:val="auto"/>
        </w:rPr>
        <w:t>right and sole control over, [***] Commercialization of the CD123 Products in the Territory and shall [***] Gilead has received Regulatory Approval for a CD123 Product. Effective upon the Research Program Opt-In Effective Date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-177800</wp:posOffset>
            </wp:positionV>
            <wp:extent cx="311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1020" w:right="340"/>
        <w:spacing w:after="0" w:line="226" w:lineRule="auto"/>
        <w:rPr>
          <w:sz w:val="20"/>
          <w:szCs w:val="20"/>
          <w:color w:val="auto"/>
        </w:rPr>
      </w:pPr>
      <w:r>
        <w:rPr>
          <w:rFonts w:ascii="Arial" w:cs="Arial" w:eastAsia="Arial" w:hAnsi="Arial"/>
          <w:sz w:val="18"/>
          <w:szCs w:val="18"/>
          <w:color w:val="auto"/>
        </w:rPr>
        <w:t>Research Program, Gilead shall have the sole right and sole control over, [***] Commercialization of the Research Products for such Research Program in the Territory and shall use Commercially Reasonable Efforts to [***]. Gilead</w:t>
      </w:r>
    </w:p>
    <w:p>
      <w:pPr>
        <w:spacing w:after="0" w:line="2" w:lineRule="exact"/>
        <w:rPr>
          <w:sz w:val="20"/>
          <w:szCs w:val="20"/>
          <w:color w:val="auto"/>
        </w:rPr>
      </w:pPr>
    </w:p>
    <w:p>
      <w:pPr>
        <w:ind w:left="1020"/>
        <w:spacing w:after="0" w:line="227" w:lineRule="auto"/>
        <w:rPr>
          <w:sz w:val="20"/>
          <w:szCs w:val="20"/>
          <w:color w:val="auto"/>
        </w:rPr>
      </w:pPr>
      <w:r>
        <w:rPr>
          <w:rFonts w:ascii="Arial" w:cs="Arial" w:eastAsia="Arial" w:hAnsi="Arial"/>
          <w:sz w:val="20"/>
          <w:szCs w:val="20"/>
          <w:color w:val="auto"/>
        </w:rPr>
        <w:t>will have no other diligence obligations with respect to the Commercialization of any Licensed Products other than as set forth in this Section 8.1 (Responsibility/Diligence).</w:t>
      </w:r>
    </w:p>
    <w:p>
      <w:pPr>
        <w:spacing w:after="0" w:line="179"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b w:val="1"/>
          <w:bCs w:val="1"/>
          <w:color w:val="auto"/>
        </w:rPr>
        <w:t>Trademarks</w:t>
      </w:r>
      <w:r>
        <w:rPr>
          <w:rFonts w:ascii="Arial" w:cs="Arial" w:eastAsia="Arial" w:hAnsi="Arial"/>
          <w:sz w:val="16"/>
          <w:szCs w:val="16"/>
          <w:color w:val="auto"/>
        </w:rPr>
        <w:t>. Gilead shall have the sole right and sole control over, at its own expense, all matters relating</w:t>
      </w:r>
    </w:p>
    <w:p>
      <w:pPr>
        <w:spacing w:after="0" w:line="6" w:lineRule="exact"/>
        <w:rPr>
          <w:sz w:val="20"/>
          <w:szCs w:val="20"/>
          <w:color w:val="auto"/>
        </w:rPr>
      </w:pPr>
    </w:p>
    <w:p>
      <w:pPr>
        <w:ind w:left="1020" w:right="320"/>
        <w:spacing w:after="0" w:line="226" w:lineRule="auto"/>
        <w:rPr>
          <w:sz w:val="20"/>
          <w:szCs w:val="20"/>
          <w:color w:val="auto"/>
        </w:rPr>
      </w:pPr>
      <w:r>
        <w:rPr>
          <w:rFonts w:ascii="Arial" w:cs="Arial" w:eastAsia="Arial" w:hAnsi="Arial"/>
          <w:sz w:val="18"/>
          <w:szCs w:val="18"/>
          <w:color w:val="auto"/>
        </w:rPr>
        <w:t>to the use of, and shall own, all Trademarks used in the Commercialization of Licensed Products, which may vary by country or within a country, but excluding the MacroGenics Platform Trademarks, including the selection, filing,</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prosecution, maintenance, defense and enforcement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620"/>
          </w:cols>
          <w:pgMar w:left="400" w:top="1440" w:right="879" w:bottom="1440" w:gutter="0" w:footer="0" w:header="0"/>
        </w:sectPr>
      </w:pPr>
    </w:p>
    <w:bookmarkStart w:id="170" w:name="page171"/>
    <w:bookmarkEnd w:id="170"/>
    <w:p>
      <w:pPr>
        <w:spacing w:after="0" w:line="176" w:lineRule="exact"/>
        <w:rPr>
          <w:sz w:val="20"/>
          <w:szCs w:val="20"/>
          <w:color w:val="auto"/>
        </w:rPr>
      </w:pPr>
    </w:p>
    <w:p>
      <w:pPr>
        <w:ind w:left="1380" w:hanging="355"/>
        <w:spacing w:after="0"/>
        <w:tabs>
          <w:tab w:leader="none" w:pos="1380" w:val="left"/>
        </w:tabs>
        <w:numPr>
          <w:ilvl w:val="0"/>
          <w:numId w:val="116"/>
        </w:numPr>
        <w:rPr>
          <w:rFonts w:ascii="Arial" w:cs="Arial" w:eastAsia="Arial" w:hAnsi="Arial"/>
          <w:sz w:val="20"/>
          <w:szCs w:val="20"/>
          <w:color w:val="auto"/>
        </w:rPr>
      </w:pPr>
      <w:r>
        <w:rPr>
          <w:rFonts w:ascii="Arial" w:cs="Arial" w:eastAsia="Arial" w:hAnsi="Arial"/>
          <w:sz w:val="20"/>
          <w:szCs w:val="20"/>
          <w:b w:val="1"/>
          <w:bCs w:val="1"/>
          <w:color w:val="auto"/>
        </w:rPr>
        <w:t>Manufacture and Supply</w:t>
      </w:r>
      <w:r>
        <w:rPr>
          <w:rFonts w:ascii="Arial" w:cs="Arial" w:eastAsia="Arial" w:hAnsi="Arial"/>
          <w:sz w:val="20"/>
          <w:szCs w:val="20"/>
          <w:color w:val="auto"/>
        </w:rPr>
        <w:t>.</w:t>
      </w:r>
    </w:p>
    <w:p>
      <w:pPr>
        <w:spacing w:after="0" w:line="229"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b w:val="1"/>
          <w:bCs w:val="1"/>
          <w:color w:val="auto"/>
        </w:rPr>
        <w:t>MGD024 and MGD024 Products</w:t>
      </w:r>
      <w:r>
        <w:rPr>
          <w:rFonts w:ascii="Arial" w:cs="Arial" w:eastAsia="Arial" w:hAnsi="Arial"/>
          <w:sz w:val="18"/>
          <w:szCs w:val="18"/>
          <w:color w:val="auto"/>
        </w:rPr>
        <w:t>.</w:t>
      </w:r>
    </w:p>
    <w:p>
      <w:pPr>
        <w:spacing w:after="0" w:line="216" w:lineRule="exact"/>
        <w:rPr>
          <w:sz w:val="20"/>
          <w:szCs w:val="20"/>
          <w:color w:val="auto"/>
        </w:rPr>
      </w:pPr>
    </w:p>
    <w:p>
      <w:pPr>
        <w:ind w:left="2740" w:hanging="419"/>
        <w:spacing w:after="0"/>
        <w:tabs>
          <w:tab w:leader="none" w:pos="2740" w:val="left"/>
        </w:tabs>
        <w:numPr>
          <w:ilvl w:val="1"/>
          <w:numId w:val="117"/>
        </w:numPr>
        <w:rPr>
          <w:rFonts w:ascii="Arial" w:cs="Arial" w:eastAsia="Arial" w:hAnsi="Arial"/>
          <w:sz w:val="20"/>
          <w:szCs w:val="20"/>
          <w:color w:val="auto"/>
        </w:rPr>
      </w:pPr>
      <w:r>
        <w:rPr>
          <w:rFonts w:ascii="Arial" w:cs="Arial" w:eastAsia="Arial" w:hAnsi="Arial"/>
          <w:sz w:val="20"/>
          <w:szCs w:val="20"/>
          <w:b w:val="1"/>
          <w:bCs w:val="1"/>
          <w:color w:val="auto"/>
        </w:rPr>
        <w:t>Clinical Supply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20" w:right="40" w:firstLine="1949"/>
        <w:spacing w:after="0" w:line="232" w:lineRule="auto"/>
        <w:tabs>
          <w:tab w:leader="none" w:pos="3349" w:val="left"/>
        </w:tabs>
        <w:numPr>
          <w:ilvl w:val="2"/>
          <w:numId w:val="117"/>
        </w:numPr>
        <w:rPr>
          <w:rFonts w:ascii="Arial" w:cs="Arial" w:eastAsia="Arial" w:hAnsi="Arial"/>
          <w:sz w:val="18"/>
          <w:szCs w:val="18"/>
          <w:color w:val="auto"/>
        </w:rPr>
      </w:pPr>
      <w:r>
        <w:rPr>
          <w:rFonts w:ascii="Arial" w:cs="Arial" w:eastAsia="Arial" w:hAnsi="Arial"/>
          <w:sz w:val="18"/>
          <w:szCs w:val="18"/>
          <w:b w:val="1"/>
          <w:bCs w:val="1"/>
          <w:color w:val="auto"/>
        </w:rPr>
        <w:t>Prior to the CD123 Option Effective Date</w:t>
      </w:r>
      <w:r>
        <w:rPr>
          <w:rFonts w:ascii="Arial" w:cs="Arial" w:eastAsia="Arial" w:hAnsi="Arial"/>
          <w:sz w:val="18"/>
          <w:szCs w:val="18"/>
          <w:color w:val="auto"/>
        </w:rPr>
        <w:t>. Commencing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continuing until the CD123 Option Effective Date, MacroGenics shall be solely responsible, [***] Manufacture, either by itself or through one or more Third Parties selected by MacroGenics in accordance with Section 3.4 (Subcontractors), of MGD024 Products for use in connection with any Development activities conducted by or on behalf of the Parties under the CD123 Development Plan (including, for clarity, the Phase 1 Clinical Trial of MGD024 Product). [***] CD123 Development Term, subject to the terms of MacroGenics’ agreements with its Third Party CMOs responsible for the Manufacture of MGD024 Product (or any component thereof) as of the Effective Date, which agreements are set forth on </w:t>
      </w:r>
      <w:r>
        <w:rPr>
          <w:rFonts w:ascii="Arial" w:cs="Arial" w:eastAsia="Arial" w:hAnsi="Arial"/>
          <w:sz w:val="18"/>
          <w:szCs w:val="18"/>
          <w:b w:val="1"/>
          <w:bCs w:val="1"/>
          <w:color w:val="auto"/>
        </w:rPr>
        <w:t>Schedule 9.1(a)(i)</w:t>
      </w:r>
      <w:r>
        <w:rPr>
          <w:rFonts w:ascii="Arial" w:cs="Arial" w:eastAsia="Arial" w:hAnsi="Arial"/>
          <w:sz w:val="18"/>
          <w:szCs w:val="18"/>
          <w:color w:val="auto"/>
        </w:rPr>
        <w:t xml:space="preserve"> (Existing CMO Agreements) (collectively, the “</w:t>
      </w:r>
      <w:r>
        <w:rPr>
          <w:rFonts w:ascii="Arial" w:cs="Arial" w:eastAsia="Arial" w:hAnsi="Arial"/>
          <w:sz w:val="18"/>
          <w:szCs w:val="18"/>
          <w:b w:val="1"/>
          <w:bCs w:val="1"/>
          <w:color w:val="auto"/>
        </w:rPr>
        <w:t>Existing CMO Agreements</w:t>
      </w:r>
      <w:r>
        <w:rPr>
          <w:rFonts w:ascii="Arial" w:cs="Arial" w:eastAsia="Arial" w:hAnsi="Arial"/>
          <w:sz w:val="18"/>
          <w:szCs w:val="18"/>
          <w:color w:val="auto"/>
        </w:rPr>
        <w:t xml:space="preserve">”), MacroGenics will use Commercially Reasonable Efforts to [***] MGD024 Drug Products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Gilead</w:t>
      </w:r>
    </w:p>
    <w:p>
      <w:pPr>
        <w:spacing w:after="0" w:line="3" w:lineRule="exact"/>
        <w:rPr>
          <w:rFonts w:ascii="Arial" w:cs="Arial" w:eastAsia="Arial" w:hAnsi="Arial"/>
          <w:sz w:val="18"/>
          <w:szCs w:val="18"/>
          <w:color w:val="auto"/>
        </w:rPr>
      </w:pPr>
    </w:p>
    <w:p>
      <w:pPr>
        <w:ind w:left="1020" w:right="100" w:firstLine="5"/>
        <w:spacing w:after="0" w:line="215" w:lineRule="auto"/>
        <w:tabs>
          <w:tab w:leader="none" w:pos="1498" w:val="left"/>
        </w:tabs>
        <w:numPr>
          <w:ilvl w:val="0"/>
          <w:numId w:val="117"/>
        </w:numPr>
        <w:rPr>
          <w:rFonts w:ascii="Arial" w:cs="Arial" w:eastAsia="Arial" w:hAnsi="Arial"/>
          <w:sz w:val="20"/>
          <w:szCs w:val="20"/>
          <w:color w:val="auto"/>
        </w:rPr>
      </w:pPr>
      <w:r>
        <w:rPr>
          <w:rFonts w:ascii="Arial" w:cs="Arial" w:eastAsia="Arial" w:hAnsi="Arial"/>
          <w:sz w:val="20"/>
          <w:szCs w:val="20"/>
          <w:color w:val="auto"/>
        </w:rPr>
        <w:t>Manufacturing and supplying to Gilead any such quantities of MGD024 Product in excess of the quantities [***] for such quantities of MGD024 Drug Product. Notwithstanding the foregoing, upon the expiration (solely in the event that Gilead does not exercise the CD123 Option during such time) or termination of the CD123 Development Term, Gilead shall, upon MacroGenics’ request, transfer to MacroGenics, [***], any MGD024 Drug Product that has not been used by Gilead as of such date.</w:t>
      </w:r>
    </w:p>
    <w:p>
      <w:pPr>
        <w:spacing w:after="0" w:line="189" w:lineRule="exact"/>
        <w:rPr>
          <w:rFonts w:ascii="Arial" w:cs="Arial" w:eastAsia="Arial" w:hAnsi="Arial"/>
          <w:sz w:val="20"/>
          <w:szCs w:val="20"/>
          <w:color w:val="auto"/>
        </w:rPr>
      </w:pPr>
    </w:p>
    <w:p>
      <w:pPr>
        <w:ind w:left="1020" w:right="40" w:firstLine="1949"/>
        <w:spacing w:after="0" w:line="233" w:lineRule="auto"/>
        <w:tabs>
          <w:tab w:leader="none" w:pos="3403" w:val="left"/>
        </w:tabs>
        <w:numPr>
          <w:ilvl w:val="2"/>
          <w:numId w:val="118"/>
        </w:numPr>
        <w:rPr>
          <w:rFonts w:ascii="Arial" w:cs="Arial" w:eastAsia="Arial" w:hAnsi="Arial"/>
          <w:sz w:val="18"/>
          <w:szCs w:val="18"/>
          <w:color w:val="auto"/>
        </w:rPr>
      </w:pPr>
      <w:r>
        <w:rPr>
          <w:rFonts w:ascii="Arial" w:cs="Arial" w:eastAsia="Arial" w:hAnsi="Arial"/>
          <w:sz w:val="18"/>
          <w:szCs w:val="18"/>
          <w:b w:val="1"/>
          <w:bCs w:val="1"/>
          <w:color w:val="auto"/>
        </w:rPr>
        <w:t>During the Clinical Supply Term</w:t>
      </w:r>
      <w:r>
        <w:rPr>
          <w:rFonts w:ascii="Arial" w:cs="Arial" w:eastAsia="Arial" w:hAnsi="Arial"/>
          <w:sz w:val="18"/>
          <w:szCs w:val="18"/>
          <w:color w:val="auto"/>
        </w:rPr>
        <w:t>. Subject to Section 9.1(a)(v) (Failure to Supply), [***]</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Clinical Supply Term</w:t>
      </w:r>
      <w:r>
        <w:rPr>
          <w:rFonts w:ascii="Arial" w:cs="Arial" w:eastAsia="Arial" w:hAnsi="Arial"/>
          <w:sz w:val="18"/>
          <w:szCs w:val="18"/>
          <w:color w:val="auto"/>
        </w:rPr>
        <w:t xml:space="preserve">”), MacroGenics shall use Commercially Reasonable Efforts to Manufacture or have Manufactured, itself or through its Permitted Subcontractors in accordance with Section 3.4 (Subcontractors), all clinical supply of MGD024 Drug Product for Gilead pursuant to the terms of the Clinical Supply Agreement entered into between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 MacroGenics will supply Gilead with all clinical supply of MGD024 Drug Product required for Gilead’s Development activities on and after the CD123 Option Effective Date and Gilead shall</w:t>
      </w:r>
    </w:p>
    <w:p>
      <w:pPr>
        <w:spacing w:after="0" w:line="4" w:lineRule="exact"/>
        <w:rPr>
          <w:rFonts w:ascii="Arial" w:cs="Arial" w:eastAsia="Arial" w:hAnsi="Arial"/>
          <w:sz w:val="18"/>
          <w:szCs w:val="18"/>
          <w:color w:val="auto"/>
        </w:rPr>
      </w:pPr>
    </w:p>
    <w:p>
      <w:pPr>
        <w:ind w:left="1500" w:hanging="475"/>
        <w:spacing w:after="0"/>
        <w:tabs>
          <w:tab w:leader="none" w:pos="150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in accordance with Section 11.1 (Development Costs, Plan Costs and Manufacturing Costs).</w:t>
      </w:r>
    </w:p>
    <w:p>
      <w:pPr>
        <w:spacing w:after="0" w:line="193" w:lineRule="exact"/>
        <w:rPr>
          <w:rFonts w:ascii="Arial" w:cs="Arial" w:eastAsia="Arial" w:hAnsi="Arial"/>
          <w:sz w:val="20"/>
          <w:szCs w:val="20"/>
          <w:color w:val="auto"/>
        </w:rPr>
      </w:pPr>
    </w:p>
    <w:p>
      <w:pPr>
        <w:ind w:left="1020" w:firstLine="1950"/>
        <w:spacing w:after="0" w:line="223" w:lineRule="auto"/>
        <w:tabs>
          <w:tab w:leader="none" w:pos="3458" w:val="left"/>
        </w:tabs>
        <w:numPr>
          <w:ilvl w:val="2"/>
          <w:numId w:val="119"/>
        </w:numPr>
        <w:rPr>
          <w:rFonts w:ascii="Arial" w:cs="Arial" w:eastAsia="Arial" w:hAnsi="Arial"/>
          <w:sz w:val="19"/>
          <w:szCs w:val="19"/>
          <w:color w:val="auto"/>
        </w:rPr>
      </w:pPr>
      <w:r>
        <w:rPr>
          <w:rFonts w:ascii="Arial" w:cs="Arial" w:eastAsia="Arial" w:hAnsi="Arial"/>
          <w:sz w:val="19"/>
          <w:szCs w:val="19"/>
          <w:b w:val="1"/>
          <w:bCs w:val="1"/>
          <w:color w:val="auto"/>
        </w:rPr>
        <w:t>Clinical Supply Agreement</w:t>
      </w:r>
      <w:r>
        <w:rPr>
          <w:rFonts w:ascii="Arial" w:cs="Arial" w:eastAsia="Arial" w:hAnsi="Arial"/>
          <w:sz w:val="19"/>
          <w:szCs w:val="19"/>
          <w:color w:val="auto"/>
        </w:rPr>
        <w:t>. [***] (the “</w:t>
      </w:r>
      <w:r>
        <w:rPr>
          <w:rFonts w:ascii="Arial" w:cs="Arial" w:eastAsia="Arial" w:hAnsi="Arial"/>
          <w:sz w:val="19"/>
          <w:szCs w:val="19"/>
          <w:b w:val="1"/>
          <w:bCs w:val="1"/>
          <w:color w:val="auto"/>
        </w:rPr>
        <w:t>Clinical Supply Agreement</w:t>
      </w:r>
      <w:r>
        <w:rPr>
          <w:rFonts w:ascii="Arial" w:cs="Arial" w:eastAsia="Arial" w:hAnsi="Arial"/>
          <w:sz w:val="19"/>
          <w:szCs w:val="19"/>
          <w:color w:val="auto"/>
        </w:rPr>
        <w:t>”) that will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and conditions for MacroGenics’ provision, during the Clinical Supply Term, of clinical supplies of the MGD024 Drug Product to Gilead for use in Clinical Trials to be conducted by Gilead using MGD024 Products. The Clinical Supply Agreement will include [***]. Under the Clinical Supply Agreement, MacroGenics shall provide batches of MGD024 Drug Product [***] (the “</w:t>
      </w:r>
      <w:r>
        <w:rPr>
          <w:rFonts w:ascii="Arial" w:cs="Arial" w:eastAsia="Arial" w:hAnsi="Arial"/>
          <w:sz w:val="19"/>
          <w:szCs w:val="19"/>
          <w:b w:val="1"/>
          <w:bCs w:val="1"/>
          <w:color w:val="auto"/>
        </w:rPr>
        <w:t>MGD024 Transfer Price</w:t>
      </w:r>
      <w:r>
        <w:rPr>
          <w:rFonts w:ascii="Arial" w:cs="Arial" w:eastAsia="Arial" w:hAnsi="Arial"/>
          <w:sz w:val="19"/>
          <w:szCs w:val="19"/>
          <w:color w:val="auto"/>
        </w:rPr>
        <w:t>”). The Clinical Supply Agreement will also include [***]. The Parties shall [***] that shall further address and govern issues related to the quality of the MGD024 Drug Product to be supplied by MacroGenics pursuant to the Clinical Supply Agreement (the “</w:t>
      </w:r>
      <w:r>
        <w:rPr>
          <w:rFonts w:ascii="Arial" w:cs="Arial" w:eastAsia="Arial" w:hAnsi="Arial"/>
          <w:sz w:val="19"/>
          <w:szCs w:val="19"/>
          <w:b w:val="1"/>
          <w:bCs w:val="1"/>
          <w:color w:val="auto"/>
        </w:rPr>
        <w:t>Clinical Quality</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MacroGenics will supply, or cause to be supplied, to Gilead the MGD024 Drug Product,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provisions of this Agreement, and once executed, the Parties shall comply with their respective obligations to supply, or cause to be supplied, the MGD024 Drug Product, in accordance with the provisions of the Clinical Supply Agreement and the Clinical Quality Agreement.</w:t>
      </w:r>
    </w:p>
    <w:p>
      <w:pPr>
        <w:spacing w:after="0" w:line="196" w:lineRule="exact"/>
        <w:rPr>
          <w:rFonts w:ascii="Arial" w:cs="Arial" w:eastAsia="Arial" w:hAnsi="Arial"/>
          <w:sz w:val="19"/>
          <w:szCs w:val="19"/>
          <w:color w:val="auto"/>
        </w:rPr>
      </w:pPr>
    </w:p>
    <w:p>
      <w:pPr>
        <w:ind w:left="1020" w:right="180" w:firstLine="1949"/>
        <w:spacing w:after="0" w:line="239" w:lineRule="auto"/>
        <w:tabs>
          <w:tab w:leader="none" w:pos="3448" w:val="left"/>
        </w:tabs>
        <w:numPr>
          <w:ilvl w:val="2"/>
          <w:numId w:val="119"/>
        </w:numPr>
        <w:rPr>
          <w:rFonts w:ascii="Arial" w:cs="Arial" w:eastAsia="Arial" w:hAnsi="Arial"/>
          <w:sz w:val="18"/>
          <w:szCs w:val="18"/>
          <w:color w:val="auto"/>
        </w:rPr>
      </w:pPr>
      <w:r>
        <w:rPr>
          <w:rFonts w:ascii="Arial" w:cs="Arial" w:eastAsia="Arial" w:hAnsi="Arial"/>
          <w:sz w:val="18"/>
          <w:szCs w:val="18"/>
          <w:b w:val="1"/>
          <w:bCs w:val="1"/>
          <w:color w:val="auto"/>
        </w:rPr>
        <w:t>Gilead Responsibilities</w:t>
      </w:r>
      <w:r>
        <w:rPr>
          <w:rFonts w:ascii="Arial" w:cs="Arial" w:eastAsia="Arial" w:hAnsi="Arial"/>
          <w:sz w:val="18"/>
          <w:szCs w:val="18"/>
          <w:color w:val="auto"/>
        </w:rPr>
        <w:t>. For clarity, during the Clinical Supply Term, Gilead will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sole right and control over the Packaging and Labeling, either by itself or through one or more Third Parties, of the MGD024 Drug Product for Gilead’s use in Clinical Trials in the Field in the Territory. Subject to completion of the Manufacturing Technology Transfer of all relevant MacroGenics CD123 Know-How in accordance with Section 9.4 (Manufacturing Technology Transfer), following the expiration of the Clinical Supply Term, Gilead shall have the sole right and control over the Manufacture, either by itself or through one or more Third Parties, of MGD024 Products and any other CD123 Products for Development activities conducted by or on behalf of Gilead in the Field in the Territory.</w:t>
      </w:r>
    </w:p>
    <w:p>
      <w:pPr>
        <w:spacing w:after="0" w:line="190" w:lineRule="exact"/>
        <w:rPr>
          <w:rFonts w:ascii="Arial" w:cs="Arial" w:eastAsia="Arial" w:hAnsi="Arial"/>
          <w:sz w:val="18"/>
          <w:szCs w:val="18"/>
          <w:color w:val="auto"/>
        </w:rPr>
      </w:pPr>
    </w:p>
    <w:p>
      <w:pPr>
        <w:ind w:left="1020" w:right="220" w:firstLine="1949"/>
        <w:spacing w:after="0" w:line="221" w:lineRule="auto"/>
        <w:tabs>
          <w:tab w:leader="none" w:pos="3392" w:val="left"/>
        </w:tabs>
        <w:numPr>
          <w:ilvl w:val="2"/>
          <w:numId w:val="119"/>
        </w:numPr>
        <w:rPr>
          <w:rFonts w:ascii="Arial" w:cs="Arial" w:eastAsia="Arial" w:hAnsi="Arial"/>
          <w:sz w:val="20"/>
          <w:szCs w:val="20"/>
          <w:color w:val="auto"/>
        </w:rPr>
      </w:pPr>
      <w:r>
        <w:rPr>
          <w:rFonts w:ascii="Arial" w:cs="Arial" w:eastAsia="Arial" w:hAnsi="Arial"/>
          <w:sz w:val="20"/>
          <w:szCs w:val="20"/>
          <w:b w:val="1"/>
          <w:bCs w:val="1"/>
          <w:color w:val="auto"/>
        </w:rPr>
        <w:t>Failure to Supply</w:t>
      </w:r>
      <w:r>
        <w:rPr>
          <w:rFonts w:ascii="Arial" w:cs="Arial" w:eastAsia="Arial" w:hAnsi="Arial"/>
          <w:sz w:val="20"/>
          <w:szCs w:val="20"/>
          <w:color w:val="auto"/>
        </w:rPr>
        <w:t>. If, (1) in any given [***] of the [***] of MGD024 Drug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ordered by Gilead for delivery with respect to such period is not delivered or is delivered more than [***] of MGD024 Drug Product ordered by Gilead for delivery for each [***] Gilead will have the right to terminate the Clinical Supply Term after providing written notice to MacroGenics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5198745</wp:posOffset>
            </wp:positionH>
            <wp:positionV relativeFrom="paragraph">
              <wp:posOffset>-4989195</wp:posOffset>
            </wp:positionV>
            <wp:extent cx="311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10620"/>
          </w:cols>
          <w:pgMar w:left="40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620"/>
          </w:cols>
          <w:pgMar w:left="400" w:top="1440" w:right="879" w:bottom="1440" w:gutter="0" w:footer="0" w:header="0"/>
          <w:type w:val="continuous"/>
        </w:sectPr>
      </w:pPr>
    </w:p>
    <w:bookmarkStart w:id="171" w:name="page172"/>
    <w:bookmarkEnd w:id="171"/>
    <w:p>
      <w:pPr>
        <w:ind w:left="1020" w:right="100"/>
        <w:spacing w:after="0" w:line="244" w:lineRule="auto"/>
        <w:rPr>
          <w:sz w:val="20"/>
          <w:szCs w:val="20"/>
          <w:color w:val="auto"/>
        </w:rPr>
      </w:pPr>
      <w:r>
        <w:rPr>
          <w:rFonts w:ascii="Arial" w:cs="Arial" w:eastAsia="Arial" w:hAnsi="Arial"/>
          <w:sz w:val="18"/>
          <w:szCs w:val="18"/>
          <w:color w:val="auto"/>
        </w:rPr>
        <w:t>failure to supply. For clarity, non-conforming MGD024 Drug Product will be deemed not to have been delivered unless and until MacroGenics supplies conforming replacement MGD024 Drug Product. Notwithstanding anything to the</w:t>
      </w:r>
    </w:p>
    <w:p>
      <w:pPr>
        <w:ind w:left="1020" w:right="40"/>
        <w:spacing w:after="0" w:line="226" w:lineRule="auto"/>
        <w:rPr>
          <w:sz w:val="20"/>
          <w:szCs w:val="20"/>
          <w:color w:val="auto"/>
        </w:rPr>
      </w:pPr>
      <w:r>
        <w:rPr>
          <w:rFonts w:ascii="Arial" w:cs="Arial" w:eastAsia="Arial" w:hAnsi="Arial"/>
          <w:sz w:val="18"/>
          <w:szCs w:val="18"/>
          <w:color w:val="auto"/>
        </w:rPr>
        <w:t>contrary herein, the existence of a supply failure pursuant to this Section 9.1(a)(v) (Failure to Supply) shall not, in itself, constitute a breach of this Agreement by MacroGenics (although, for clarity, the underlying cause of such supply failure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may be a breach of this Agreement).</w:t>
      </w:r>
    </w:p>
    <w:p>
      <w:pPr>
        <w:spacing w:after="0" w:line="194" w:lineRule="exact"/>
        <w:rPr>
          <w:sz w:val="20"/>
          <w:szCs w:val="20"/>
          <w:color w:val="auto"/>
        </w:rPr>
      </w:pPr>
    </w:p>
    <w:p>
      <w:pPr>
        <w:jc w:val="both"/>
        <w:ind w:left="1020" w:right="40" w:firstLine="1301"/>
        <w:spacing w:after="0" w:line="225" w:lineRule="auto"/>
        <w:tabs>
          <w:tab w:leader="none" w:pos="2744" w:val="left"/>
        </w:tabs>
        <w:numPr>
          <w:ilvl w:val="0"/>
          <w:numId w:val="120"/>
        </w:numPr>
        <w:rPr>
          <w:rFonts w:ascii="Arial" w:cs="Arial" w:eastAsia="Arial" w:hAnsi="Arial"/>
          <w:sz w:val="20"/>
          <w:szCs w:val="20"/>
          <w:color w:val="auto"/>
        </w:rPr>
      </w:pPr>
      <w:r>
        <w:rPr>
          <w:rFonts w:ascii="Arial" w:cs="Arial" w:eastAsia="Arial" w:hAnsi="Arial"/>
          <w:sz w:val="20"/>
          <w:szCs w:val="20"/>
          <w:b w:val="1"/>
          <w:bCs w:val="1"/>
          <w:color w:val="auto"/>
        </w:rPr>
        <w:t>Commercial Supply</w:t>
      </w:r>
      <w:r>
        <w:rPr>
          <w:rFonts w:ascii="Arial" w:cs="Arial" w:eastAsia="Arial" w:hAnsi="Arial"/>
          <w:sz w:val="20"/>
          <w:szCs w:val="20"/>
          <w:color w:val="auto"/>
        </w:rPr>
        <w:t>. Gilead shall have the sole right and control over the Manufacture, either by</w:t>
      </w:r>
      <w:r>
        <w:rPr>
          <w:rFonts w:ascii="Arial" w:cs="Arial" w:eastAsia="Arial" w:hAnsi="Arial"/>
          <w:sz w:val="20"/>
          <w:szCs w:val="20"/>
          <w:b w:val="1"/>
          <w:bCs w:val="1"/>
          <w:color w:val="auto"/>
        </w:rPr>
        <w:t xml:space="preserve"> </w:t>
      </w:r>
      <w:r>
        <w:rPr>
          <w:rFonts w:ascii="Arial" w:cs="Arial" w:eastAsia="Arial" w:hAnsi="Arial"/>
          <w:sz w:val="20"/>
          <w:szCs w:val="20"/>
          <w:color w:val="auto"/>
        </w:rPr>
        <w:t>itself or through one or more Third Parties, of MGD024 Products and any other CD123 Products for Commercialization activities conducted by or on behalf of Gilead in the Field in the Territory.</w:t>
      </w:r>
    </w:p>
    <w:p>
      <w:pPr>
        <w:spacing w:after="0" w:line="204" w:lineRule="exact"/>
        <w:rPr>
          <w:sz w:val="20"/>
          <w:szCs w:val="20"/>
          <w:color w:val="auto"/>
        </w:rPr>
      </w:pPr>
    </w:p>
    <w:p>
      <w:pPr>
        <w:ind w:left="1020" w:firstLine="648"/>
        <w:spacing w:after="0" w:line="23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Research Molecules and Research Products</w:t>
      </w:r>
      <w:r>
        <w:rPr>
          <w:rFonts w:ascii="Arial" w:cs="Arial" w:eastAsia="Arial" w:hAnsi="Arial"/>
          <w:sz w:val="18"/>
          <w:szCs w:val="18"/>
          <w:color w:val="auto"/>
        </w:rPr>
        <w:t>. Gilead shall have the sole right and sole control over the Manufacture of clinical and commercial supply of Research Molecules and Research Products, [***] Gilead shall ensure</w:t>
      </w:r>
    </w:p>
    <w:p>
      <w:pPr>
        <w:spacing w:after="0" w:line="1" w:lineRule="exact"/>
        <w:rPr>
          <w:sz w:val="20"/>
          <w:szCs w:val="20"/>
          <w:color w:val="auto"/>
        </w:rPr>
      </w:pPr>
    </w:p>
    <w:p>
      <w:pPr>
        <w:ind w:left="1020" w:right="60"/>
        <w:spacing w:after="0" w:line="227" w:lineRule="auto"/>
        <w:rPr>
          <w:sz w:val="20"/>
          <w:szCs w:val="20"/>
          <w:color w:val="auto"/>
        </w:rPr>
      </w:pPr>
      <w:r>
        <w:rPr>
          <w:rFonts w:ascii="Arial" w:cs="Arial" w:eastAsia="Arial" w:hAnsi="Arial"/>
          <w:sz w:val="20"/>
          <w:szCs w:val="20"/>
          <w:color w:val="auto"/>
        </w:rPr>
        <w:t>that all clinical and commercial supplies of Research Molecules and Research Products are Manufactured in accordance with all Applicable Laws and Regulations.</w:t>
      </w:r>
    </w:p>
    <w:p>
      <w:pPr>
        <w:spacing w:after="0" w:line="179" w:lineRule="exact"/>
        <w:rPr>
          <w:sz w:val="20"/>
          <w:szCs w:val="20"/>
          <w:color w:val="auto"/>
        </w:rPr>
      </w:pPr>
    </w:p>
    <w:p>
      <w:pPr>
        <w:ind w:left="1680"/>
        <w:spacing w:after="0"/>
        <w:tabs>
          <w:tab w:leader="none" w:pos="210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b w:val="1"/>
          <w:bCs w:val="1"/>
          <w:color w:val="auto"/>
        </w:rPr>
        <w:t>Observation by Gilead</w:t>
      </w:r>
      <w:r>
        <w:rPr>
          <w:rFonts w:ascii="Arial" w:cs="Arial" w:eastAsia="Arial" w:hAnsi="Arial"/>
          <w:sz w:val="16"/>
          <w:szCs w:val="16"/>
          <w:color w:val="auto"/>
        </w:rPr>
        <w:t>. On a Program-by-Program basis, after (a) with respect to the CD123</w:t>
      </w:r>
    </w:p>
    <w:p>
      <w:pPr>
        <w:spacing w:after="0" w:line="6" w:lineRule="exact"/>
        <w:rPr>
          <w:sz w:val="20"/>
          <w:szCs w:val="20"/>
          <w:color w:val="auto"/>
        </w:rPr>
      </w:pPr>
    </w:p>
    <w:p>
      <w:pPr>
        <w:ind w:left="1020" w:right="60"/>
        <w:spacing w:after="0" w:line="226" w:lineRule="auto"/>
        <w:rPr>
          <w:sz w:val="20"/>
          <w:szCs w:val="20"/>
          <w:color w:val="auto"/>
        </w:rPr>
      </w:pPr>
      <w:r>
        <w:rPr>
          <w:rFonts w:ascii="Arial" w:cs="Arial" w:eastAsia="Arial" w:hAnsi="Arial"/>
          <w:sz w:val="18"/>
          <w:szCs w:val="18"/>
          <w:color w:val="auto"/>
        </w:rPr>
        <w:t>Development Program, the CD123 Option Exercise Date and (b) with respect to a Research Program, the Research Program Opt-In Date for such Research Program, MacroGenics will provide Gilead with the opportunity, upon Gilead’s</w:t>
      </w:r>
    </w:p>
    <w:p>
      <w:pPr>
        <w:ind w:left="1020"/>
        <w:spacing w:after="0" w:line="224" w:lineRule="auto"/>
        <w:rPr>
          <w:sz w:val="20"/>
          <w:szCs w:val="20"/>
          <w:color w:val="auto"/>
        </w:rPr>
      </w:pPr>
      <w:r>
        <w:rPr>
          <w:rFonts w:ascii="Arial" w:cs="Arial" w:eastAsia="Arial" w:hAnsi="Arial"/>
          <w:sz w:val="19"/>
          <w:szCs w:val="19"/>
          <w:color w:val="auto"/>
        </w:rPr>
        <w:t>reasonable request, [***] the Manufacturing processes and procedures for the Licensed Molecules and Licensed</w:t>
      </w:r>
    </w:p>
    <w:p>
      <w:pPr>
        <w:ind w:left="1020" w:right="360"/>
        <w:spacing w:after="0" w:line="255" w:lineRule="auto"/>
        <w:rPr>
          <w:sz w:val="20"/>
          <w:szCs w:val="20"/>
          <w:color w:val="auto"/>
        </w:rPr>
      </w:pPr>
      <w:r>
        <w:rPr>
          <w:rFonts w:ascii="Arial" w:cs="Arial" w:eastAsia="Arial" w:hAnsi="Arial"/>
          <w:sz w:val="16"/>
          <w:szCs w:val="16"/>
          <w:color w:val="auto"/>
        </w:rPr>
        <w:t>Products related to such Program (e.g., review assays, batch records, and release processes and procedures) for the purpose of enabling Gilead (or a Third Party contract manufacturer (“</w:t>
      </w:r>
      <w:r>
        <w:rPr>
          <w:rFonts w:ascii="Arial" w:cs="Arial" w:eastAsia="Arial" w:hAnsi="Arial"/>
          <w:sz w:val="16"/>
          <w:szCs w:val="16"/>
          <w:b w:val="1"/>
          <w:bCs w:val="1"/>
          <w:color w:val="auto"/>
        </w:rPr>
        <w:t>CMO</w:t>
      </w:r>
      <w:r>
        <w:rPr>
          <w:rFonts w:ascii="Arial" w:cs="Arial" w:eastAsia="Arial" w:hAnsi="Arial"/>
          <w:sz w:val="16"/>
          <w:szCs w:val="16"/>
          <w:color w:val="auto"/>
        </w:rPr>
        <w:t>”) designated by Gilead) to Manufacture</w:t>
      </w:r>
    </w:p>
    <w:p>
      <w:pPr>
        <w:ind w:left="1020"/>
        <w:spacing w:after="0" w:line="223" w:lineRule="auto"/>
        <w:rPr>
          <w:sz w:val="20"/>
          <w:szCs w:val="20"/>
          <w:color w:val="auto"/>
        </w:rPr>
      </w:pPr>
      <w:r>
        <w:rPr>
          <w:rFonts w:ascii="Arial" w:cs="Arial" w:eastAsia="Arial" w:hAnsi="Arial"/>
          <w:sz w:val="19"/>
          <w:szCs w:val="19"/>
          <w:color w:val="auto"/>
        </w:rPr>
        <w:t>such Licensed Molecules and Licensed Products pursuant to Section 9.4 (Manufacturing Technology Transfer). If</w:t>
      </w:r>
    </w:p>
    <w:p>
      <w:pPr>
        <w:ind w:left="1020" w:right="140"/>
        <w:spacing w:after="0" w:line="226" w:lineRule="auto"/>
        <w:rPr>
          <w:sz w:val="20"/>
          <w:szCs w:val="20"/>
          <w:color w:val="auto"/>
        </w:rPr>
      </w:pPr>
      <w:r>
        <w:rPr>
          <w:rFonts w:ascii="Arial" w:cs="Arial" w:eastAsia="Arial" w:hAnsi="Arial"/>
          <w:sz w:val="18"/>
          <w:szCs w:val="18"/>
          <w:color w:val="auto"/>
        </w:rPr>
        <w:t>MacroGenics utilizes a CMO for the Manufacture of any Licensed Molecules or Licensed Products, then MacroGenics will use Commercially Reasonable Efforts, including entering into a three- party confidentiality agreement with Gilead</w:t>
      </w:r>
    </w:p>
    <w:p>
      <w:pPr>
        <w:ind w:left="1020"/>
        <w:spacing w:after="0" w:line="236" w:lineRule="auto"/>
        <w:rPr>
          <w:sz w:val="20"/>
          <w:szCs w:val="20"/>
          <w:color w:val="auto"/>
        </w:rPr>
      </w:pPr>
      <w:r>
        <w:rPr>
          <w:rFonts w:ascii="Arial" w:cs="Arial" w:eastAsia="Arial" w:hAnsi="Arial"/>
          <w:sz w:val="18"/>
          <w:szCs w:val="18"/>
          <w:color w:val="auto"/>
        </w:rPr>
        <w:t>and such CMO, to enable Gilead to exercise its observational rights under this Section 9.3 (Observation by Gilead) with</w:t>
      </w:r>
    </w:p>
    <w:p>
      <w:pPr>
        <w:spacing w:after="0" w:line="1" w:lineRule="exact"/>
        <w:rPr>
          <w:sz w:val="20"/>
          <w:szCs w:val="20"/>
          <w:color w:val="auto"/>
        </w:rPr>
      </w:pPr>
    </w:p>
    <w:p>
      <w:pPr>
        <w:ind w:left="1020" w:right="400"/>
        <w:spacing w:after="0" w:line="220" w:lineRule="auto"/>
        <w:rPr>
          <w:sz w:val="20"/>
          <w:szCs w:val="20"/>
          <w:color w:val="auto"/>
        </w:rPr>
      </w:pPr>
      <w:r>
        <w:rPr>
          <w:rFonts w:ascii="Arial" w:cs="Arial" w:eastAsia="Arial" w:hAnsi="Arial"/>
          <w:sz w:val="20"/>
          <w:szCs w:val="20"/>
          <w:color w:val="auto"/>
        </w:rPr>
        <w:t>respect to any Manufacturing activities for the Licensed Molecules and Licensed Products being conducted by such CMO.</w:t>
      </w:r>
    </w:p>
    <w:p>
      <w:pPr>
        <w:spacing w:after="0" w:line="204" w:lineRule="exact"/>
        <w:rPr>
          <w:sz w:val="20"/>
          <w:szCs w:val="20"/>
          <w:color w:val="auto"/>
        </w:rPr>
      </w:pPr>
    </w:p>
    <w:p>
      <w:pPr>
        <w:ind w:left="1020" w:right="420" w:firstLine="648"/>
        <w:spacing w:after="0" w:line="23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Manufacturing Technology Transfer</w:t>
      </w:r>
      <w:r>
        <w:rPr>
          <w:rFonts w:ascii="Arial" w:cs="Arial" w:eastAsia="Arial" w:hAnsi="Arial"/>
          <w:sz w:val="18"/>
          <w:szCs w:val="18"/>
          <w:color w:val="auto"/>
        </w:rPr>
        <w:t>. On a Program-by-Program basis, [***] (a) with respect to the CD123 Development Program, the CD123 Option Effective Date and (b) with respect to a Research Program, the</w:t>
      </w:r>
    </w:p>
    <w:p>
      <w:pPr>
        <w:ind w:left="1020"/>
        <w:spacing w:after="0" w:line="236" w:lineRule="auto"/>
        <w:rPr>
          <w:sz w:val="20"/>
          <w:szCs w:val="20"/>
          <w:color w:val="auto"/>
        </w:rPr>
      </w:pPr>
      <w:r>
        <w:rPr>
          <w:rFonts w:ascii="Arial" w:cs="Arial" w:eastAsia="Arial" w:hAnsi="Arial"/>
          <w:sz w:val="18"/>
          <w:szCs w:val="18"/>
          <w:color w:val="auto"/>
        </w:rPr>
        <w:t>Research Program Opt-In Effective Date for such Research Program, MacroGenics will work with Gilead to transfer to</w:t>
      </w:r>
    </w:p>
    <w:p>
      <w:pPr>
        <w:ind w:left="1020" w:right="580"/>
        <w:spacing w:after="0" w:line="226" w:lineRule="auto"/>
        <w:rPr>
          <w:sz w:val="20"/>
          <w:szCs w:val="20"/>
          <w:color w:val="auto"/>
        </w:rPr>
      </w:pPr>
      <w:r>
        <w:rPr>
          <w:rFonts w:ascii="Arial" w:cs="Arial" w:eastAsia="Arial" w:hAnsi="Arial"/>
          <w:sz w:val="18"/>
          <w:szCs w:val="18"/>
          <w:color w:val="auto"/>
        </w:rPr>
        <w:t>Gilead (or its designee) all MacroGenics Licensed Know-How [***] for the applicable Program, to the extent not previously transferred to Gilead under this Agreement, including by providing copies or samples of relevant</w:t>
      </w:r>
    </w:p>
    <w:p>
      <w:pPr>
        <w:spacing w:after="0" w:line="2" w:lineRule="exact"/>
        <w:rPr>
          <w:sz w:val="20"/>
          <w:szCs w:val="20"/>
          <w:color w:val="auto"/>
        </w:rPr>
      </w:pPr>
    </w:p>
    <w:p>
      <w:pPr>
        <w:ind w:left="1020" w:right="140"/>
        <w:spacing w:after="0" w:line="226" w:lineRule="auto"/>
        <w:rPr>
          <w:sz w:val="20"/>
          <w:szCs w:val="20"/>
          <w:color w:val="auto"/>
        </w:rPr>
      </w:pPr>
      <w:r>
        <w:rPr>
          <w:rFonts w:ascii="Arial" w:cs="Arial" w:eastAsia="Arial" w:hAnsi="Arial"/>
          <w:sz w:val="18"/>
          <w:szCs w:val="18"/>
          <w:color w:val="auto"/>
        </w:rPr>
        <w:t>documentation, materials, and other embodiments of any such MacroGenics Licensed Know-How, and by making available its qualified technical personnel on a reasonable basis to consult with Gilead with respect to such Know-How</w:t>
      </w:r>
    </w:p>
    <w:p>
      <w:pPr>
        <w:ind w:left="1020"/>
        <w:spacing w:after="0" w:line="224" w:lineRule="auto"/>
        <w:rPr>
          <w:sz w:val="20"/>
          <w:szCs w:val="20"/>
          <w:color w:val="auto"/>
        </w:rPr>
      </w:pPr>
      <w:r>
        <w:rPr>
          <w:rFonts w:ascii="Arial" w:cs="Arial" w:eastAsia="Arial" w:hAnsi="Arial"/>
          <w:sz w:val="19"/>
          <w:szCs w:val="19"/>
          <w:color w:val="auto"/>
        </w:rPr>
        <w:t>(for each Program, a “</w:t>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Each Manufacturing Technology Transfer [***]</w:t>
      </w:r>
    </w:p>
    <w:p>
      <w:pPr>
        <w:ind w:left="1020" w:right="400"/>
        <w:spacing w:after="0" w:line="255" w:lineRule="auto"/>
        <w:rPr>
          <w:sz w:val="20"/>
          <w:szCs w:val="20"/>
          <w:color w:val="auto"/>
        </w:rPr>
      </w:pPr>
      <w:r>
        <w:rPr>
          <w:rFonts w:ascii="Arial" w:cs="Arial" w:eastAsia="Arial" w:hAnsi="Arial"/>
          <w:sz w:val="16"/>
          <w:szCs w:val="16"/>
          <w:color w:val="auto"/>
        </w:rPr>
        <w:t>Manufacturing Processes and Manufacture the applicable Licensed Product, and shall be subject to a written plan developed and approved by the Parties through the JSC in good faith with respect to the Manufacturing Technology</w:t>
      </w:r>
    </w:p>
    <w:p>
      <w:pPr>
        <w:ind w:left="1020"/>
        <w:spacing w:after="0" w:line="223" w:lineRule="auto"/>
        <w:rPr>
          <w:sz w:val="20"/>
          <w:szCs w:val="20"/>
          <w:color w:val="auto"/>
        </w:rPr>
      </w:pPr>
      <w:r>
        <w:rPr>
          <w:rFonts w:ascii="Arial" w:cs="Arial" w:eastAsia="Arial" w:hAnsi="Arial"/>
          <w:sz w:val="19"/>
          <w:szCs w:val="19"/>
          <w:color w:val="auto"/>
        </w:rPr>
        <w:t>Transfer (the “</w:t>
      </w:r>
      <w:r>
        <w:rPr>
          <w:rFonts w:ascii="Arial" w:cs="Arial" w:eastAsia="Arial" w:hAnsi="Arial"/>
          <w:sz w:val="19"/>
          <w:szCs w:val="19"/>
          <w:b w:val="1"/>
          <w:bCs w:val="1"/>
          <w:color w:val="auto"/>
        </w:rPr>
        <w:t>Manufacturing Transition Plan</w:t>
      </w:r>
      <w:r>
        <w:rPr>
          <w:rFonts w:ascii="Arial" w:cs="Arial" w:eastAsia="Arial" w:hAnsi="Arial"/>
          <w:sz w:val="19"/>
          <w:szCs w:val="19"/>
          <w:color w:val="auto"/>
        </w:rPr>
        <w:t>”). Each Manufacturing Transition Plan [***] performance of the</w:t>
      </w:r>
    </w:p>
    <w:p>
      <w:pPr>
        <w:ind w:left="1020" w:right="80"/>
        <w:spacing w:after="0" w:line="226" w:lineRule="auto"/>
        <w:rPr>
          <w:sz w:val="20"/>
          <w:szCs w:val="20"/>
          <w:color w:val="auto"/>
        </w:rPr>
      </w:pPr>
      <w:r>
        <w:rPr>
          <w:rFonts w:ascii="Arial" w:cs="Arial" w:eastAsia="Arial" w:hAnsi="Arial"/>
          <w:sz w:val="18"/>
          <w:szCs w:val="18"/>
          <w:color w:val="auto"/>
        </w:rPr>
        <w:t>activities set forth in the applicable Manufacturing Transition Plan (each, a “</w:t>
      </w:r>
      <w:r>
        <w:rPr>
          <w:rFonts w:ascii="Arial" w:cs="Arial" w:eastAsia="Arial" w:hAnsi="Arial"/>
          <w:sz w:val="18"/>
          <w:szCs w:val="18"/>
          <w:b w:val="1"/>
          <w:bCs w:val="1"/>
          <w:color w:val="auto"/>
        </w:rPr>
        <w:t>Manufacturing Transition Budget</w:t>
      </w:r>
      <w:r>
        <w:rPr>
          <w:rFonts w:ascii="Arial" w:cs="Arial" w:eastAsia="Arial" w:hAnsi="Arial"/>
          <w:sz w:val="18"/>
          <w:szCs w:val="18"/>
          <w:color w:val="auto"/>
        </w:rPr>
        <w:t>”). The Parties shall use Commercially Reasonable Efforts to implement each Manufacturing Technology Transfer to Gilead or</w:t>
      </w:r>
    </w:p>
    <w:p>
      <w:pPr>
        <w:ind w:left="1020"/>
        <w:spacing w:after="0" w:line="236" w:lineRule="auto"/>
        <w:rPr>
          <w:sz w:val="20"/>
          <w:szCs w:val="20"/>
          <w:color w:val="auto"/>
        </w:rPr>
      </w:pPr>
      <w:r>
        <w:rPr>
          <w:rFonts w:ascii="Arial" w:cs="Arial" w:eastAsia="Arial" w:hAnsi="Arial"/>
          <w:sz w:val="18"/>
          <w:szCs w:val="18"/>
          <w:color w:val="auto"/>
        </w:rPr>
        <w:t>its designee in accordance with the applicable Manufacturing Transition Plan. [***] Manufacturing Technology Transfer</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for the relevant Program(s). [***] MacroGenics to conduct activities under the Manufacturing Transition Plan for such Program(s) in accordance [***] MacroGenics shall provide notice to the JSC and the JSC shall promptly discuss in good</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faith and consider whether to implement any amendments to the Manufacturing Transition Plan [***].</w:t>
      </w:r>
    </w:p>
    <w:p>
      <w:pPr>
        <w:spacing w:after="0" w:line="275" w:lineRule="exact"/>
        <w:rPr>
          <w:sz w:val="20"/>
          <w:szCs w:val="20"/>
          <w:color w:val="auto"/>
        </w:rPr>
      </w:pPr>
    </w:p>
    <w:p>
      <w:pPr>
        <w:ind w:left="1020" w:right="100" w:firstLine="648"/>
        <w:spacing w:after="0" w:line="269"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MacroGenics Manufacturing Support</w:t>
      </w:r>
      <w:r>
        <w:rPr>
          <w:rFonts w:ascii="Arial" w:cs="Arial" w:eastAsia="Arial" w:hAnsi="Arial"/>
          <w:sz w:val="16"/>
          <w:szCs w:val="16"/>
          <w:color w:val="auto"/>
        </w:rPr>
        <w:t>. The Parties understand and agree following the Manufacturing Technology Transfer contemplated by Section 9.4 (Manufacturing Technology Transfer) it may be necessary for Gilead</w:t>
      </w:r>
    </w:p>
    <w:p>
      <w:pPr>
        <w:ind w:left="1020"/>
        <w:spacing w:after="0" w:line="236" w:lineRule="auto"/>
        <w:rPr>
          <w:sz w:val="20"/>
          <w:szCs w:val="20"/>
          <w:color w:val="auto"/>
        </w:rPr>
      </w:pPr>
      <w:r>
        <w:rPr>
          <w:rFonts w:ascii="Arial" w:cs="Arial" w:eastAsia="Arial" w:hAnsi="Arial"/>
          <w:sz w:val="18"/>
          <w:szCs w:val="18"/>
          <w:color w:val="auto"/>
        </w:rPr>
        <w:t>from time to time to seek assistance and cooperation from MacroGenics in connection with the Manufacture of Licensed</w:t>
      </w:r>
    </w:p>
    <w:p>
      <w:pPr>
        <w:ind w:left="1020" w:right="60"/>
        <w:spacing w:after="0" w:line="255" w:lineRule="auto"/>
        <w:rPr>
          <w:sz w:val="20"/>
          <w:szCs w:val="20"/>
          <w:color w:val="auto"/>
        </w:rPr>
      </w:pPr>
      <w:r>
        <w:rPr>
          <w:rFonts w:ascii="Arial" w:cs="Arial" w:eastAsia="Arial" w:hAnsi="Arial"/>
          <w:sz w:val="16"/>
          <w:szCs w:val="16"/>
          <w:color w:val="auto"/>
        </w:rPr>
        <w:t>Products, including with respect to activities performed to increase production quantities of the Licensed Products. MacroGenics will use reasonable efforts to provide any such assistance and cooperation reasonably requested by Gilead</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80"/>
          </w:cols>
          <w:pgMar w:left="400" w:top="1324" w:right="919" w:bottom="1440" w:gutter="0" w:footer="0" w:header="0"/>
        </w:sectPr>
      </w:pPr>
    </w:p>
    <w:bookmarkStart w:id="172" w:name="page173"/>
    <w:bookmarkEnd w:id="172"/>
    <w:p>
      <w:pPr>
        <w:ind w:left="1480" w:hanging="455"/>
        <w:spacing w:after="0"/>
        <w:tabs>
          <w:tab w:leader="none" w:pos="1480" w:val="left"/>
        </w:tabs>
        <w:numPr>
          <w:ilvl w:val="0"/>
          <w:numId w:val="121"/>
        </w:numPr>
        <w:rPr>
          <w:rFonts w:ascii="Arial" w:cs="Arial" w:eastAsia="Arial" w:hAnsi="Arial"/>
          <w:sz w:val="20"/>
          <w:szCs w:val="20"/>
          <w:color w:val="auto"/>
        </w:rPr>
      </w:pPr>
      <w:r>
        <w:rPr>
          <w:rFonts w:ascii="Arial" w:cs="Arial" w:eastAsia="Arial" w:hAnsi="Arial"/>
          <w:sz w:val="20"/>
          <w:szCs w:val="20"/>
          <w:b w:val="1"/>
          <w:bCs w:val="1"/>
          <w:color w:val="auto"/>
        </w:rPr>
        <w:t>Payments</w:t>
      </w:r>
      <w:r>
        <w:rPr>
          <w:rFonts w:ascii="Arial" w:cs="Arial" w:eastAsia="Arial" w:hAnsi="Arial"/>
          <w:sz w:val="20"/>
          <w:szCs w:val="20"/>
          <w:color w:val="auto"/>
        </w:rPr>
        <w:t>.</w:t>
      </w:r>
    </w:p>
    <w:p>
      <w:pPr>
        <w:spacing w:after="0" w:line="216" w:lineRule="exact"/>
        <w:rPr>
          <w:sz w:val="20"/>
          <w:szCs w:val="20"/>
          <w:color w:val="auto"/>
        </w:rPr>
      </w:pPr>
    </w:p>
    <w:p>
      <w:pPr>
        <w:jc w:val="both"/>
        <w:ind w:left="1020" w:right="80" w:firstLine="648"/>
        <w:spacing w:after="0" w:line="230"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b w:val="1"/>
          <w:bCs w:val="1"/>
          <w:color w:val="auto"/>
        </w:rPr>
        <w:t>Upfront Payment</w:t>
      </w:r>
      <w:r>
        <w:rPr>
          <w:rFonts w:ascii="Arial" w:cs="Arial" w:eastAsia="Arial" w:hAnsi="Arial"/>
          <w:sz w:val="20"/>
          <w:szCs w:val="20"/>
          <w:color w:val="auto"/>
        </w:rPr>
        <w:t>. Within [***] after the Effective Date, Gilead shall pay to MacroGenics Sixty Million US Dollars (US$60,000,000), which shall be non-creditable and non- refundable against any other payments due under this Agreement.</w:t>
      </w:r>
    </w:p>
    <w:p>
      <w:pPr>
        <w:spacing w:after="0" w:line="176"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b w:val="1"/>
          <w:bCs w:val="1"/>
          <w:color w:val="auto"/>
        </w:rPr>
        <w:t>Development and Regulatory Milestone Payments</w:t>
      </w:r>
      <w:r>
        <w:rPr>
          <w:rFonts w:ascii="Arial" w:cs="Arial" w:eastAsia="Arial" w:hAnsi="Arial"/>
          <w:sz w:val="16"/>
          <w:szCs w:val="16"/>
          <w:color w:val="auto"/>
        </w:rPr>
        <w:t>.</w:t>
      </w:r>
    </w:p>
    <w:p>
      <w:pPr>
        <w:spacing w:after="0" w:line="229" w:lineRule="exact"/>
        <w:rPr>
          <w:sz w:val="20"/>
          <w:szCs w:val="20"/>
          <w:color w:val="auto"/>
        </w:rPr>
      </w:pPr>
    </w:p>
    <w:p>
      <w:pPr>
        <w:ind w:left="1020" w:firstLine="1301"/>
        <w:spacing w:after="0" w:line="221" w:lineRule="auto"/>
        <w:tabs>
          <w:tab w:leader="none" w:pos="2734"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CD123 Products</w:t>
      </w:r>
      <w:r>
        <w:rPr>
          <w:rFonts w:ascii="Arial" w:cs="Arial" w:eastAsia="Arial" w:hAnsi="Arial"/>
          <w:sz w:val="19"/>
          <w:szCs w:val="19"/>
          <w:color w:val="auto"/>
        </w:rPr>
        <w:t>. Subject to the terms and conditions of this Agreement, Gilead shall pay to</w:t>
      </w:r>
      <w:r>
        <w:rPr>
          <w:rFonts w:ascii="Arial" w:cs="Arial" w:eastAsia="Arial" w:hAnsi="Arial"/>
          <w:sz w:val="19"/>
          <w:szCs w:val="19"/>
          <w:b w:val="1"/>
          <w:bCs w:val="1"/>
          <w:color w:val="auto"/>
        </w:rPr>
        <w:t xml:space="preserve"> </w:t>
      </w:r>
      <w:r>
        <w:rPr>
          <w:rFonts w:ascii="Arial" w:cs="Arial" w:eastAsia="Arial" w:hAnsi="Arial"/>
          <w:sz w:val="19"/>
          <w:szCs w:val="19"/>
          <w:color w:val="auto"/>
        </w:rPr>
        <w:t>MacroGenics the one-time, non-creditable, non-refundable milestone payments set forth in the table below in this Section 10.2(a) (CD123 Products) after the first achievement of the applicable milestone events by a CD123 Product, whether such achievement is by or on behalf of Gilead, its Affiliate or any Sublicensee of Gilead (each event, a “</w:t>
      </w:r>
      <w:r>
        <w:rPr>
          <w:rFonts w:ascii="Arial" w:cs="Arial" w:eastAsia="Arial" w:hAnsi="Arial"/>
          <w:sz w:val="19"/>
          <w:szCs w:val="19"/>
          <w:b w:val="1"/>
          <w:bCs w:val="1"/>
          <w:color w:val="auto"/>
        </w:rPr>
        <w:t>CD123</w:t>
      </w:r>
      <w:r>
        <w:rPr>
          <w:rFonts w:ascii="Arial" w:cs="Arial" w:eastAsia="Arial" w:hAnsi="Arial"/>
          <w:sz w:val="19"/>
          <w:szCs w:val="19"/>
          <w:color w:val="auto"/>
        </w:rPr>
        <w:t xml:space="preserve"> </w:t>
      </w:r>
      <w:r>
        <w:rPr>
          <w:rFonts w:ascii="Arial" w:cs="Arial" w:eastAsia="Arial" w:hAnsi="Arial"/>
          <w:sz w:val="19"/>
          <w:szCs w:val="19"/>
          <w:b w:val="1"/>
          <w:bCs w:val="1"/>
          <w:color w:val="auto"/>
        </w:rPr>
        <w:t>Development Milestone Event</w:t>
      </w:r>
      <w:r>
        <w:rPr>
          <w:rFonts w:ascii="Arial" w:cs="Arial" w:eastAsia="Arial" w:hAnsi="Arial"/>
          <w:sz w:val="19"/>
          <w:szCs w:val="19"/>
          <w:color w:val="auto"/>
        </w:rPr>
        <w:t>” and each payment, a “</w:t>
      </w:r>
      <w:r>
        <w:rPr>
          <w:rFonts w:ascii="Arial" w:cs="Arial" w:eastAsia="Arial" w:hAnsi="Arial"/>
          <w:sz w:val="19"/>
          <w:szCs w:val="19"/>
          <w:b w:val="1"/>
          <w:bCs w:val="1"/>
          <w:color w:val="auto"/>
        </w:rPr>
        <w:t>CD123 Development Milestone Payment</w:t>
      </w:r>
      <w:r>
        <w:rPr>
          <w:rFonts w:ascii="Arial" w:cs="Arial" w:eastAsia="Arial" w:hAnsi="Arial"/>
          <w:sz w:val="19"/>
          <w:szCs w:val="19"/>
          <w:color w:val="auto"/>
        </w:rPr>
        <w:t>”). For clarity,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CD123 Development Milestone Payments shall be payable only once, regardless of the number of times the corresponding CD123 Development Milestone Event is achieved. Gilead will promptly notify MacroGenics upon the achievement of each CD123 Development Milestone Event and will pay the corresponding CD123 Development Milestone Payment within [***] following receipt of an invoice from MacroGenics for such CD123 Development Milestone Payment. If Gilead or its Affiliates or Sublicensees achieve all of the CD123 Development Milestone Events (regardless of the number of times such events occur or the number of CD123 Products that trigger such event), then the CD123 Development Milestone Payments payable by Gilead under this Section 10.2(a) (CD123 Products) will not exceed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170815</wp:posOffset>
            </wp:positionV>
            <wp:extent cx="5469255" cy="11061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5469255" cy="1106170"/>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CD123 Development Milestones</w:t>
      </w:r>
    </w:p>
    <w:p>
      <w:pPr>
        <w:spacing w:after="0" w:line="29" w:lineRule="exact"/>
        <w:rPr>
          <w:sz w:val="20"/>
          <w:szCs w:val="20"/>
          <w:color w:val="auto"/>
        </w:rPr>
      </w:pPr>
    </w:p>
    <w:tbl>
      <w:tblPr>
        <w:tblLayout w:type="fixed"/>
        <w:tblInd w:w="1000" w:type="dxa"/>
        <w:tblCellMar>
          <w:top w:w="0" w:type="dxa"/>
          <w:left w:w="0" w:type="dxa"/>
          <w:bottom w:w="0" w:type="dxa"/>
          <w:right w:w="0" w:type="dxa"/>
        </w:tblCellMar>
      </w:tblPr>
      <w:tr>
        <w:trPr>
          <w:trHeight w:val="270"/>
        </w:trPr>
        <w:tc>
          <w:tcPr>
            <w:tcW w:w="920" w:type="dxa"/>
            <w:vAlign w:val="bottom"/>
            <w:tcBorders>
              <w:top w:val="single" w:sz="8" w:color="auto"/>
              <w:bottom w:val="single" w:sz="8" w:color="BCD6ED"/>
              <w:right w:val="single" w:sz="8" w:color="auto"/>
            </w:tcBorders>
            <w:shd w:val="clear" w:color="auto" w:fill="BCD6ED"/>
          </w:tcPr>
          <w:p>
            <w:pPr>
              <w:jc w:val="right"/>
              <w:ind w:right="261"/>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bottom w:val="single" w:sz="8" w:color="BCD6ED"/>
            </w:tcBorders>
            <w:shd w:val="clear" w:color="auto" w:fill="BCD6ED"/>
          </w:tcPr>
          <w:p>
            <w:pPr>
              <w:spacing w:after="0"/>
              <w:rPr>
                <w:sz w:val="23"/>
                <w:szCs w:val="23"/>
                <w:color w:val="auto"/>
              </w:rPr>
            </w:pPr>
          </w:p>
        </w:tc>
        <w:tc>
          <w:tcPr>
            <w:tcW w:w="1060" w:type="dxa"/>
            <w:vAlign w:val="bottom"/>
            <w:tcBorders>
              <w:top w:val="single" w:sz="8" w:color="auto"/>
              <w:bottom w:val="single" w:sz="8" w:color="BCD6ED"/>
              <w:right w:val="single" w:sz="8" w:color="auto"/>
            </w:tcBorders>
            <w:shd w:val="clear" w:color="auto" w:fill="BCD6ED"/>
          </w:tcPr>
          <w:p>
            <w:pPr>
              <w:jc w:val="right"/>
              <w:ind w:right="501"/>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shd w:val="clear" w:color="auto" w:fill="BCD6ED"/>
          </w:tcPr>
          <w:p>
            <w:pPr>
              <w:spacing w:after="0"/>
              <w:rPr>
                <w:sz w:val="23"/>
                <w:szCs w:val="23"/>
                <w:color w:val="auto"/>
              </w:rPr>
            </w:pPr>
          </w:p>
        </w:tc>
        <w:tc>
          <w:tcPr>
            <w:tcW w:w="980" w:type="dxa"/>
            <w:vAlign w:val="bottom"/>
            <w:tcBorders>
              <w:top w:val="single" w:sz="8" w:color="auto"/>
              <w:bottom w:val="single" w:sz="8" w:color="auto"/>
              <w:right w:val="single" w:sz="8" w:color="BCD6ED"/>
            </w:tcBorders>
            <w:shd w:val="clear" w:color="auto" w:fill="BCD6ED"/>
          </w:tcPr>
          <w:p>
            <w:pPr>
              <w:jc w:val="right"/>
              <w:ind w:right="261"/>
              <w:spacing w:after="0"/>
              <w:rPr>
                <w:sz w:val="20"/>
                <w:szCs w:val="20"/>
                <w:color w:val="auto"/>
              </w:rPr>
            </w:pPr>
            <w:r>
              <w:rPr>
                <w:rFonts w:ascii="Arial" w:cs="Arial" w:eastAsia="Arial" w:hAnsi="Arial"/>
                <w:sz w:val="20"/>
                <w:szCs w:val="20"/>
                <w:color w:val="auto"/>
              </w:rPr>
              <w:t>[***]</w:t>
            </w:r>
          </w:p>
        </w:tc>
        <w:tc>
          <w:tcPr>
            <w:tcW w:w="1940" w:type="dxa"/>
            <w:vAlign w:val="bottom"/>
            <w:tcBorders>
              <w:top w:val="single" w:sz="8" w:color="auto"/>
              <w:bottom w:val="single" w:sz="8" w:color="auto"/>
              <w:right w:val="single" w:sz="8" w:color="BCD6ED"/>
            </w:tcBorders>
            <w:shd w:val="clear" w:color="auto" w:fill="BCD6ED"/>
          </w:tcPr>
          <w:p>
            <w:pPr>
              <w:spacing w:after="0"/>
              <w:rPr>
                <w:sz w:val="23"/>
                <w:szCs w:val="23"/>
                <w:color w:val="auto"/>
              </w:rPr>
            </w:pPr>
          </w:p>
        </w:tc>
        <w:tc>
          <w:tcPr>
            <w:tcW w:w="2020" w:type="dxa"/>
            <w:vAlign w:val="bottom"/>
            <w:tcBorders>
              <w:top w:val="single" w:sz="8" w:color="auto"/>
              <w:bottom w:val="single" w:sz="8" w:color="auto"/>
            </w:tcBorders>
            <w:shd w:val="clear" w:color="auto" w:fill="BCD6ED"/>
          </w:tcPr>
          <w:p>
            <w:pPr>
              <w:spacing w:after="0"/>
              <w:rPr>
                <w:sz w:val="23"/>
                <w:szCs w:val="23"/>
                <w:color w:val="auto"/>
              </w:rPr>
            </w:pPr>
          </w:p>
        </w:tc>
      </w:tr>
      <w:tr>
        <w:trPr>
          <w:trHeight w:val="247"/>
        </w:trPr>
        <w:tc>
          <w:tcPr>
            <w:tcW w:w="920" w:type="dxa"/>
            <w:vAlign w:val="bottom"/>
            <w:tcBorders>
              <w:bottom w:val="single" w:sz="8" w:color="auto"/>
              <w:right w:val="single" w:sz="8" w:color="auto"/>
            </w:tcBorders>
            <w:shd w:val="clear" w:color="auto" w:fill="BCD6ED"/>
          </w:tcPr>
          <w:p>
            <w:pPr>
              <w:spacing w:after="0"/>
              <w:rPr>
                <w:sz w:val="21"/>
                <w:szCs w:val="21"/>
                <w:color w:val="auto"/>
              </w:rPr>
            </w:pPr>
          </w:p>
        </w:tc>
        <w:tc>
          <w:tcPr>
            <w:tcW w:w="560" w:type="dxa"/>
            <w:vAlign w:val="bottom"/>
            <w:tcBorders>
              <w:bottom w:val="single" w:sz="8" w:color="auto"/>
            </w:tcBorders>
            <w:shd w:val="clear" w:color="auto" w:fill="BCD6ED"/>
          </w:tcPr>
          <w:p>
            <w:pPr>
              <w:spacing w:after="0"/>
              <w:rPr>
                <w:sz w:val="21"/>
                <w:szCs w:val="21"/>
                <w:color w:val="auto"/>
              </w:rPr>
            </w:pPr>
          </w:p>
        </w:tc>
        <w:tc>
          <w:tcPr>
            <w:tcW w:w="1060" w:type="dxa"/>
            <w:vAlign w:val="bottom"/>
            <w:tcBorders>
              <w:bottom w:val="single" w:sz="8" w:color="auto"/>
              <w:right w:val="single" w:sz="8" w:color="auto"/>
            </w:tcBorders>
            <w:shd w:val="clear" w:color="auto" w:fill="BCD6ED"/>
          </w:tcPr>
          <w:p>
            <w:pPr>
              <w:spacing w:after="0"/>
              <w:rPr>
                <w:sz w:val="21"/>
                <w:szCs w:val="21"/>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r>
      <w:tr>
        <w:trPr>
          <w:trHeight w:val="257"/>
        </w:trPr>
        <w:tc>
          <w:tcPr>
            <w:tcW w:w="920" w:type="dxa"/>
            <w:vAlign w:val="bottom"/>
            <w:tcBorders>
              <w:right w:val="single" w:sz="8" w:color="auto"/>
            </w:tcBorders>
          </w:tcPr>
          <w:p>
            <w:pPr>
              <w:jc w:val="right"/>
              <w:ind w:right="26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tcPr>
          <w:p>
            <w:pPr>
              <w:spacing w:after="0"/>
              <w:rPr>
                <w:sz w:val="22"/>
                <w:szCs w:val="22"/>
                <w:color w:val="auto"/>
              </w:rPr>
            </w:pPr>
          </w:p>
        </w:tc>
        <w:tc>
          <w:tcPr>
            <w:tcW w:w="112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right"/>
              <w:ind w:right="1301"/>
              <w:spacing w:after="0"/>
              <w:rPr>
                <w:sz w:val="20"/>
                <w:szCs w:val="20"/>
                <w:color w:val="auto"/>
              </w:rPr>
            </w:pPr>
            <w:r>
              <w:rPr>
                <w:rFonts w:ascii="Arial" w:cs="Arial" w:eastAsia="Arial" w:hAnsi="Arial"/>
                <w:sz w:val="20"/>
                <w:szCs w:val="20"/>
                <w:color w:val="auto"/>
              </w:rPr>
              <w:t>[***]</w:t>
            </w:r>
          </w:p>
        </w:tc>
        <w:tc>
          <w:tcPr>
            <w:tcW w:w="2020" w:type="dxa"/>
            <w:vAlign w:val="bottom"/>
          </w:tcPr>
          <w:p>
            <w:pPr>
              <w:jc w:val="right"/>
              <w:ind w:right="1361"/>
              <w:spacing w:after="0"/>
              <w:rPr>
                <w:sz w:val="20"/>
                <w:szCs w:val="20"/>
                <w:color w:val="auto"/>
              </w:rPr>
            </w:pPr>
            <w:r>
              <w:rPr>
                <w:rFonts w:ascii="Arial" w:cs="Arial" w:eastAsia="Arial" w:hAnsi="Arial"/>
                <w:sz w:val="20"/>
                <w:szCs w:val="20"/>
                <w:color w:val="auto"/>
              </w:rPr>
              <w:t>[***]</w:t>
            </w:r>
          </w:p>
        </w:tc>
      </w:tr>
      <w:tr>
        <w:trPr>
          <w:trHeight w:val="23"/>
        </w:trPr>
        <w:tc>
          <w:tcPr>
            <w:tcW w:w="9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4"/>
        </w:trPr>
        <w:tc>
          <w:tcPr>
            <w:tcW w:w="920" w:type="dxa"/>
            <w:vAlign w:val="bottom"/>
            <w:tcBorders>
              <w:right w:val="single" w:sz="8" w:color="auto"/>
            </w:tcBorders>
          </w:tcPr>
          <w:p>
            <w:pPr>
              <w:jc w:val="right"/>
              <w:ind w:right="26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tcPr>
          <w:p>
            <w:pPr>
              <w:spacing w:after="0"/>
              <w:rPr>
                <w:sz w:val="22"/>
                <w:szCs w:val="22"/>
                <w:color w:val="auto"/>
              </w:rPr>
            </w:pPr>
          </w:p>
        </w:tc>
        <w:tc>
          <w:tcPr>
            <w:tcW w:w="112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right"/>
              <w:ind w:right="1301"/>
              <w:spacing w:after="0"/>
              <w:rPr>
                <w:sz w:val="20"/>
                <w:szCs w:val="20"/>
                <w:color w:val="auto"/>
              </w:rPr>
            </w:pPr>
            <w:r>
              <w:rPr>
                <w:rFonts w:ascii="Arial" w:cs="Arial" w:eastAsia="Arial" w:hAnsi="Arial"/>
                <w:sz w:val="20"/>
                <w:szCs w:val="20"/>
                <w:color w:val="auto"/>
              </w:rPr>
              <w:t>[***]</w:t>
            </w:r>
          </w:p>
        </w:tc>
        <w:tc>
          <w:tcPr>
            <w:tcW w:w="2020" w:type="dxa"/>
            <w:vAlign w:val="bottom"/>
          </w:tcPr>
          <w:p>
            <w:pPr>
              <w:jc w:val="right"/>
              <w:ind w:right="1361"/>
              <w:spacing w:after="0"/>
              <w:rPr>
                <w:sz w:val="20"/>
                <w:szCs w:val="20"/>
                <w:color w:val="auto"/>
              </w:rPr>
            </w:pPr>
            <w:r>
              <w:rPr>
                <w:rFonts w:ascii="Arial" w:cs="Arial" w:eastAsia="Arial" w:hAnsi="Arial"/>
                <w:sz w:val="20"/>
                <w:szCs w:val="20"/>
                <w:color w:val="auto"/>
              </w:rPr>
              <w:t>[***]</w:t>
            </w:r>
          </w:p>
        </w:tc>
      </w:tr>
      <w:tr>
        <w:trPr>
          <w:trHeight w:val="23"/>
        </w:trPr>
        <w:tc>
          <w:tcPr>
            <w:tcW w:w="9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4"/>
        </w:trPr>
        <w:tc>
          <w:tcPr>
            <w:tcW w:w="920" w:type="dxa"/>
            <w:vAlign w:val="bottom"/>
            <w:tcBorders>
              <w:right w:val="single" w:sz="8" w:color="auto"/>
            </w:tcBorders>
          </w:tcPr>
          <w:p>
            <w:pPr>
              <w:jc w:val="right"/>
              <w:ind w:right="26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right w:val="single" w:sz="8" w:color="auto"/>
            </w:tcBorders>
          </w:tcPr>
          <w:p>
            <w:pPr>
              <w:spacing w:after="0"/>
              <w:rPr>
                <w:sz w:val="22"/>
                <w:szCs w:val="22"/>
                <w:color w:val="auto"/>
              </w:rPr>
            </w:pPr>
          </w:p>
        </w:tc>
        <w:tc>
          <w:tcPr>
            <w:tcW w:w="112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right"/>
              <w:ind w:right="1301"/>
              <w:spacing w:after="0"/>
              <w:rPr>
                <w:sz w:val="20"/>
                <w:szCs w:val="20"/>
                <w:color w:val="auto"/>
              </w:rPr>
            </w:pPr>
            <w:r>
              <w:rPr>
                <w:rFonts w:ascii="Arial" w:cs="Arial" w:eastAsia="Arial" w:hAnsi="Arial"/>
                <w:sz w:val="20"/>
                <w:szCs w:val="20"/>
                <w:color w:val="auto"/>
              </w:rPr>
              <w:t>[***]</w:t>
            </w:r>
          </w:p>
        </w:tc>
        <w:tc>
          <w:tcPr>
            <w:tcW w:w="2020" w:type="dxa"/>
            <w:vAlign w:val="bottom"/>
          </w:tcPr>
          <w:p>
            <w:pPr>
              <w:jc w:val="right"/>
              <w:ind w:right="1361"/>
              <w:spacing w:after="0"/>
              <w:rPr>
                <w:sz w:val="20"/>
                <w:szCs w:val="20"/>
                <w:color w:val="auto"/>
              </w:rPr>
            </w:pPr>
            <w:r>
              <w:rPr>
                <w:rFonts w:ascii="Arial" w:cs="Arial" w:eastAsia="Arial" w:hAnsi="Arial"/>
                <w:sz w:val="20"/>
                <w:szCs w:val="20"/>
                <w:color w:val="auto"/>
              </w:rPr>
              <w:t>[***]</w:t>
            </w:r>
          </w:p>
        </w:tc>
      </w:tr>
      <w:tr>
        <w:trPr>
          <w:trHeight w:val="23"/>
        </w:trPr>
        <w:tc>
          <w:tcPr>
            <w:tcW w:w="9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4" w:lineRule="exact"/>
        <w:rPr>
          <w:sz w:val="20"/>
          <w:szCs w:val="20"/>
          <w:color w:val="auto"/>
        </w:rPr>
      </w:pPr>
    </w:p>
    <w:p>
      <w:pPr>
        <w:ind w:left="1020" w:right="320" w:firstLine="1301"/>
        <w:spacing w:after="0" w:line="237" w:lineRule="auto"/>
        <w:tabs>
          <w:tab w:leader="none" w:pos="2743" w:val="left"/>
        </w:tabs>
        <w:numPr>
          <w:ilvl w:val="0"/>
          <w:numId w:val="123"/>
        </w:numPr>
        <w:rPr>
          <w:rFonts w:ascii="Arial" w:cs="Arial" w:eastAsia="Arial" w:hAnsi="Arial"/>
          <w:sz w:val="19"/>
          <w:szCs w:val="19"/>
          <w:color w:val="auto"/>
        </w:rPr>
      </w:pPr>
      <w:r>
        <w:rPr>
          <w:rFonts w:ascii="Arial" w:cs="Arial" w:eastAsia="Arial" w:hAnsi="Arial"/>
          <w:sz w:val="19"/>
          <w:szCs w:val="19"/>
          <w:b w:val="1"/>
          <w:bCs w:val="1"/>
          <w:color w:val="auto"/>
        </w:rPr>
        <w:t>Research Products</w:t>
      </w:r>
      <w:r>
        <w:rPr>
          <w:rFonts w:ascii="Arial" w:cs="Arial" w:eastAsia="Arial" w:hAnsi="Arial"/>
          <w:sz w:val="19"/>
          <w:szCs w:val="19"/>
          <w:color w:val="auto"/>
        </w:rPr>
        <w:t>. Subject to the terms and conditions of this Agreement, on a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Program-by-Research Program basis, Gilead shall pay to MacroGenics the one-time, non- creditable, non-refundable milestone payments set forth in the table below in this Section 10.2(b)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600"/>
          </w:cols>
          <w:pgMar w:left="400" w:top="1399" w:right="899" w:bottom="1440" w:gutter="0" w:footer="0" w:header="0"/>
        </w:sectPr>
      </w:pPr>
    </w:p>
    <w:bookmarkStart w:id="173" w:name="page174"/>
    <w:bookmarkEnd w:id="173"/>
    <w:p>
      <w:pPr>
        <w:ind w:left="1020"/>
        <w:spacing w:after="0" w:line="231" w:lineRule="auto"/>
        <w:rPr>
          <w:sz w:val="20"/>
          <w:szCs w:val="20"/>
          <w:color w:val="auto"/>
        </w:rPr>
      </w:pPr>
      <w:r>
        <w:rPr>
          <w:rFonts w:ascii="Arial" w:cs="Arial" w:eastAsia="Arial" w:hAnsi="Arial"/>
          <w:sz w:val="19"/>
          <w:szCs w:val="19"/>
          <w:color w:val="auto"/>
        </w:rPr>
        <w:t>Products) within [***] after the first achievement of the applicable milestone events by an Research Product for a Research Program, whether by or on behalf of Gilead, its Affiliate or any Sublicensee of Gilead (each event, a</w:t>
      </w:r>
    </w:p>
    <w:p>
      <w:pPr>
        <w:ind w:left="102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Research Product Development Milestone Event</w:t>
      </w:r>
      <w:r>
        <w:rPr>
          <w:rFonts w:ascii="Arial" w:cs="Arial" w:eastAsia="Arial" w:hAnsi="Arial"/>
          <w:sz w:val="16"/>
          <w:szCs w:val="16"/>
          <w:color w:val="auto"/>
        </w:rPr>
        <w:t>” and each payment, a “</w:t>
      </w:r>
      <w:r>
        <w:rPr>
          <w:rFonts w:ascii="Arial" w:cs="Arial" w:eastAsia="Arial" w:hAnsi="Arial"/>
          <w:sz w:val="16"/>
          <w:szCs w:val="16"/>
          <w:b w:val="1"/>
          <w:bCs w:val="1"/>
          <w:color w:val="auto"/>
        </w:rPr>
        <w:t>Research Product Development Milestone</w:t>
      </w:r>
      <w:r>
        <w:rPr>
          <w:rFonts w:ascii="Arial" w:cs="Arial" w:eastAsia="Arial" w:hAnsi="Arial"/>
          <w:sz w:val="16"/>
          <w:szCs w:val="16"/>
          <w:color w:val="auto"/>
        </w:rPr>
        <w:t xml:space="preserve"> </w:t>
      </w:r>
      <w:r>
        <w:rPr>
          <w:rFonts w:ascii="Arial" w:cs="Arial" w:eastAsia="Arial" w:hAnsi="Arial"/>
          <w:sz w:val="16"/>
          <w:szCs w:val="16"/>
          <w:b w:val="1"/>
          <w:bCs w:val="1"/>
          <w:color w:val="auto"/>
        </w:rPr>
        <w:t>Payment</w:t>
      </w:r>
      <w:r>
        <w:rPr>
          <w:rFonts w:ascii="Arial" w:cs="Arial" w:eastAsia="Arial" w:hAnsi="Arial"/>
          <w:sz w:val="16"/>
          <w:szCs w:val="16"/>
          <w:color w:val="auto"/>
        </w:rPr>
        <w:t>”). For clarity, each of the Research Product Development Milestone Payments shall be payable only once for</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each Research Program, regardless of the number of times the corresponding Research Product Development Milestone</w:t>
      </w:r>
    </w:p>
    <w:p>
      <w:pPr>
        <w:spacing w:after="0" w:line="19" w:lineRule="exact"/>
        <w:rPr>
          <w:sz w:val="20"/>
          <w:szCs w:val="20"/>
          <w:color w:val="auto"/>
        </w:rPr>
      </w:pPr>
    </w:p>
    <w:p>
      <w:pPr>
        <w:ind w:left="1020"/>
        <w:spacing w:after="0" w:line="255" w:lineRule="auto"/>
        <w:rPr>
          <w:sz w:val="20"/>
          <w:szCs w:val="20"/>
          <w:color w:val="auto"/>
        </w:rPr>
      </w:pPr>
      <w:r>
        <w:rPr>
          <w:rFonts w:ascii="Arial" w:cs="Arial" w:eastAsia="Arial" w:hAnsi="Arial"/>
          <w:sz w:val="16"/>
          <w:szCs w:val="16"/>
          <w:color w:val="auto"/>
        </w:rPr>
        <w:t>Event is achieved for such Research Program. If Gilead or its Affiliates or Sublicensees achieve all of the Research Product Development Milestone Events for a Research Program (regardless of the number of times such events occur or</w:t>
      </w:r>
    </w:p>
    <w:p>
      <w:pPr>
        <w:ind w:left="1020"/>
        <w:spacing w:after="0" w:line="223" w:lineRule="auto"/>
        <w:rPr>
          <w:sz w:val="20"/>
          <w:szCs w:val="20"/>
          <w:color w:val="auto"/>
        </w:rPr>
      </w:pPr>
      <w:r>
        <w:rPr>
          <w:rFonts w:ascii="Arial" w:cs="Arial" w:eastAsia="Arial" w:hAnsi="Arial"/>
          <w:sz w:val="19"/>
          <w:szCs w:val="19"/>
          <w:color w:val="auto"/>
        </w:rPr>
        <w:t>the number of Research Products that trigger such event for such Research Program), then the Research Product</w:t>
      </w:r>
    </w:p>
    <w:p>
      <w:pPr>
        <w:ind w:left="1020"/>
        <w:spacing w:after="0" w:line="220" w:lineRule="auto"/>
        <w:rPr>
          <w:sz w:val="20"/>
          <w:szCs w:val="20"/>
          <w:color w:val="auto"/>
        </w:rPr>
      </w:pPr>
      <w:r>
        <w:rPr>
          <w:rFonts w:ascii="Arial" w:cs="Arial" w:eastAsia="Arial" w:hAnsi="Arial"/>
          <w:sz w:val="20"/>
          <w:szCs w:val="20"/>
          <w:color w:val="auto"/>
        </w:rPr>
        <w:t>Development Milestone Payments payable by Gilead under this Section 10.2(b) (Research Products) for a Research Program will not exceed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161290</wp:posOffset>
            </wp:positionV>
            <wp:extent cx="5452110" cy="12598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5452110" cy="1259840"/>
                    </a:xfrm>
                    <a:prstGeom prst="rect">
                      <a:avLst/>
                    </a:prstGeom>
                    <a:noFill/>
                  </pic:spPr>
                </pic:pic>
              </a:graphicData>
            </a:graphic>
          </wp:anchor>
        </w:drawing>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Research Milestones</w:t>
      </w:r>
    </w:p>
    <w:p>
      <w:pPr>
        <w:spacing w:after="0" w:line="29"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20" w:type="dxa"/>
            <w:vAlign w:val="bottom"/>
            <w:tcBorders>
              <w:top w:val="single" w:sz="8" w:color="BCD6ED"/>
              <w:bottom w:val="single" w:sz="8" w:color="BCD6ED"/>
            </w:tcBorders>
            <w:shd w:val="clear" w:color="auto" w:fill="BCD6ED"/>
          </w:tcPr>
          <w:p>
            <w:pPr>
              <w:spacing w:after="0"/>
              <w:rPr>
                <w:sz w:val="23"/>
                <w:szCs w:val="23"/>
                <w:color w:val="auto"/>
              </w:rPr>
            </w:pPr>
          </w:p>
        </w:tc>
        <w:tc>
          <w:tcPr>
            <w:tcW w:w="920" w:type="dxa"/>
            <w:vAlign w:val="bottom"/>
            <w:tcBorders>
              <w:top w:val="single" w:sz="8" w:color="auto"/>
              <w:bottom w:val="single" w:sz="8" w:color="BCD6ED"/>
              <w:right w:val="single" w:sz="8" w:color="auto"/>
            </w:tcBorders>
            <w:shd w:val="clear" w:color="auto" w:fill="BCD6ED"/>
          </w:tcPr>
          <w:p>
            <w:pPr>
              <w:jc w:val="right"/>
              <w:ind w:right="281"/>
              <w:spacing w:after="0"/>
              <w:rPr>
                <w:sz w:val="20"/>
                <w:szCs w:val="20"/>
                <w:color w:val="auto"/>
              </w:rPr>
            </w:pPr>
            <w:r>
              <w:rPr>
                <w:rFonts w:ascii="Arial" w:cs="Arial" w:eastAsia="Arial" w:hAnsi="Arial"/>
                <w:sz w:val="20"/>
                <w:szCs w:val="20"/>
                <w:color w:val="auto"/>
              </w:rPr>
              <w:t>[***]</w:t>
            </w:r>
          </w:p>
        </w:tc>
        <w:tc>
          <w:tcPr>
            <w:tcW w:w="2200" w:type="dxa"/>
            <w:vAlign w:val="bottom"/>
            <w:tcBorders>
              <w:top w:val="single" w:sz="8" w:color="auto"/>
              <w:bottom w:val="single" w:sz="8" w:color="BCD6ED"/>
              <w:right w:val="single" w:sz="8" w:color="auto"/>
            </w:tcBorders>
            <w:shd w:val="clear" w:color="auto" w:fill="BCD6ED"/>
          </w:tcPr>
          <w:p>
            <w:pPr>
              <w:jc w:val="right"/>
              <w:ind w:right="801"/>
              <w:spacing w:after="0"/>
              <w:rPr>
                <w:sz w:val="20"/>
                <w:szCs w:val="20"/>
                <w:color w:val="auto"/>
              </w:rPr>
            </w:pPr>
            <w:r>
              <w:rPr>
                <w:rFonts w:ascii="Arial" w:cs="Arial" w:eastAsia="Arial" w:hAnsi="Arial"/>
                <w:sz w:val="20"/>
                <w:szCs w:val="20"/>
                <w:color w:val="auto"/>
              </w:rPr>
              <w:t>[***]</w:t>
            </w:r>
          </w:p>
        </w:tc>
        <w:tc>
          <w:tcPr>
            <w:tcW w:w="1860" w:type="dxa"/>
            <w:vAlign w:val="bottom"/>
            <w:tcBorders>
              <w:top w:val="single" w:sz="8" w:color="auto"/>
              <w:bottom w:val="single" w:sz="8" w:color="auto"/>
              <w:right w:val="single" w:sz="8" w:color="BCD6ED"/>
            </w:tcBorders>
            <w:shd w:val="clear" w:color="auto" w:fill="BCD6ED"/>
          </w:tcPr>
          <w:p>
            <w:pPr>
              <w:jc w:val="right"/>
              <w:ind w:right="781"/>
              <w:spacing w:after="0"/>
              <w:rPr>
                <w:sz w:val="20"/>
                <w:szCs w:val="20"/>
                <w:color w:val="auto"/>
              </w:rPr>
            </w:pPr>
            <w:r>
              <w:rPr>
                <w:rFonts w:ascii="Arial" w:cs="Arial" w:eastAsia="Arial" w:hAnsi="Arial"/>
                <w:sz w:val="20"/>
                <w:szCs w:val="20"/>
                <w:color w:val="auto"/>
              </w:rPr>
              <w:t>[***]</w:t>
            </w:r>
          </w:p>
        </w:tc>
        <w:tc>
          <w:tcPr>
            <w:tcW w:w="1880" w:type="dxa"/>
            <w:vAlign w:val="bottom"/>
            <w:tcBorders>
              <w:top w:val="single" w:sz="8" w:color="auto"/>
              <w:bottom w:val="single" w:sz="8" w:color="auto"/>
              <w:right w:val="single" w:sz="8" w:color="BCD6ED"/>
            </w:tcBorders>
            <w:shd w:val="clear" w:color="auto" w:fill="BCD6ED"/>
          </w:tcPr>
          <w:p>
            <w:pPr>
              <w:spacing w:after="0"/>
              <w:rPr>
                <w:sz w:val="23"/>
                <w:szCs w:val="23"/>
                <w:color w:val="auto"/>
              </w:rPr>
            </w:pPr>
          </w:p>
        </w:tc>
        <w:tc>
          <w:tcPr>
            <w:tcW w:w="1700" w:type="dxa"/>
            <w:vAlign w:val="bottom"/>
            <w:tcBorders>
              <w:top w:val="single" w:sz="8" w:color="auto"/>
              <w:bottom w:val="single" w:sz="8" w:color="auto"/>
            </w:tcBorders>
            <w:shd w:val="clear" w:color="auto" w:fill="BCD6ED"/>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r>
      <w:tr>
        <w:trPr>
          <w:trHeight w:val="250"/>
        </w:trPr>
        <w:tc>
          <w:tcPr>
            <w:tcW w:w="20" w:type="dxa"/>
            <w:vAlign w:val="bottom"/>
            <w:shd w:val="clear" w:color="auto" w:fill="BCD6ED"/>
          </w:tcPr>
          <w:p>
            <w:pPr>
              <w:spacing w:after="0"/>
              <w:rPr>
                <w:sz w:val="21"/>
                <w:szCs w:val="21"/>
                <w:color w:val="auto"/>
              </w:rPr>
            </w:pPr>
          </w:p>
        </w:tc>
        <w:tc>
          <w:tcPr>
            <w:tcW w:w="920" w:type="dxa"/>
            <w:vAlign w:val="bottom"/>
            <w:tcBorders>
              <w:bottom w:val="single" w:sz="8" w:color="auto"/>
              <w:right w:val="single" w:sz="8" w:color="auto"/>
            </w:tcBorders>
            <w:shd w:val="clear" w:color="auto" w:fill="BCD6ED"/>
          </w:tcPr>
          <w:p>
            <w:pPr>
              <w:spacing w:after="0"/>
              <w:rPr>
                <w:sz w:val="21"/>
                <w:szCs w:val="21"/>
                <w:color w:val="auto"/>
              </w:rPr>
            </w:pPr>
          </w:p>
        </w:tc>
        <w:tc>
          <w:tcPr>
            <w:tcW w:w="2200" w:type="dxa"/>
            <w:vAlign w:val="bottom"/>
            <w:tcBorders>
              <w:bottom w:val="single" w:sz="8" w:color="auto"/>
              <w:right w:val="single" w:sz="8" w:color="auto"/>
            </w:tcBorders>
            <w:shd w:val="clear" w:color="auto" w:fill="BCD6ED"/>
          </w:tcPr>
          <w:p>
            <w:pPr>
              <w:spacing w:after="0"/>
              <w:rPr>
                <w:sz w:val="21"/>
                <w:szCs w:val="21"/>
                <w:color w:val="auto"/>
              </w:rPr>
            </w:pPr>
          </w:p>
        </w:tc>
        <w:tc>
          <w:tcPr>
            <w:tcW w:w="1860" w:type="dxa"/>
            <w:vAlign w:val="bottom"/>
            <w:tcBorders>
              <w:bottom w:val="single" w:sz="8" w:color="auto"/>
              <w:right w:val="single" w:sz="8" w:color="auto"/>
            </w:tcBorders>
          </w:tcPr>
          <w:p>
            <w:pPr>
              <w:jc w:val="right"/>
              <w:ind w:right="94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auto"/>
            </w:tcBorders>
          </w:tcPr>
          <w:p>
            <w:pPr>
              <w:jc w:val="right"/>
              <w:ind w:right="881"/>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920" w:type="dxa"/>
            <w:vAlign w:val="bottom"/>
            <w:tcBorders>
              <w:bottom w:val="single" w:sz="8" w:color="auto"/>
              <w:right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2200" w:type="dxa"/>
            <w:vAlign w:val="bottom"/>
            <w:tcBorders>
              <w:bottom w:val="single" w:sz="8" w:color="auto"/>
              <w:right w:val="single" w:sz="8" w:color="auto"/>
            </w:tcBorders>
          </w:tcPr>
          <w:p>
            <w:pPr>
              <w:jc w:val="right"/>
              <w:ind w:right="158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right w:val="single" w:sz="8" w:color="auto"/>
            </w:tcBorders>
          </w:tcPr>
          <w:p>
            <w:pPr>
              <w:jc w:val="right"/>
              <w:ind w:right="1241"/>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auto"/>
            </w:tcBorders>
          </w:tcPr>
          <w:p>
            <w:pPr>
              <w:jc w:val="right"/>
              <w:ind w:right="1061"/>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20" w:type="dxa"/>
            <w:vAlign w:val="bottom"/>
            <w:tcBorders>
              <w:bottom w:val="single" w:sz="8" w:color="auto"/>
              <w:right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2200" w:type="dxa"/>
            <w:vAlign w:val="bottom"/>
            <w:tcBorders>
              <w:bottom w:val="single" w:sz="8" w:color="auto"/>
              <w:right w:val="single" w:sz="8" w:color="auto"/>
            </w:tcBorders>
          </w:tcPr>
          <w:p>
            <w:pPr>
              <w:jc w:val="right"/>
              <w:ind w:right="15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right w:val="single" w:sz="8" w:color="auto"/>
            </w:tcBorders>
          </w:tcPr>
          <w:p>
            <w:pPr>
              <w:jc w:val="right"/>
              <w:ind w:right="1241"/>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auto"/>
            </w:tcBorders>
          </w:tcPr>
          <w:p>
            <w:pPr>
              <w:jc w:val="right"/>
              <w:ind w:right="1061"/>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920" w:type="dxa"/>
            <w:vAlign w:val="bottom"/>
            <w:tcBorders>
              <w:right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2200" w:type="dxa"/>
            <w:vAlign w:val="bottom"/>
            <w:tcBorders>
              <w:right w:val="single" w:sz="8" w:color="auto"/>
            </w:tcBorders>
          </w:tcPr>
          <w:p>
            <w:pPr>
              <w:jc w:val="right"/>
              <w:ind w:right="158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right"/>
              <w:ind w:right="1241"/>
              <w:spacing w:after="0"/>
              <w:rPr>
                <w:sz w:val="20"/>
                <w:szCs w:val="20"/>
                <w:color w:val="auto"/>
              </w:rPr>
            </w:pPr>
            <w:r>
              <w:rPr>
                <w:rFonts w:ascii="Arial" w:cs="Arial" w:eastAsia="Arial" w:hAnsi="Arial"/>
                <w:sz w:val="20"/>
                <w:szCs w:val="20"/>
                <w:color w:val="auto"/>
              </w:rPr>
              <w:t>[***]</w:t>
            </w:r>
          </w:p>
        </w:tc>
        <w:tc>
          <w:tcPr>
            <w:tcW w:w="1700" w:type="dxa"/>
            <w:vAlign w:val="bottom"/>
          </w:tcPr>
          <w:p>
            <w:pPr>
              <w:jc w:val="right"/>
              <w:ind w:right="106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3"/>
        </w:trPr>
        <w:tc>
          <w:tcPr>
            <w:tcW w:w="940" w:type="dxa"/>
            <w:vAlign w:val="bottom"/>
            <w:tcBorders>
              <w:right w:val="single" w:sz="8" w:color="auto"/>
            </w:tcBorders>
            <w:gridSpan w:val="2"/>
          </w:tcPr>
          <w:p>
            <w:pPr>
              <w:spacing w:after="0"/>
              <w:rPr>
                <w:sz w:val="2"/>
                <w:szCs w:val="2"/>
                <w:color w:val="auto"/>
              </w:rPr>
            </w:pPr>
          </w:p>
        </w:tc>
        <w:tc>
          <w:tcPr>
            <w:tcW w:w="2200" w:type="dxa"/>
            <w:vAlign w:val="bottom"/>
            <w:tcBorders>
              <w:right w:val="single" w:sz="8" w:color="auto"/>
            </w:tcBorders>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4"/>
        </w:trPr>
        <w:tc>
          <w:tcPr>
            <w:tcW w:w="20" w:type="dxa"/>
            <w:vAlign w:val="bottom"/>
          </w:tcPr>
          <w:p>
            <w:pPr>
              <w:spacing w:after="0"/>
              <w:rPr>
                <w:sz w:val="22"/>
                <w:szCs w:val="22"/>
                <w:color w:val="auto"/>
              </w:rPr>
            </w:pPr>
          </w:p>
        </w:tc>
        <w:tc>
          <w:tcPr>
            <w:tcW w:w="920" w:type="dxa"/>
            <w:vAlign w:val="bottom"/>
            <w:tcBorders>
              <w:top w:val="single" w:sz="8" w:color="auto"/>
              <w:right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2200" w:type="dxa"/>
            <w:vAlign w:val="bottom"/>
            <w:tcBorders>
              <w:top w:val="single" w:sz="8" w:color="auto"/>
              <w:right w:val="single" w:sz="8" w:color="auto"/>
            </w:tcBorders>
          </w:tcPr>
          <w:p>
            <w:pPr>
              <w:jc w:val="right"/>
              <w:ind w:right="1581"/>
              <w:spacing w:after="0"/>
              <w:rPr>
                <w:sz w:val="20"/>
                <w:szCs w:val="20"/>
                <w:color w:val="auto"/>
              </w:rPr>
            </w:pPr>
            <w:r>
              <w:rPr>
                <w:rFonts w:ascii="Arial" w:cs="Arial" w:eastAsia="Arial" w:hAnsi="Arial"/>
                <w:sz w:val="20"/>
                <w:szCs w:val="20"/>
                <w:color w:val="auto"/>
              </w:rPr>
              <w:t>[***]</w:t>
            </w:r>
          </w:p>
        </w:tc>
        <w:tc>
          <w:tcPr>
            <w:tcW w:w="1860" w:type="dxa"/>
            <w:vAlign w:val="bottom"/>
            <w:tcBorders>
              <w:top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1880" w:type="dxa"/>
            <w:vAlign w:val="bottom"/>
            <w:tcBorders>
              <w:top w:val="single" w:sz="8" w:color="auto"/>
              <w:right w:val="single" w:sz="8" w:color="auto"/>
            </w:tcBorders>
          </w:tcPr>
          <w:p>
            <w:pPr>
              <w:jc w:val="right"/>
              <w:ind w:right="1241"/>
              <w:spacing w:after="0"/>
              <w:rPr>
                <w:sz w:val="20"/>
                <w:szCs w:val="20"/>
                <w:color w:val="auto"/>
              </w:rPr>
            </w:pPr>
            <w:r>
              <w:rPr>
                <w:rFonts w:ascii="Arial" w:cs="Arial" w:eastAsia="Arial" w:hAnsi="Arial"/>
                <w:sz w:val="20"/>
                <w:szCs w:val="20"/>
                <w:color w:val="auto"/>
              </w:rPr>
              <w:t>[***]</w:t>
            </w:r>
          </w:p>
        </w:tc>
        <w:tc>
          <w:tcPr>
            <w:tcW w:w="1700" w:type="dxa"/>
            <w:vAlign w:val="bottom"/>
            <w:tcBorders>
              <w:top w:val="single" w:sz="8" w:color="auto"/>
            </w:tcBorders>
          </w:tcPr>
          <w:p>
            <w:pPr>
              <w:jc w:val="right"/>
              <w:ind w:right="1061"/>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tcPr>
          <w:p>
            <w:pPr>
              <w:spacing w:after="0"/>
              <w:rPr>
                <w:sz w:val="22"/>
                <w:szCs w:val="22"/>
                <w:color w:val="auto"/>
              </w:rPr>
            </w:pPr>
          </w:p>
        </w:tc>
      </w:tr>
      <w:tr>
        <w:trPr>
          <w:trHeight w:val="23"/>
        </w:trPr>
        <w:tc>
          <w:tcPr>
            <w:tcW w:w="20" w:type="dxa"/>
            <w:vAlign w:val="bottom"/>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90" w:lineRule="exact"/>
        <w:rPr>
          <w:sz w:val="20"/>
          <w:szCs w:val="20"/>
          <w:color w:val="auto"/>
        </w:rPr>
      </w:pPr>
    </w:p>
    <w:p>
      <w:pPr>
        <w:ind w:left="2320"/>
        <w:spacing w:after="0"/>
        <w:tabs>
          <w:tab w:leader="none" w:pos="272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6"/>
          <w:szCs w:val="16"/>
          <w:b w:val="1"/>
          <w:bCs w:val="1"/>
          <w:color w:val="auto"/>
        </w:rPr>
        <w:t>Skipped Milestones</w:t>
      </w:r>
      <w:r>
        <w:rPr>
          <w:rFonts w:ascii="Arial" w:cs="Arial" w:eastAsia="Arial" w:hAnsi="Arial"/>
          <w:sz w:val="16"/>
          <w:szCs w:val="16"/>
          <w:color w:val="auto"/>
        </w:rPr>
        <w:t>. The milestone events in Section 10.2(a) (CD123 Products) and Section</w:t>
      </w:r>
    </w:p>
    <w:p>
      <w:pPr>
        <w:spacing w:after="0" w:line="6" w:lineRule="exact"/>
        <w:rPr>
          <w:sz w:val="20"/>
          <w:szCs w:val="20"/>
          <w:color w:val="auto"/>
        </w:rPr>
      </w:pPr>
    </w:p>
    <w:p>
      <w:pPr>
        <w:ind w:left="1020" w:right="40"/>
        <w:spacing w:after="0" w:line="255" w:lineRule="auto"/>
        <w:rPr>
          <w:sz w:val="20"/>
          <w:szCs w:val="20"/>
          <w:color w:val="auto"/>
        </w:rPr>
      </w:pPr>
      <w:r>
        <w:rPr>
          <w:rFonts w:ascii="Arial" w:cs="Arial" w:eastAsia="Arial" w:hAnsi="Arial"/>
          <w:sz w:val="16"/>
          <w:szCs w:val="16"/>
          <w:color w:val="auto"/>
        </w:rPr>
        <w:t>10.2(b) (Research Products) are intended to be successive with respect to each Licensed Product, such that if a particular milestone event set forth in the table above for a Licensed Product is not achieved prior to the achievement of the next</w:t>
      </w:r>
    </w:p>
    <w:p>
      <w:pPr>
        <w:ind w:left="1020"/>
        <w:spacing w:after="0" w:line="235" w:lineRule="auto"/>
        <w:rPr>
          <w:sz w:val="20"/>
          <w:szCs w:val="20"/>
          <w:color w:val="auto"/>
        </w:rPr>
      </w:pPr>
      <w:r>
        <w:rPr>
          <w:rFonts w:ascii="Arial" w:cs="Arial" w:eastAsia="Arial" w:hAnsi="Arial"/>
          <w:sz w:val="18"/>
          <w:szCs w:val="18"/>
          <w:color w:val="auto"/>
        </w:rPr>
        <w:t>milestone event set forth in the table above for such Licensed Product in such Indication (such non-achieved milestone</w:t>
      </w:r>
    </w:p>
    <w:p>
      <w:pPr>
        <w:ind w:left="1020" w:right="140"/>
        <w:spacing w:after="0" w:line="255" w:lineRule="auto"/>
        <w:rPr>
          <w:sz w:val="20"/>
          <w:szCs w:val="20"/>
          <w:color w:val="auto"/>
        </w:rPr>
      </w:pPr>
      <w:r>
        <w:rPr>
          <w:rFonts w:ascii="Arial" w:cs="Arial" w:eastAsia="Arial" w:hAnsi="Arial"/>
          <w:sz w:val="16"/>
          <w:szCs w:val="16"/>
          <w:color w:val="auto"/>
        </w:rPr>
        <w:t>event, a “</w:t>
      </w:r>
      <w:r>
        <w:rPr>
          <w:rFonts w:ascii="Arial" w:cs="Arial" w:eastAsia="Arial" w:hAnsi="Arial"/>
          <w:sz w:val="16"/>
          <w:szCs w:val="16"/>
          <w:b w:val="1"/>
          <w:bCs w:val="1"/>
          <w:color w:val="auto"/>
        </w:rPr>
        <w:t>Skipped Milestone</w:t>
      </w:r>
      <w:r>
        <w:rPr>
          <w:rFonts w:ascii="Arial" w:cs="Arial" w:eastAsia="Arial" w:hAnsi="Arial"/>
          <w:sz w:val="16"/>
          <w:szCs w:val="16"/>
          <w:color w:val="auto"/>
        </w:rPr>
        <w:t>”), then such Skipped Milestone shall be deemed to have been achieved upon the achievement of such next milestone event to occur, and the milestone payment for such Skipped Milestone shall be due</w:t>
      </w:r>
    </w:p>
    <w:p>
      <w:pPr>
        <w:ind w:left="1020"/>
        <w:spacing w:after="0" w:line="235" w:lineRule="auto"/>
        <w:rPr>
          <w:sz w:val="20"/>
          <w:szCs w:val="20"/>
          <w:color w:val="auto"/>
        </w:rPr>
      </w:pPr>
      <w:r>
        <w:rPr>
          <w:rFonts w:ascii="Arial" w:cs="Arial" w:eastAsia="Arial" w:hAnsi="Arial"/>
          <w:sz w:val="18"/>
          <w:szCs w:val="18"/>
          <w:color w:val="auto"/>
        </w:rPr>
        <w:t>and payable by Gilead to MacroGenics at the time the milestone payment is due and payable for such next milestone</w:t>
      </w:r>
    </w:p>
    <w:p>
      <w:pPr>
        <w:ind w:left="1020" w:right="160"/>
        <w:spacing w:after="0" w:line="220" w:lineRule="auto"/>
        <w:rPr>
          <w:sz w:val="20"/>
          <w:szCs w:val="20"/>
          <w:color w:val="auto"/>
        </w:rPr>
      </w:pPr>
      <w:r>
        <w:rPr>
          <w:rFonts w:ascii="Arial" w:cs="Arial" w:eastAsia="Arial" w:hAnsi="Arial"/>
          <w:sz w:val="20"/>
          <w:szCs w:val="20"/>
          <w:color w:val="auto"/>
        </w:rPr>
        <w:t>event. [***] shall be due and payable by Gilead to MacroGenics at the time the milestone payment for [***] is due and payable under this Section 10.2 (Development and Regulatory Milestone Payments).</w:t>
      </w:r>
    </w:p>
    <w:p>
      <w:pPr>
        <w:spacing w:after="0" w:line="191" w:lineRule="exact"/>
        <w:rPr>
          <w:sz w:val="20"/>
          <w:szCs w:val="20"/>
          <w:color w:val="auto"/>
        </w:rPr>
      </w:pPr>
    </w:p>
    <w:p>
      <w:pPr>
        <w:ind w:left="1020" w:right="60" w:firstLine="648"/>
        <w:spacing w:after="0" w:line="24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Commercial Milestone Payments</w:t>
      </w:r>
      <w:r>
        <w:rPr>
          <w:rFonts w:ascii="Arial" w:cs="Arial" w:eastAsia="Arial" w:hAnsi="Arial"/>
          <w:sz w:val="18"/>
          <w:szCs w:val="18"/>
          <w:color w:val="auto"/>
        </w:rPr>
        <w:t>. Subject to the terms and conditions of this Agreement, Gilead shall pay to MacroGenics the one-time, non-creditable, non-refundable milestone payments set forth in the table below in this</w:t>
      </w:r>
    </w:p>
    <w:p>
      <w:pPr>
        <w:spacing w:after="0" w:line="1" w:lineRule="exact"/>
        <w:rPr>
          <w:sz w:val="20"/>
          <w:szCs w:val="20"/>
          <w:color w:val="auto"/>
        </w:rPr>
      </w:pPr>
    </w:p>
    <w:p>
      <w:pPr>
        <w:ind w:left="1020"/>
        <w:spacing w:after="0" w:line="255" w:lineRule="auto"/>
        <w:rPr>
          <w:sz w:val="20"/>
          <w:szCs w:val="20"/>
          <w:color w:val="auto"/>
        </w:rPr>
      </w:pPr>
      <w:r>
        <w:rPr>
          <w:rFonts w:ascii="Arial" w:cs="Arial" w:eastAsia="Arial" w:hAnsi="Arial"/>
          <w:sz w:val="16"/>
          <w:szCs w:val="16"/>
          <w:color w:val="auto"/>
        </w:rPr>
        <w:t>Section 10.3 (Commercial Milestone Payments) within [***] after the end of the Calendar Quarter after the first achievement of the applicable sales milestone event (each event, a “</w:t>
      </w:r>
      <w:r>
        <w:rPr>
          <w:rFonts w:ascii="Arial" w:cs="Arial" w:eastAsia="Arial" w:hAnsi="Arial"/>
          <w:sz w:val="16"/>
          <w:szCs w:val="16"/>
          <w:b w:val="1"/>
          <w:bCs w:val="1"/>
          <w:color w:val="auto"/>
        </w:rPr>
        <w:t>Commercial Milestone Event</w:t>
      </w:r>
      <w:r>
        <w:rPr>
          <w:rFonts w:ascii="Arial" w:cs="Arial" w:eastAsia="Arial" w:hAnsi="Arial"/>
          <w:sz w:val="16"/>
          <w:szCs w:val="16"/>
          <w:color w:val="auto"/>
        </w:rPr>
        <w:t>” and each payment, a</w:t>
      </w:r>
    </w:p>
    <w:p>
      <w:pPr>
        <w:ind w:left="1020"/>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 Milestone Payment</w:t>
      </w:r>
      <w:r>
        <w:rPr>
          <w:rFonts w:ascii="Arial" w:cs="Arial" w:eastAsia="Arial" w:hAnsi="Arial"/>
          <w:sz w:val="19"/>
          <w:szCs w:val="19"/>
          <w:color w:val="auto"/>
        </w:rPr>
        <w:t>”). For clarity: (a) the Commercial Milestone Payments in this Section 10.3</w:t>
      </w:r>
    </w:p>
    <w:p>
      <w:pPr>
        <w:ind w:left="1020" w:right="140"/>
        <w:spacing w:after="0" w:line="226" w:lineRule="auto"/>
        <w:rPr>
          <w:sz w:val="20"/>
          <w:szCs w:val="20"/>
          <w:color w:val="auto"/>
        </w:rPr>
      </w:pPr>
      <w:r>
        <w:rPr>
          <w:rFonts w:ascii="Arial" w:cs="Arial" w:eastAsia="Arial" w:hAnsi="Arial"/>
          <w:sz w:val="18"/>
          <w:szCs w:val="18"/>
          <w:color w:val="auto"/>
        </w:rPr>
        <w:t>(Commercial Milestone Payments) shall be additive such that if multiple Commercial Milestone Events are achieved in the same Calendar Year, then the Commercial Milestone Payments for all such Commercial Milestone Events shall be</w:t>
      </w:r>
    </w:p>
    <w:p>
      <w:pPr>
        <w:ind w:left="1020"/>
        <w:spacing w:after="0" w:line="236" w:lineRule="auto"/>
        <w:rPr>
          <w:sz w:val="20"/>
          <w:szCs w:val="20"/>
          <w:color w:val="auto"/>
        </w:rPr>
      </w:pPr>
      <w:r>
        <w:rPr>
          <w:rFonts w:ascii="Arial" w:cs="Arial" w:eastAsia="Arial" w:hAnsi="Arial"/>
          <w:sz w:val="18"/>
          <w:szCs w:val="18"/>
          <w:color w:val="auto"/>
        </w:rPr>
        <w:t>payable with respect to such Calendar Year; (b) each of the Commercial Milestone Payments applicable to the CD123</w:t>
      </w:r>
    </w:p>
    <w:p>
      <w:pPr>
        <w:spacing w:after="0" w:line="1" w:lineRule="exact"/>
        <w:rPr>
          <w:sz w:val="20"/>
          <w:szCs w:val="20"/>
          <w:color w:val="auto"/>
        </w:rPr>
      </w:pPr>
    </w:p>
    <w:p>
      <w:pPr>
        <w:ind w:left="1020" w:right="20"/>
        <w:spacing w:after="0" w:line="226" w:lineRule="auto"/>
        <w:rPr>
          <w:sz w:val="20"/>
          <w:szCs w:val="20"/>
          <w:color w:val="auto"/>
        </w:rPr>
      </w:pPr>
      <w:r>
        <w:rPr>
          <w:rFonts w:ascii="Arial" w:cs="Arial" w:eastAsia="Arial" w:hAnsi="Arial"/>
          <w:sz w:val="18"/>
          <w:szCs w:val="18"/>
          <w:color w:val="auto"/>
        </w:rPr>
        <w:t>Products shall be payable only once regardless of the number of times the corresponding Commercial Milestone Event is achieved; and (c) each of the Commercial Milestone Payments applicable to Research Products shall be payable only</w:t>
      </w:r>
    </w:p>
    <w:p>
      <w:pPr>
        <w:ind w:left="1020"/>
        <w:spacing w:after="0" w:line="236" w:lineRule="auto"/>
        <w:rPr>
          <w:sz w:val="20"/>
          <w:szCs w:val="20"/>
          <w:color w:val="auto"/>
        </w:rPr>
      </w:pPr>
      <w:r>
        <w:rPr>
          <w:rFonts w:ascii="Arial" w:cs="Arial" w:eastAsia="Arial" w:hAnsi="Arial"/>
          <w:sz w:val="18"/>
          <w:szCs w:val="18"/>
          <w:color w:val="auto"/>
        </w:rPr>
        <w:t>once for each Research Program (</w:t>
      </w:r>
      <w:r>
        <w:rPr>
          <w:rFonts w:ascii="Arial" w:cs="Arial" w:eastAsia="Arial" w:hAnsi="Arial"/>
          <w:sz w:val="18"/>
          <w:szCs w:val="18"/>
          <w:i w:val="1"/>
          <w:iCs w:val="1"/>
          <w:color w:val="auto"/>
        </w:rPr>
        <w:t>i.e</w:t>
      </w:r>
      <w:r>
        <w:rPr>
          <w:rFonts w:ascii="Arial" w:cs="Arial" w:eastAsia="Arial" w:hAnsi="Arial"/>
          <w:sz w:val="18"/>
          <w:szCs w:val="18"/>
          <w:color w:val="auto"/>
        </w:rPr>
        <w:t>., upon achievement of the applicable Commercial Milestone Event by Research</w:t>
      </w:r>
    </w:p>
    <w:p>
      <w:pPr>
        <w:spacing w:after="0" w:line="1" w:lineRule="exact"/>
        <w:rPr>
          <w:sz w:val="20"/>
          <w:szCs w:val="20"/>
          <w:color w:val="auto"/>
        </w:rPr>
      </w:pPr>
    </w:p>
    <w:p>
      <w:pPr>
        <w:ind w:left="1020" w:right="500"/>
        <w:spacing w:after="0" w:line="255" w:lineRule="auto"/>
        <w:rPr>
          <w:sz w:val="20"/>
          <w:szCs w:val="20"/>
          <w:color w:val="auto"/>
        </w:rPr>
      </w:pPr>
      <w:r>
        <w:rPr>
          <w:rFonts w:ascii="Arial" w:cs="Arial" w:eastAsia="Arial" w:hAnsi="Arial"/>
          <w:sz w:val="16"/>
          <w:szCs w:val="16"/>
          <w:color w:val="auto"/>
        </w:rPr>
        <w:t>Products in each such Research Program). If Gilead or its Affiliates or Sublicensees achieve all of the Commercial Milestone Events (regardless of the number of times such events occur), then the Commercial Milestone Payments</w:t>
      </w:r>
    </w:p>
    <w:p>
      <w:pPr>
        <w:ind w:left="1020"/>
        <w:spacing w:after="0" w:line="225" w:lineRule="auto"/>
        <w:rPr>
          <w:sz w:val="20"/>
          <w:szCs w:val="20"/>
          <w:color w:val="auto"/>
        </w:rPr>
      </w:pPr>
      <w:r>
        <w:rPr>
          <w:rFonts w:ascii="Arial" w:cs="Arial" w:eastAsia="Arial" w:hAnsi="Arial"/>
          <w:sz w:val="20"/>
          <w:szCs w:val="20"/>
          <w:color w:val="auto"/>
        </w:rPr>
        <w:t>payable by Gilead under this Section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10.3 (Commercial Milestone Payments) will not exceed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620"/>
          </w:cols>
          <w:pgMar w:left="400" w:top="1392" w:right="879" w:bottom="1440" w:gutter="0" w:footer="0" w:header="0"/>
        </w:sectPr>
      </w:pPr>
    </w:p>
    <w:bookmarkStart w:id="174" w:name="page175"/>
    <w:bookmarkEnd w:id="174"/>
    <w:tbl>
      <w:tblPr>
        <w:tblLayout w:type="fixed"/>
        <w:tblInd w:w="1130" w:type="dxa"/>
        <w:tblCellMar>
          <w:top w:w="0" w:type="dxa"/>
          <w:left w:w="0" w:type="dxa"/>
          <w:bottom w:w="0" w:type="dxa"/>
          <w:right w:w="0" w:type="dxa"/>
        </w:tblCellMar>
      </w:tblPr>
      <w:tr>
        <w:trPr>
          <w:trHeight w:val="277"/>
        </w:trPr>
        <w:tc>
          <w:tcPr>
            <w:tcW w:w="5740" w:type="dxa"/>
            <w:vAlign w:val="bottom"/>
            <w:tcBorders>
              <w:top w:val="single" w:sz="8" w:color="auto"/>
              <w:left w:val="single" w:sz="8" w:color="auto"/>
              <w:bottom w:val="single" w:sz="8" w:color="auto"/>
              <w:right w:val="single" w:sz="8" w:color="auto"/>
            </w:tcBorders>
            <w:shd w:val="clear" w:color="auto" w:fill="9CC1E4"/>
          </w:tcPr>
          <w:p>
            <w:pPr>
              <w:ind w:left="1680"/>
              <w:spacing w:after="0"/>
              <w:rPr>
                <w:sz w:val="20"/>
                <w:szCs w:val="20"/>
                <w:color w:val="auto"/>
              </w:rPr>
            </w:pPr>
            <w:r>
              <w:rPr>
                <w:rFonts w:ascii="Arial" w:cs="Arial" w:eastAsia="Arial" w:hAnsi="Arial"/>
                <w:sz w:val="20"/>
                <w:szCs w:val="20"/>
                <w:b w:val="1"/>
                <w:bCs w:val="1"/>
                <w:color w:val="auto"/>
              </w:rPr>
              <w:t>Commercial Milestone Event</w:t>
            </w:r>
          </w:p>
        </w:tc>
        <w:tc>
          <w:tcPr>
            <w:tcW w:w="2600" w:type="dxa"/>
            <w:vAlign w:val="bottom"/>
            <w:tcBorders>
              <w:top w:val="single" w:sz="8" w:color="auto"/>
              <w:bottom w:val="single" w:sz="8" w:color="auto"/>
              <w:right w:val="single" w:sz="8" w:color="auto"/>
            </w:tcBorders>
            <w:shd w:val="clear" w:color="auto" w:fill="9CC1E4"/>
          </w:tcPr>
          <w:p>
            <w:pPr>
              <w:ind w:left="120"/>
              <w:spacing w:after="0"/>
              <w:rPr>
                <w:sz w:val="20"/>
                <w:szCs w:val="20"/>
                <w:color w:val="auto"/>
              </w:rPr>
            </w:pPr>
            <w:r>
              <w:rPr>
                <w:rFonts w:ascii="Arial" w:cs="Arial" w:eastAsia="Arial" w:hAnsi="Arial"/>
                <w:sz w:val="20"/>
                <w:szCs w:val="20"/>
                <w:b w:val="1"/>
                <w:bCs w:val="1"/>
                <w:color w:val="auto"/>
              </w:rPr>
              <w:t>Milestone Payment</w:t>
            </w:r>
          </w:p>
        </w:tc>
      </w:tr>
      <w:tr>
        <w:trPr>
          <w:trHeight w:val="240"/>
        </w:trPr>
        <w:tc>
          <w:tcPr>
            <w:tcW w:w="5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3"/>
              </w:rPr>
              <w:t>The aggregate Net Sales of all CD123 Products in the Territory in a</w:t>
            </w: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50"/>
        </w:trPr>
        <w:tc>
          <w:tcPr>
            <w:tcW w:w="5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Calendar Year [***]</w:t>
            </w:r>
          </w:p>
        </w:tc>
        <w:tc>
          <w:tcPr>
            <w:tcW w:w="2600" w:type="dxa"/>
            <w:vAlign w:val="bottom"/>
            <w:tcBorders>
              <w:right w:val="single" w:sz="8" w:color="auto"/>
            </w:tcBorders>
          </w:tcPr>
          <w:p>
            <w:pPr>
              <w:spacing w:after="0"/>
              <w:rPr>
                <w:sz w:val="21"/>
                <w:szCs w:val="21"/>
                <w:color w:val="auto"/>
              </w:rPr>
            </w:pPr>
          </w:p>
        </w:tc>
      </w:tr>
      <w:tr>
        <w:trPr>
          <w:trHeight w:val="23"/>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47"/>
        </w:trPr>
        <w:tc>
          <w:tcPr>
            <w:tcW w:w="5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3"/>
              </w:rPr>
              <w:t>The aggregate Net Sales of all CD123 Products in the Territory in a</w:t>
            </w: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50"/>
        </w:trPr>
        <w:tc>
          <w:tcPr>
            <w:tcW w:w="5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Calendar Year [***]</w:t>
            </w:r>
          </w:p>
        </w:tc>
        <w:tc>
          <w:tcPr>
            <w:tcW w:w="2600" w:type="dxa"/>
            <w:vAlign w:val="bottom"/>
            <w:tcBorders>
              <w:right w:val="single" w:sz="8" w:color="auto"/>
            </w:tcBorders>
          </w:tcPr>
          <w:p>
            <w:pPr>
              <w:spacing w:after="0"/>
              <w:rPr>
                <w:sz w:val="21"/>
                <w:szCs w:val="21"/>
                <w:color w:val="auto"/>
              </w:rPr>
            </w:pPr>
          </w:p>
        </w:tc>
      </w:tr>
      <w:tr>
        <w:trPr>
          <w:trHeight w:val="23"/>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193"/>
        </w:trPr>
        <w:tc>
          <w:tcPr>
            <w:tcW w:w="5740" w:type="dxa"/>
            <w:vAlign w:val="bottom"/>
            <w:tcBorders>
              <w:left w:val="single" w:sz="8" w:color="auto"/>
              <w:right w:val="single" w:sz="8" w:color="auto"/>
            </w:tcBorders>
          </w:tcPr>
          <w:p>
            <w:pPr>
              <w:ind w:left="140"/>
              <w:spacing w:after="0" w:line="193" w:lineRule="exact"/>
              <w:rPr>
                <w:sz w:val="20"/>
                <w:szCs w:val="20"/>
                <w:color w:val="auto"/>
              </w:rPr>
            </w:pPr>
            <w:r>
              <w:rPr>
                <w:rFonts w:ascii="Arial" w:cs="Arial" w:eastAsia="Arial" w:hAnsi="Arial"/>
                <w:sz w:val="20"/>
                <w:szCs w:val="20"/>
                <w:color w:val="auto"/>
                <w:w w:val="93"/>
              </w:rPr>
              <w:t>The aggregate Net Sales of all CD123 Products in the Territory in a</w:t>
            </w:r>
          </w:p>
        </w:tc>
        <w:tc>
          <w:tcPr>
            <w:tcW w:w="2600" w:type="dxa"/>
            <w:vAlign w:val="bottom"/>
            <w:tcBorders>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w:t>
            </w:r>
          </w:p>
        </w:tc>
      </w:tr>
      <w:tr>
        <w:trPr>
          <w:trHeight w:val="246"/>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Calendar Year [***]</w:t>
            </w:r>
          </w:p>
        </w:tc>
        <w:tc>
          <w:tcPr>
            <w:tcW w:w="2600" w:type="dxa"/>
            <w:vAlign w:val="bottom"/>
            <w:tcBorders>
              <w:bottom w:val="single" w:sz="8" w:color="auto"/>
              <w:right w:val="single" w:sz="8" w:color="auto"/>
            </w:tcBorders>
          </w:tcPr>
          <w:p>
            <w:pPr>
              <w:spacing w:after="0"/>
              <w:rPr>
                <w:sz w:val="21"/>
                <w:szCs w:val="21"/>
                <w:color w:val="auto"/>
              </w:rPr>
            </w:pPr>
          </w:p>
        </w:tc>
      </w:tr>
      <w:tr>
        <w:trPr>
          <w:trHeight w:val="193"/>
        </w:trPr>
        <w:tc>
          <w:tcPr>
            <w:tcW w:w="5740" w:type="dxa"/>
            <w:vAlign w:val="bottom"/>
            <w:tcBorders>
              <w:left w:val="single" w:sz="8" w:color="auto"/>
              <w:right w:val="single" w:sz="8" w:color="auto"/>
            </w:tcBorders>
          </w:tcPr>
          <w:p>
            <w:pPr>
              <w:ind w:left="140"/>
              <w:spacing w:after="0" w:line="193" w:lineRule="exact"/>
              <w:rPr>
                <w:sz w:val="20"/>
                <w:szCs w:val="20"/>
                <w:color w:val="auto"/>
              </w:rPr>
            </w:pPr>
            <w:r>
              <w:rPr>
                <w:rFonts w:ascii="Arial" w:cs="Arial" w:eastAsia="Arial" w:hAnsi="Arial"/>
                <w:sz w:val="20"/>
                <w:szCs w:val="20"/>
                <w:color w:val="auto"/>
                <w:w w:val="95"/>
              </w:rPr>
              <w:t>The aggregate Net Sales of all Research Products for a Research</w:t>
            </w:r>
          </w:p>
        </w:tc>
        <w:tc>
          <w:tcPr>
            <w:tcW w:w="2600" w:type="dxa"/>
            <w:vAlign w:val="bottom"/>
            <w:tcBorders>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w:t>
            </w:r>
          </w:p>
        </w:tc>
      </w:tr>
      <w:tr>
        <w:trPr>
          <w:trHeight w:val="246"/>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Program in the Territory in a Calendar Year [***]</w:t>
            </w:r>
          </w:p>
        </w:tc>
        <w:tc>
          <w:tcPr>
            <w:tcW w:w="2600" w:type="dxa"/>
            <w:vAlign w:val="bottom"/>
            <w:tcBorders>
              <w:bottom w:val="single" w:sz="8" w:color="auto"/>
              <w:right w:val="single" w:sz="8" w:color="auto"/>
            </w:tcBorders>
          </w:tcPr>
          <w:p>
            <w:pPr>
              <w:spacing w:after="0"/>
              <w:rPr>
                <w:sz w:val="21"/>
                <w:szCs w:val="21"/>
                <w:color w:val="auto"/>
              </w:rPr>
            </w:pPr>
          </w:p>
        </w:tc>
      </w:tr>
      <w:tr>
        <w:trPr>
          <w:trHeight w:val="233"/>
        </w:trPr>
        <w:tc>
          <w:tcPr>
            <w:tcW w:w="5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5"/>
              </w:rPr>
              <w:t>The aggregate Net Sales of all Research Products for a Research</w:t>
            </w: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50"/>
        </w:trPr>
        <w:tc>
          <w:tcPr>
            <w:tcW w:w="5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Program in the Territory in a Calendar Year [***]</w:t>
            </w:r>
          </w:p>
        </w:tc>
        <w:tc>
          <w:tcPr>
            <w:tcW w:w="2600" w:type="dxa"/>
            <w:vAlign w:val="bottom"/>
            <w:tcBorders>
              <w:right w:val="single" w:sz="8" w:color="auto"/>
            </w:tcBorders>
          </w:tcPr>
          <w:p>
            <w:pPr>
              <w:spacing w:after="0"/>
              <w:rPr>
                <w:sz w:val="21"/>
                <w:szCs w:val="21"/>
                <w:color w:val="auto"/>
              </w:rPr>
            </w:pPr>
          </w:p>
        </w:tc>
      </w:tr>
      <w:tr>
        <w:trPr>
          <w:trHeight w:val="23"/>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193"/>
        </w:trPr>
        <w:tc>
          <w:tcPr>
            <w:tcW w:w="5740" w:type="dxa"/>
            <w:vAlign w:val="bottom"/>
            <w:tcBorders>
              <w:left w:val="single" w:sz="8" w:color="auto"/>
              <w:right w:val="single" w:sz="8" w:color="auto"/>
            </w:tcBorders>
          </w:tcPr>
          <w:p>
            <w:pPr>
              <w:ind w:left="140"/>
              <w:spacing w:after="0" w:line="193" w:lineRule="exact"/>
              <w:rPr>
                <w:sz w:val="20"/>
                <w:szCs w:val="20"/>
                <w:color w:val="auto"/>
              </w:rPr>
            </w:pPr>
            <w:r>
              <w:rPr>
                <w:rFonts w:ascii="Arial" w:cs="Arial" w:eastAsia="Arial" w:hAnsi="Arial"/>
                <w:sz w:val="20"/>
                <w:szCs w:val="20"/>
                <w:color w:val="auto"/>
                <w:w w:val="95"/>
              </w:rPr>
              <w:t>The aggregate Net Sales of all Research Products for a Research</w:t>
            </w:r>
          </w:p>
        </w:tc>
        <w:tc>
          <w:tcPr>
            <w:tcW w:w="2600" w:type="dxa"/>
            <w:vAlign w:val="bottom"/>
            <w:tcBorders>
              <w:right w:val="single" w:sz="8" w:color="auto"/>
            </w:tcBorders>
          </w:tcPr>
          <w:p>
            <w:pPr>
              <w:ind w:left="120"/>
              <w:spacing w:after="0" w:line="193" w:lineRule="exact"/>
              <w:rPr>
                <w:sz w:val="20"/>
                <w:szCs w:val="20"/>
                <w:color w:val="auto"/>
              </w:rPr>
            </w:pPr>
            <w:r>
              <w:rPr>
                <w:rFonts w:ascii="Arial" w:cs="Arial" w:eastAsia="Arial" w:hAnsi="Arial"/>
                <w:sz w:val="20"/>
                <w:szCs w:val="20"/>
                <w:color w:val="auto"/>
              </w:rPr>
              <w:t>[***]</w:t>
            </w:r>
          </w:p>
        </w:tc>
      </w:tr>
      <w:tr>
        <w:trPr>
          <w:trHeight w:val="246"/>
        </w:trPr>
        <w:tc>
          <w:tcPr>
            <w:tcW w:w="5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Program in the Territory in a Calendar Year [***]</w:t>
            </w:r>
          </w:p>
        </w:tc>
        <w:tc>
          <w:tcPr>
            <w:tcW w:w="2600" w:type="dxa"/>
            <w:vAlign w:val="bottom"/>
            <w:tcBorders>
              <w:bottom w:val="single" w:sz="8" w:color="auto"/>
              <w:right w:val="single" w:sz="8" w:color="auto"/>
            </w:tcBorders>
          </w:tcPr>
          <w:p>
            <w:pPr>
              <w:spacing w:after="0"/>
              <w:rPr>
                <w:sz w:val="21"/>
                <w:szCs w:val="21"/>
                <w:color w:val="auto"/>
              </w:rPr>
            </w:pPr>
          </w:p>
        </w:tc>
      </w:tr>
      <w:tr>
        <w:trPr>
          <w:trHeight w:val="551"/>
        </w:trPr>
        <w:tc>
          <w:tcPr>
            <w:tcW w:w="5740" w:type="dxa"/>
            <w:vAlign w:val="bottom"/>
          </w:tcPr>
          <w:p>
            <w:pPr>
              <w:ind w:left="560"/>
              <w:spacing w:after="0"/>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b w:val="1"/>
                <w:bCs w:val="1"/>
                <w:color w:val="auto"/>
              </w:rPr>
              <w:t>Royalties on Net Sales</w:t>
            </w:r>
            <w:r>
              <w:rPr>
                <w:rFonts w:ascii="Arial" w:cs="Arial" w:eastAsia="Arial" w:hAnsi="Arial"/>
                <w:sz w:val="20"/>
                <w:szCs w:val="20"/>
                <w:color w:val="auto"/>
              </w:rPr>
              <w:t>.</w:t>
            </w:r>
          </w:p>
        </w:tc>
        <w:tc>
          <w:tcPr>
            <w:tcW w:w="2600" w:type="dxa"/>
            <w:vAlign w:val="bottom"/>
          </w:tcPr>
          <w:p>
            <w:pPr>
              <w:spacing w:after="0"/>
              <w:rPr>
                <w:sz w:val="24"/>
                <w:szCs w:val="24"/>
                <w:color w:val="auto"/>
              </w:rPr>
            </w:pPr>
          </w:p>
        </w:tc>
      </w:tr>
    </w:tbl>
    <w:p>
      <w:pPr>
        <w:spacing w:after="0" w:line="189" w:lineRule="exact"/>
        <w:rPr>
          <w:sz w:val="20"/>
          <w:szCs w:val="20"/>
          <w:color w:val="auto"/>
        </w:rPr>
      </w:pPr>
    </w:p>
    <w:p>
      <w:pPr>
        <w:ind w:left="1020" w:firstLine="1301"/>
        <w:spacing w:after="0" w:line="230" w:lineRule="auto"/>
        <w:tabs>
          <w:tab w:leader="none" w:pos="2732" w:val="left"/>
        </w:tabs>
        <w:numPr>
          <w:ilvl w:val="0"/>
          <w:numId w:val="124"/>
        </w:numPr>
        <w:rPr>
          <w:rFonts w:ascii="Arial" w:cs="Arial" w:eastAsia="Arial" w:hAnsi="Arial"/>
          <w:sz w:val="20"/>
          <w:szCs w:val="20"/>
          <w:color w:val="auto"/>
        </w:rPr>
      </w:pPr>
      <w:r>
        <w:rPr>
          <w:rFonts w:ascii="Arial" w:cs="Arial" w:eastAsia="Arial" w:hAnsi="Arial"/>
          <w:sz w:val="20"/>
          <w:szCs w:val="20"/>
          <w:b w:val="1"/>
          <w:bCs w:val="1"/>
          <w:color w:val="auto"/>
        </w:rPr>
        <w:t>Royalty Rate</w:t>
      </w:r>
      <w:r>
        <w:rPr>
          <w:rFonts w:ascii="Arial" w:cs="Arial" w:eastAsia="Arial" w:hAnsi="Arial"/>
          <w:sz w:val="20"/>
          <w:szCs w:val="20"/>
          <w:color w:val="auto"/>
        </w:rPr>
        <w:t>. Subject to the terms and conditions of this Section 10.4 (Royalties on Net Sales),</w:t>
      </w:r>
      <w:r>
        <w:rPr>
          <w:rFonts w:ascii="Arial" w:cs="Arial" w:eastAsia="Arial" w:hAnsi="Arial"/>
          <w:sz w:val="20"/>
          <w:szCs w:val="20"/>
          <w:b w:val="1"/>
          <w:bCs w:val="1"/>
          <w:color w:val="auto"/>
        </w:rPr>
        <w:t xml:space="preserve"> </w:t>
      </w:r>
      <w:r>
        <w:rPr>
          <w:rFonts w:ascii="Arial" w:cs="Arial" w:eastAsia="Arial" w:hAnsi="Arial"/>
          <w:sz w:val="20"/>
          <w:szCs w:val="20"/>
          <w:color w:val="auto"/>
        </w:rPr>
        <w:t>Gilead shall pay to MacroGenics, on a Research Product-by-Research Product and country- by-country basis in the Territory, an [***] royalty on Net Sales for each Research Product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340"/>
          </w:cols>
          <w:pgMar w:left="400" w:top="1362" w:right="1159" w:bottom="1440" w:gutter="0" w:footer="0" w:header="0"/>
        </w:sectPr>
      </w:pPr>
    </w:p>
    <w:bookmarkStart w:id="175" w:name="page176"/>
    <w:bookmarkEnd w:id="175"/>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the Territory during the applicable Royalty Term for such Research Product in a country in the Territory. Additionally, subject to the terms and conditions of this Section 10.4 (Royalties on Net Sales), Gilead shall pay to MacroGenics on a</w:t>
      </w:r>
    </w:p>
    <w:p>
      <w:pPr>
        <w:ind w:left="1020"/>
        <w:spacing w:after="0" w:line="226" w:lineRule="auto"/>
        <w:rPr>
          <w:sz w:val="20"/>
          <w:szCs w:val="20"/>
          <w:color w:val="auto"/>
        </w:rPr>
      </w:pPr>
      <w:r>
        <w:rPr>
          <w:rFonts w:ascii="Arial" w:cs="Arial" w:eastAsia="Arial" w:hAnsi="Arial"/>
          <w:sz w:val="18"/>
          <w:szCs w:val="18"/>
          <w:color w:val="auto"/>
        </w:rPr>
        <w:t>CD123 Product-by-CD123 Product and country-by-country basis in the Territory, royalties at following percentages of Net Sales for all CD123 Product in the Territory during the applicable Royalty Term for a CD123 Product in a country in</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the Territory:</w:t>
      </w:r>
    </w:p>
    <w:p>
      <w:pPr>
        <w:spacing w:after="0" w:line="237" w:lineRule="exact"/>
        <w:rPr>
          <w:sz w:val="20"/>
          <w:szCs w:val="20"/>
          <w:color w:val="auto"/>
        </w:rPr>
      </w:pPr>
    </w:p>
    <w:tbl>
      <w:tblPr>
        <w:tblLayout w:type="fixed"/>
        <w:tblInd w:w="1130" w:type="dxa"/>
        <w:tblCellMar>
          <w:top w:w="0" w:type="dxa"/>
          <w:left w:w="0" w:type="dxa"/>
          <w:bottom w:w="0" w:type="dxa"/>
          <w:right w:w="0" w:type="dxa"/>
        </w:tblCellMar>
      </w:tblPr>
      <w:tr>
        <w:trPr>
          <w:trHeight w:val="277"/>
        </w:trPr>
        <w:tc>
          <w:tcPr>
            <w:tcW w:w="6140" w:type="dxa"/>
            <w:vAlign w:val="bottom"/>
            <w:tcBorders>
              <w:top w:val="single" w:sz="8" w:color="auto"/>
              <w:left w:val="single" w:sz="8" w:color="auto"/>
              <w:bottom w:val="single" w:sz="8" w:color="auto"/>
              <w:right w:val="single" w:sz="8" w:color="auto"/>
            </w:tcBorders>
            <w:shd w:val="clear" w:color="auto" w:fill="9CC1E4"/>
          </w:tcPr>
          <w:p>
            <w:pPr>
              <w:ind w:left="420"/>
              <w:spacing w:after="0"/>
              <w:rPr>
                <w:sz w:val="20"/>
                <w:szCs w:val="20"/>
                <w:color w:val="auto"/>
              </w:rPr>
            </w:pPr>
            <w:r>
              <w:rPr>
                <w:rFonts w:ascii="Arial" w:cs="Arial" w:eastAsia="Arial" w:hAnsi="Arial"/>
                <w:sz w:val="20"/>
                <w:szCs w:val="20"/>
                <w:b w:val="1"/>
                <w:bCs w:val="1"/>
                <w:color w:val="auto"/>
                <w:w w:val="94"/>
              </w:rPr>
              <w:t>Annual Aggregate Net Sales of CD123 Products in the Territory</w:t>
            </w:r>
          </w:p>
        </w:tc>
        <w:tc>
          <w:tcPr>
            <w:tcW w:w="2280" w:type="dxa"/>
            <w:vAlign w:val="bottom"/>
            <w:tcBorders>
              <w:top w:val="single" w:sz="8" w:color="auto"/>
              <w:bottom w:val="single" w:sz="8" w:color="auto"/>
              <w:right w:val="single" w:sz="8" w:color="auto"/>
            </w:tcBorders>
            <w:shd w:val="clear" w:color="auto" w:fill="9CC1E4"/>
          </w:tcPr>
          <w:p>
            <w:pPr>
              <w:jc w:val="right"/>
              <w:ind w:right="461"/>
              <w:spacing w:after="0"/>
              <w:rPr>
                <w:sz w:val="20"/>
                <w:szCs w:val="20"/>
                <w:color w:val="auto"/>
              </w:rPr>
            </w:pPr>
            <w:r>
              <w:rPr>
                <w:rFonts w:ascii="Arial" w:cs="Arial" w:eastAsia="Arial" w:hAnsi="Arial"/>
                <w:sz w:val="20"/>
                <w:szCs w:val="20"/>
                <w:b w:val="1"/>
                <w:bCs w:val="1"/>
                <w:color w:val="auto"/>
              </w:rPr>
              <w:t>Royalty Rate</w:t>
            </w:r>
          </w:p>
        </w:tc>
      </w:tr>
      <w:tr>
        <w:trPr>
          <w:trHeight w:val="216"/>
        </w:trPr>
        <w:tc>
          <w:tcPr>
            <w:tcW w:w="6140" w:type="dxa"/>
            <w:vAlign w:val="bottom"/>
            <w:tcBorders>
              <w:left w:val="single" w:sz="8" w:color="auto"/>
              <w:bottom w:val="single" w:sz="8" w:color="auto"/>
              <w:right w:val="single" w:sz="8" w:color="CFCDCD"/>
            </w:tcBorders>
            <w:shd w:val="clear" w:color="auto" w:fill="CFCDCD"/>
          </w:tcPr>
          <w:p>
            <w:pPr>
              <w:spacing w:after="0"/>
              <w:rPr>
                <w:sz w:val="18"/>
                <w:szCs w:val="18"/>
                <w:color w:val="auto"/>
              </w:rPr>
            </w:pPr>
          </w:p>
        </w:tc>
        <w:tc>
          <w:tcPr>
            <w:tcW w:w="2280" w:type="dxa"/>
            <w:vAlign w:val="bottom"/>
            <w:tcBorders>
              <w:bottom w:val="single" w:sz="8" w:color="auto"/>
              <w:right w:val="single" w:sz="8" w:color="auto"/>
            </w:tcBorders>
            <w:shd w:val="clear" w:color="auto" w:fill="CFCDCD"/>
          </w:tcPr>
          <w:p>
            <w:pPr>
              <w:spacing w:after="0"/>
              <w:rPr>
                <w:sz w:val="18"/>
                <w:szCs w:val="18"/>
                <w:color w:val="auto"/>
              </w:rPr>
            </w:pPr>
          </w:p>
        </w:tc>
      </w:tr>
      <w:tr>
        <w:trPr>
          <w:trHeight w:val="233"/>
        </w:trPr>
        <w:tc>
          <w:tcPr>
            <w:tcW w:w="6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1"/>
              </w:rPr>
              <w:t>For that portion of aggregate annual Net Sales of all CD123 Products less</w:t>
            </w:r>
          </w:p>
        </w:tc>
        <w:tc>
          <w:tcPr>
            <w:tcW w:w="2280" w:type="dxa"/>
            <w:vAlign w:val="bottom"/>
            <w:tcBorders>
              <w:right w:val="single" w:sz="8" w:color="auto"/>
            </w:tcBorders>
          </w:tcPr>
          <w:p>
            <w:pPr>
              <w:jc w:val="right"/>
              <w:ind w:right="1641"/>
              <w:spacing w:after="0"/>
              <w:rPr>
                <w:sz w:val="20"/>
                <w:szCs w:val="20"/>
                <w:color w:val="auto"/>
              </w:rPr>
            </w:pPr>
            <w:r>
              <w:rPr>
                <w:rFonts w:ascii="Arial" w:cs="Arial" w:eastAsia="Arial" w:hAnsi="Arial"/>
                <w:sz w:val="20"/>
                <w:szCs w:val="20"/>
                <w:color w:val="auto"/>
              </w:rPr>
              <w:t>[***]</w:t>
            </w:r>
          </w:p>
        </w:tc>
      </w:tr>
      <w:tr>
        <w:trPr>
          <w:trHeight w:val="250"/>
        </w:trPr>
        <w:tc>
          <w:tcPr>
            <w:tcW w:w="6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than or equal to [***]</w:t>
            </w:r>
          </w:p>
        </w:tc>
        <w:tc>
          <w:tcPr>
            <w:tcW w:w="2280" w:type="dxa"/>
            <w:vAlign w:val="bottom"/>
            <w:tcBorders>
              <w:right w:val="single" w:sz="8" w:color="auto"/>
            </w:tcBorders>
          </w:tcPr>
          <w:p>
            <w:pPr>
              <w:spacing w:after="0"/>
              <w:rPr>
                <w:sz w:val="21"/>
                <w:szCs w:val="21"/>
                <w:color w:val="auto"/>
              </w:rPr>
            </w:pPr>
          </w:p>
        </w:tc>
      </w:tr>
      <w:tr>
        <w:trPr>
          <w:trHeight w:val="36"/>
        </w:trPr>
        <w:tc>
          <w:tcPr>
            <w:tcW w:w="61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r>
      <w:tr>
        <w:trPr>
          <w:trHeight w:val="183"/>
        </w:trPr>
        <w:tc>
          <w:tcPr>
            <w:tcW w:w="6140" w:type="dxa"/>
            <w:vAlign w:val="bottom"/>
            <w:tcBorders>
              <w:left w:val="single" w:sz="8" w:color="auto"/>
              <w:right w:val="single" w:sz="8" w:color="auto"/>
            </w:tcBorders>
          </w:tcPr>
          <w:p>
            <w:pPr>
              <w:ind w:left="140"/>
              <w:spacing w:after="0" w:line="183" w:lineRule="exact"/>
              <w:rPr>
                <w:sz w:val="20"/>
                <w:szCs w:val="20"/>
                <w:color w:val="auto"/>
              </w:rPr>
            </w:pPr>
            <w:r>
              <w:rPr>
                <w:rFonts w:ascii="Arial" w:cs="Arial" w:eastAsia="Arial" w:hAnsi="Arial"/>
                <w:sz w:val="20"/>
                <w:szCs w:val="20"/>
                <w:color w:val="auto"/>
                <w:w w:val="97"/>
              </w:rPr>
              <w:t>For that portion of aggregate annual Net Sales of all CD123 Products</w:t>
            </w:r>
          </w:p>
        </w:tc>
        <w:tc>
          <w:tcPr>
            <w:tcW w:w="2280" w:type="dxa"/>
            <w:vAlign w:val="bottom"/>
            <w:tcBorders>
              <w:right w:val="single" w:sz="8" w:color="auto"/>
            </w:tcBorders>
          </w:tcPr>
          <w:p>
            <w:pPr>
              <w:jc w:val="right"/>
              <w:ind w:right="1641"/>
              <w:spacing w:after="0" w:line="183" w:lineRule="exact"/>
              <w:rPr>
                <w:sz w:val="20"/>
                <w:szCs w:val="20"/>
                <w:color w:val="auto"/>
              </w:rPr>
            </w:pPr>
            <w:r>
              <w:rPr>
                <w:rFonts w:ascii="Arial" w:cs="Arial" w:eastAsia="Arial" w:hAnsi="Arial"/>
                <w:sz w:val="20"/>
                <w:szCs w:val="20"/>
                <w:color w:val="auto"/>
              </w:rPr>
              <w:t>[***]</w:t>
            </w:r>
          </w:p>
        </w:tc>
      </w:tr>
      <w:tr>
        <w:trPr>
          <w:trHeight w:val="253"/>
        </w:trPr>
        <w:tc>
          <w:tcPr>
            <w:tcW w:w="61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greater than [***]</w:t>
            </w:r>
          </w:p>
        </w:tc>
        <w:tc>
          <w:tcPr>
            <w:tcW w:w="2280" w:type="dxa"/>
            <w:vAlign w:val="bottom"/>
            <w:tcBorders>
              <w:bottom w:val="single" w:sz="8" w:color="auto"/>
              <w:right w:val="single" w:sz="8" w:color="auto"/>
            </w:tcBorders>
          </w:tcPr>
          <w:p>
            <w:pPr>
              <w:spacing w:after="0"/>
              <w:rPr>
                <w:sz w:val="22"/>
                <w:szCs w:val="22"/>
                <w:color w:val="auto"/>
              </w:rPr>
            </w:pPr>
          </w:p>
        </w:tc>
      </w:tr>
      <w:tr>
        <w:trPr>
          <w:trHeight w:val="186"/>
        </w:trPr>
        <w:tc>
          <w:tcPr>
            <w:tcW w:w="6140" w:type="dxa"/>
            <w:vAlign w:val="bottom"/>
            <w:tcBorders>
              <w:left w:val="single" w:sz="8" w:color="auto"/>
              <w:right w:val="single" w:sz="8" w:color="auto"/>
            </w:tcBorders>
          </w:tcPr>
          <w:p>
            <w:pPr>
              <w:ind w:left="140"/>
              <w:spacing w:after="0" w:line="185" w:lineRule="exact"/>
              <w:rPr>
                <w:sz w:val="20"/>
                <w:szCs w:val="20"/>
                <w:color w:val="auto"/>
              </w:rPr>
            </w:pPr>
            <w:r>
              <w:rPr>
                <w:rFonts w:ascii="Arial" w:cs="Arial" w:eastAsia="Arial" w:hAnsi="Arial"/>
                <w:sz w:val="20"/>
                <w:szCs w:val="20"/>
                <w:color w:val="auto"/>
                <w:w w:val="97"/>
              </w:rPr>
              <w:t>For that portion of aggregate annual Net Sales of all CD123 Products</w:t>
            </w:r>
          </w:p>
        </w:tc>
        <w:tc>
          <w:tcPr>
            <w:tcW w:w="2280" w:type="dxa"/>
            <w:vAlign w:val="bottom"/>
            <w:tcBorders>
              <w:right w:val="single" w:sz="8" w:color="auto"/>
            </w:tcBorders>
          </w:tcPr>
          <w:p>
            <w:pPr>
              <w:jc w:val="right"/>
              <w:ind w:right="1641"/>
              <w:spacing w:after="0" w:line="185" w:lineRule="exact"/>
              <w:rPr>
                <w:sz w:val="20"/>
                <w:szCs w:val="20"/>
                <w:color w:val="auto"/>
              </w:rPr>
            </w:pPr>
            <w:r>
              <w:rPr>
                <w:rFonts w:ascii="Arial" w:cs="Arial" w:eastAsia="Arial" w:hAnsi="Arial"/>
                <w:sz w:val="20"/>
                <w:szCs w:val="20"/>
                <w:color w:val="auto"/>
              </w:rPr>
              <w:t>[***]</w:t>
            </w:r>
          </w:p>
        </w:tc>
      </w:tr>
      <w:tr>
        <w:trPr>
          <w:trHeight w:val="253"/>
        </w:trPr>
        <w:tc>
          <w:tcPr>
            <w:tcW w:w="61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greater than [***]</w:t>
            </w:r>
          </w:p>
        </w:tc>
        <w:tc>
          <w:tcPr>
            <w:tcW w:w="2280" w:type="dxa"/>
            <w:vAlign w:val="bottom"/>
            <w:tcBorders>
              <w:bottom w:val="single" w:sz="8" w:color="auto"/>
              <w:right w:val="single" w:sz="8" w:color="auto"/>
            </w:tcBorders>
          </w:tcPr>
          <w:p>
            <w:pPr>
              <w:spacing w:after="0"/>
              <w:rPr>
                <w:sz w:val="22"/>
                <w:szCs w:val="22"/>
                <w:color w:val="auto"/>
              </w:rPr>
            </w:pPr>
          </w:p>
        </w:tc>
      </w:tr>
    </w:tbl>
    <w:p>
      <w:pPr>
        <w:spacing w:after="0" w:line="301" w:lineRule="exact"/>
        <w:rPr>
          <w:sz w:val="20"/>
          <w:szCs w:val="20"/>
          <w:color w:val="auto"/>
        </w:rPr>
      </w:pPr>
    </w:p>
    <w:p>
      <w:pPr>
        <w:ind w:left="1020" w:right="300" w:firstLine="1301"/>
        <w:spacing w:after="0" w:line="236" w:lineRule="auto"/>
        <w:tabs>
          <w:tab w:leader="none" w:pos="2743" w:val="left"/>
        </w:tabs>
        <w:numPr>
          <w:ilvl w:val="1"/>
          <w:numId w:val="125"/>
        </w:numPr>
        <w:rPr>
          <w:rFonts w:ascii="Arial" w:cs="Arial" w:eastAsia="Arial" w:hAnsi="Arial"/>
          <w:sz w:val="18"/>
          <w:szCs w:val="18"/>
          <w:color w:val="auto"/>
        </w:rPr>
      </w:pPr>
      <w:r>
        <w:rPr>
          <w:rFonts w:ascii="Arial" w:cs="Arial" w:eastAsia="Arial" w:hAnsi="Arial"/>
          <w:sz w:val="18"/>
          <w:szCs w:val="18"/>
          <w:b w:val="1"/>
          <w:bCs w:val="1"/>
          <w:color w:val="auto"/>
        </w:rPr>
        <w:t>Expiration of the Royalty Term</w:t>
      </w:r>
      <w:r>
        <w:rPr>
          <w:rFonts w:ascii="Arial" w:cs="Arial" w:eastAsia="Arial" w:hAnsi="Arial"/>
          <w:sz w:val="18"/>
          <w:szCs w:val="18"/>
          <w:color w:val="auto"/>
        </w:rPr>
        <w:t>. Upon expiration of the Royalty Term for a given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a given country (i) no further royalties will be payable in respect of sales of such Licensed Product in such country and no further Net Sales in such country will accrue toward the achievement of the Commercial Milestone Events by Gilead, and (ii) the licenses granted to Gilead under Section 3.1(b) (Exploitation Licenses for Research Molecules and Research Programs) and Section 3.1(d) (Exploitation License for CD123 Molecules and CD123 Products) with respect to the Exploitation of such Licensed Product in such country will automatically become fully paid-up, perpetual, irrevocable and royalty free. For clarity, only a single royalty will be payable as a result of one or more Valid Claims claiming a Licensed Product during the Royalty Term.</w:t>
      </w:r>
    </w:p>
    <w:p>
      <w:pPr>
        <w:spacing w:after="0" w:line="194" w:lineRule="exact"/>
        <w:rPr>
          <w:rFonts w:ascii="Arial" w:cs="Arial" w:eastAsia="Arial" w:hAnsi="Arial"/>
          <w:sz w:val="18"/>
          <w:szCs w:val="18"/>
          <w:color w:val="auto"/>
        </w:rPr>
      </w:pPr>
    </w:p>
    <w:p>
      <w:pPr>
        <w:ind w:left="2740" w:hanging="419"/>
        <w:spacing w:after="0"/>
        <w:tabs>
          <w:tab w:leader="none" w:pos="2740" w:val="left"/>
        </w:tabs>
        <w:numPr>
          <w:ilvl w:val="1"/>
          <w:numId w:val="125"/>
        </w:numPr>
        <w:rPr>
          <w:rFonts w:ascii="Arial" w:cs="Arial" w:eastAsia="Arial" w:hAnsi="Arial"/>
          <w:sz w:val="20"/>
          <w:szCs w:val="20"/>
          <w:color w:val="auto"/>
        </w:rPr>
      </w:pPr>
      <w:r>
        <w:rPr>
          <w:rFonts w:ascii="Arial" w:cs="Arial" w:eastAsia="Arial" w:hAnsi="Arial"/>
          <w:sz w:val="20"/>
          <w:szCs w:val="20"/>
          <w:b w:val="1"/>
          <w:bCs w:val="1"/>
          <w:color w:val="auto"/>
        </w:rPr>
        <w:t>Royalty Reduction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020" w:right="300" w:firstLine="1949"/>
        <w:spacing w:after="0" w:line="233" w:lineRule="auto"/>
        <w:tabs>
          <w:tab w:leader="none" w:pos="3347" w:val="left"/>
        </w:tabs>
        <w:numPr>
          <w:ilvl w:val="2"/>
          <w:numId w:val="125"/>
        </w:numPr>
        <w:rPr>
          <w:rFonts w:ascii="Arial" w:cs="Arial" w:eastAsia="Arial" w:hAnsi="Arial"/>
          <w:sz w:val="19"/>
          <w:szCs w:val="19"/>
          <w:color w:val="auto"/>
        </w:rPr>
      </w:pPr>
      <w:r>
        <w:rPr>
          <w:rFonts w:ascii="Arial" w:cs="Arial" w:eastAsia="Arial" w:hAnsi="Arial"/>
          <w:sz w:val="19"/>
          <w:szCs w:val="19"/>
          <w:b w:val="1"/>
          <w:bCs w:val="1"/>
          <w:color w:val="auto"/>
        </w:rPr>
        <w:t>Lack of Valid Claims</w:t>
      </w:r>
      <w:r>
        <w:rPr>
          <w:rFonts w:ascii="Arial" w:cs="Arial" w:eastAsia="Arial" w:hAnsi="Arial"/>
          <w:sz w:val="19"/>
          <w:szCs w:val="19"/>
          <w:color w:val="auto"/>
        </w:rPr>
        <w:t>. On a Licensed Product-by-Licensed Product and country-by-country basis, if the composition of matter or method of use of a Licensed Product is no longer Covered by a Valid Claim within the Royalty Bearing Patents in a given country, then the royalties payable with respect to such Licensed Product in such country pursuant to Section 10.4(a) (Royalty Rate) will be [***].</w:t>
      </w:r>
    </w:p>
    <w:p>
      <w:pPr>
        <w:spacing w:after="0" w:line="272" w:lineRule="exact"/>
        <w:rPr>
          <w:rFonts w:ascii="Arial" w:cs="Arial" w:eastAsia="Arial" w:hAnsi="Arial"/>
          <w:sz w:val="19"/>
          <w:szCs w:val="19"/>
          <w:color w:val="auto"/>
        </w:rPr>
      </w:pPr>
    </w:p>
    <w:p>
      <w:pPr>
        <w:ind w:left="1020" w:right="140" w:firstLine="1949"/>
        <w:spacing w:after="0" w:line="227" w:lineRule="auto"/>
        <w:tabs>
          <w:tab w:leader="none" w:pos="3403" w:val="left"/>
        </w:tabs>
        <w:numPr>
          <w:ilvl w:val="2"/>
          <w:numId w:val="125"/>
        </w:numPr>
        <w:rPr>
          <w:rFonts w:ascii="Arial" w:cs="Arial" w:eastAsia="Arial" w:hAnsi="Arial"/>
          <w:sz w:val="19"/>
          <w:szCs w:val="19"/>
          <w:color w:val="auto"/>
        </w:rPr>
      </w:pPr>
      <w:r>
        <w:rPr>
          <w:rFonts w:ascii="Arial" w:cs="Arial" w:eastAsia="Arial" w:hAnsi="Arial"/>
          <w:sz w:val="19"/>
          <w:szCs w:val="19"/>
          <w:b w:val="1"/>
          <w:bCs w:val="1"/>
          <w:color w:val="auto"/>
        </w:rPr>
        <w:t>Biosimilar Product Market Effect</w:t>
      </w:r>
      <w:r>
        <w:rPr>
          <w:rFonts w:ascii="Arial" w:cs="Arial" w:eastAsia="Arial" w:hAnsi="Arial"/>
          <w:sz w:val="19"/>
          <w:szCs w:val="19"/>
          <w:color w:val="auto"/>
        </w:rPr>
        <w:t>. If one or more Biosimilar Products with respect to a</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are on the market in a country and the volume of sales of such Biosimilar Products in such country constitute [***] or more of the total sales for such Biosimilar Products and Licensed Products in such country in a Calendar Quarter, then Gilead may reduce the royalty payments due for Net Sales for such Licensed Product in such country pursuant to Section 10.4(a) (Royalty Rate) by [***] in such Calendar Quarter and in each Calendar Quarter thereafter during the Royalty Term in which such market reduction exists.</w:t>
      </w:r>
    </w:p>
    <w:p>
      <w:pPr>
        <w:spacing w:after="0" w:line="197" w:lineRule="exact"/>
        <w:rPr>
          <w:rFonts w:ascii="Arial" w:cs="Arial" w:eastAsia="Arial" w:hAnsi="Arial"/>
          <w:sz w:val="19"/>
          <w:szCs w:val="19"/>
          <w:color w:val="auto"/>
        </w:rPr>
      </w:pPr>
    </w:p>
    <w:p>
      <w:pPr>
        <w:ind w:left="1020" w:right="120" w:firstLine="1950"/>
        <w:spacing w:after="0" w:line="214" w:lineRule="auto"/>
        <w:tabs>
          <w:tab w:leader="none" w:pos="3458" w:val="left"/>
        </w:tabs>
        <w:numPr>
          <w:ilvl w:val="2"/>
          <w:numId w:val="125"/>
        </w:numPr>
        <w:rPr>
          <w:rFonts w:ascii="Arial" w:cs="Arial" w:eastAsia="Arial" w:hAnsi="Arial"/>
          <w:sz w:val="20"/>
          <w:szCs w:val="20"/>
          <w:color w:val="auto"/>
        </w:rPr>
      </w:pPr>
      <w:r>
        <w:rPr>
          <w:rFonts w:ascii="Arial" w:cs="Arial" w:eastAsia="Arial" w:hAnsi="Arial"/>
          <w:sz w:val="20"/>
          <w:szCs w:val="20"/>
          <w:color w:val="auto"/>
        </w:rPr>
        <w:t xml:space="preserve">[***] the royalties payable by Gilead to MacroGenics with respect to Net Sales of such Licensed Product pursuant to Section 10.4(a) (Royalty Rate) shall be reduced, on a Licensed Product-by-Licensed Product basis, by [***] of the amounts paid by Gilead or its Affiliates or Sublicensees [***] respect to such Licensed Product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terms of [***] the Licensed Molecules or Licensed Products. In addition, subject to the terms of [***], Gilead will have the right to reduce the royalties payable by Gilead to MacroGenics with respect to Net Sales of a Licensed Product pursuant to Section 10.4(a) (Royalty Rate), on a Licensed Product-by-Licensed Product basis, [***].</w:t>
      </w:r>
    </w:p>
    <w:p>
      <w:pPr>
        <w:spacing w:after="0" w:line="273" w:lineRule="exact"/>
        <w:rPr>
          <w:rFonts w:ascii="Arial" w:cs="Arial" w:eastAsia="Arial" w:hAnsi="Arial"/>
          <w:sz w:val="20"/>
          <w:szCs w:val="20"/>
          <w:color w:val="auto"/>
        </w:rPr>
      </w:pPr>
    </w:p>
    <w:p>
      <w:pPr>
        <w:ind w:left="1020" w:right="120" w:firstLine="1301"/>
        <w:spacing w:after="0" w:line="248" w:lineRule="auto"/>
        <w:tabs>
          <w:tab w:leader="none" w:pos="2744" w:val="left"/>
        </w:tabs>
        <w:numPr>
          <w:ilvl w:val="1"/>
          <w:numId w:val="125"/>
        </w:numPr>
        <w:rPr>
          <w:rFonts w:ascii="Arial" w:cs="Arial" w:eastAsia="Arial" w:hAnsi="Arial"/>
          <w:sz w:val="18"/>
          <w:szCs w:val="18"/>
          <w:color w:val="auto"/>
        </w:rPr>
      </w:pPr>
      <w:r>
        <w:rPr>
          <w:rFonts w:ascii="Arial" w:cs="Arial" w:eastAsia="Arial" w:hAnsi="Arial"/>
          <w:sz w:val="18"/>
          <w:szCs w:val="18"/>
          <w:b w:val="1"/>
          <w:bCs w:val="1"/>
          <w:color w:val="auto"/>
        </w:rPr>
        <w:t>Royalty Floor</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Schedule 10.4(c)(c)(iii) </w:t>
      </w:r>
      <w:r>
        <w:rPr>
          <w:rFonts w:ascii="Arial" w:cs="Arial" w:eastAsia="Arial" w:hAnsi="Arial"/>
          <w:sz w:val="18"/>
          <w:szCs w:val="18"/>
          <w:color w:val="auto"/>
        </w:rPr>
        <w:t>(Special Offset and Indemnification), in no</w:t>
      </w:r>
      <w:r>
        <w:rPr>
          <w:rFonts w:ascii="Arial" w:cs="Arial" w:eastAsia="Arial" w:hAnsi="Arial"/>
          <w:sz w:val="18"/>
          <w:szCs w:val="18"/>
          <w:b w:val="1"/>
          <w:bCs w:val="1"/>
          <w:color w:val="auto"/>
        </w:rPr>
        <w:t xml:space="preserve"> </w:t>
      </w:r>
      <w:r>
        <w:rPr>
          <w:rFonts w:ascii="Arial" w:cs="Arial" w:eastAsia="Arial" w:hAnsi="Arial"/>
          <w:sz w:val="18"/>
          <w:szCs w:val="18"/>
          <w:color w:val="auto"/>
        </w:rPr>
        <w:t>event shall the royalty reductions available to Gilead under Section 10.4(c) (Royalty Reduction), collectively or individually, reduce the royalties payable to MacroGenics for a given Calendar Quarter to less than [***] of the amount otherwise payable under Section 10.4 (Royalties on Net Sales) with respect to an applicable Licensed Product. [***].</w:t>
      </w:r>
    </w:p>
    <w:p>
      <w:pPr>
        <w:spacing w:after="0" w:line="264" w:lineRule="exact"/>
        <w:rPr>
          <w:rFonts w:ascii="Arial" w:cs="Arial" w:eastAsia="Arial" w:hAnsi="Arial"/>
          <w:sz w:val="18"/>
          <w:szCs w:val="18"/>
          <w:color w:val="auto"/>
        </w:rPr>
      </w:pPr>
    </w:p>
    <w:p>
      <w:pPr>
        <w:ind w:left="1460" w:hanging="435"/>
        <w:spacing w:after="0"/>
        <w:tabs>
          <w:tab w:leader="none" w:pos="1460" w:val="left"/>
        </w:tabs>
        <w:numPr>
          <w:ilvl w:val="0"/>
          <w:numId w:val="126"/>
        </w:numPr>
        <w:rPr>
          <w:rFonts w:ascii="Arial" w:cs="Arial" w:eastAsia="Arial" w:hAnsi="Arial"/>
          <w:sz w:val="20"/>
          <w:szCs w:val="20"/>
          <w:color w:val="auto"/>
        </w:rPr>
      </w:pPr>
      <w:r>
        <w:rPr>
          <w:rFonts w:ascii="Arial" w:cs="Arial" w:eastAsia="Arial" w:hAnsi="Arial"/>
          <w:sz w:val="20"/>
          <w:szCs w:val="20"/>
          <w:b w:val="1"/>
          <w:bCs w:val="1"/>
          <w:color w:val="auto"/>
        </w:rPr>
        <w:t>Payments; Reports; Records; Audits</w:t>
      </w:r>
      <w:r>
        <w:rPr>
          <w:rFonts w:ascii="Arial" w:cs="Arial" w:eastAsia="Arial" w:hAnsi="Arial"/>
          <w:sz w:val="20"/>
          <w:szCs w:val="20"/>
          <w:color w:val="auto"/>
        </w:rPr>
        <w:t>.</w:t>
      </w:r>
    </w:p>
    <w:p>
      <w:pPr>
        <w:sectPr>
          <w:pgSz w:w="11900" w:h="16838" w:orient="portrait"/>
          <w:cols w:equalWidth="0" w:num="1">
            <w:col w:w="10620"/>
          </w:cols>
          <w:pgMar w:left="40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620"/>
          </w:cols>
          <w:pgMar w:left="400" w:top="1440" w:right="879" w:bottom="1440" w:gutter="0" w:footer="0" w:header="0"/>
          <w:type w:val="continuous"/>
        </w:sectPr>
      </w:pPr>
    </w:p>
    <w:bookmarkStart w:id="176" w:name="page177"/>
    <w:bookmarkEnd w:id="176"/>
    <w:p>
      <w:pPr>
        <w:spacing w:after="0" w:line="135" w:lineRule="exact"/>
        <w:rPr>
          <w:sz w:val="20"/>
          <w:szCs w:val="20"/>
          <w:color w:val="auto"/>
        </w:rPr>
      </w:pPr>
    </w:p>
    <w:p>
      <w:pPr>
        <w:ind w:left="1680"/>
        <w:spacing w:after="0"/>
        <w:tabs>
          <w:tab w:leader="none" w:pos="21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b w:val="1"/>
          <w:bCs w:val="1"/>
          <w:color w:val="auto"/>
        </w:rPr>
        <w:t>Development Costs, Plan Costs and Manufacturing Costs</w:t>
      </w:r>
      <w:r>
        <w:rPr>
          <w:rFonts w:ascii="Arial" w:cs="Arial" w:eastAsia="Arial" w:hAnsi="Arial"/>
          <w:sz w:val="16"/>
          <w:szCs w:val="16"/>
          <w:color w:val="auto"/>
        </w:rPr>
        <w:t>.</w:t>
      </w:r>
    </w:p>
    <w:p>
      <w:pPr>
        <w:spacing w:after="0" w:line="222" w:lineRule="exact"/>
        <w:rPr>
          <w:sz w:val="20"/>
          <w:szCs w:val="20"/>
          <w:color w:val="auto"/>
        </w:rPr>
      </w:pPr>
    </w:p>
    <w:p>
      <w:pPr>
        <w:ind w:left="1020" w:right="80" w:firstLine="1302"/>
        <w:spacing w:after="0" w:line="220" w:lineRule="auto"/>
        <w:tabs>
          <w:tab w:leader="none" w:pos="273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Within [***] Calendar Quarter during the Term, MacroGenics shall submit an invoice to Gilead detailing the FTE Costs and Out-of-Pocket Costs incurred by MacroGenics during such Calendar Quarter to conduct the following activities and Gilead shall pay MacroGenics the full undisputed amount of each such invoice within [***] after its receipt:</w:t>
      </w:r>
    </w:p>
    <w:p>
      <w:pPr>
        <w:spacing w:after="0" w:line="277" w:lineRule="exact"/>
        <w:rPr>
          <w:rFonts w:ascii="Arial" w:cs="Arial" w:eastAsia="Arial" w:hAnsi="Arial"/>
          <w:sz w:val="20"/>
          <w:szCs w:val="20"/>
          <w:color w:val="auto"/>
        </w:rPr>
      </w:pPr>
    </w:p>
    <w:p>
      <w:pPr>
        <w:ind w:left="1020" w:right="520" w:firstLine="1950"/>
        <w:spacing w:after="0" w:line="236" w:lineRule="auto"/>
        <w:tabs>
          <w:tab w:leader="none" w:pos="3349" w:val="left"/>
        </w:tabs>
        <w:numPr>
          <w:ilvl w:val="1"/>
          <w:numId w:val="127"/>
        </w:numPr>
        <w:rPr>
          <w:rFonts w:ascii="Arial" w:cs="Arial" w:eastAsia="Arial" w:hAnsi="Arial"/>
          <w:sz w:val="20"/>
          <w:szCs w:val="20"/>
          <w:color w:val="auto"/>
        </w:rPr>
      </w:pPr>
      <w:r>
        <w:rPr>
          <w:rFonts w:ascii="Arial" w:cs="Arial" w:eastAsia="Arial" w:hAnsi="Arial"/>
          <w:sz w:val="20"/>
          <w:szCs w:val="20"/>
          <w:color w:val="auto"/>
        </w:rPr>
        <w:t>Research Program activities to the extent [***], as further described in and subject to Section 5.4 (Research Plan Costs);</w:t>
      </w:r>
    </w:p>
    <w:p>
      <w:pPr>
        <w:spacing w:after="0" w:line="209" w:lineRule="exact"/>
        <w:rPr>
          <w:rFonts w:ascii="Arial" w:cs="Arial" w:eastAsia="Arial" w:hAnsi="Arial"/>
          <w:sz w:val="20"/>
          <w:szCs w:val="20"/>
          <w:color w:val="auto"/>
        </w:rPr>
      </w:pPr>
    </w:p>
    <w:p>
      <w:pPr>
        <w:ind w:left="1020" w:right="80" w:firstLine="1950"/>
        <w:spacing w:after="0" w:line="260" w:lineRule="auto"/>
        <w:tabs>
          <w:tab w:leader="none" w:pos="3404" w:val="left"/>
        </w:tabs>
        <w:numPr>
          <w:ilvl w:val="1"/>
          <w:numId w:val="127"/>
        </w:numPr>
        <w:rPr>
          <w:rFonts w:ascii="Arial" w:cs="Arial" w:eastAsia="Arial" w:hAnsi="Arial"/>
          <w:sz w:val="20"/>
          <w:szCs w:val="20"/>
          <w:color w:val="auto"/>
        </w:rPr>
      </w:pPr>
      <w:r>
        <w:rPr>
          <w:rFonts w:ascii="Arial" w:cs="Arial" w:eastAsia="Arial" w:hAnsi="Arial"/>
          <w:sz w:val="20"/>
          <w:szCs w:val="20"/>
          <w:color w:val="auto"/>
        </w:rPr>
        <w:t>[***] CD123 Molecules and CD123 Products [***], as further described in Section 7.1(b) (After the CD123 Development Term);</w:t>
      </w:r>
    </w:p>
    <w:p>
      <w:pPr>
        <w:spacing w:after="0" w:line="203" w:lineRule="exact"/>
        <w:rPr>
          <w:rFonts w:ascii="Arial" w:cs="Arial" w:eastAsia="Arial" w:hAnsi="Arial"/>
          <w:sz w:val="20"/>
          <w:szCs w:val="20"/>
          <w:color w:val="auto"/>
        </w:rPr>
      </w:pPr>
    </w:p>
    <w:p>
      <w:pPr>
        <w:ind w:left="1020" w:right="240" w:firstLine="1950"/>
        <w:spacing w:after="0" w:line="260" w:lineRule="auto"/>
        <w:tabs>
          <w:tab w:leader="none" w:pos="3458" w:val="left"/>
        </w:tabs>
        <w:numPr>
          <w:ilvl w:val="1"/>
          <w:numId w:val="127"/>
        </w:numPr>
        <w:rPr>
          <w:rFonts w:ascii="Arial" w:cs="Arial" w:eastAsia="Arial" w:hAnsi="Arial"/>
          <w:sz w:val="20"/>
          <w:szCs w:val="20"/>
          <w:color w:val="auto"/>
        </w:rPr>
      </w:pPr>
      <w:r>
        <w:rPr>
          <w:rFonts w:ascii="Arial" w:cs="Arial" w:eastAsia="Arial" w:hAnsi="Arial"/>
          <w:sz w:val="20"/>
          <w:szCs w:val="20"/>
          <w:color w:val="auto"/>
        </w:rPr>
        <w:t>[***] Research Molecules and Research Products [***], as further described in Section 7.2 (Research Molecules and Research Products);</w:t>
      </w:r>
    </w:p>
    <w:p>
      <w:pPr>
        <w:spacing w:after="0" w:line="190" w:lineRule="exact"/>
        <w:rPr>
          <w:rFonts w:ascii="Arial" w:cs="Arial" w:eastAsia="Arial" w:hAnsi="Arial"/>
          <w:sz w:val="20"/>
          <w:szCs w:val="20"/>
          <w:color w:val="auto"/>
        </w:rPr>
      </w:pPr>
    </w:p>
    <w:p>
      <w:pPr>
        <w:ind w:left="1020" w:right="540" w:firstLine="1950"/>
        <w:spacing w:after="0" w:line="236" w:lineRule="auto"/>
        <w:tabs>
          <w:tab w:leader="none" w:pos="3447" w:val="left"/>
        </w:tabs>
        <w:numPr>
          <w:ilvl w:val="1"/>
          <w:numId w:val="127"/>
        </w:numPr>
        <w:rPr>
          <w:rFonts w:ascii="Arial" w:cs="Arial" w:eastAsia="Arial" w:hAnsi="Arial"/>
          <w:sz w:val="20"/>
          <w:szCs w:val="20"/>
          <w:color w:val="auto"/>
        </w:rPr>
      </w:pPr>
      <w:r>
        <w:rPr>
          <w:rFonts w:ascii="Arial" w:cs="Arial" w:eastAsia="Arial" w:hAnsi="Arial"/>
          <w:sz w:val="20"/>
          <w:szCs w:val="20"/>
          <w:color w:val="auto"/>
        </w:rPr>
        <w:t xml:space="preserve">[***] the Manufacturing Transition Budget,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Allowable Overruns, [***], as further described in and subject to Section 9.4 (Manufacturing Technology Transfer); and</w:t>
      </w:r>
    </w:p>
    <w:p>
      <w:pPr>
        <w:spacing w:after="0" w:line="195" w:lineRule="exact"/>
        <w:rPr>
          <w:rFonts w:ascii="Arial" w:cs="Arial" w:eastAsia="Arial" w:hAnsi="Arial"/>
          <w:sz w:val="20"/>
          <w:szCs w:val="20"/>
          <w:color w:val="auto"/>
        </w:rPr>
      </w:pPr>
    </w:p>
    <w:p>
      <w:pPr>
        <w:ind w:left="1020" w:right="240" w:firstLine="1950"/>
        <w:spacing w:after="0" w:line="236" w:lineRule="auto"/>
        <w:tabs>
          <w:tab w:leader="none" w:pos="3392" w:val="left"/>
        </w:tabs>
        <w:numPr>
          <w:ilvl w:val="1"/>
          <w:numId w:val="127"/>
        </w:numPr>
        <w:rPr>
          <w:rFonts w:ascii="Arial" w:cs="Arial" w:eastAsia="Arial" w:hAnsi="Arial"/>
          <w:sz w:val="20"/>
          <w:szCs w:val="20"/>
          <w:color w:val="auto"/>
        </w:rPr>
      </w:pPr>
      <w:r>
        <w:rPr>
          <w:rFonts w:ascii="Arial" w:cs="Arial" w:eastAsia="Arial" w:hAnsi="Arial"/>
          <w:sz w:val="20"/>
          <w:szCs w:val="20"/>
          <w:color w:val="auto"/>
        </w:rPr>
        <w:t>[***] CD123 Development Plan and within the amount budgeted in the [***], as further described in and subject to Section 4.6 (CD123 Development Program Costs).</w:t>
      </w:r>
    </w:p>
    <w:p>
      <w:pPr>
        <w:spacing w:after="0" w:line="195" w:lineRule="exact"/>
        <w:rPr>
          <w:rFonts w:ascii="Arial" w:cs="Arial" w:eastAsia="Arial" w:hAnsi="Arial"/>
          <w:sz w:val="20"/>
          <w:szCs w:val="20"/>
          <w:color w:val="auto"/>
        </w:rPr>
      </w:pPr>
    </w:p>
    <w:p>
      <w:pPr>
        <w:ind w:left="1020" w:right="280" w:firstLine="1302"/>
        <w:spacing w:after="0" w:line="223" w:lineRule="auto"/>
        <w:tabs>
          <w:tab w:leader="none" w:pos="274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as further described in Section 9.1(a)(ii) (During the Clinical Supply Term), then MacroGenics will invoice Gilead for such MGD024 Drug Product at the MGD024 Transfer Price and Gilead will pay MacroGenics the full undisputed amount of each such invoice within [***]of its receipt.</w:t>
      </w:r>
    </w:p>
    <w:p>
      <w:pPr>
        <w:spacing w:after="0" w:line="276" w:lineRule="exact"/>
        <w:rPr>
          <w:rFonts w:ascii="Arial" w:cs="Arial" w:eastAsia="Arial" w:hAnsi="Arial"/>
          <w:sz w:val="20"/>
          <w:szCs w:val="20"/>
          <w:color w:val="auto"/>
        </w:rPr>
      </w:pPr>
    </w:p>
    <w:p>
      <w:pPr>
        <w:jc w:val="both"/>
        <w:ind w:left="1020" w:right="420" w:firstLine="1301"/>
        <w:spacing w:after="0" w:line="223" w:lineRule="auto"/>
        <w:tabs>
          <w:tab w:leader="none" w:pos="273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Subject to Section 3.6 (Sublicense under the MacroGenics Manufacturing In- Licenses), [***] Licensed Molecules or Licensed Products, shall be invoiced by MacroGenics and such undisputed invoices paid by Gilead within [***] after receipt thereof.</w:t>
      </w:r>
    </w:p>
    <w:p>
      <w:pPr>
        <w:spacing w:after="0" w:line="271" w:lineRule="exact"/>
        <w:rPr>
          <w:sz w:val="20"/>
          <w:szCs w:val="20"/>
          <w:color w:val="auto"/>
        </w:rPr>
      </w:pPr>
    </w:p>
    <w:p>
      <w:pPr>
        <w:ind w:left="1680"/>
        <w:spacing w:after="0"/>
        <w:tabs>
          <w:tab w:leader="none" w:pos="21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b w:val="1"/>
          <w:bCs w:val="1"/>
          <w:color w:val="auto"/>
        </w:rPr>
        <w:t>Royalty Payments</w:t>
      </w:r>
      <w:r>
        <w:rPr>
          <w:rFonts w:ascii="Arial" w:cs="Arial" w:eastAsia="Arial" w:hAnsi="Arial"/>
          <w:sz w:val="16"/>
          <w:szCs w:val="16"/>
          <w:color w:val="auto"/>
        </w:rPr>
        <w:t>.</w:t>
      </w:r>
    </w:p>
    <w:p>
      <w:pPr>
        <w:spacing w:after="0" w:line="222" w:lineRule="exact"/>
        <w:rPr>
          <w:sz w:val="20"/>
          <w:szCs w:val="20"/>
          <w:color w:val="auto"/>
        </w:rPr>
      </w:pPr>
    </w:p>
    <w:p>
      <w:pPr>
        <w:ind w:left="1020" w:right="360" w:firstLine="1301"/>
        <w:spacing w:after="0" w:line="236" w:lineRule="auto"/>
        <w:tabs>
          <w:tab w:leader="none" w:pos="273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During the Term, for each Calendar Quarter following the First Commercial Sale of a Licensed Product in the Territory, Gilead shall furnish to MacroGenics:</w:t>
      </w:r>
    </w:p>
    <w:p>
      <w:pPr>
        <w:spacing w:after="0" w:line="182" w:lineRule="exact"/>
        <w:rPr>
          <w:rFonts w:ascii="Arial" w:cs="Arial" w:eastAsia="Arial" w:hAnsi="Arial"/>
          <w:sz w:val="20"/>
          <w:szCs w:val="20"/>
          <w:color w:val="auto"/>
        </w:rPr>
      </w:pPr>
    </w:p>
    <w:p>
      <w:pPr>
        <w:ind w:left="1020" w:firstLine="1949"/>
        <w:spacing w:after="0" w:line="231" w:lineRule="auto"/>
        <w:tabs>
          <w:tab w:leader="none" w:pos="3347"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 quarterly written report for the Calendar Quarter showing, on a country- by-country basis, the gross sales of all Licensed Products subject to royalty payments sold by Gilead and its Related Parties in the Territory during the reporting period, a calculation of Net Sales showing the deductions provided for in the definition of “Net Sales” and a calculation of the royalties payable under this Agreement; and</w:t>
      </w:r>
    </w:p>
    <w:p>
      <w:pPr>
        <w:spacing w:after="0" w:line="198" w:lineRule="exact"/>
        <w:rPr>
          <w:rFonts w:ascii="Arial" w:cs="Arial" w:eastAsia="Arial" w:hAnsi="Arial"/>
          <w:sz w:val="19"/>
          <w:szCs w:val="19"/>
          <w:color w:val="auto"/>
        </w:rPr>
      </w:pPr>
    </w:p>
    <w:p>
      <w:pPr>
        <w:ind w:left="1020" w:right="100" w:firstLine="1949"/>
        <w:spacing w:after="0" w:line="220" w:lineRule="auto"/>
        <w:tabs>
          <w:tab w:leader="none" w:pos="3404"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 quarterly written report for the Calendar Quarter showing, on a country- by-country basis, Gilead’s royalties payable to Third Parties on Net Sales made during such Calendar Quarter and any royalty adjustments taken by Gilead pursuant to Section 10.4(c) (Royalty Reduction), with such detail as shall reasonably allow MacroGenics to determine the basis for such quarterly costs.</w:t>
      </w:r>
    </w:p>
    <w:p>
      <w:pPr>
        <w:spacing w:after="0" w:line="223" w:lineRule="exact"/>
        <w:rPr>
          <w:rFonts w:ascii="Arial" w:cs="Arial" w:eastAsia="Arial" w:hAnsi="Arial"/>
          <w:sz w:val="20"/>
          <w:szCs w:val="20"/>
          <w:color w:val="auto"/>
        </w:rPr>
      </w:pPr>
    </w:p>
    <w:p>
      <w:pPr>
        <w:ind w:left="1020" w:right="160" w:firstLine="1302"/>
        <w:spacing w:after="0" w:line="260" w:lineRule="auto"/>
        <w:tabs>
          <w:tab w:leader="none" w:pos="274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Reports under this Section 11.2 (Royalty Payments) shall be due within [***] following the close of each Calendar Quarter.</w:t>
      </w:r>
    </w:p>
    <w:p>
      <w:pPr>
        <w:spacing w:after="0" w:line="284" w:lineRule="exact"/>
        <w:rPr>
          <w:rFonts w:ascii="Arial" w:cs="Arial" w:eastAsia="Arial" w:hAnsi="Arial"/>
          <w:sz w:val="20"/>
          <w:szCs w:val="20"/>
          <w:color w:val="auto"/>
        </w:rPr>
      </w:pPr>
    </w:p>
    <w:p>
      <w:pPr>
        <w:ind w:left="1020" w:right="660" w:firstLine="1301"/>
        <w:spacing w:after="0" w:line="236" w:lineRule="auto"/>
        <w:tabs>
          <w:tab w:leader="none" w:pos="273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Royalties shown to have accrued by each report shall, unless otherwise specified under this Agreement, be due and payable [***] after the date such report is due.</w:t>
      </w:r>
    </w:p>
    <w:p>
      <w:pPr>
        <w:spacing w:after="0" w:line="257" w:lineRule="exact"/>
        <w:rPr>
          <w:sz w:val="20"/>
          <w:szCs w:val="20"/>
          <w:color w:val="auto"/>
        </w:rPr>
      </w:pPr>
    </w:p>
    <w:p>
      <w:pPr>
        <w:ind w:left="1020" w:right="100" w:firstLine="648"/>
        <w:spacing w:after="0" w:line="230"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b w:val="1"/>
          <w:bCs w:val="1"/>
          <w:color w:val="auto"/>
        </w:rPr>
        <w:t>Payment Exchange Rate</w:t>
      </w:r>
      <w:r>
        <w:rPr>
          <w:rFonts w:ascii="Arial" w:cs="Arial" w:eastAsia="Arial" w:hAnsi="Arial"/>
          <w:sz w:val="20"/>
          <w:szCs w:val="20"/>
          <w:color w:val="auto"/>
        </w:rPr>
        <w:t>. All payments to be made by Gilead to MacroGenics under this Agreement shall be made in US Dollars by bank wire transfer in immediately available funds to a bank account in the United States designated in writing by MacroGenics. For invoices that Gilead shall forward</w:t>
      </w:r>
    </w:p>
    <w:p>
      <w:pPr>
        <w:sectPr>
          <w:pgSz w:w="11900" w:h="16838" w:orient="portrait"/>
          <w:cols w:equalWidth="0" w:num="1">
            <w:col w:w="10620"/>
          </w:cols>
          <w:pgMar w:left="40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620"/>
          </w:cols>
          <w:pgMar w:left="400" w:top="1440" w:right="879" w:bottom="1440" w:gutter="0" w:footer="0" w:header="0"/>
          <w:type w:val="continuous"/>
        </w:sectPr>
      </w:pPr>
    </w:p>
    <w:bookmarkStart w:id="177" w:name="page178"/>
    <w:bookmarkEnd w:id="177"/>
    <w:p>
      <w:pPr>
        <w:ind w:left="1020" w:right="240"/>
        <w:spacing w:after="0" w:line="236" w:lineRule="auto"/>
        <w:rPr>
          <w:sz w:val="20"/>
          <w:szCs w:val="20"/>
          <w:color w:val="auto"/>
        </w:rPr>
      </w:pPr>
      <w:r>
        <w:rPr>
          <w:rFonts w:ascii="Arial" w:cs="Arial" w:eastAsia="Arial" w:hAnsi="Arial"/>
          <w:sz w:val="20"/>
          <w:szCs w:val="20"/>
          <w:color w:val="auto"/>
        </w:rPr>
        <w:t>to MacroGenics, Gilead shall use an exchange rate as published [***] or such other source as the Parties may agree in writing.</w:t>
      </w:r>
    </w:p>
    <w:p>
      <w:pPr>
        <w:spacing w:after="0" w:line="178" w:lineRule="exact"/>
        <w:rPr>
          <w:sz w:val="20"/>
          <w:szCs w:val="20"/>
          <w:color w:val="auto"/>
        </w:rPr>
      </w:pPr>
    </w:p>
    <w:p>
      <w:pPr>
        <w:ind w:left="1680"/>
        <w:spacing w:after="0"/>
        <w:tabs>
          <w:tab w:leader="none" w:pos="218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 Each Party shall be solely responsible for the payment of all taxes, fees, duties, levies or similar</w:t>
      </w:r>
    </w:p>
    <w:p>
      <w:pPr>
        <w:spacing w:after="0" w:line="6" w:lineRule="exact"/>
        <w:rPr>
          <w:sz w:val="20"/>
          <w:szCs w:val="20"/>
          <w:color w:val="auto"/>
        </w:rPr>
      </w:pPr>
    </w:p>
    <w:p>
      <w:pPr>
        <w:ind w:left="1020" w:right="120"/>
        <w:spacing w:after="0" w:line="226" w:lineRule="auto"/>
        <w:rPr>
          <w:sz w:val="20"/>
          <w:szCs w:val="20"/>
          <w:color w:val="auto"/>
        </w:rPr>
      </w:pPr>
      <w:r>
        <w:rPr>
          <w:rFonts w:ascii="Arial" w:cs="Arial" w:eastAsia="Arial" w:hAnsi="Arial"/>
          <w:sz w:val="18"/>
          <w:szCs w:val="18"/>
          <w:color w:val="auto"/>
        </w:rPr>
        <w:t>amounts imposed on its share of income arising directly or indirectly from the activities of the Parties under this Agreement. Gilead will make all payments to MacroGenics under this Agreement without deduction or withholding for</w:t>
      </w:r>
    </w:p>
    <w:p>
      <w:pPr>
        <w:ind w:left="1020"/>
        <w:spacing w:after="0" w:line="236" w:lineRule="auto"/>
        <w:rPr>
          <w:sz w:val="20"/>
          <w:szCs w:val="20"/>
          <w:color w:val="auto"/>
        </w:rPr>
      </w:pPr>
      <w:r>
        <w:rPr>
          <w:rFonts w:ascii="Arial" w:cs="Arial" w:eastAsia="Arial" w:hAnsi="Arial"/>
          <w:sz w:val="18"/>
          <w:szCs w:val="18"/>
          <w:color w:val="auto"/>
        </w:rPr>
        <w:t>taxes, except to the extent that any such deduction or withholding is required by Applicable Laws and Regulations in</w:t>
      </w:r>
    </w:p>
    <w:p>
      <w:pPr>
        <w:spacing w:after="0" w:line="1" w:lineRule="exact"/>
        <w:rPr>
          <w:sz w:val="20"/>
          <w:szCs w:val="20"/>
          <w:color w:val="auto"/>
        </w:rPr>
      </w:pPr>
    </w:p>
    <w:p>
      <w:pPr>
        <w:ind w:left="1020" w:right="100"/>
        <w:spacing w:after="0" w:line="255" w:lineRule="auto"/>
        <w:rPr>
          <w:sz w:val="20"/>
          <w:szCs w:val="20"/>
          <w:color w:val="auto"/>
        </w:rPr>
      </w:pPr>
      <w:r>
        <w:rPr>
          <w:rFonts w:ascii="Arial" w:cs="Arial" w:eastAsia="Arial" w:hAnsi="Arial"/>
          <w:sz w:val="16"/>
          <w:szCs w:val="16"/>
          <w:color w:val="auto"/>
        </w:rPr>
        <w:t>effect at the time of payment. To the extent that Gilead is required by Applicable Laws and Regulations to deduct and withhold taxes on any payment to MacroGenics, Gilead shall pay the amounts of such taxes to the proper governmental</w:t>
      </w:r>
    </w:p>
    <w:p>
      <w:pPr>
        <w:ind w:left="1020"/>
        <w:spacing w:after="0" w:line="235" w:lineRule="auto"/>
        <w:rPr>
          <w:sz w:val="20"/>
          <w:szCs w:val="20"/>
          <w:color w:val="auto"/>
        </w:rPr>
      </w:pPr>
      <w:r>
        <w:rPr>
          <w:rFonts w:ascii="Arial" w:cs="Arial" w:eastAsia="Arial" w:hAnsi="Arial"/>
          <w:sz w:val="18"/>
          <w:szCs w:val="18"/>
          <w:color w:val="auto"/>
        </w:rPr>
        <w:t>authority in a timely manner and promptly transmit to MacroGenics an official tax certificate or other evidence of such</w:t>
      </w:r>
    </w:p>
    <w:p>
      <w:pPr>
        <w:ind w:left="1020" w:right="60"/>
        <w:spacing w:after="0" w:line="226" w:lineRule="auto"/>
        <w:rPr>
          <w:sz w:val="20"/>
          <w:szCs w:val="20"/>
          <w:color w:val="auto"/>
        </w:rPr>
      </w:pPr>
      <w:r>
        <w:rPr>
          <w:rFonts w:ascii="Arial" w:cs="Arial" w:eastAsia="Arial" w:hAnsi="Arial"/>
          <w:sz w:val="18"/>
          <w:szCs w:val="18"/>
          <w:color w:val="auto"/>
        </w:rPr>
        <w:t>payment sufficient to enable MacroGenics to claim such payment of taxes, and in such case, Gilead’s remittance of such withheld taxes, together with payment to MacroGenics of the remaining payment, will constitute Gilead’s full</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satisfaction of payments due under this Agreement. The Parties agree to cooperate with one another and use reasonable</w:t>
      </w:r>
    </w:p>
    <w:p>
      <w:pPr>
        <w:spacing w:after="0" w:line="19" w:lineRule="exact"/>
        <w:rPr>
          <w:sz w:val="20"/>
          <w:szCs w:val="20"/>
          <w:color w:val="auto"/>
        </w:rPr>
      </w:pPr>
    </w:p>
    <w:p>
      <w:pPr>
        <w:ind w:left="1020" w:right="480"/>
        <w:spacing w:after="0" w:line="226" w:lineRule="auto"/>
        <w:rPr>
          <w:sz w:val="20"/>
          <w:szCs w:val="20"/>
          <w:color w:val="auto"/>
        </w:rPr>
      </w:pPr>
      <w:r>
        <w:rPr>
          <w:rFonts w:ascii="Arial" w:cs="Arial" w:eastAsia="Arial" w:hAnsi="Arial"/>
          <w:sz w:val="18"/>
          <w:szCs w:val="18"/>
          <w:color w:val="auto"/>
        </w:rPr>
        <w:t>efforts to mitigate tax withholding or similar obligations in respect of the payments made under this Agreement, as permitted by Applicable Laws and Regulations. Notwithstanding the foregoing, if Gilead assigns its rights and</w:t>
      </w:r>
    </w:p>
    <w:p>
      <w:pPr>
        <w:ind w:left="1020"/>
        <w:spacing w:after="0" w:line="236" w:lineRule="auto"/>
        <w:rPr>
          <w:sz w:val="20"/>
          <w:szCs w:val="20"/>
          <w:color w:val="auto"/>
        </w:rPr>
      </w:pPr>
      <w:r>
        <w:rPr>
          <w:rFonts w:ascii="Arial" w:cs="Arial" w:eastAsia="Arial" w:hAnsi="Arial"/>
          <w:sz w:val="18"/>
          <w:szCs w:val="18"/>
          <w:color w:val="auto"/>
        </w:rPr>
        <w:t>obligations hereunder to an Affiliate or Third Party in compliance with Section 19.4 (Assignment; Change of Control)</w:t>
      </w:r>
    </w:p>
    <w:p>
      <w:pPr>
        <w:spacing w:after="0" w:line="1" w:lineRule="exact"/>
        <w:rPr>
          <w:sz w:val="20"/>
          <w:szCs w:val="20"/>
          <w:color w:val="auto"/>
        </w:rPr>
      </w:pPr>
    </w:p>
    <w:p>
      <w:pPr>
        <w:ind w:left="1020" w:right="340"/>
        <w:spacing w:after="0" w:line="226" w:lineRule="auto"/>
        <w:rPr>
          <w:sz w:val="20"/>
          <w:szCs w:val="20"/>
          <w:color w:val="auto"/>
        </w:rPr>
      </w:pPr>
      <w:r>
        <w:rPr>
          <w:rFonts w:ascii="Arial" w:cs="Arial" w:eastAsia="Arial" w:hAnsi="Arial"/>
          <w:sz w:val="18"/>
          <w:szCs w:val="18"/>
          <w:color w:val="auto"/>
        </w:rPr>
        <w:t>and if such Affiliate or Third Party shall be required by Applicable Laws and Regulations to withhold any additional taxes from or in respect of any amount payable under this Agreement as a result of such assignment, then any such</w:t>
      </w:r>
    </w:p>
    <w:p>
      <w:pPr>
        <w:ind w:left="1020"/>
        <w:spacing w:after="0" w:line="236" w:lineRule="auto"/>
        <w:rPr>
          <w:sz w:val="20"/>
          <w:szCs w:val="20"/>
          <w:color w:val="auto"/>
        </w:rPr>
      </w:pPr>
      <w:r>
        <w:rPr>
          <w:rFonts w:ascii="Arial" w:cs="Arial" w:eastAsia="Arial" w:hAnsi="Arial"/>
          <w:sz w:val="18"/>
          <w:szCs w:val="18"/>
          <w:color w:val="auto"/>
        </w:rPr>
        <w:t>amount payable under this Agreement shall be increased to take into account the additional taxes withheld as may be</w:t>
      </w:r>
    </w:p>
    <w:p>
      <w:pPr>
        <w:spacing w:after="0" w:line="1" w:lineRule="exact"/>
        <w:rPr>
          <w:sz w:val="20"/>
          <w:szCs w:val="20"/>
          <w:color w:val="auto"/>
        </w:rPr>
      </w:pPr>
    </w:p>
    <w:p>
      <w:pPr>
        <w:ind w:left="1020" w:right="300"/>
        <w:spacing w:after="0" w:line="220" w:lineRule="auto"/>
        <w:rPr>
          <w:sz w:val="20"/>
          <w:szCs w:val="20"/>
          <w:color w:val="auto"/>
        </w:rPr>
      </w:pPr>
      <w:r>
        <w:rPr>
          <w:rFonts w:ascii="Arial" w:cs="Arial" w:eastAsia="Arial" w:hAnsi="Arial"/>
          <w:sz w:val="20"/>
          <w:szCs w:val="20"/>
          <w:color w:val="auto"/>
        </w:rPr>
        <w:t>necessary so that, after making all required withholdings, MacroGenics receives an amount equal to the sum it would have received had no such assignment been made.</w:t>
      </w:r>
    </w:p>
    <w:p>
      <w:pPr>
        <w:spacing w:after="0" w:line="191" w:lineRule="exact"/>
        <w:rPr>
          <w:sz w:val="20"/>
          <w:szCs w:val="20"/>
          <w:color w:val="auto"/>
        </w:rPr>
      </w:pPr>
    </w:p>
    <w:p>
      <w:pPr>
        <w:ind w:left="1680"/>
        <w:spacing w:after="0"/>
        <w:tabs>
          <w:tab w:leader="none" w:pos="21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6"/>
          <w:szCs w:val="16"/>
          <w:b w:val="1"/>
          <w:bCs w:val="1"/>
          <w:color w:val="auto"/>
        </w:rPr>
        <w:t>Records</w:t>
      </w:r>
      <w:r>
        <w:rPr>
          <w:rFonts w:ascii="Arial" w:cs="Arial" w:eastAsia="Arial" w:hAnsi="Arial"/>
          <w:sz w:val="16"/>
          <w:szCs w:val="16"/>
          <w:color w:val="auto"/>
        </w:rPr>
        <w:t>.</w:t>
      </w:r>
    </w:p>
    <w:p>
      <w:pPr>
        <w:spacing w:after="0" w:line="216" w:lineRule="exact"/>
        <w:rPr>
          <w:sz w:val="20"/>
          <w:szCs w:val="20"/>
          <w:color w:val="auto"/>
        </w:rPr>
      </w:pPr>
    </w:p>
    <w:p>
      <w:pPr>
        <w:ind w:left="1020" w:firstLine="1302"/>
        <w:spacing w:after="0" w:line="219" w:lineRule="auto"/>
        <w:tabs>
          <w:tab w:leader="none" w:pos="2733" w:val="left"/>
        </w:tabs>
        <w:numPr>
          <w:ilvl w:val="0"/>
          <w:numId w:val="129"/>
        </w:numPr>
        <w:rPr>
          <w:rFonts w:ascii="Arial" w:cs="Arial" w:eastAsia="Arial" w:hAnsi="Arial"/>
          <w:sz w:val="20"/>
          <w:szCs w:val="20"/>
          <w:color w:val="auto"/>
        </w:rPr>
      </w:pPr>
      <w:r>
        <w:rPr>
          <w:rFonts w:ascii="Arial" w:cs="Arial" w:eastAsia="Arial" w:hAnsi="Arial"/>
          <w:sz w:val="20"/>
          <w:szCs w:val="20"/>
          <w:b w:val="1"/>
          <w:bCs w:val="1"/>
          <w:color w:val="auto"/>
        </w:rPr>
        <w:t>Gilead Financial Records</w:t>
      </w:r>
      <w:r>
        <w:rPr>
          <w:rFonts w:ascii="Arial" w:cs="Arial" w:eastAsia="Arial" w:hAnsi="Arial"/>
          <w:sz w:val="20"/>
          <w:szCs w:val="20"/>
          <w:color w:val="auto"/>
        </w:rPr>
        <w:t>. [***], Gilead shall keep complete and accurate records in sufficient</w:t>
      </w:r>
      <w:r>
        <w:rPr>
          <w:rFonts w:ascii="Arial" w:cs="Arial" w:eastAsia="Arial" w:hAnsi="Arial"/>
          <w:sz w:val="20"/>
          <w:szCs w:val="20"/>
          <w:b w:val="1"/>
          <w:bCs w:val="1"/>
          <w:color w:val="auto"/>
        </w:rPr>
        <w:t xml:space="preserve"> </w:t>
      </w:r>
      <w:r>
        <w:rPr>
          <w:rFonts w:ascii="Arial" w:cs="Arial" w:eastAsia="Arial" w:hAnsi="Arial"/>
          <w:sz w:val="20"/>
          <w:szCs w:val="20"/>
          <w:color w:val="auto"/>
        </w:rPr>
        <w:t>detail (i) to allow MacroGenics to determine the basis for the reimbursement amounts payable to MacroGenics under this Article 11 (Payments; Reports; Records; Audits) and (ii) to ensure that MacroGenics receives the full amount of payments for Commercial Milestone Events under Section 10.3 (Commercial Milestone Payments) and royalties payable to it under Section 10.4 (Royalties on Net Sales).</w:t>
      </w:r>
    </w:p>
    <w:p>
      <w:pPr>
        <w:spacing w:after="0" w:line="192" w:lineRule="exact"/>
        <w:rPr>
          <w:rFonts w:ascii="Arial" w:cs="Arial" w:eastAsia="Arial" w:hAnsi="Arial"/>
          <w:sz w:val="20"/>
          <w:szCs w:val="20"/>
          <w:color w:val="auto"/>
        </w:rPr>
      </w:pPr>
    </w:p>
    <w:p>
      <w:pPr>
        <w:ind w:left="1020" w:right="40" w:firstLine="1301"/>
        <w:spacing w:after="0" w:line="233" w:lineRule="auto"/>
        <w:tabs>
          <w:tab w:leader="none" w:pos="2744" w:val="left"/>
        </w:tabs>
        <w:numPr>
          <w:ilvl w:val="0"/>
          <w:numId w:val="129"/>
        </w:numPr>
        <w:rPr>
          <w:rFonts w:ascii="Arial" w:cs="Arial" w:eastAsia="Arial" w:hAnsi="Arial"/>
          <w:sz w:val="19"/>
          <w:szCs w:val="19"/>
          <w:color w:val="auto"/>
        </w:rPr>
      </w:pPr>
      <w:r>
        <w:rPr>
          <w:rFonts w:ascii="Arial" w:cs="Arial" w:eastAsia="Arial" w:hAnsi="Arial"/>
          <w:sz w:val="19"/>
          <w:szCs w:val="19"/>
          <w:b w:val="1"/>
          <w:bCs w:val="1"/>
          <w:color w:val="auto"/>
        </w:rPr>
        <w:t>MacroGenics Financial Records</w:t>
      </w:r>
      <w:r>
        <w:rPr>
          <w:rFonts w:ascii="Arial" w:cs="Arial" w:eastAsia="Arial" w:hAnsi="Arial"/>
          <w:sz w:val="19"/>
          <w:szCs w:val="19"/>
          <w:color w:val="auto"/>
        </w:rPr>
        <w:t>[***], MacroGenics shall keep complete and accurate records in</w:t>
      </w:r>
      <w:r>
        <w:rPr>
          <w:rFonts w:ascii="Arial" w:cs="Arial" w:eastAsia="Arial" w:hAnsi="Arial"/>
          <w:sz w:val="19"/>
          <w:szCs w:val="19"/>
          <w:b w:val="1"/>
          <w:bCs w:val="1"/>
          <w:color w:val="auto"/>
        </w:rPr>
        <w:t xml:space="preserve"> </w:t>
      </w:r>
      <w:r>
        <w:rPr>
          <w:rFonts w:ascii="Arial" w:cs="Arial" w:eastAsia="Arial" w:hAnsi="Arial"/>
          <w:sz w:val="19"/>
          <w:szCs w:val="19"/>
          <w:color w:val="auto"/>
        </w:rPr>
        <w:t>sufficient detail to allow Gilead to determine the basis for the amounts payable to MacroGenics under (i) Section 11.1 (Development Costs, Plan Costs and Manufacturing Costs), including for the Manufacture of MGD024 and MGD024 Products during the Clinical Supply Term or (ii) the Clinical Supply Agreement.</w:t>
      </w:r>
    </w:p>
    <w:p>
      <w:pPr>
        <w:spacing w:after="0" w:line="191" w:lineRule="exact"/>
        <w:rPr>
          <w:sz w:val="20"/>
          <w:szCs w:val="20"/>
          <w:color w:val="auto"/>
        </w:rPr>
      </w:pPr>
    </w:p>
    <w:p>
      <w:pPr>
        <w:ind w:left="1020" w:right="20" w:firstLine="648"/>
        <w:spacing w:after="0" w:line="24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Audit Rights</w:t>
      </w:r>
      <w:r>
        <w:rPr>
          <w:rFonts w:ascii="Arial" w:cs="Arial" w:eastAsia="Arial" w:hAnsi="Arial"/>
          <w:sz w:val="18"/>
          <w:szCs w:val="18"/>
          <w:color w:val="auto"/>
        </w:rPr>
        <w:t>. Upon the written request of a Party (“</w:t>
      </w:r>
      <w:r>
        <w:rPr>
          <w:rFonts w:ascii="Arial" w:cs="Arial" w:eastAsia="Arial" w:hAnsi="Arial"/>
          <w:sz w:val="18"/>
          <w:szCs w:val="18"/>
          <w:b w:val="1"/>
          <w:bCs w:val="1"/>
          <w:color w:val="auto"/>
        </w:rPr>
        <w:t>Requesting Party</w:t>
      </w:r>
      <w:r>
        <w:rPr>
          <w:rFonts w:ascii="Arial" w:cs="Arial" w:eastAsia="Arial" w:hAnsi="Arial"/>
          <w:sz w:val="18"/>
          <w:szCs w:val="18"/>
          <w:color w:val="auto"/>
        </w:rPr>
        <w:t>”) with reasonable advance notice [***], the other Party shall permit an independent certified public accounting firm of internationally recognized standing</w:t>
      </w:r>
    </w:p>
    <w:p>
      <w:pPr>
        <w:spacing w:after="0" w:line="1" w:lineRule="exact"/>
        <w:rPr>
          <w:sz w:val="20"/>
          <w:szCs w:val="20"/>
          <w:color w:val="auto"/>
        </w:rPr>
      </w:pPr>
    </w:p>
    <w:p>
      <w:pPr>
        <w:ind w:left="1020"/>
        <w:spacing w:after="0" w:line="255" w:lineRule="auto"/>
        <w:rPr>
          <w:sz w:val="20"/>
          <w:szCs w:val="20"/>
          <w:color w:val="auto"/>
        </w:rPr>
      </w:pPr>
      <w:r>
        <w:rPr>
          <w:rFonts w:ascii="Arial" w:cs="Arial" w:eastAsia="Arial" w:hAnsi="Arial"/>
          <w:sz w:val="16"/>
          <w:szCs w:val="16"/>
          <w:color w:val="auto"/>
        </w:rPr>
        <w:t>selected by Requesting Party and reasonably acceptable to the other Party, at its own expense, to have access during normal business hours to such of the records as may be reasonably necessary to verify the relevant records required to be</w:t>
      </w:r>
    </w:p>
    <w:p>
      <w:pPr>
        <w:ind w:left="1020"/>
        <w:spacing w:after="0" w:line="235" w:lineRule="auto"/>
        <w:rPr>
          <w:sz w:val="20"/>
          <w:szCs w:val="20"/>
          <w:color w:val="auto"/>
        </w:rPr>
      </w:pPr>
      <w:r>
        <w:rPr>
          <w:rFonts w:ascii="Arial" w:cs="Arial" w:eastAsia="Arial" w:hAnsi="Arial"/>
          <w:sz w:val="18"/>
          <w:szCs w:val="18"/>
          <w:color w:val="auto"/>
        </w:rPr>
        <w:t>maintained by the other Party pursuant to Section 11.5 (Records) or that the correct amounts were paid by or to the</w:t>
      </w:r>
    </w:p>
    <w:p>
      <w:pPr>
        <w:ind w:left="1020" w:right="20"/>
        <w:spacing w:after="0" w:line="226" w:lineRule="auto"/>
        <w:rPr>
          <w:sz w:val="20"/>
          <w:szCs w:val="20"/>
          <w:color w:val="auto"/>
        </w:rPr>
      </w:pPr>
      <w:r>
        <w:rPr>
          <w:rFonts w:ascii="Arial" w:cs="Arial" w:eastAsia="Arial" w:hAnsi="Arial"/>
          <w:sz w:val="18"/>
          <w:szCs w:val="18"/>
          <w:color w:val="auto"/>
        </w:rPr>
        <w:t>Requesting Party under this Agreement as a result during any Calendar Year [***]. The accounting firm shall disclose to the Requesting Party only whether the reports are correct or incorrect and the specific details concerning any</w:t>
      </w:r>
    </w:p>
    <w:p>
      <w:pPr>
        <w:spacing w:after="0" w:line="2" w:lineRule="exact"/>
        <w:rPr>
          <w:sz w:val="20"/>
          <w:szCs w:val="20"/>
          <w:color w:val="auto"/>
        </w:rPr>
      </w:pPr>
    </w:p>
    <w:p>
      <w:pPr>
        <w:ind w:left="1020" w:right="140"/>
        <w:spacing w:after="0" w:line="255" w:lineRule="auto"/>
        <w:rPr>
          <w:sz w:val="20"/>
          <w:szCs w:val="20"/>
          <w:color w:val="auto"/>
        </w:rPr>
      </w:pPr>
      <w:r>
        <w:rPr>
          <w:rFonts w:ascii="Arial" w:cs="Arial" w:eastAsia="Arial" w:hAnsi="Arial"/>
          <w:sz w:val="16"/>
          <w:szCs w:val="16"/>
          <w:color w:val="auto"/>
        </w:rPr>
        <w:t>discrepancies. No other information shall be provided to Requesting Party in connection with this audit right. [***]. If such accounting firm identifies a discrepancy, the other Party shall pay Requesting Party the amount of the discrepancy</w:t>
      </w:r>
    </w:p>
    <w:p>
      <w:pPr>
        <w:spacing w:after="0" w:line="1" w:lineRule="exact"/>
        <w:rPr>
          <w:sz w:val="20"/>
          <w:szCs w:val="20"/>
          <w:color w:val="auto"/>
        </w:rPr>
      </w:pPr>
    </w:p>
    <w:p>
      <w:pPr>
        <w:ind w:left="1020" w:right="140" w:firstLine="6"/>
        <w:spacing w:after="0" w:line="227" w:lineRule="auto"/>
        <w:tabs>
          <w:tab w:leader="none" w:pos="1498" w:val="left"/>
        </w:tabs>
        <w:numPr>
          <w:ilvl w:val="0"/>
          <w:numId w:val="130"/>
        </w:numPr>
        <w:rPr>
          <w:rFonts w:ascii="Arial" w:cs="Arial" w:eastAsia="Arial" w:hAnsi="Arial"/>
          <w:sz w:val="20"/>
          <w:szCs w:val="20"/>
          <w:color w:val="auto"/>
        </w:rPr>
      </w:pPr>
      <w:r>
        <w:rPr>
          <w:rFonts w:ascii="Arial" w:cs="Arial" w:eastAsia="Arial" w:hAnsi="Arial"/>
          <w:sz w:val="20"/>
          <w:szCs w:val="20"/>
          <w:color w:val="auto"/>
        </w:rPr>
        <w:t>of the date Requesting Party delivers to the other Party such accounting firm’s written report so concluding, or as otherwise agreed upon by the Parties.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600"/>
          </w:cols>
          <w:pgMar w:left="400" w:top="1405" w:right="899" w:bottom="1440" w:gutter="0" w:footer="0" w:header="0"/>
        </w:sectPr>
      </w:pPr>
    </w:p>
    <w:bookmarkStart w:id="178" w:name="page179"/>
    <w:bookmarkEnd w:id="178"/>
    <w:p>
      <w:pPr>
        <w:spacing w:after="0" w:line="189" w:lineRule="exact"/>
        <w:rPr>
          <w:sz w:val="20"/>
          <w:szCs w:val="20"/>
          <w:color w:val="auto"/>
        </w:rPr>
      </w:pPr>
    </w:p>
    <w:p>
      <w:pPr>
        <w:ind w:left="1020" w:right="200" w:firstLine="648"/>
        <w:spacing w:after="0" w:line="24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Confidentiality</w:t>
      </w:r>
      <w:r>
        <w:rPr>
          <w:rFonts w:ascii="Arial" w:cs="Arial" w:eastAsia="Arial" w:hAnsi="Arial"/>
          <w:sz w:val="18"/>
          <w:szCs w:val="18"/>
          <w:color w:val="auto"/>
        </w:rPr>
        <w:t>. Each Party shall treat all information of the other Party subject to review under this Article 11 (Payments; Reports; Records; Audits) in accordance with the confidentiality and non- use provisions of this</w:t>
      </w:r>
    </w:p>
    <w:p>
      <w:pPr>
        <w:spacing w:after="0" w:line="1" w:lineRule="exact"/>
        <w:rPr>
          <w:sz w:val="20"/>
          <w:szCs w:val="20"/>
          <w:color w:val="auto"/>
        </w:rPr>
      </w:pPr>
    </w:p>
    <w:p>
      <w:pPr>
        <w:ind w:left="1020" w:right="260"/>
        <w:spacing w:after="0" w:line="226" w:lineRule="auto"/>
        <w:rPr>
          <w:sz w:val="20"/>
          <w:szCs w:val="20"/>
          <w:color w:val="auto"/>
        </w:rPr>
      </w:pPr>
      <w:r>
        <w:rPr>
          <w:rFonts w:ascii="Arial" w:cs="Arial" w:eastAsia="Arial" w:hAnsi="Arial"/>
          <w:sz w:val="18"/>
          <w:szCs w:val="18"/>
          <w:color w:val="auto"/>
        </w:rPr>
        <w:t>Agreement, and shall cause its accounting firm to enter into an acceptable confidentiality agreement with the audited Party and any applicable Related Parties, obligating it or them to retain all such information in confidence pursuant to</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such confidentiality agreement.</w:t>
      </w:r>
    </w:p>
    <w:p>
      <w:pPr>
        <w:spacing w:after="0" w:line="194" w:lineRule="exact"/>
        <w:rPr>
          <w:sz w:val="20"/>
          <w:szCs w:val="20"/>
          <w:color w:val="auto"/>
        </w:rPr>
      </w:pPr>
    </w:p>
    <w:p>
      <w:pPr>
        <w:ind w:left="1480" w:hanging="455"/>
        <w:spacing w:after="0"/>
        <w:tabs>
          <w:tab w:leader="none" w:pos="1480" w:val="left"/>
        </w:tabs>
        <w:numPr>
          <w:ilvl w:val="0"/>
          <w:numId w:val="131"/>
        </w:numPr>
        <w:rPr>
          <w:rFonts w:ascii="Arial" w:cs="Arial" w:eastAsia="Arial" w:hAnsi="Arial"/>
          <w:sz w:val="20"/>
          <w:szCs w:val="20"/>
          <w:color w:val="auto"/>
        </w:rPr>
      </w:pPr>
      <w:r>
        <w:rPr>
          <w:rFonts w:ascii="Arial" w:cs="Arial" w:eastAsia="Arial" w:hAnsi="Arial"/>
          <w:sz w:val="20"/>
          <w:szCs w:val="20"/>
          <w:b w:val="1"/>
          <w:bCs w:val="1"/>
          <w:color w:val="auto"/>
        </w:rPr>
        <w:t>Confidentiality; Publication</w:t>
      </w: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b w:val="1"/>
          <w:bCs w:val="1"/>
          <w:color w:val="auto"/>
        </w:rPr>
        <w:t>Nondisclosure Obligation</w:t>
      </w:r>
      <w:r>
        <w:rPr>
          <w:rFonts w:ascii="Arial" w:cs="Arial" w:eastAsia="Arial" w:hAnsi="Arial"/>
          <w:sz w:val="16"/>
          <w:szCs w:val="16"/>
          <w:color w:val="auto"/>
        </w:rPr>
        <w:t>.</w:t>
      </w:r>
    </w:p>
    <w:p>
      <w:pPr>
        <w:spacing w:after="0" w:line="216" w:lineRule="exact"/>
        <w:rPr>
          <w:sz w:val="20"/>
          <w:szCs w:val="20"/>
          <w:color w:val="auto"/>
        </w:rPr>
      </w:pPr>
    </w:p>
    <w:p>
      <w:pPr>
        <w:ind w:left="1020" w:firstLine="1301"/>
        <w:spacing w:after="0" w:line="234" w:lineRule="auto"/>
        <w:tabs>
          <w:tab w:leader="none" w:pos="2734"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Definition and Restrictions</w:t>
      </w:r>
      <w:r>
        <w:rPr>
          <w:rFonts w:ascii="Arial" w:cs="Arial" w:eastAsia="Arial" w:hAnsi="Arial"/>
          <w:sz w:val="18"/>
          <w:szCs w:val="18"/>
          <w:color w:val="auto"/>
        </w:rPr>
        <w:t>. All Confidential Information disclosed by one Party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(the “</w:t>
      </w:r>
      <w:r>
        <w:rPr>
          <w:rFonts w:ascii="Arial" w:cs="Arial" w:eastAsia="Arial" w:hAnsi="Arial"/>
          <w:sz w:val="18"/>
          <w:szCs w:val="18"/>
          <w:b w:val="1"/>
          <w:bCs w:val="1"/>
          <w:color w:val="auto"/>
        </w:rPr>
        <w:t>Disclosing Party</w:t>
      </w:r>
      <w:r>
        <w:rPr>
          <w:rFonts w:ascii="Arial" w:cs="Arial" w:eastAsia="Arial" w:hAnsi="Arial"/>
          <w:sz w:val="18"/>
          <w:szCs w:val="18"/>
          <w:color w:val="auto"/>
        </w:rPr>
        <w:t>”) to the other Party or any of its Affiliates (the “</w:t>
      </w:r>
      <w:r>
        <w:rPr>
          <w:rFonts w:ascii="Arial" w:cs="Arial" w:eastAsia="Arial" w:hAnsi="Arial"/>
          <w:sz w:val="18"/>
          <w:szCs w:val="18"/>
          <w:b w:val="1"/>
          <w:bCs w:val="1"/>
          <w:color w:val="auto"/>
        </w:rPr>
        <w:t>Receiving Party</w:t>
      </w:r>
      <w:r>
        <w:rPr>
          <w:rFonts w:ascii="Arial" w:cs="Arial" w:eastAsia="Arial" w:hAnsi="Arial"/>
          <w:sz w:val="18"/>
          <w:szCs w:val="18"/>
          <w:color w:val="auto"/>
        </w:rPr>
        <w:t>”) at any time, including before the Effective Date (to the extent related to the subject matter of this Agreement, including pursuant to the Existing CDA), shall: (1) be maintained in confidence by the Receiving Party, using no less than the efforts that Receiving Party uses to maintain in confidence its own confidential or proprietary information of similar kind and value, but in any case no less than reasonable care, and (2) not be disclosed by the Receiving Party to any Third Party or used by the Receiving Party for any purpose except as set forth herein or in connection with the exercise of such Party’s rights and performance of its obligations under this Agreement without the prior written consent of the Disclosing Party, in each case ((1) and (2)), [***]. In addition, MacroGenics will keep confidential, and will cause its Affiliates and its and their employees, consultants, licensees, Permitted Subcontractors, professional advisors and Affiliates to keep confidential, the Know- How comprising MacroGenics Licensed Technology and Jointly Owned IP, in each case to the extent specifically related to the Licensed Molecules or Licensed Products on confidentiality terms at least as protective as the confidentiality provisions of this Agreement. The following shall not be deemed Confidential Information for purposes of the restrictions set forth in this Section 12.1(a) (Definition and Restrictions):</w:t>
      </w:r>
    </w:p>
    <w:p>
      <w:pPr>
        <w:spacing w:after="0" w:line="218" w:lineRule="exact"/>
        <w:rPr>
          <w:rFonts w:ascii="Arial" w:cs="Arial" w:eastAsia="Arial" w:hAnsi="Arial"/>
          <w:sz w:val="18"/>
          <w:szCs w:val="18"/>
          <w:color w:val="auto"/>
        </w:rPr>
      </w:pPr>
    </w:p>
    <w:p>
      <w:pPr>
        <w:ind w:left="1020" w:right="200" w:firstLine="1949"/>
        <w:spacing w:after="0" w:line="250" w:lineRule="auto"/>
        <w:tabs>
          <w:tab w:leader="none" w:pos="3349" w:val="left"/>
        </w:tabs>
        <w:numPr>
          <w:ilvl w:val="1"/>
          <w:numId w:val="132"/>
        </w:numPr>
        <w:rPr>
          <w:rFonts w:ascii="Arial" w:cs="Arial" w:eastAsia="Arial" w:hAnsi="Arial"/>
          <w:sz w:val="20"/>
          <w:szCs w:val="20"/>
          <w:color w:val="auto"/>
        </w:rPr>
      </w:pPr>
      <w:r>
        <w:rPr>
          <w:rFonts w:ascii="Arial" w:cs="Arial" w:eastAsia="Arial" w:hAnsi="Arial"/>
          <w:sz w:val="20"/>
          <w:szCs w:val="20"/>
          <w:color w:val="auto"/>
        </w:rPr>
        <w:t>information that is known by the Receiving Party at the time of its receipt without any obligation to keep it confidential or restriction on its use, and not through a prior disclosure by the Disclosing Party, as documented by the Receiving Party’s written records;</w:t>
      </w:r>
    </w:p>
    <w:p>
      <w:pPr>
        <w:spacing w:after="0" w:line="212" w:lineRule="exact"/>
        <w:rPr>
          <w:rFonts w:ascii="Arial" w:cs="Arial" w:eastAsia="Arial" w:hAnsi="Arial"/>
          <w:sz w:val="20"/>
          <w:szCs w:val="20"/>
          <w:color w:val="auto"/>
        </w:rPr>
      </w:pPr>
    </w:p>
    <w:p>
      <w:pPr>
        <w:ind w:left="1020" w:right="140" w:firstLine="1949"/>
        <w:spacing w:after="0" w:line="229" w:lineRule="auto"/>
        <w:tabs>
          <w:tab w:leader="none" w:pos="3404" w:val="left"/>
        </w:tabs>
        <w:numPr>
          <w:ilvl w:val="1"/>
          <w:numId w:val="132"/>
        </w:numPr>
        <w:rPr>
          <w:rFonts w:ascii="Arial" w:cs="Arial" w:eastAsia="Arial" w:hAnsi="Arial"/>
          <w:sz w:val="20"/>
          <w:szCs w:val="20"/>
          <w:color w:val="auto"/>
        </w:rPr>
      </w:pPr>
      <w:r>
        <w:rPr>
          <w:rFonts w:ascii="Arial" w:cs="Arial" w:eastAsia="Arial" w:hAnsi="Arial"/>
          <w:sz w:val="20"/>
          <w:szCs w:val="20"/>
          <w:color w:val="auto"/>
        </w:rPr>
        <w:t>information that is or becomes part of the public domain through no wrongful act or fault on the part of the Receiving Party;</w:t>
      </w:r>
    </w:p>
    <w:p>
      <w:pPr>
        <w:spacing w:after="0" w:line="209" w:lineRule="exact"/>
        <w:rPr>
          <w:rFonts w:ascii="Arial" w:cs="Arial" w:eastAsia="Arial" w:hAnsi="Arial"/>
          <w:sz w:val="20"/>
          <w:szCs w:val="20"/>
          <w:color w:val="auto"/>
        </w:rPr>
      </w:pPr>
    </w:p>
    <w:p>
      <w:pPr>
        <w:ind w:left="1020" w:right="260" w:firstLine="1949"/>
        <w:spacing w:after="0" w:line="250" w:lineRule="auto"/>
        <w:tabs>
          <w:tab w:leader="none" w:pos="3457" w:val="left"/>
        </w:tabs>
        <w:numPr>
          <w:ilvl w:val="1"/>
          <w:numId w:val="132"/>
        </w:numPr>
        <w:rPr>
          <w:rFonts w:ascii="Arial" w:cs="Arial" w:eastAsia="Arial" w:hAnsi="Arial"/>
          <w:sz w:val="20"/>
          <w:szCs w:val="20"/>
          <w:color w:val="auto"/>
        </w:rPr>
      </w:pPr>
      <w:r>
        <w:rPr>
          <w:rFonts w:ascii="Arial" w:cs="Arial" w:eastAsia="Arial" w:hAnsi="Arial"/>
          <w:sz w:val="20"/>
          <w:szCs w:val="20"/>
          <w:color w:val="auto"/>
        </w:rPr>
        <w:t>information that is subsequently disclosed to the Receiving Party by a Third Party who may lawfully do so and is not under an obligation of confidentiality or any restriction on use with respect to such information; and</w:t>
      </w:r>
    </w:p>
    <w:p>
      <w:pPr>
        <w:spacing w:after="0" w:line="212" w:lineRule="exact"/>
        <w:rPr>
          <w:rFonts w:ascii="Arial" w:cs="Arial" w:eastAsia="Arial" w:hAnsi="Arial"/>
          <w:sz w:val="20"/>
          <w:szCs w:val="20"/>
          <w:color w:val="auto"/>
        </w:rPr>
      </w:pPr>
    </w:p>
    <w:p>
      <w:pPr>
        <w:ind w:left="1020" w:right="540" w:firstLine="1949"/>
        <w:spacing w:after="0" w:line="332" w:lineRule="auto"/>
        <w:tabs>
          <w:tab w:leader="none" w:pos="344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information that is developed by the Receiving Party independently of Confidential Information received from the Disclosing Party, as documented by the Receiving Party’s written records.</w:t>
      </w:r>
    </w:p>
    <w:p>
      <w:pPr>
        <w:spacing w:after="0" w:line="123" w:lineRule="exact"/>
        <w:rPr>
          <w:rFonts w:ascii="Arial" w:cs="Arial" w:eastAsia="Arial" w:hAnsi="Arial"/>
          <w:sz w:val="18"/>
          <w:szCs w:val="18"/>
          <w:color w:val="auto"/>
        </w:rPr>
      </w:pPr>
    </w:p>
    <w:p>
      <w:pPr>
        <w:ind w:left="1020" w:firstLine="1301"/>
        <w:spacing w:after="0" w:line="248" w:lineRule="auto"/>
        <w:tabs>
          <w:tab w:leader="none" w:pos="2744"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Combinations</w:t>
      </w:r>
      <w:r>
        <w:rPr>
          <w:rFonts w:ascii="Arial" w:cs="Arial" w:eastAsia="Arial" w:hAnsi="Arial"/>
          <w:sz w:val="18"/>
          <w:szCs w:val="18"/>
          <w:color w:val="auto"/>
        </w:rPr>
        <w:t>. Any combination of features or disclosures shall not be deemed to fall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exclusions set forth in Section 12.1(a) (Definition and Restrictions)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600"/>
          </w:cols>
          <w:pgMar w:left="400" w:top="1440" w:right="899" w:bottom="1440" w:gutter="0" w:footer="0" w:header="0"/>
        </w:sectPr>
      </w:pPr>
    </w:p>
    <w:bookmarkStart w:id="179" w:name="page180"/>
    <w:bookmarkEnd w:id="179"/>
    <w:p>
      <w:pPr>
        <w:spacing w:after="0" w:line="203" w:lineRule="exact"/>
        <w:rPr>
          <w:sz w:val="20"/>
          <w:szCs w:val="20"/>
          <w:color w:val="auto"/>
        </w:rPr>
      </w:pPr>
    </w:p>
    <w:p>
      <w:pPr>
        <w:ind w:left="1020" w:right="120" w:firstLine="1301"/>
        <w:spacing w:after="0" w:line="260" w:lineRule="auto"/>
        <w:tabs>
          <w:tab w:leader="none" w:pos="2732" w:val="left"/>
        </w:tabs>
        <w:numPr>
          <w:ilvl w:val="0"/>
          <w:numId w:val="133"/>
        </w:numPr>
        <w:rPr>
          <w:rFonts w:ascii="Arial" w:cs="Arial" w:eastAsia="Arial" w:hAnsi="Arial"/>
          <w:sz w:val="20"/>
          <w:szCs w:val="20"/>
          <w:color w:val="auto"/>
        </w:rPr>
      </w:pPr>
      <w:r>
        <w:rPr>
          <w:rFonts w:ascii="Arial" w:cs="Arial" w:eastAsia="Arial" w:hAnsi="Arial"/>
          <w:sz w:val="20"/>
          <w:szCs w:val="20"/>
          <w:b w:val="1"/>
          <w:bCs w:val="1"/>
          <w:color w:val="auto"/>
        </w:rPr>
        <w:t>Permitted Disclosures</w:t>
      </w:r>
      <w:r>
        <w:rPr>
          <w:rFonts w:ascii="Arial" w:cs="Arial" w:eastAsia="Arial" w:hAnsi="Arial"/>
          <w:sz w:val="20"/>
          <w:szCs w:val="20"/>
          <w:color w:val="auto"/>
        </w:rPr>
        <w:t>. Notwithstanding the restrictions set forth in Section 12.1(a) (Definition</w:t>
      </w:r>
      <w:r>
        <w:rPr>
          <w:rFonts w:ascii="Arial" w:cs="Arial" w:eastAsia="Arial" w:hAnsi="Arial"/>
          <w:sz w:val="20"/>
          <w:szCs w:val="20"/>
          <w:b w:val="1"/>
          <w:bCs w:val="1"/>
          <w:color w:val="auto"/>
        </w:rPr>
        <w:t xml:space="preserve"> </w:t>
      </w:r>
      <w:r>
        <w:rPr>
          <w:rFonts w:ascii="Arial" w:cs="Arial" w:eastAsia="Arial" w:hAnsi="Arial"/>
          <w:sz w:val="20"/>
          <w:szCs w:val="20"/>
          <w:color w:val="auto"/>
        </w:rPr>
        <w:t>and Restrictions), the Receiving Party may disclose Confidential Information of the other Party (including the existence and terms of this Agreement):</w:t>
      </w:r>
    </w:p>
    <w:p>
      <w:pPr>
        <w:spacing w:after="0" w:line="190" w:lineRule="exact"/>
        <w:rPr>
          <w:rFonts w:ascii="Arial" w:cs="Arial" w:eastAsia="Arial" w:hAnsi="Arial"/>
          <w:sz w:val="20"/>
          <w:szCs w:val="20"/>
          <w:color w:val="auto"/>
        </w:rPr>
      </w:pPr>
    </w:p>
    <w:p>
      <w:pPr>
        <w:ind w:left="1020" w:right="20" w:firstLine="1949"/>
        <w:spacing w:after="0" w:line="238" w:lineRule="auto"/>
        <w:tabs>
          <w:tab w:leader="none" w:pos="334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to any Governmental Entity in order to obtain Patents or to gain or maintain approval to conduct Clinical Trials or to market Licensed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disclosure is only to the extent reasonably necessary to obtain such Patents or authorizations and reasonable steps are taken to ensure confidential treatment of such Confidential Information to the extent available, and for any such disclosure that may be subject to a public disclosure law or regulation, such as the Freedom of Information Act (FOIA) or EU Clinical Trial Regulation, Gilead shall have the obligations as the publishing Party and MacroGenics shall have the rights as the reviewing Party according to the procedure set forth under Section 12.2 (Publication) for review of such disclosure; or</w:t>
      </w:r>
    </w:p>
    <w:p>
      <w:pPr>
        <w:spacing w:after="0" w:line="196" w:lineRule="exact"/>
        <w:rPr>
          <w:rFonts w:ascii="Arial" w:cs="Arial" w:eastAsia="Arial" w:hAnsi="Arial"/>
          <w:sz w:val="18"/>
          <w:szCs w:val="18"/>
          <w:color w:val="auto"/>
        </w:rPr>
      </w:pPr>
    </w:p>
    <w:p>
      <w:pPr>
        <w:ind w:left="1020" w:right="220" w:firstLine="1949"/>
        <w:spacing w:after="0" w:line="218" w:lineRule="auto"/>
        <w:tabs>
          <w:tab w:leader="none" w:pos="3404" w:val="left"/>
        </w:tabs>
        <w:numPr>
          <w:ilvl w:val="1"/>
          <w:numId w:val="133"/>
        </w:numPr>
        <w:rPr>
          <w:rFonts w:ascii="Arial" w:cs="Arial" w:eastAsia="Arial" w:hAnsi="Arial"/>
          <w:sz w:val="20"/>
          <w:szCs w:val="20"/>
          <w:color w:val="auto"/>
        </w:rPr>
      </w:pPr>
      <w:r>
        <w:rPr>
          <w:rFonts w:ascii="Arial" w:cs="Arial" w:eastAsia="Arial" w:hAnsi="Arial"/>
          <w:sz w:val="20"/>
          <w:szCs w:val="20"/>
          <w:color w:val="auto"/>
        </w:rPr>
        <w:t>subject to Section 12.1(d) (Securities Filings; Disclosures under Applicable Law), to the extent required in the reasonable opinion of such Party’s legal counsel, in connection with complying with Applicable Laws and Regulations (including the rules and regulations promulgated by the United States Securities and Exchange Commission or any other national securities exchange in any jurisdiction in the Territory (each, a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w:t>
      </w:r>
      <w:r>
        <w:rPr>
          <w:rFonts w:ascii="Arial" w:cs="Arial" w:eastAsia="Arial" w:hAnsi="Arial"/>
          <w:sz w:val="20"/>
          <w:szCs w:val="20"/>
          <w:b w:val="1"/>
          <w:bCs w:val="1"/>
          <w:color w:val="auto"/>
        </w:rPr>
        <w:t>Regulator</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left="1020" w:right="20" w:firstLine="1949"/>
        <w:spacing w:after="0" w:line="221" w:lineRule="auto"/>
        <w:tabs>
          <w:tab w:leader="none" w:pos="3459"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to the extent the Receiving Party deems such disclosure necessary to be disclosed (1) to its Related Parties, or its or their respective employees, agents, representatives, consultants and Permitted Subcontractors (“</w:t>
      </w:r>
      <w:r>
        <w:rPr>
          <w:rFonts w:ascii="Arial" w:cs="Arial" w:eastAsia="Arial" w:hAnsi="Arial"/>
          <w:sz w:val="19"/>
          <w:szCs w:val="19"/>
          <w:b w:val="1"/>
          <w:bCs w:val="1"/>
          <w:color w:val="auto"/>
        </w:rPr>
        <w:t>Representatives</w:t>
      </w:r>
      <w:r>
        <w:rPr>
          <w:rFonts w:ascii="Arial" w:cs="Arial" w:eastAsia="Arial" w:hAnsi="Arial"/>
          <w:sz w:val="19"/>
          <w:szCs w:val="19"/>
          <w:color w:val="auto"/>
        </w:rPr>
        <w:t xml:space="preserve">”) on a need-to-know basis for the Development, Manufacture or Commercialization of Licensed Molecules and Licensed Products, (2) its attorneys, accountants and advisors, (3) in connection with a prospective or actual licensing transaction or other business agreement or contractual obligation related to Licensed Molecules and Licensed Products, (4) to existing or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prospective acquirers, merger partners, lenders or investors of the Receiving Party in connection with transactions or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prospective transactions with the foregoing, including loans, financings or investments, acquisitions, mergers, consolidations, sale of assets or similar transactions (or for such entities to determine their interest in performing such activities or to determine their rights and obligations as a result of completing such transactions) or (5) in order to perform its obligations or exercise its rights under this Agreement, in each case on the condition that any Third Parties, other than Regulatory Authorities, to whom such disclosures are made agree to be bound by confidentiality and non-use obligations substantially similar to those contained in this Agreement; [***].</w:t>
      </w:r>
    </w:p>
    <w:p>
      <w:pPr>
        <w:spacing w:after="0" w:line="300" w:lineRule="exact"/>
        <w:rPr>
          <w:rFonts w:ascii="Arial" w:cs="Arial" w:eastAsia="Arial" w:hAnsi="Arial"/>
          <w:sz w:val="19"/>
          <w:szCs w:val="19"/>
          <w:color w:val="auto"/>
        </w:rPr>
      </w:pPr>
    </w:p>
    <w:p>
      <w:pPr>
        <w:ind w:left="1020" w:firstLine="1949"/>
        <w:spacing w:after="0" w:line="223" w:lineRule="auto"/>
        <w:tabs>
          <w:tab w:leader="none" w:pos="3448" w:val="left"/>
        </w:tabs>
        <w:numPr>
          <w:ilvl w:val="1"/>
          <w:numId w:val="133"/>
        </w:numPr>
        <w:rPr>
          <w:rFonts w:ascii="Arial" w:cs="Arial" w:eastAsia="Arial" w:hAnsi="Arial"/>
          <w:sz w:val="19"/>
          <w:szCs w:val="19"/>
          <w:color w:val="auto"/>
        </w:rPr>
      </w:pPr>
      <w:r>
        <w:rPr>
          <w:rFonts w:ascii="Arial" w:cs="Arial" w:eastAsia="Arial" w:hAnsi="Arial"/>
          <w:sz w:val="19"/>
          <w:szCs w:val="19"/>
          <w:color w:val="auto"/>
        </w:rPr>
        <w:t>if a Party is required by judicial or administrative process to disclose Confidential Information of the other Party that is subject to the non-disclosure provisions of this Section 12.1 (Nondisclosure Obligation), in which case, such Party shall promptly inform the other Party of the disclosure that is being sought in order to provide the other Party an opportunity to challenge or limit the disclosure obligations. Confidential Information that is disclosed by judicial or administrative process shall remain otherwise subject to the confidentiality and non-use provisions of this Section 12.1 (Nondisclosure Obligation), and the Party disclosing Confidential Information pursuant to law or court order shall take all steps reasonably necessary, including obtaining an order of confidentiality, to ensure the continued confidential treatment of such Confidential Information, including, by using not less than the same level of efforts to secure such confidential treatment of such information as it would to protect its own Confidential Information of like nature from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620"/>
          </w:cols>
          <w:pgMar w:left="400" w:top="1440" w:right="879" w:bottom="1440" w:gutter="0" w:footer="0" w:header="0"/>
        </w:sectPr>
      </w:pPr>
    </w:p>
    <w:bookmarkStart w:id="180" w:name="page181"/>
    <w:bookmarkEnd w:id="180"/>
    <w:p>
      <w:pPr>
        <w:spacing w:after="0" w:line="189" w:lineRule="exact"/>
        <w:rPr>
          <w:sz w:val="20"/>
          <w:szCs w:val="20"/>
          <w:color w:val="auto"/>
        </w:rPr>
      </w:pPr>
    </w:p>
    <w:p>
      <w:pPr>
        <w:ind w:left="1020" w:firstLine="1301"/>
        <w:spacing w:after="0" w:line="233" w:lineRule="auto"/>
        <w:tabs>
          <w:tab w:leader="none" w:pos="2743"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Securities Filings; Disclosure under Applicable Law</w:t>
      </w:r>
      <w:r>
        <w:rPr>
          <w:rFonts w:ascii="Arial" w:cs="Arial" w:eastAsia="Arial" w:hAnsi="Arial"/>
          <w:sz w:val="18"/>
          <w:szCs w:val="18"/>
          <w:color w:val="auto"/>
        </w:rPr>
        <w:t>. Each Party acknowledges and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may submit this Agreement to, or file this Agreement with, the Securities Regulators or to other Persons as may be required by Applicable Law and Regulations, and if a Party submits this Agreement to, or files this Agreement with, any Securities Regulator or other Person as may be required by Applicable Law and Regulations, such Party agrees to consult with the other Party with respect to the preparation and submission of a confidential treatment request for this Agreement. Notwithstanding the foregoing, if a Party is required by any Securities Regulator or other Person as may be required by Applicable Law and Regulations to make a disclosure of the terms of this Agreement in a filing or other submission as required by such Securities Regulator or such other Person, and such Party has: (i) provided copies of the disclosure to the other Party reasonably in advance under the circumstances of such filing or other disclosure; (ii) promptly notified the other Party in writing of such requirement and any respective timing constraints; and (iii) given the other Party reasonable time under the circumstances from the date of provision of copies of such disclosure to comment upon and request confidential treatment for such disclosure, then such Party will have the right to make such disclosure at the time and in the manner reasonably determined by its counsel to be required by the Securities Regulator or the other Person. Notwithstanding the foregoing, if a Party seeks to make a disclosure as required by a Securities Regulator or other Person as may be required by Applicable Law and Regulations as set forth in this Section 12.1(d) (Securities Filings; Disclosure under Applicable Law) and the other Party provides comments in accordance with this Section 12.1(d) (Securities Filings; Disclosure under Applicable Law), the Party seeking to make such disclosure or its counsel, as the case may be, will use good faith efforts to incorporate such comments.</w:t>
      </w:r>
    </w:p>
    <w:p>
      <w:pPr>
        <w:spacing w:after="0" w:line="203" w:lineRule="exact"/>
        <w:rPr>
          <w:rFonts w:ascii="Arial" w:cs="Arial" w:eastAsia="Arial" w:hAnsi="Arial"/>
          <w:sz w:val="18"/>
          <w:szCs w:val="18"/>
          <w:color w:val="auto"/>
        </w:rPr>
      </w:pPr>
    </w:p>
    <w:p>
      <w:pPr>
        <w:ind w:left="1020" w:firstLine="1301"/>
        <w:spacing w:after="0" w:line="232" w:lineRule="auto"/>
        <w:tabs>
          <w:tab w:leader="none" w:pos="2734"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Obligations Upon Termination</w:t>
      </w:r>
      <w:r>
        <w:rPr>
          <w:rFonts w:ascii="Arial" w:cs="Arial" w:eastAsia="Arial" w:hAnsi="Arial"/>
          <w:sz w:val="18"/>
          <w:szCs w:val="18"/>
          <w:color w:val="auto"/>
        </w:rPr>
        <w:t>. Upon the earlier of termination or expiration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in the case of Confidential Information received pursuant to an Upstream License Agreement, upon the expiration or earlier termination of such agreement), except to the extent prohibited by Applicable Laws and Regulations, the Receiving Party shall, and shall promptly require all of its Representatives, to securely return to the Disclosing Party or securely dispose of all Confidential Information of the Disclosing Party (at the Disclosing Party’s election), whether such Confidential Information is in written, electronic or other form of media. If the Receiving Party is not reasonably able to return or securely dispose of the Disclosing Party’s Confidential Information, including, such Confidential Information stored on backup media, then the Receiving Party will continue to protect such Confidential Information in accordance with the terms of this Agreement until such time that it can reasonably return or securely dispose of such Confidential Information. Notwithstanding the foregoing, the Receiving Party may retain: (i) Confidential Information of the Disclosing Party to exercise rights and licenses which expressly survive such termination or expiration pursuant to this Agreement and (ii) solely for the purpose of determining the scope of its obligations under this Agreement, one (1) copy of Confidential Information received hereunder,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a Receiving Party shall not be required to destroy electronic files containing such Confidential Information of the Disclosing Party that are made in the ordinary course of its business information back-up procedures pursuant to its electronic record retention and destruction practices that apply to its own general electronic files and information, and any such retained copies shall continue to be subject to the confidentiality and non-use obligations in accordance with this Agreement.</w:t>
      </w:r>
    </w:p>
    <w:p>
      <w:pPr>
        <w:spacing w:after="0" w:line="216" w:lineRule="exact"/>
        <w:rPr>
          <w:rFonts w:ascii="Arial" w:cs="Arial" w:eastAsia="Arial" w:hAnsi="Arial"/>
          <w:sz w:val="18"/>
          <w:szCs w:val="18"/>
          <w:color w:val="auto"/>
        </w:rPr>
      </w:pPr>
    </w:p>
    <w:p>
      <w:pPr>
        <w:ind w:left="1020" w:right="400" w:firstLine="1301"/>
        <w:spacing w:after="0" w:line="232" w:lineRule="auto"/>
        <w:tabs>
          <w:tab w:leader="none" w:pos="2712" w:val="left"/>
        </w:tabs>
        <w:numPr>
          <w:ilvl w:val="0"/>
          <w:numId w:val="134"/>
        </w:numPr>
        <w:rPr>
          <w:rFonts w:ascii="Arial" w:cs="Arial" w:eastAsia="Arial" w:hAnsi="Arial"/>
          <w:sz w:val="20"/>
          <w:szCs w:val="20"/>
          <w:color w:val="auto"/>
        </w:rPr>
      </w:pPr>
      <w:r>
        <w:rPr>
          <w:rFonts w:ascii="Arial" w:cs="Arial" w:eastAsia="Arial" w:hAnsi="Arial"/>
          <w:sz w:val="20"/>
          <w:szCs w:val="20"/>
          <w:b w:val="1"/>
          <w:bCs w:val="1"/>
          <w:color w:val="auto"/>
        </w:rPr>
        <w:t>Third Party Confidential Information</w:t>
      </w:r>
      <w:r>
        <w:rPr>
          <w:rFonts w:ascii="Arial" w:cs="Arial" w:eastAsia="Arial" w:hAnsi="Arial"/>
          <w:sz w:val="20"/>
          <w:szCs w:val="20"/>
          <w:color w:val="auto"/>
        </w:rPr>
        <w:t>. Notwithstanding any provision to the contrary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with respect to Confidential Information that [***].</w:t>
      </w:r>
    </w:p>
    <w:p>
      <w:pPr>
        <w:spacing w:after="0" w:line="271"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b w:val="1"/>
          <w:bCs w:val="1"/>
          <w:color w:val="auto"/>
        </w:rPr>
        <w:t>Publication</w:t>
      </w:r>
      <w:r>
        <w:rPr>
          <w:rFonts w:ascii="Arial" w:cs="Arial" w:eastAsia="Arial" w:hAnsi="Arial"/>
          <w:sz w:val="16"/>
          <w:szCs w:val="16"/>
          <w:color w:val="auto"/>
        </w:rPr>
        <w:t>.</w:t>
      </w:r>
    </w:p>
    <w:p>
      <w:pPr>
        <w:spacing w:after="0" w:line="216" w:lineRule="exact"/>
        <w:rPr>
          <w:sz w:val="20"/>
          <w:szCs w:val="20"/>
          <w:color w:val="auto"/>
        </w:rPr>
      </w:pPr>
    </w:p>
    <w:p>
      <w:pPr>
        <w:ind w:left="1020" w:right="40" w:firstLine="1301"/>
        <w:spacing w:after="0" w:line="233" w:lineRule="auto"/>
        <w:tabs>
          <w:tab w:leader="none" w:pos="2734" w:val="left"/>
        </w:tabs>
        <w:numPr>
          <w:ilvl w:val="1"/>
          <w:numId w:val="135"/>
        </w:numPr>
        <w:rPr>
          <w:rFonts w:ascii="Arial" w:cs="Arial" w:eastAsia="Arial" w:hAnsi="Arial"/>
          <w:sz w:val="18"/>
          <w:szCs w:val="18"/>
          <w:color w:val="auto"/>
        </w:rPr>
      </w:pPr>
      <w:r>
        <w:rPr>
          <w:rFonts w:ascii="Arial" w:cs="Arial" w:eastAsia="Arial" w:hAnsi="Arial"/>
          <w:sz w:val="18"/>
          <w:szCs w:val="18"/>
          <w:b w:val="1"/>
          <w:bCs w:val="1"/>
          <w:color w:val="auto"/>
        </w:rPr>
        <w:t>Publication of Results During the Collaboration Period</w:t>
      </w:r>
      <w:r>
        <w:rPr>
          <w:rFonts w:ascii="Arial" w:cs="Arial" w:eastAsia="Arial" w:hAnsi="Arial"/>
          <w:sz w:val="18"/>
          <w:szCs w:val="18"/>
          <w:color w:val="auto"/>
        </w:rPr>
        <w:t>. Except for disclosures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12.1 (Nondisclosure Obligation), on a Program-by-Program basis, during the Collaboration Term for a Program, if a Party and its employees wish to publish, publicly present or otherwise publicly disclose any paper, publication, oral presentation, abstract, poster, manuscript or other presentation relating to any activity or other matter under this Agreement, then the publishing Party will provide the other Party with, (i) a copy of any proposed written publication at least [***] for an abstract) prior to submission for publication; and (ii) a copy of the graphics and written outline of material to be presented for the proposed oral disclosure (to the extent not included in the graphics) at least</w:t>
      </w:r>
    </w:p>
    <w:p>
      <w:pPr>
        <w:spacing w:after="0" w:line="5" w:lineRule="exact"/>
        <w:rPr>
          <w:rFonts w:ascii="Arial" w:cs="Arial" w:eastAsia="Arial" w:hAnsi="Arial"/>
          <w:sz w:val="18"/>
          <w:szCs w:val="18"/>
          <w:color w:val="auto"/>
        </w:rPr>
      </w:pPr>
    </w:p>
    <w:p>
      <w:pPr>
        <w:ind w:left="1500" w:hanging="475"/>
        <w:spacing w:after="0"/>
        <w:tabs>
          <w:tab w:leader="none" w:pos="15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prior to submission.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620"/>
          </w:cols>
          <w:pgMar w:left="400" w:top="1440" w:right="879" w:bottom="1440" w:gutter="0" w:footer="0" w:header="0"/>
        </w:sectPr>
      </w:pPr>
    </w:p>
    <w:bookmarkStart w:id="181" w:name="page182"/>
    <w:bookmarkEnd w:id="181"/>
    <w:p>
      <w:pPr>
        <w:ind w:left="2740" w:hanging="419"/>
        <w:spacing w:after="0"/>
        <w:tabs>
          <w:tab w:leader="none" w:pos="2740" w:val="left"/>
        </w:tabs>
        <w:numPr>
          <w:ilvl w:val="1"/>
          <w:numId w:val="136"/>
        </w:numPr>
        <w:rPr>
          <w:rFonts w:ascii="Arial" w:cs="Arial" w:eastAsia="Arial" w:hAnsi="Arial"/>
          <w:sz w:val="20"/>
          <w:szCs w:val="20"/>
          <w:color w:val="auto"/>
        </w:rPr>
      </w:pPr>
      <w:r>
        <w:rPr>
          <w:rFonts w:ascii="Arial" w:cs="Arial" w:eastAsia="Arial" w:hAnsi="Arial"/>
          <w:sz w:val="20"/>
          <w:szCs w:val="20"/>
          <w:b w:val="1"/>
          <w:bCs w:val="1"/>
          <w:color w:val="auto"/>
        </w:rPr>
        <w:t>Review of Publications and Presentations During the Collaboration Period</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020" w:right="60" w:firstLine="1949"/>
        <w:spacing w:after="0" w:line="265" w:lineRule="auto"/>
        <w:tabs>
          <w:tab w:leader="none" w:pos="3345" w:val="left"/>
        </w:tabs>
        <w:numPr>
          <w:ilvl w:val="2"/>
          <w:numId w:val="136"/>
        </w:numPr>
        <w:rPr>
          <w:rFonts w:ascii="Arial" w:cs="Arial" w:eastAsia="Arial" w:hAnsi="Arial"/>
          <w:sz w:val="16"/>
          <w:szCs w:val="16"/>
          <w:color w:val="auto"/>
        </w:rPr>
      </w:pPr>
      <w:r>
        <w:rPr>
          <w:rFonts w:ascii="Arial" w:cs="Arial" w:eastAsia="Arial" w:hAnsi="Arial"/>
          <w:sz w:val="16"/>
          <w:szCs w:val="16"/>
          <w:color w:val="auto"/>
        </w:rPr>
        <w:t>The reviewing Party shall have the right (1) to propose modifications to the publication or presentation presented for review under Section 12.2(a) (Publication of Results During the Collaboration Period) for patent reasons, trade secret reasons, or for purposes of removing the Confidential Information of the reviewing Party, or</w:t>
      </w:r>
    </w:p>
    <w:p>
      <w:pPr>
        <w:ind w:left="1300" w:hanging="275"/>
        <w:spacing w:after="0" w:line="222" w:lineRule="auto"/>
        <w:tabs>
          <w:tab w:leader="none" w:pos="13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to request a reasonable delay in publication or submission for presentation in order to protect trade secret or</w:t>
      </w:r>
    </w:p>
    <w:p>
      <w:pPr>
        <w:ind w:left="1020"/>
        <w:spacing w:after="0"/>
        <w:rPr>
          <w:sz w:val="20"/>
          <w:szCs w:val="20"/>
          <w:color w:val="auto"/>
        </w:rPr>
      </w:pPr>
      <w:r>
        <w:rPr>
          <w:rFonts w:ascii="Arial" w:cs="Arial" w:eastAsia="Arial" w:hAnsi="Arial"/>
          <w:sz w:val="20"/>
          <w:szCs w:val="20"/>
          <w:color w:val="auto"/>
        </w:rPr>
        <w:t>patentable information.</w:t>
      </w:r>
    </w:p>
    <w:p>
      <w:pPr>
        <w:spacing w:after="0" w:line="200" w:lineRule="exact"/>
        <w:rPr>
          <w:sz w:val="20"/>
          <w:szCs w:val="20"/>
          <w:color w:val="auto"/>
        </w:rPr>
      </w:pPr>
    </w:p>
    <w:p>
      <w:pPr>
        <w:ind w:left="1020" w:right="220" w:firstLine="1949"/>
        <w:spacing w:after="0" w:line="218" w:lineRule="auto"/>
        <w:tabs>
          <w:tab w:leader="none" w:pos="3404" w:val="left"/>
        </w:tabs>
        <w:numPr>
          <w:ilvl w:val="1"/>
          <w:numId w:val="138"/>
        </w:numPr>
        <w:rPr>
          <w:rFonts w:ascii="Arial" w:cs="Arial" w:eastAsia="Arial" w:hAnsi="Arial"/>
          <w:sz w:val="20"/>
          <w:szCs w:val="20"/>
          <w:color w:val="auto"/>
        </w:rPr>
      </w:pPr>
      <w:r>
        <w:rPr>
          <w:rFonts w:ascii="Arial" w:cs="Arial" w:eastAsia="Arial" w:hAnsi="Arial"/>
          <w:sz w:val="20"/>
          <w:szCs w:val="20"/>
          <w:color w:val="auto"/>
        </w:rPr>
        <w:t>If the reviewing Party requests the removal of the reviewing Party’s Confidential Information or a delay, the publishing Party shall remove such Confidential Information and if requested by the reviewing Party delay submission for publication or submission for presentation for a period of [***] to enable patent applications protecting each Party’s rights in such Confidential Information to be filed in accordance with Article 16 (Intellectual Property) below.</w:t>
      </w:r>
    </w:p>
    <w:p>
      <w:pPr>
        <w:spacing w:after="0" w:line="197" w:lineRule="exact"/>
        <w:rPr>
          <w:rFonts w:ascii="Arial" w:cs="Arial" w:eastAsia="Arial" w:hAnsi="Arial"/>
          <w:sz w:val="20"/>
          <w:szCs w:val="20"/>
          <w:color w:val="auto"/>
        </w:rPr>
      </w:pPr>
    </w:p>
    <w:p>
      <w:pPr>
        <w:ind w:left="1020" w:right="180" w:firstLine="1949"/>
        <w:spacing w:after="0" w:line="285" w:lineRule="auto"/>
        <w:tabs>
          <w:tab w:leader="none" w:pos="345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Upon expiration of such [***] and satisfaction of any other conditions requested by the reviewing Party, the publishing Party shall be free to proceed with the publication or submission for presentation.</w:t>
      </w:r>
    </w:p>
    <w:p>
      <w:pPr>
        <w:spacing w:after="0" w:line="156" w:lineRule="exact"/>
        <w:rPr>
          <w:rFonts w:ascii="Arial" w:cs="Arial" w:eastAsia="Arial" w:hAnsi="Arial"/>
          <w:sz w:val="18"/>
          <w:szCs w:val="18"/>
          <w:color w:val="auto"/>
        </w:rPr>
      </w:pPr>
    </w:p>
    <w:p>
      <w:pPr>
        <w:ind w:left="1020" w:right="680" w:firstLine="1949"/>
        <w:spacing w:after="0" w:line="236" w:lineRule="auto"/>
        <w:tabs>
          <w:tab w:leader="none" w:pos="3448" w:val="left"/>
        </w:tabs>
        <w:numPr>
          <w:ilvl w:val="1"/>
          <w:numId w:val="138"/>
        </w:numPr>
        <w:rPr>
          <w:rFonts w:ascii="Arial" w:cs="Arial" w:eastAsia="Arial" w:hAnsi="Arial"/>
          <w:sz w:val="20"/>
          <w:szCs w:val="20"/>
          <w:color w:val="auto"/>
        </w:rPr>
      </w:pPr>
      <w:r>
        <w:rPr>
          <w:rFonts w:ascii="Arial" w:cs="Arial" w:eastAsia="Arial" w:hAnsi="Arial"/>
          <w:sz w:val="20"/>
          <w:szCs w:val="20"/>
          <w:color w:val="auto"/>
        </w:rPr>
        <w:t>Upon request of the Party seeking publication, the reviewing Party shall consider expediting the time frames set forth in this Section 12.2 (Publication).</w:t>
      </w:r>
    </w:p>
    <w:p>
      <w:pPr>
        <w:spacing w:after="0" w:line="195" w:lineRule="exact"/>
        <w:rPr>
          <w:rFonts w:ascii="Arial" w:cs="Arial" w:eastAsia="Arial" w:hAnsi="Arial"/>
          <w:sz w:val="20"/>
          <w:szCs w:val="20"/>
          <w:color w:val="auto"/>
        </w:rPr>
      </w:pPr>
    </w:p>
    <w:p>
      <w:pPr>
        <w:ind w:left="1020" w:right="20" w:firstLine="1949"/>
        <w:spacing w:after="0" w:line="223" w:lineRule="auto"/>
        <w:tabs>
          <w:tab w:leader="none" w:pos="3393" w:val="left"/>
        </w:tabs>
        <w:numPr>
          <w:ilvl w:val="1"/>
          <w:numId w:val="138"/>
        </w:numPr>
        <w:rPr>
          <w:rFonts w:ascii="Arial" w:cs="Arial" w:eastAsia="Arial" w:hAnsi="Arial"/>
          <w:sz w:val="20"/>
          <w:szCs w:val="20"/>
          <w:color w:val="auto"/>
        </w:rPr>
      </w:pPr>
      <w:r>
        <w:rPr>
          <w:rFonts w:ascii="Arial" w:cs="Arial" w:eastAsia="Arial" w:hAnsi="Arial"/>
          <w:sz w:val="20"/>
          <w:szCs w:val="20"/>
          <w:color w:val="auto"/>
        </w:rPr>
        <w:t>If the reviewing Party requests modifications to the publication or submission for presentation, the publishing Party shall edit such publication to prevent disclosure of the Confidential Information of the reviewing Party.</w:t>
      </w:r>
    </w:p>
    <w:p>
      <w:pPr>
        <w:spacing w:after="0" w:line="189" w:lineRule="exact"/>
        <w:rPr>
          <w:rFonts w:ascii="Arial" w:cs="Arial" w:eastAsia="Arial" w:hAnsi="Arial"/>
          <w:sz w:val="20"/>
          <w:szCs w:val="20"/>
          <w:color w:val="auto"/>
        </w:rPr>
      </w:pPr>
    </w:p>
    <w:p>
      <w:pPr>
        <w:ind w:left="1020" w:firstLine="1301"/>
        <w:spacing w:after="0" w:line="236" w:lineRule="auto"/>
        <w:tabs>
          <w:tab w:leader="none" w:pos="2734"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Publication of Results After the Collaboration Period</w:t>
      </w:r>
      <w:r>
        <w:rPr>
          <w:rFonts w:ascii="Arial" w:cs="Arial" w:eastAsia="Arial" w:hAnsi="Arial"/>
          <w:sz w:val="18"/>
          <w:szCs w:val="18"/>
          <w:color w:val="auto"/>
        </w:rPr>
        <w:t>. On a Program-by- Program basis,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expiration of the Collaboration Term for a Program, (i) any proposed public disclosure (whether written, electronic, oral or otherwise) by MacroGenics or any of its Affiliates related to activities under this Agreement or the Licensed Molecules or the Licensed Products, in each case, for such Program will require the prior written consent of Gilead and (ii) Gilead or any of its Affiliates will have the right, without any required consents from MacroGenics, to publish, publicly present or otherwise publicly disclose any paper, publication, oral presentation, abstract, poster, manuscript or other presentation relating to any activity or other matter under this Agreement related to such Program, including the results of any Clinical Trial for such Program, or other activities under this Agreement for such Program. Gilead will provide MacroGenics with, (i) a copy of any proposed written publication at least [***] days for an abstract) prior to submission for publication; and (ii) a copy of the graphics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560"/>
          </w:cols>
          <w:pgMar w:left="400" w:top="1399" w:right="939" w:bottom="1440" w:gutter="0" w:footer="0" w:header="0"/>
        </w:sectPr>
      </w:pPr>
    </w:p>
    <w:bookmarkStart w:id="182" w:name="page183"/>
    <w:bookmarkEnd w:id="182"/>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written outline of material to be presented for the proposed oral disclosure (to the extent not included in the graphics) at least [***] prior to submission. At MacroGenics’ request, Gilead will remove any Confidential Information of</w:t>
      </w:r>
    </w:p>
    <w:p>
      <w:pPr>
        <w:ind w:left="1020"/>
        <w:spacing w:after="0" w:line="232" w:lineRule="auto"/>
        <w:rPr>
          <w:sz w:val="20"/>
          <w:szCs w:val="20"/>
          <w:color w:val="auto"/>
        </w:rPr>
      </w:pPr>
      <w:r>
        <w:rPr>
          <w:rFonts w:ascii="Arial" w:cs="Arial" w:eastAsia="Arial" w:hAnsi="Arial"/>
          <w:sz w:val="19"/>
          <w:szCs w:val="19"/>
          <w:color w:val="auto"/>
        </w:rPr>
        <w:t>MacroGenics from the proposed publication and reasonably delay submission for publication for a period of [***] in order to enable MacroGenics to seek patent protection of MacroGenics’ patentable information disclosed therein.</w:t>
      </w:r>
    </w:p>
    <w:p>
      <w:pPr>
        <w:spacing w:after="0" w:line="190"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b w:val="1"/>
          <w:bCs w:val="1"/>
          <w:color w:val="auto"/>
        </w:rPr>
        <w:t>Publicity; Use of Names</w:t>
      </w:r>
      <w:r>
        <w:rPr>
          <w:rFonts w:ascii="Arial" w:cs="Arial" w:eastAsia="Arial" w:hAnsi="Arial"/>
          <w:sz w:val="16"/>
          <w:szCs w:val="16"/>
          <w:color w:val="auto"/>
        </w:rPr>
        <w:t>.</w:t>
      </w:r>
    </w:p>
    <w:p>
      <w:pPr>
        <w:spacing w:after="0" w:line="216" w:lineRule="exact"/>
        <w:rPr>
          <w:sz w:val="20"/>
          <w:szCs w:val="20"/>
          <w:color w:val="auto"/>
        </w:rPr>
      </w:pPr>
    </w:p>
    <w:p>
      <w:pPr>
        <w:ind w:left="1020" w:right="20" w:firstLine="1301"/>
        <w:spacing w:after="0" w:line="226" w:lineRule="auto"/>
        <w:tabs>
          <w:tab w:leader="none" w:pos="2734" w:val="left"/>
        </w:tabs>
        <w:numPr>
          <w:ilvl w:val="1"/>
          <w:numId w:val="140"/>
        </w:numPr>
        <w:rPr>
          <w:rFonts w:ascii="Arial" w:cs="Arial" w:eastAsia="Arial" w:hAnsi="Arial"/>
          <w:sz w:val="19"/>
          <w:szCs w:val="19"/>
          <w:color w:val="auto"/>
        </w:rPr>
      </w:pPr>
      <w:r>
        <w:rPr>
          <w:rFonts w:ascii="Arial" w:cs="Arial" w:eastAsia="Arial" w:hAnsi="Arial"/>
          <w:sz w:val="19"/>
          <w:szCs w:val="19"/>
          <w:b w:val="1"/>
          <w:bCs w:val="1"/>
          <w:color w:val="auto"/>
        </w:rPr>
        <w:t>Press Releases</w:t>
      </w:r>
      <w:r>
        <w:rPr>
          <w:rFonts w:ascii="Arial" w:cs="Arial" w:eastAsia="Arial" w:hAnsi="Arial"/>
          <w:sz w:val="19"/>
          <w:szCs w:val="19"/>
          <w:color w:val="auto"/>
        </w:rPr>
        <w:t>. On such date and time as may be agreed by the Parties after the Effective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Parties shall issue a joint press release announcing the execution of this Agreement in the form attached hereto as </w:t>
      </w:r>
      <w:r>
        <w:rPr>
          <w:rFonts w:ascii="Arial" w:cs="Arial" w:eastAsia="Arial" w:hAnsi="Arial"/>
          <w:sz w:val="19"/>
          <w:szCs w:val="19"/>
          <w:b w:val="1"/>
          <w:bCs w:val="1"/>
          <w:color w:val="auto"/>
        </w:rPr>
        <w:t xml:space="preserve">Schedule 12.3(a) </w:t>
      </w:r>
      <w:r>
        <w:rPr>
          <w:rFonts w:ascii="Arial" w:cs="Arial" w:eastAsia="Arial" w:hAnsi="Arial"/>
          <w:sz w:val="19"/>
          <w:szCs w:val="19"/>
          <w:color w:val="auto"/>
        </w:rPr>
        <w:t>(Press Release). A Party may issue any subsequent press release relating to this Agreement or</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conducted hereunder [***] of the preceding sentence, the Disclosing Party shall provide the other Party a copy of such proposed disclosures at least [***] prior to the proposed release and consider in good faith any comments the other Party may make, where practicable, and in light of any reporting obligations of such Disclosing Party under Applicable Laws and Regulations, including the rules and regulations promulgated by the United States Securities and Exchange Commission or any other governmental agency.</w:t>
      </w:r>
    </w:p>
    <w:p>
      <w:pPr>
        <w:spacing w:after="0" w:line="203" w:lineRule="exact"/>
        <w:rPr>
          <w:rFonts w:ascii="Arial" w:cs="Arial" w:eastAsia="Arial" w:hAnsi="Arial"/>
          <w:sz w:val="19"/>
          <w:szCs w:val="19"/>
          <w:color w:val="auto"/>
        </w:rPr>
      </w:pPr>
    </w:p>
    <w:p>
      <w:pPr>
        <w:ind w:left="1020" w:right="100" w:firstLine="1301"/>
        <w:spacing w:after="0" w:line="272" w:lineRule="auto"/>
        <w:tabs>
          <w:tab w:leader="none" w:pos="2744" w:val="left"/>
        </w:tabs>
        <w:numPr>
          <w:ilvl w:val="1"/>
          <w:numId w:val="140"/>
        </w:numPr>
        <w:rPr>
          <w:rFonts w:ascii="Arial" w:cs="Arial" w:eastAsia="Arial" w:hAnsi="Arial"/>
          <w:sz w:val="19"/>
          <w:szCs w:val="19"/>
          <w:color w:val="auto"/>
        </w:rPr>
      </w:pPr>
      <w:r>
        <w:rPr>
          <w:rFonts w:ascii="Arial" w:cs="Arial" w:eastAsia="Arial" w:hAnsi="Arial"/>
          <w:sz w:val="19"/>
          <w:szCs w:val="19"/>
          <w:b w:val="1"/>
          <w:bCs w:val="1"/>
          <w:color w:val="auto"/>
        </w:rPr>
        <w:t>No Other Use of Company Names</w:t>
      </w:r>
      <w:r>
        <w:rPr>
          <w:rFonts w:ascii="Arial" w:cs="Arial" w:eastAsia="Arial" w:hAnsi="Arial"/>
          <w:sz w:val="19"/>
          <w:szCs w:val="19"/>
          <w:color w:val="auto"/>
        </w:rPr>
        <w:t>. Neither Party shall use the name, Trademark, trade name or</w:t>
      </w:r>
      <w:r>
        <w:rPr>
          <w:rFonts w:ascii="Arial" w:cs="Arial" w:eastAsia="Arial" w:hAnsi="Arial"/>
          <w:sz w:val="19"/>
          <w:szCs w:val="19"/>
          <w:b w:val="1"/>
          <w:bCs w:val="1"/>
          <w:color w:val="auto"/>
        </w:rPr>
        <w:t xml:space="preserve"> </w:t>
      </w:r>
      <w:r>
        <w:rPr>
          <w:rFonts w:ascii="Arial" w:cs="Arial" w:eastAsia="Arial" w:hAnsi="Arial"/>
          <w:sz w:val="19"/>
          <w:szCs w:val="19"/>
          <w:color w:val="auto"/>
        </w:rPr>
        <w:t>logo of the other Party, its Affiliates or its or their employees in any publicity or news release relating to this Agreement or its subject matter without the prior express written permission of the other Party.</w:t>
      </w:r>
    </w:p>
    <w:p>
      <w:pPr>
        <w:spacing w:after="0" w:line="269" w:lineRule="exact"/>
        <w:rPr>
          <w:rFonts w:ascii="Arial" w:cs="Arial" w:eastAsia="Arial" w:hAnsi="Arial"/>
          <w:sz w:val="19"/>
          <w:szCs w:val="19"/>
          <w:color w:val="auto"/>
        </w:rPr>
      </w:pPr>
    </w:p>
    <w:p>
      <w:pPr>
        <w:ind w:left="1020" w:right="80" w:firstLine="1301"/>
        <w:spacing w:after="0" w:line="266" w:lineRule="auto"/>
        <w:tabs>
          <w:tab w:leader="none" w:pos="2734" w:val="left"/>
        </w:tabs>
        <w:numPr>
          <w:ilvl w:val="1"/>
          <w:numId w:val="140"/>
        </w:numPr>
        <w:rPr>
          <w:rFonts w:ascii="Arial" w:cs="Arial" w:eastAsia="Arial" w:hAnsi="Arial"/>
          <w:sz w:val="16"/>
          <w:szCs w:val="16"/>
          <w:color w:val="auto"/>
        </w:rPr>
      </w:pPr>
      <w:r>
        <w:rPr>
          <w:rFonts w:ascii="Arial" w:cs="Arial" w:eastAsia="Arial" w:hAnsi="Arial"/>
          <w:sz w:val="16"/>
          <w:szCs w:val="16"/>
          <w:b w:val="1"/>
          <w:bCs w:val="1"/>
          <w:color w:val="auto"/>
        </w:rPr>
        <w:t>Approved Press Releases</w:t>
      </w:r>
      <w:r>
        <w:rPr>
          <w:rFonts w:ascii="Arial" w:cs="Arial" w:eastAsia="Arial" w:hAnsi="Arial"/>
          <w:sz w:val="16"/>
          <w:szCs w:val="16"/>
          <w:color w:val="auto"/>
        </w:rPr>
        <w:t>. In addition and notwithstanding anything to the contrary herein, (i)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relevant text of a proposed press release has already previously been reviewed and approved for disclosure by the other Party then such text may be disclosed or republished in such proposed press release,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in such press release remains true, correct and the most current information with respect to the subject matters set forth therein and, where practicable, the Party issuing such press release provides notice to the other Party of such press release [***] prior to the issuance of such press release, and (ii) if the relevant text of a proposed public announcement such as a corporate presentation or comments to analysts or investors has already previously been reviewed and approved for disclosure by the other Party (whether in the form of an approved press release or prior approved presentation materials, Q&amp;A script or the like) then such text may be included in such proposed public announcement (but not a press release) without resubmission and review by the other Party so long as the information in such materials remains true, correct and the most current information with respect to the subject matters set forth therein.</w:t>
      </w:r>
    </w:p>
    <w:p>
      <w:pPr>
        <w:spacing w:after="0" w:line="377" w:lineRule="exact"/>
        <w:rPr>
          <w:rFonts w:ascii="Arial" w:cs="Arial" w:eastAsia="Arial" w:hAnsi="Arial"/>
          <w:sz w:val="16"/>
          <w:szCs w:val="16"/>
          <w:color w:val="auto"/>
        </w:rPr>
      </w:pPr>
    </w:p>
    <w:p>
      <w:pPr>
        <w:ind w:left="1480" w:hanging="454"/>
        <w:spacing w:after="0"/>
        <w:tabs>
          <w:tab w:leader="none" w:pos="1480" w:val="left"/>
        </w:tabs>
        <w:numPr>
          <w:ilvl w:val="0"/>
          <w:numId w:val="141"/>
        </w:numPr>
        <w:rPr>
          <w:rFonts w:ascii="Arial" w:cs="Arial" w:eastAsia="Arial" w:hAnsi="Arial"/>
          <w:sz w:val="20"/>
          <w:szCs w:val="20"/>
          <w:color w:val="auto"/>
        </w:rPr>
      </w:pPr>
      <w:r>
        <w:rPr>
          <w:rFonts w:ascii="Arial" w:cs="Arial" w:eastAsia="Arial" w:hAnsi="Arial"/>
          <w:sz w:val="20"/>
          <w:szCs w:val="20"/>
          <w:b w:val="1"/>
          <w:bCs w:val="1"/>
          <w:color w:val="auto"/>
        </w:rPr>
        <w:t>Compliance</w:t>
      </w:r>
      <w:r>
        <w:rPr>
          <w:rFonts w:ascii="Arial" w:cs="Arial" w:eastAsia="Arial" w:hAnsi="Arial"/>
          <w:sz w:val="20"/>
          <w:szCs w:val="20"/>
          <w:color w:val="auto"/>
        </w:rPr>
        <w:t>.</w:t>
      </w:r>
    </w:p>
    <w:p>
      <w:pPr>
        <w:spacing w:after="0" w:line="20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b w:val="1"/>
          <w:bCs w:val="1"/>
          <w:color w:val="auto"/>
        </w:rPr>
        <w:t>General</w:t>
      </w:r>
      <w:r>
        <w:rPr>
          <w:rFonts w:ascii="Arial" w:cs="Arial" w:eastAsia="Arial" w:hAnsi="Arial"/>
          <w:sz w:val="18"/>
          <w:szCs w:val="18"/>
          <w:color w:val="auto"/>
        </w:rPr>
        <w:t>. Each Party shall comply with the terms of this Agreement and all Applicable Laws and</w:t>
      </w:r>
    </w:p>
    <w:p>
      <w:pPr>
        <w:spacing w:after="0" w:line="6" w:lineRule="exact"/>
        <w:rPr>
          <w:sz w:val="20"/>
          <w:szCs w:val="20"/>
          <w:color w:val="auto"/>
        </w:rPr>
      </w:pPr>
    </w:p>
    <w:p>
      <w:pPr>
        <w:ind w:left="1020" w:right="1320"/>
        <w:spacing w:after="0" w:line="250" w:lineRule="auto"/>
        <w:rPr>
          <w:sz w:val="20"/>
          <w:szCs w:val="20"/>
          <w:color w:val="auto"/>
        </w:rPr>
      </w:pPr>
      <w:r>
        <w:rPr>
          <w:rFonts w:ascii="Arial" w:cs="Arial" w:eastAsia="Arial" w:hAnsi="Arial"/>
          <w:sz w:val="18"/>
          <w:szCs w:val="18"/>
          <w:color w:val="auto"/>
        </w:rPr>
        <w:t>Regulations relating to activities performed or to be performed by such Party (or its Affiliates, Permitted Subcontractor(s) or Sublicensee(s)) under or in relation to the Development,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620"/>
          </w:cols>
          <w:pgMar w:left="400" w:top="1440" w:right="879" w:bottom="1440" w:gutter="0" w:footer="0" w:header="0"/>
        </w:sectPr>
      </w:pPr>
    </w:p>
    <w:bookmarkStart w:id="183" w:name="page184"/>
    <w:bookmarkEnd w:id="183"/>
    <w:p>
      <w:pPr>
        <w:spacing w:after="0" w:line="195" w:lineRule="exact"/>
        <w:rPr>
          <w:sz w:val="20"/>
          <w:szCs w:val="20"/>
          <w:color w:val="auto"/>
        </w:rPr>
      </w:pPr>
    </w:p>
    <w:p>
      <w:pPr>
        <w:ind w:left="1020"/>
        <w:spacing w:after="0" w:line="236" w:lineRule="auto"/>
        <w:rPr>
          <w:sz w:val="20"/>
          <w:szCs w:val="20"/>
          <w:color w:val="auto"/>
        </w:rPr>
      </w:pPr>
      <w:r>
        <w:rPr>
          <w:rFonts w:ascii="Arial" w:cs="Arial" w:eastAsia="Arial" w:hAnsi="Arial"/>
          <w:sz w:val="20"/>
          <w:szCs w:val="20"/>
          <w:color w:val="auto"/>
        </w:rPr>
        <w:t>Commercialization, or other Exploitation of Licensed Molecules and Licensed Products pursuant to this Agreement (each such Party, a “</w:t>
      </w:r>
      <w:r>
        <w:rPr>
          <w:rFonts w:ascii="Arial" w:cs="Arial" w:eastAsia="Arial" w:hAnsi="Arial"/>
          <w:sz w:val="20"/>
          <w:szCs w:val="20"/>
          <w:b w:val="1"/>
          <w:bCs w:val="1"/>
          <w:color w:val="auto"/>
        </w:rPr>
        <w:t>Subject Party</w:t>
      </w:r>
      <w:r>
        <w:rPr>
          <w:rFonts w:ascii="Arial" w:cs="Arial" w:eastAsia="Arial" w:hAnsi="Arial"/>
          <w:sz w:val="20"/>
          <w:szCs w:val="20"/>
          <w:color w:val="auto"/>
        </w:rPr>
        <w:t>”).</w:t>
      </w:r>
    </w:p>
    <w:p>
      <w:pPr>
        <w:spacing w:after="0" w:line="190" w:lineRule="exact"/>
        <w:rPr>
          <w:sz w:val="20"/>
          <w:szCs w:val="20"/>
          <w:color w:val="auto"/>
        </w:rPr>
      </w:pPr>
    </w:p>
    <w:p>
      <w:pPr>
        <w:ind w:left="1020" w:right="1080" w:firstLine="648"/>
        <w:spacing w:after="0" w:line="23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Covenants, Representations and Warranties For Compliance with Laws</w:t>
      </w:r>
      <w:r>
        <w:rPr>
          <w:rFonts w:ascii="Arial" w:cs="Arial" w:eastAsia="Arial" w:hAnsi="Arial"/>
          <w:sz w:val="18"/>
          <w:szCs w:val="18"/>
          <w:color w:val="auto"/>
        </w:rPr>
        <w:t>. Without limiting the generality of Section 13.1 (General), each Subject Party agrees, on behalf of itself, its Affiliates, and its and their</w:t>
      </w:r>
    </w:p>
    <w:p>
      <w:pPr>
        <w:ind w:left="1020"/>
        <w:spacing w:after="0" w:line="223" w:lineRule="auto"/>
        <w:rPr>
          <w:sz w:val="20"/>
          <w:szCs w:val="20"/>
          <w:color w:val="auto"/>
        </w:rPr>
      </w:pPr>
      <w:r>
        <w:rPr>
          <w:rFonts w:ascii="Arial" w:cs="Arial" w:eastAsia="Arial" w:hAnsi="Arial"/>
          <w:sz w:val="19"/>
          <w:szCs w:val="19"/>
          <w:color w:val="auto"/>
        </w:rPr>
        <w:t>officers, directors, employees, agents, representatives, consultants, and Permitted Subcontractors (together with such</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Party, the “</w:t>
      </w:r>
      <w:r>
        <w:rPr>
          <w:rFonts w:ascii="Arial" w:cs="Arial" w:eastAsia="Arial" w:hAnsi="Arial"/>
          <w:sz w:val="20"/>
          <w:szCs w:val="20"/>
          <w:b w:val="1"/>
          <w:bCs w:val="1"/>
          <w:color w:val="auto"/>
        </w:rPr>
        <w:t>Obligants</w:t>
      </w:r>
      <w:r>
        <w:rPr>
          <w:rFonts w:ascii="Arial" w:cs="Arial" w:eastAsia="Arial" w:hAnsi="Arial"/>
          <w:sz w:val="20"/>
          <w:szCs w:val="20"/>
          <w:color w:val="auto"/>
        </w:rPr>
        <w:t>”) that for the performance of its obligations hereunder:</w:t>
      </w:r>
    </w:p>
    <w:p>
      <w:pPr>
        <w:spacing w:after="0" w:line="180" w:lineRule="exact"/>
        <w:rPr>
          <w:sz w:val="20"/>
          <w:szCs w:val="20"/>
          <w:color w:val="auto"/>
        </w:rPr>
      </w:pPr>
    </w:p>
    <w:p>
      <w:pPr>
        <w:ind w:left="2740" w:hanging="419"/>
        <w:spacing w:after="0"/>
        <w:tabs>
          <w:tab w:leader="none" w:pos="2740" w:val="left"/>
        </w:tabs>
        <w:numPr>
          <w:ilvl w:val="0"/>
          <w:numId w:val="142"/>
        </w:numPr>
        <w:rPr>
          <w:rFonts w:ascii="Arial" w:cs="Arial" w:eastAsia="Arial" w:hAnsi="Arial"/>
          <w:sz w:val="20"/>
          <w:szCs w:val="20"/>
          <w:color w:val="auto"/>
        </w:rPr>
      </w:pPr>
      <w:r>
        <w:rPr>
          <w:rFonts w:ascii="Arial" w:cs="Arial" w:eastAsia="Arial" w:hAnsi="Arial"/>
          <w:sz w:val="20"/>
          <w:szCs w:val="20"/>
          <w:b w:val="1"/>
          <w:bCs w:val="1"/>
          <w:color w:val="auto"/>
        </w:rPr>
        <w:t>Anti-Corruption Laws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020" w:right="500" w:firstLine="1949"/>
        <w:spacing w:after="0" w:line="237" w:lineRule="auto"/>
        <w:tabs>
          <w:tab w:leader="none" w:pos="334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Its Obligants shall not directly or indirectly pay, offer or promise to pay, or authorize the payment of any money, or give, offer or promise to give, or authorize the giving of anything else of value, to: (1) any Government Official in order to influence official action; (2) any Person (whether or not a Government Official) (x) to influence such Person to act in breach of a duty of good faith, impartiality or trust (“</w:t>
      </w:r>
      <w:r>
        <w:rPr>
          <w:rFonts w:ascii="Arial" w:cs="Arial" w:eastAsia="Arial" w:hAnsi="Arial"/>
          <w:sz w:val="18"/>
          <w:szCs w:val="18"/>
          <w:b w:val="1"/>
          <w:bCs w:val="1"/>
          <w:color w:val="auto"/>
        </w:rPr>
        <w:t>Acting Improperly</w:t>
      </w:r>
      <w:r>
        <w:rPr>
          <w:rFonts w:ascii="Arial" w:cs="Arial" w:eastAsia="Arial" w:hAnsi="Arial"/>
          <w:sz w:val="18"/>
          <w:szCs w:val="18"/>
          <w:color w:val="auto"/>
        </w:rPr>
        <w:t>”), (y) to reward such Person for Acting Improperly, or (z) where such Person would be Acting Improperly by receiving the money or other thing of value; (3) any other Person while knowing or having reason to know that all or any portion of the money or other thing of value shall be paid, offered, promised or given to, or shall otherwise benefit, a Government Official in order to influence official action for or against either Party in connection with the matters that are the subject of this Agreement; or (4) any Person to reward that Person for Acting Improperly or to induce that Person to Act Improperly.</w:t>
      </w:r>
    </w:p>
    <w:p>
      <w:pPr>
        <w:spacing w:after="0" w:line="198" w:lineRule="exact"/>
        <w:rPr>
          <w:rFonts w:ascii="Arial" w:cs="Arial" w:eastAsia="Arial" w:hAnsi="Arial"/>
          <w:sz w:val="18"/>
          <w:szCs w:val="18"/>
          <w:color w:val="auto"/>
        </w:rPr>
      </w:pPr>
    </w:p>
    <w:p>
      <w:pPr>
        <w:ind w:left="1020" w:right="1160" w:firstLine="1949"/>
        <w:spacing w:after="0" w:line="236" w:lineRule="auto"/>
        <w:tabs>
          <w:tab w:leader="none" w:pos="3404" w:val="left"/>
        </w:tabs>
        <w:numPr>
          <w:ilvl w:val="1"/>
          <w:numId w:val="142"/>
        </w:numPr>
        <w:rPr>
          <w:rFonts w:ascii="Arial" w:cs="Arial" w:eastAsia="Arial" w:hAnsi="Arial"/>
          <w:sz w:val="20"/>
          <w:szCs w:val="20"/>
          <w:color w:val="auto"/>
        </w:rPr>
      </w:pPr>
      <w:r>
        <w:rPr>
          <w:rFonts w:ascii="Arial" w:cs="Arial" w:eastAsia="Arial" w:hAnsi="Arial"/>
          <w:sz w:val="20"/>
          <w:szCs w:val="20"/>
          <w:color w:val="auto"/>
        </w:rPr>
        <w:t>Its Obligants shall not, directly or indirectly, solicit, receive or agree to accept any payment of money or anything else of value in violation of the Anti-Corruption Laws.</w:t>
      </w:r>
    </w:p>
    <w:p>
      <w:pPr>
        <w:spacing w:after="0" w:line="195" w:lineRule="exact"/>
        <w:rPr>
          <w:rFonts w:ascii="Arial" w:cs="Arial" w:eastAsia="Arial" w:hAnsi="Arial"/>
          <w:sz w:val="20"/>
          <w:szCs w:val="20"/>
          <w:color w:val="auto"/>
        </w:rPr>
      </w:pPr>
    </w:p>
    <w:p>
      <w:pPr>
        <w:ind w:left="1020" w:right="460" w:firstLine="1949"/>
        <w:spacing w:after="0" w:line="220" w:lineRule="auto"/>
        <w:tabs>
          <w:tab w:leader="none" w:pos="3454" w:val="left"/>
        </w:tabs>
        <w:numPr>
          <w:ilvl w:val="1"/>
          <w:numId w:val="142"/>
        </w:numPr>
        <w:rPr>
          <w:rFonts w:ascii="Arial" w:cs="Arial" w:eastAsia="Arial" w:hAnsi="Arial"/>
          <w:sz w:val="20"/>
          <w:szCs w:val="20"/>
          <w:color w:val="auto"/>
        </w:rPr>
      </w:pPr>
      <w:r>
        <w:rPr>
          <w:rFonts w:ascii="Arial" w:cs="Arial" w:eastAsia="Arial" w:hAnsi="Arial"/>
          <w:sz w:val="20"/>
          <w:szCs w:val="20"/>
          <w:color w:val="auto"/>
        </w:rPr>
        <w:t>The Subject Party and its Obligants shall comply with the Anti-Corruption Laws and shall not take or perform any action that constitutes, or would reasonably be expected to constitute, a violation of any such laws or cause either Party (or its Affiliates) to be in violation of any such laws. In furtherance of the foregoing, each acknowledges and confirms the following:</w:t>
      </w:r>
    </w:p>
    <w:p>
      <w:pPr>
        <w:spacing w:after="0" w:line="196" w:lineRule="exact"/>
        <w:rPr>
          <w:rFonts w:ascii="Arial" w:cs="Arial" w:eastAsia="Arial" w:hAnsi="Arial"/>
          <w:sz w:val="20"/>
          <w:szCs w:val="20"/>
          <w:color w:val="auto"/>
        </w:rPr>
      </w:pPr>
    </w:p>
    <w:p>
      <w:pPr>
        <w:ind w:left="1020" w:right="460" w:firstLine="2598"/>
        <w:spacing w:after="0" w:line="235" w:lineRule="auto"/>
        <w:tabs>
          <w:tab w:leader="none" w:pos="404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Each Subject Party has reviewed its internal programs in relation to the Anti-Corruption Laws and the ability of its Obligants to adhere to such laws in performance of its obligations hereunder in advance of the signing of this Agreement and warrants that it and its Obligants can and shall continue to comply with such Anti-Corruption Laws in performance of its obligations hereunder and further represents and warrants that should either Party identify in writing to the other Party any measures that should be reasonably taken to improve its Obligants’ compliance with such Anti-Corruption Laws for the performance of its obligations hereunder (the “</w:t>
      </w:r>
      <w:r>
        <w:rPr>
          <w:rFonts w:ascii="Arial" w:cs="Arial" w:eastAsia="Arial" w:hAnsi="Arial"/>
          <w:sz w:val="18"/>
          <w:szCs w:val="18"/>
          <w:b w:val="1"/>
          <w:bCs w:val="1"/>
          <w:color w:val="auto"/>
        </w:rPr>
        <w:t>Improvement</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the Subject Party shall use Commercially Reasonable Efforts to implement such Improvement Plan within an</w:t>
      </w:r>
      <w:r>
        <w:rPr>
          <w:rFonts w:ascii="Arial" w:cs="Arial" w:eastAsia="Arial" w:hAnsi="Arial"/>
          <w:sz w:val="18"/>
          <w:szCs w:val="18"/>
          <w:b w:val="1"/>
          <w:bCs w:val="1"/>
          <w:color w:val="auto"/>
        </w:rPr>
        <w:t xml:space="preserve"> </w:t>
      </w:r>
      <w:r>
        <w:rPr>
          <w:rFonts w:ascii="Arial" w:cs="Arial" w:eastAsia="Arial" w:hAnsi="Arial"/>
          <w:sz w:val="18"/>
          <w:szCs w:val="18"/>
          <w:color w:val="auto"/>
        </w:rPr>
        <w:t>agreed reasonable timeframe (which shall in any event not be in [***]) from the [***]. In the absence of such Party using Commercially Reasonable Efforts to achieve the full implementation by such of such Improvement Plan within the aforesaid [***], the other Party shall be entitled to terminate this Agreement, upon written notice to the Subject Party with immediate effect, to be relieved of any obligations, and to seek compensation from the Subject Party;</w:t>
      </w:r>
    </w:p>
    <w:p>
      <w:pPr>
        <w:spacing w:after="0" w:line="187" w:lineRule="exact"/>
        <w:rPr>
          <w:rFonts w:ascii="Arial" w:cs="Arial" w:eastAsia="Arial" w:hAnsi="Arial"/>
          <w:sz w:val="18"/>
          <w:szCs w:val="18"/>
          <w:color w:val="auto"/>
        </w:rPr>
      </w:pPr>
    </w:p>
    <w:p>
      <w:pPr>
        <w:ind w:left="1020" w:right="520" w:firstLine="2597"/>
        <w:spacing w:after="0" w:line="218" w:lineRule="auto"/>
        <w:tabs>
          <w:tab w:leader="none" w:pos="4036" w:val="left"/>
        </w:tabs>
        <w:numPr>
          <w:ilvl w:val="2"/>
          <w:numId w:val="142"/>
        </w:numPr>
        <w:rPr>
          <w:rFonts w:ascii="Arial" w:cs="Arial" w:eastAsia="Arial" w:hAnsi="Arial"/>
          <w:sz w:val="20"/>
          <w:szCs w:val="20"/>
          <w:color w:val="auto"/>
        </w:rPr>
      </w:pPr>
      <w:r>
        <w:rPr>
          <w:rFonts w:ascii="Arial" w:cs="Arial" w:eastAsia="Arial" w:hAnsi="Arial"/>
          <w:sz w:val="20"/>
          <w:szCs w:val="20"/>
          <w:color w:val="auto"/>
        </w:rPr>
        <w:t>To the best of the Subject Party’s and its Affiliates’ knowledge after reasonable diligence, none of its Obligants that will participate in or support the Subject Party’s performance of its obligations hereunder has, directly or indirectly, (x) paid, offered or promised to pay, or authorized the payment of any money; (y) given, offered or promised to give, or authorized the giving of anything else of value; or (z) solicited, received or agreed to accept any payment of money or anything else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400" w:top="1440" w:right="439" w:bottom="1440" w:gutter="0" w:footer="0" w:header="0"/>
        </w:sectPr>
      </w:pPr>
    </w:p>
    <w:bookmarkStart w:id="184" w:name="page185"/>
    <w:bookmarkEnd w:id="184"/>
    <w:p>
      <w:pPr>
        <w:spacing w:after="0" w:line="195" w:lineRule="exact"/>
        <w:rPr>
          <w:sz w:val="20"/>
          <w:szCs w:val="20"/>
          <w:color w:val="auto"/>
        </w:rPr>
      </w:pPr>
    </w:p>
    <w:p>
      <w:pPr>
        <w:ind w:left="1020"/>
        <w:spacing w:after="0" w:line="236" w:lineRule="auto"/>
        <w:rPr>
          <w:sz w:val="20"/>
          <w:szCs w:val="20"/>
          <w:color w:val="auto"/>
        </w:rPr>
      </w:pPr>
      <w:r>
        <w:rPr>
          <w:rFonts w:ascii="Arial" w:cs="Arial" w:eastAsia="Arial" w:hAnsi="Arial"/>
          <w:sz w:val="20"/>
          <w:szCs w:val="20"/>
          <w:color w:val="auto"/>
        </w:rPr>
        <w:t>of value, in each case ((x), (y) and (z)), in violation of the Anti-Corruption Laws during the three (3) years preceding the date of this Agreement.</w:t>
      </w:r>
    </w:p>
    <w:p>
      <w:pPr>
        <w:spacing w:after="0" w:line="196" w:lineRule="exact"/>
        <w:rPr>
          <w:sz w:val="20"/>
          <w:szCs w:val="20"/>
          <w:color w:val="auto"/>
        </w:rPr>
      </w:pPr>
    </w:p>
    <w:p>
      <w:pPr>
        <w:jc w:val="both"/>
        <w:ind w:left="1020" w:right="1220" w:firstLine="2597"/>
        <w:spacing w:after="0" w:line="220" w:lineRule="auto"/>
        <w:tabs>
          <w:tab w:leader="none" w:pos="403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To the best of the Subject Party’s and its Affiliates’ knowledge, none of its intellectual property rights, technology, contracts, materials, or licenses or other assets that are the subject of this Agreement, other than those provided by or on behalf of the other Party, were procured in violation of any Anti-Corruption Laws.</w:t>
      </w:r>
    </w:p>
    <w:p>
      <w:pPr>
        <w:spacing w:after="0" w:line="196" w:lineRule="exact"/>
        <w:rPr>
          <w:rFonts w:ascii="Arial" w:cs="Arial" w:eastAsia="Arial" w:hAnsi="Arial"/>
          <w:sz w:val="20"/>
          <w:szCs w:val="20"/>
          <w:color w:val="auto"/>
        </w:rPr>
      </w:pPr>
    </w:p>
    <w:p>
      <w:pPr>
        <w:ind w:left="1020" w:right="660" w:firstLine="2597"/>
        <w:spacing w:after="0" w:line="238" w:lineRule="auto"/>
        <w:tabs>
          <w:tab w:leader="none" w:pos="40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Subject Party, on behalf of itself and its Obligants, represents and warrants to the other Party that all information provided by the Subject Party and its Obligants to the other Party in any anti-bribery and corruption due diligence checklist, similar due diligence process performed by the other Party or its Affiliates or inquiry by the other Party related to the Subject Party’s or its Obligants compliance with Anti-Corruption Laws is true, complete and correct in all material respects at the date it was provided and that any material changes in circumstances relevant to the answers provided in such exercise shall be promptly disclosed to the other Party.</w:t>
      </w:r>
    </w:p>
    <w:p>
      <w:pPr>
        <w:spacing w:after="0" w:line="199" w:lineRule="exact"/>
        <w:rPr>
          <w:rFonts w:ascii="Arial" w:cs="Arial" w:eastAsia="Arial" w:hAnsi="Arial"/>
          <w:sz w:val="18"/>
          <w:szCs w:val="18"/>
          <w:color w:val="auto"/>
        </w:rPr>
      </w:pPr>
    </w:p>
    <w:p>
      <w:pPr>
        <w:ind w:left="1020" w:right="540" w:firstLine="2597"/>
        <w:spacing w:after="0" w:line="224" w:lineRule="auto"/>
        <w:tabs>
          <w:tab w:leader="none" w:pos="403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Subject Party shall promptly provide the other Party with written notice of any of the following events: (i) upon becoming aware of any actual, alleged, or potential breach or violation by the Subject Party or any of its Obligant of any representation, warranty or undertaking set forth in this Section 13.2 (Covenants, Representations and Warranties For Compliance with Laws); (ii) upon receiving a notification that it is the target or subject of an investigation, formal or informal inquiry or enforcement proceedings by a government authority for violation of any Anti-Corruption Laws; (iii) upon receiving any notice, request, subpoena or citation from a government authority for any violation of any Anti-Corruption Law; or (iv) upon receipt of information that any of the Subject Party’s Obligants is the target or subject of an investigation, formal or inform enquiry or enforcement proceedings by a government authority for a violation of any Anti-Corruption Law.</w:t>
      </w:r>
    </w:p>
    <w:p>
      <w:pPr>
        <w:spacing w:after="0" w:line="203" w:lineRule="exact"/>
        <w:rPr>
          <w:rFonts w:ascii="Arial" w:cs="Arial" w:eastAsia="Arial" w:hAnsi="Arial"/>
          <w:sz w:val="19"/>
          <w:szCs w:val="19"/>
          <w:color w:val="auto"/>
        </w:rPr>
      </w:pPr>
    </w:p>
    <w:p>
      <w:pPr>
        <w:ind w:left="1020" w:right="560" w:firstLine="2597"/>
        <w:spacing w:after="0" w:line="223" w:lineRule="auto"/>
        <w:tabs>
          <w:tab w:leader="none" w:pos="404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the Subject Party shall for the purpose of auditing and monitoring the performance of its compliance with this Agreement and particularly this Section 13.2 (Covenants, Representations and Warranties For Compliance with Laws) permit the other Party, its Affiliates, any auditors of any of them and any government authority to have reasonable access to any premises of the Subject Party or its Obligants used in connection with this Agreement, together with a right to reasonably access personnel and records that relate to this Agreement (“</w:t>
      </w:r>
      <w:r>
        <w:rPr>
          <w:rFonts w:ascii="Arial" w:cs="Arial" w:eastAsia="Arial" w:hAnsi="Arial"/>
          <w:sz w:val="19"/>
          <w:szCs w:val="19"/>
          <w:b w:val="1"/>
          <w:bCs w:val="1"/>
          <w:color w:val="auto"/>
        </w:rPr>
        <w:t>Subject Party Audit</w:t>
      </w:r>
      <w:r>
        <w:rPr>
          <w:rFonts w:ascii="Arial" w:cs="Arial" w:eastAsia="Arial" w:hAnsi="Arial"/>
          <w:sz w:val="19"/>
          <w:szCs w:val="19"/>
          <w:color w:val="auto"/>
        </w:rPr>
        <w:t>”). The Subject Party shall provide or procure that its Obligants shall provide all co-operation as reasonably requested by the other Party for the purposes of the Subject Party Audit, with the understanding that the other Party shall be responsible for all costs and fees of any Subject Party Audit and the other Party shall procure that any auditor enters into a confidentiality agreement consistent with the confidentiality provisions elsewhere in this Agreement in all material respects.</w:t>
      </w:r>
    </w:p>
    <w:p>
      <w:pPr>
        <w:spacing w:after="0" w:line="197" w:lineRule="exact"/>
        <w:rPr>
          <w:rFonts w:ascii="Arial" w:cs="Arial" w:eastAsia="Arial" w:hAnsi="Arial"/>
          <w:sz w:val="19"/>
          <w:szCs w:val="19"/>
          <w:color w:val="auto"/>
        </w:rPr>
      </w:pPr>
    </w:p>
    <w:p>
      <w:pPr>
        <w:ind w:left="1020" w:right="620" w:firstLine="2597"/>
        <w:spacing w:after="0" w:line="234" w:lineRule="auto"/>
        <w:tabs>
          <w:tab w:leader="none" w:pos="403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 the other Party becomes aware of, whether or not through a Subject Party Audit, that the Subject Party (or any of its Obligants) is in breach or violation of any representation, warranty or undertaking in Section 13.1 (General) or of the Anti-Corruption Laws; or (B) the other Party receives notification that a suspected or actual violation of an Anti-Corruption Law has occurred by the Subject Party or any of its Obligants, in each case of (A)-(B), the other Party shall have the right, in addition to any other rights or remedies under this Agreement or to which the other Party may be entitled in law or equity, to take such steps as are reasonably necessary in order to avoid a potential violation or continuing violation by the other Party or any of its Affiliates of the Anti-Corruption Laws, including by requiring that the Subject Party agrees to and uses Commercially Reasonable Efforts to implement any curative actions requested by the other Party. In the event that the Subject Party refuses to agree to use Commercially Reasonable Efforts to achieve all of the curative actions requested by the other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400" w:top="1440" w:right="339" w:bottom="1440" w:gutter="0" w:footer="0" w:header="0"/>
        </w:sectPr>
      </w:pPr>
    </w:p>
    <w:bookmarkStart w:id="185" w:name="page186"/>
    <w:bookmarkEnd w:id="185"/>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other Party has (x) provided the Subject Party with an explanation in reasonable detail as to why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Party considers such actions necessary, (y) given the Subject Party a reasonable opportunity to review and</w:t>
      </w:r>
    </w:p>
    <w:p>
      <w:pPr>
        <w:ind w:left="1020"/>
        <w:spacing w:after="0" w:line="226" w:lineRule="auto"/>
        <w:rPr>
          <w:sz w:val="20"/>
          <w:szCs w:val="20"/>
          <w:color w:val="auto"/>
        </w:rPr>
      </w:pPr>
      <w:r>
        <w:rPr>
          <w:rFonts w:ascii="Arial" w:cs="Arial" w:eastAsia="Arial" w:hAnsi="Arial"/>
          <w:sz w:val="18"/>
          <w:szCs w:val="18"/>
          <w:color w:val="auto"/>
        </w:rPr>
        <w:t>comment upon the proposed actions and to provide its view as to the necessity or usefulness of these to address the event concerned, and (z) considered such comments in good faith), the other Party shall be entitled to terminate this</w:t>
      </w:r>
    </w:p>
    <w:p>
      <w:pPr>
        <w:ind w:left="1020"/>
        <w:spacing w:after="0" w:line="224" w:lineRule="auto"/>
        <w:rPr>
          <w:sz w:val="20"/>
          <w:szCs w:val="20"/>
          <w:color w:val="auto"/>
        </w:rPr>
      </w:pPr>
      <w:r>
        <w:rPr>
          <w:rFonts w:ascii="Arial" w:cs="Arial" w:eastAsia="Arial" w:hAnsi="Arial"/>
          <w:sz w:val="19"/>
          <w:szCs w:val="19"/>
          <w:color w:val="auto"/>
        </w:rPr>
        <w:t>Agreement in its entirety with immediate effect. Any termination of this Agreement pursuant to this Section 13.2</w:t>
      </w:r>
    </w:p>
    <w:p>
      <w:pPr>
        <w:ind w:left="1020"/>
        <w:spacing w:after="0" w:line="226" w:lineRule="auto"/>
        <w:rPr>
          <w:sz w:val="20"/>
          <w:szCs w:val="20"/>
          <w:color w:val="auto"/>
        </w:rPr>
      </w:pPr>
      <w:r>
        <w:rPr>
          <w:rFonts w:ascii="Arial" w:cs="Arial" w:eastAsia="Arial" w:hAnsi="Arial"/>
          <w:sz w:val="18"/>
          <w:szCs w:val="18"/>
          <w:color w:val="auto"/>
        </w:rPr>
        <w:t>(Covenants, Representations and Warranties For Compliance with Laws) shall be treated as a termination for breach by the Subject Party of this Agreement and the consequences of termination shall apply and additionally: (1) subject to the</w:t>
      </w:r>
    </w:p>
    <w:p>
      <w:pPr>
        <w:ind w:left="1020"/>
        <w:spacing w:after="0" w:line="236" w:lineRule="auto"/>
        <w:rPr>
          <w:sz w:val="20"/>
          <w:szCs w:val="20"/>
          <w:color w:val="auto"/>
        </w:rPr>
      </w:pPr>
      <w:r>
        <w:rPr>
          <w:rFonts w:ascii="Arial" w:cs="Arial" w:eastAsia="Arial" w:hAnsi="Arial"/>
          <w:sz w:val="18"/>
          <w:szCs w:val="18"/>
          <w:color w:val="auto"/>
        </w:rPr>
        <w:t>accrued rights of the Parties prior to termination, the other Party shall have no liability to the Subject Party for any fees,</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reimbursements or other compensation or for any loss, cost, claim or damage resulting, directly or indirectly, from such termination; and (2) any amounts that would otherwise be payable to the Subject Party pursuant to this Agreement in its</w:t>
      </w:r>
    </w:p>
    <w:p>
      <w:pPr>
        <w:spacing w:after="0" w:line="2" w:lineRule="exact"/>
        <w:rPr>
          <w:sz w:val="20"/>
          <w:szCs w:val="20"/>
          <w:color w:val="auto"/>
        </w:rPr>
      </w:pPr>
    </w:p>
    <w:p>
      <w:pPr>
        <w:ind w:left="1020"/>
        <w:spacing w:after="0" w:line="227" w:lineRule="auto"/>
        <w:rPr>
          <w:sz w:val="20"/>
          <w:szCs w:val="20"/>
          <w:color w:val="auto"/>
        </w:rPr>
      </w:pPr>
      <w:r>
        <w:rPr>
          <w:rFonts w:ascii="Arial" w:cs="Arial" w:eastAsia="Arial" w:hAnsi="Arial"/>
          <w:sz w:val="20"/>
          <w:szCs w:val="20"/>
          <w:color w:val="auto"/>
        </w:rPr>
        <w:t>entirety, as applicable, including any then outstanding and unpaid claims for payment shall be null and void to the extent permissible under Applicable Laws and Regulations.</w:t>
      </w:r>
    </w:p>
    <w:p>
      <w:pPr>
        <w:spacing w:after="0" w:line="197" w:lineRule="exact"/>
        <w:rPr>
          <w:sz w:val="20"/>
          <w:szCs w:val="20"/>
          <w:color w:val="auto"/>
        </w:rPr>
      </w:pPr>
    </w:p>
    <w:p>
      <w:pPr>
        <w:ind w:left="1020" w:right="60" w:firstLine="2597"/>
        <w:spacing w:after="0" w:line="223" w:lineRule="auto"/>
        <w:tabs>
          <w:tab w:leader="none" w:pos="4036" w:val="left"/>
        </w:tabs>
        <w:numPr>
          <w:ilvl w:val="3"/>
          <w:numId w:val="144"/>
        </w:numPr>
        <w:rPr>
          <w:rFonts w:ascii="Arial" w:cs="Arial" w:eastAsia="Arial" w:hAnsi="Arial"/>
          <w:sz w:val="20"/>
          <w:szCs w:val="20"/>
          <w:color w:val="auto"/>
        </w:rPr>
      </w:pPr>
      <w:r>
        <w:rPr>
          <w:rFonts w:ascii="Arial" w:cs="Arial" w:eastAsia="Arial" w:hAnsi="Arial"/>
          <w:sz w:val="20"/>
          <w:szCs w:val="20"/>
          <w:color w:val="auto"/>
        </w:rPr>
        <w:t>The Subject Party shall be responsible for any breach of any representation, warranty or undertaking in this Section 13.2 (Covenants, Representations and Warranties For Compliance with Laws) or of the Anti-Corruption Laws by any of its Obligants.</w:t>
      </w:r>
    </w:p>
    <w:p>
      <w:pPr>
        <w:spacing w:after="0" w:line="203" w:lineRule="exact"/>
        <w:rPr>
          <w:rFonts w:ascii="Arial" w:cs="Arial" w:eastAsia="Arial" w:hAnsi="Arial"/>
          <w:sz w:val="20"/>
          <w:szCs w:val="20"/>
          <w:color w:val="auto"/>
        </w:rPr>
      </w:pPr>
    </w:p>
    <w:p>
      <w:pPr>
        <w:ind w:left="1020" w:firstLine="1301"/>
        <w:spacing w:after="0" w:line="215" w:lineRule="auto"/>
        <w:tabs>
          <w:tab w:leader="none" w:pos="2744" w:val="left"/>
        </w:tabs>
        <w:numPr>
          <w:ilvl w:val="1"/>
          <w:numId w:val="145"/>
        </w:numPr>
        <w:rPr>
          <w:rFonts w:ascii="Arial" w:cs="Arial" w:eastAsia="Arial" w:hAnsi="Arial"/>
          <w:sz w:val="20"/>
          <w:szCs w:val="20"/>
          <w:color w:val="auto"/>
        </w:rPr>
      </w:pPr>
      <w:r>
        <w:rPr>
          <w:rFonts w:ascii="Arial" w:cs="Arial" w:eastAsia="Arial" w:hAnsi="Arial"/>
          <w:sz w:val="20"/>
          <w:szCs w:val="20"/>
          <w:b w:val="1"/>
          <w:bCs w:val="1"/>
          <w:color w:val="auto"/>
        </w:rPr>
        <w:t>Data Protection Laws</w:t>
      </w:r>
      <w:r>
        <w:rPr>
          <w:rFonts w:ascii="Arial" w:cs="Arial" w:eastAsia="Arial" w:hAnsi="Arial"/>
          <w:sz w:val="20"/>
          <w:szCs w:val="20"/>
          <w:color w:val="auto"/>
        </w:rPr>
        <w:t>. From time to time during the Term, either Party may provide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with personal information that falls under the protection of Data Protection Laws (“</w:t>
      </w:r>
      <w:r>
        <w:rPr>
          <w:rFonts w:ascii="Arial" w:cs="Arial" w:eastAsia="Arial" w:hAnsi="Arial"/>
          <w:sz w:val="20"/>
          <w:szCs w:val="20"/>
          <w:b w:val="1"/>
          <w:bCs w:val="1"/>
          <w:color w:val="auto"/>
        </w:rPr>
        <w:t>Protected Personal</w:t>
      </w:r>
      <w:r>
        <w:rPr>
          <w:rFonts w:ascii="Arial" w:cs="Arial" w:eastAsia="Arial" w:hAnsi="Arial"/>
          <w:sz w:val="20"/>
          <w:szCs w:val="20"/>
          <w:color w:val="auto"/>
        </w:rPr>
        <w:t xml:space="preserve"> </w:t>
      </w:r>
      <w:r>
        <w:rPr>
          <w:rFonts w:ascii="Arial" w:cs="Arial" w:eastAsia="Arial" w:hAnsi="Arial"/>
          <w:sz w:val="20"/>
          <w:szCs w:val="20"/>
          <w:b w:val="1"/>
          <w:bCs w:val="1"/>
          <w:color w:val="auto"/>
        </w:rPr>
        <w:t>Information</w:t>
      </w:r>
      <w:r>
        <w:rPr>
          <w:rFonts w:ascii="Arial" w:cs="Arial" w:eastAsia="Arial" w:hAnsi="Arial"/>
          <w:sz w:val="20"/>
          <w:szCs w:val="20"/>
          <w:color w:val="auto"/>
        </w:rPr>
        <w:t>”). Each Party agrees to comply with all Data Protection Laws relating to Processing of such Protected</w:t>
      </w:r>
      <w:r>
        <w:rPr>
          <w:rFonts w:ascii="Arial" w:cs="Arial" w:eastAsia="Arial" w:hAnsi="Arial"/>
          <w:sz w:val="20"/>
          <w:szCs w:val="20"/>
          <w:b w:val="1"/>
          <w:bCs w:val="1"/>
          <w:color w:val="auto"/>
        </w:rPr>
        <w:t xml:space="preserve"> </w:t>
      </w:r>
      <w:r>
        <w:rPr>
          <w:rFonts w:ascii="Arial" w:cs="Arial" w:eastAsia="Arial" w:hAnsi="Arial"/>
          <w:sz w:val="20"/>
          <w:szCs w:val="20"/>
          <w:color w:val="auto"/>
        </w:rPr>
        <w:t>Personal Information. The Parties agree to use good-faith efforts to agree upon and implement any security protocols and information handling guidelines that such Party’s legal advisors recommend in connection with such Party’s compliance with Data Protection Laws.</w:t>
      </w:r>
    </w:p>
    <w:p>
      <w:pPr>
        <w:spacing w:after="0" w:line="194" w:lineRule="exact"/>
        <w:rPr>
          <w:rFonts w:ascii="Arial" w:cs="Arial" w:eastAsia="Arial" w:hAnsi="Arial"/>
          <w:sz w:val="20"/>
          <w:szCs w:val="20"/>
          <w:color w:val="auto"/>
        </w:rPr>
      </w:pPr>
    </w:p>
    <w:p>
      <w:pPr>
        <w:ind w:left="2740" w:hanging="419"/>
        <w:spacing w:after="0"/>
        <w:tabs>
          <w:tab w:leader="none" w:pos="2740" w:val="left"/>
        </w:tabs>
        <w:numPr>
          <w:ilvl w:val="1"/>
          <w:numId w:val="145"/>
        </w:numPr>
        <w:rPr>
          <w:rFonts w:ascii="Arial" w:cs="Arial" w:eastAsia="Arial" w:hAnsi="Arial"/>
          <w:sz w:val="20"/>
          <w:szCs w:val="20"/>
          <w:color w:val="auto"/>
        </w:rPr>
      </w:pPr>
      <w:r>
        <w:rPr>
          <w:rFonts w:ascii="Arial" w:cs="Arial" w:eastAsia="Arial" w:hAnsi="Arial"/>
          <w:sz w:val="20"/>
          <w:szCs w:val="20"/>
          <w:b w:val="1"/>
          <w:bCs w:val="1"/>
          <w:color w:val="auto"/>
        </w:rPr>
        <w:t>Information Security</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1020" w:right="60" w:firstLine="1949"/>
        <w:spacing w:after="0" w:line="223" w:lineRule="auto"/>
        <w:tabs>
          <w:tab w:leader="none" w:pos="3349" w:val="left"/>
        </w:tabs>
        <w:numPr>
          <w:ilvl w:val="2"/>
          <w:numId w:val="145"/>
        </w:numPr>
        <w:rPr>
          <w:rFonts w:ascii="Arial" w:cs="Arial" w:eastAsia="Arial" w:hAnsi="Arial"/>
          <w:sz w:val="20"/>
          <w:szCs w:val="20"/>
          <w:color w:val="auto"/>
        </w:rPr>
      </w:pPr>
      <w:r>
        <w:rPr>
          <w:rFonts w:ascii="Arial" w:cs="Arial" w:eastAsia="Arial" w:hAnsi="Arial"/>
          <w:sz w:val="20"/>
          <w:szCs w:val="20"/>
          <w:color w:val="auto"/>
        </w:rPr>
        <w:t>Each Party will comply with Applicable Laws and Regulations in its storage, maintenance, use and dissemination of the other Party’s Confidential Information which it receives or to which it obtains access (such Confidential Information “</w:t>
      </w:r>
      <w:r>
        <w:rPr>
          <w:rFonts w:ascii="Arial" w:cs="Arial" w:eastAsia="Arial" w:hAnsi="Arial"/>
          <w:sz w:val="20"/>
          <w:szCs w:val="20"/>
          <w:b w:val="1"/>
          <w:bCs w:val="1"/>
          <w:color w:val="auto"/>
        </w:rPr>
        <w:t>Secured Information</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ind w:left="1020" w:right="240" w:firstLine="1949"/>
        <w:spacing w:after="0" w:line="220" w:lineRule="auto"/>
        <w:tabs>
          <w:tab w:leader="none" w:pos="3404" w:val="left"/>
        </w:tabs>
        <w:numPr>
          <w:ilvl w:val="2"/>
          <w:numId w:val="145"/>
        </w:numPr>
        <w:rPr>
          <w:rFonts w:ascii="Arial" w:cs="Arial" w:eastAsia="Arial" w:hAnsi="Arial"/>
          <w:sz w:val="20"/>
          <w:szCs w:val="20"/>
          <w:color w:val="auto"/>
        </w:rPr>
      </w:pPr>
      <w:r>
        <w:rPr>
          <w:rFonts w:ascii="Arial" w:cs="Arial" w:eastAsia="Arial" w:hAnsi="Arial"/>
          <w:sz w:val="20"/>
          <w:szCs w:val="20"/>
          <w:color w:val="auto"/>
        </w:rPr>
        <w:t>Each Party will employ commercially reasonable security measures to protect Secured Information in accordance with accepted applicable industry standards and such Party’s information security policy as amended from time to time. As necessary, each Party will employ additional security measures to protect Secured Information.</w:t>
      </w:r>
    </w:p>
    <w:p>
      <w:pPr>
        <w:spacing w:after="0" w:line="196" w:lineRule="exact"/>
        <w:rPr>
          <w:rFonts w:ascii="Arial" w:cs="Arial" w:eastAsia="Arial" w:hAnsi="Arial"/>
          <w:sz w:val="20"/>
          <w:szCs w:val="20"/>
          <w:color w:val="auto"/>
        </w:rPr>
      </w:pPr>
    </w:p>
    <w:p>
      <w:pPr>
        <w:jc w:val="both"/>
        <w:ind w:left="1020" w:right="640" w:firstLine="1949"/>
        <w:spacing w:after="0" w:line="220" w:lineRule="auto"/>
        <w:tabs>
          <w:tab w:leader="none" w:pos="3459" w:val="left"/>
        </w:tabs>
        <w:numPr>
          <w:ilvl w:val="2"/>
          <w:numId w:val="145"/>
        </w:numPr>
        <w:rPr>
          <w:rFonts w:ascii="Arial" w:cs="Arial" w:eastAsia="Arial" w:hAnsi="Arial"/>
          <w:sz w:val="20"/>
          <w:szCs w:val="20"/>
          <w:color w:val="auto"/>
        </w:rPr>
      </w:pPr>
      <w:r>
        <w:rPr>
          <w:rFonts w:ascii="Arial" w:cs="Arial" w:eastAsia="Arial" w:hAnsi="Arial"/>
          <w:sz w:val="20"/>
          <w:szCs w:val="20"/>
          <w:color w:val="auto"/>
        </w:rPr>
        <w:t>Each Party agrees and warrants that it will implement administrative, physical and technical safeguards to protect Secured Information that are no less rigorous than accepted industry practices and standards for information security and shall ensure that all such safeguards comply with Applicable Laws and Regulations.</w:t>
      </w:r>
    </w:p>
    <w:p>
      <w:pPr>
        <w:spacing w:after="0" w:line="182" w:lineRule="exact"/>
        <w:rPr>
          <w:rFonts w:ascii="Arial" w:cs="Arial" w:eastAsia="Arial" w:hAnsi="Arial"/>
          <w:sz w:val="20"/>
          <w:szCs w:val="20"/>
          <w:color w:val="auto"/>
        </w:rPr>
      </w:pPr>
    </w:p>
    <w:p>
      <w:pPr>
        <w:ind w:left="3460" w:hanging="491"/>
        <w:spacing w:after="0"/>
        <w:tabs>
          <w:tab w:leader="none" w:pos="346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Each Party will notify the other Party by email immediately, [***] of becoming aware of</w:t>
      </w:r>
    </w:p>
    <w:p>
      <w:pPr>
        <w:spacing w:after="0" w:line="11" w:lineRule="exact"/>
        <w:rPr>
          <w:rFonts w:ascii="Arial" w:cs="Arial" w:eastAsia="Arial" w:hAnsi="Arial"/>
          <w:sz w:val="18"/>
          <w:szCs w:val="18"/>
          <w:color w:val="auto"/>
        </w:rPr>
      </w:pPr>
    </w:p>
    <w:p>
      <w:pPr>
        <w:ind w:left="1020" w:right="160" w:firstLine="5"/>
        <w:spacing w:after="0" w:line="212" w:lineRule="auto"/>
        <w:tabs>
          <w:tab w:leader="none" w:pos="13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any act or omission that materially compromises the security, confidentiality, or integrity of the physical, technical, administrative, or organizational safeguards put in place by or on behalf of a Party, that relate to the protection of the security, confidentiality, or integrity of Secured Information or Protected Personal Information, or (2) receipt of a notification in relation to Protected Personal Information or the privacy and data security practices of such Party or any actual or suspected accidental or unlawful destruction, loss, alteration, disclosure of, or access to, Protected Personal Information transmitted, stored or otherwise Processed; (each of (1) and (2) individually and collectively a “</w:t>
      </w:r>
      <w:r>
        <w:rPr>
          <w:rFonts w:ascii="Arial" w:cs="Arial" w:eastAsia="Arial" w:hAnsi="Arial"/>
          <w:sz w:val="20"/>
          <w:szCs w:val="20"/>
          <w:b w:val="1"/>
          <w:bCs w:val="1"/>
          <w:color w:val="auto"/>
        </w:rPr>
        <w:t>Security</w:t>
      </w:r>
      <w:r>
        <w:rPr>
          <w:rFonts w:ascii="Arial" w:cs="Arial" w:eastAsia="Arial" w:hAnsi="Arial"/>
          <w:sz w:val="20"/>
          <w:szCs w:val="20"/>
          <w:color w:val="auto"/>
        </w:rPr>
        <w:t xml:space="preserve"> </w:t>
      </w:r>
      <w:r>
        <w:rPr>
          <w:rFonts w:ascii="Arial" w:cs="Arial" w:eastAsia="Arial" w:hAnsi="Arial"/>
          <w:sz w:val="20"/>
          <w:szCs w:val="20"/>
          <w:b w:val="1"/>
          <w:bCs w:val="1"/>
          <w:color w:val="auto"/>
        </w:rPr>
        <w:t>Incident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620"/>
          </w:cols>
          <w:pgMar w:left="400" w:top="1440" w:right="879" w:bottom="1440" w:gutter="0" w:footer="0" w:header="0"/>
        </w:sectPr>
      </w:pPr>
    </w:p>
    <w:bookmarkStart w:id="186" w:name="page187"/>
    <w:bookmarkEnd w:id="186"/>
    <w:p>
      <w:pPr>
        <w:spacing w:after="0" w:line="195" w:lineRule="exact"/>
        <w:rPr>
          <w:sz w:val="20"/>
          <w:szCs w:val="20"/>
          <w:color w:val="auto"/>
        </w:rPr>
      </w:pPr>
    </w:p>
    <w:p>
      <w:pPr>
        <w:jc w:val="both"/>
        <w:ind w:left="1020" w:right="20" w:firstLine="1949"/>
        <w:spacing w:after="0" w:line="246" w:lineRule="auto"/>
        <w:tabs>
          <w:tab w:leader="none" w:pos="3391" w:val="left"/>
        </w:tabs>
        <w:numPr>
          <w:ilvl w:val="2"/>
          <w:numId w:val="147"/>
        </w:numPr>
        <w:rPr>
          <w:rFonts w:ascii="Arial" w:cs="Arial" w:eastAsia="Arial" w:hAnsi="Arial"/>
          <w:sz w:val="18"/>
          <w:szCs w:val="18"/>
          <w:color w:val="auto"/>
        </w:rPr>
      </w:pPr>
      <w:r>
        <w:rPr>
          <w:rFonts w:ascii="Arial" w:cs="Arial" w:eastAsia="Arial" w:hAnsi="Arial"/>
          <w:sz w:val="18"/>
          <w:szCs w:val="18"/>
          <w:color w:val="auto"/>
        </w:rPr>
        <w:t>Other than as required by Applicable Laws and Regulations or a contractual obligation to a Third Party, each Party agrees that it will not inform any Third Party of an actual or potential Security Incident related to the other Party’s Confidential Information (including but not limited to work product under the Agreement and such other Party’s intellectual property) without first obtaining such other Party’s prior consent.</w:t>
      </w:r>
    </w:p>
    <w:p>
      <w:pPr>
        <w:spacing w:after="0" w:line="198" w:lineRule="exact"/>
        <w:rPr>
          <w:rFonts w:ascii="Arial" w:cs="Arial" w:eastAsia="Arial" w:hAnsi="Arial"/>
          <w:sz w:val="18"/>
          <w:szCs w:val="18"/>
          <w:color w:val="auto"/>
        </w:rPr>
      </w:pPr>
    </w:p>
    <w:p>
      <w:pPr>
        <w:ind w:left="1020" w:right="80" w:firstLine="1301"/>
        <w:spacing w:after="0" w:line="222" w:lineRule="auto"/>
        <w:tabs>
          <w:tab w:leader="none" w:pos="2744" w:val="left"/>
        </w:tabs>
        <w:numPr>
          <w:ilvl w:val="1"/>
          <w:numId w:val="148"/>
        </w:numPr>
        <w:rPr>
          <w:rFonts w:ascii="Arial" w:cs="Arial" w:eastAsia="Arial" w:hAnsi="Arial"/>
          <w:sz w:val="19"/>
          <w:szCs w:val="19"/>
          <w:color w:val="auto"/>
        </w:rPr>
      </w:pPr>
      <w:r>
        <w:rPr>
          <w:rFonts w:ascii="Arial" w:cs="Arial" w:eastAsia="Arial" w:hAnsi="Arial"/>
          <w:sz w:val="19"/>
          <w:szCs w:val="19"/>
          <w:b w:val="1"/>
          <w:bCs w:val="1"/>
          <w:color w:val="auto"/>
        </w:rPr>
        <w:t>Export Control Laws</w:t>
      </w:r>
      <w:r>
        <w:rPr>
          <w:rFonts w:ascii="Arial" w:cs="Arial" w:eastAsia="Arial" w:hAnsi="Arial"/>
          <w:sz w:val="19"/>
          <w:szCs w:val="19"/>
          <w:color w:val="auto"/>
        </w:rPr>
        <w:t>. Each Party will comply with all Applicable Laws and Regulations relating</w:t>
      </w:r>
      <w:r>
        <w:rPr>
          <w:rFonts w:ascii="Arial" w:cs="Arial" w:eastAsia="Arial" w:hAnsi="Arial"/>
          <w:sz w:val="19"/>
          <w:szCs w:val="19"/>
          <w:b w:val="1"/>
          <w:bCs w:val="1"/>
          <w:color w:val="auto"/>
        </w:rPr>
        <w:t xml:space="preserve"> </w:t>
      </w:r>
      <w:r>
        <w:rPr>
          <w:rFonts w:ascii="Arial" w:cs="Arial" w:eastAsia="Arial" w:hAnsi="Arial"/>
          <w:sz w:val="19"/>
          <w:szCs w:val="19"/>
          <w:color w:val="auto"/>
        </w:rPr>
        <w:t>to (i) economic and trade sanctions and embargoes imposed by the Office of Foreign Assets Control of the U.S. Department of Treasury or (ii) the export or re-export of commodities, technologies or services (“</w:t>
      </w:r>
      <w:r>
        <w:rPr>
          <w:rFonts w:ascii="Arial" w:cs="Arial" w:eastAsia="Arial" w:hAnsi="Arial"/>
          <w:sz w:val="19"/>
          <w:szCs w:val="19"/>
          <w:b w:val="1"/>
          <w:bCs w:val="1"/>
          <w:color w:val="auto"/>
        </w:rPr>
        <w:t>Export Control</w:t>
      </w:r>
      <w:r>
        <w:rPr>
          <w:rFonts w:ascii="Arial" w:cs="Arial" w:eastAsia="Arial" w:hAnsi="Arial"/>
          <w:sz w:val="19"/>
          <w:szCs w:val="19"/>
          <w:color w:val="auto"/>
        </w:rPr>
        <w:t xml:space="preserve"> </w:t>
      </w:r>
      <w:r>
        <w:rPr>
          <w:rFonts w:ascii="Arial" w:cs="Arial" w:eastAsia="Arial" w:hAnsi="Arial"/>
          <w:sz w:val="19"/>
          <w:szCs w:val="19"/>
          <w:b w:val="1"/>
          <w:bCs w:val="1"/>
          <w:color w:val="auto"/>
        </w:rPr>
        <w:t>Laws</w:t>
      </w:r>
      <w:r>
        <w:rPr>
          <w:rFonts w:ascii="Arial" w:cs="Arial" w:eastAsia="Arial" w:hAnsi="Arial"/>
          <w:sz w:val="19"/>
          <w:szCs w:val="19"/>
          <w:color w:val="auto"/>
        </w:rPr>
        <w:t>”). Each Party acknowledges and expressly agrees that certain laws of the United States and other countries,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without limitation, the Export Control Laws, the United States Anti-Money Laundering laws, the United States Anti-Terrorism laws and the FCPA, and U.S. sanctions programs administered by the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and the Bureau of Industry and Security, among others, may result in the imposition of sanctions on the other Party or its Affiliates in the event that, directly or indirectly, products are exported to or imported from, or payments are sent to or received from various countries or regions. Each Party warrants that it has searched OFAC’s Consolidated Sanctions List, available at https://sdnsearch.ofac.treas.gov, in order to ensure compliance with all applicable sanctions regulations.</w:t>
      </w:r>
    </w:p>
    <w:p>
      <w:pPr>
        <w:spacing w:after="0" w:line="193" w:lineRule="exact"/>
        <w:rPr>
          <w:rFonts w:ascii="Arial" w:cs="Arial" w:eastAsia="Arial" w:hAnsi="Arial"/>
          <w:sz w:val="19"/>
          <w:szCs w:val="19"/>
          <w:color w:val="auto"/>
        </w:rPr>
      </w:pPr>
    </w:p>
    <w:p>
      <w:pPr>
        <w:ind w:left="1020" w:firstLine="1301"/>
        <w:spacing w:after="0" w:line="228" w:lineRule="auto"/>
        <w:tabs>
          <w:tab w:leader="none" w:pos="2734" w:val="left"/>
        </w:tabs>
        <w:numPr>
          <w:ilvl w:val="1"/>
          <w:numId w:val="148"/>
        </w:numPr>
        <w:rPr>
          <w:rFonts w:ascii="Arial" w:cs="Arial" w:eastAsia="Arial" w:hAnsi="Arial"/>
          <w:sz w:val="19"/>
          <w:szCs w:val="19"/>
          <w:color w:val="auto"/>
        </w:rPr>
      </w:pPr>
      <w:r>
        <w:rPr>
          <w:rFonts w:ascii="Arial" w:cs="Arial" w:eastAsia="Arial" w:hAnsi="Arial"/>
          <w:sz w:val="19"/>
          <w:szCs w:val="19"/>
          <w:b w:val="1"/>
          <w:bCs w:val="1"/>
          <w:color w:val="auto"/>
        </w:rPr>
        <w:t>Compliance Event Reporting</w:t>
      </w:r>
      <w:r>
        <w:rPr>
          <w:rFonts w:ascii="Arial" w:cs="Arial" w:eastAsia="Arial" w:hAnsi="Arial"/>
          <w:sz w:val="19"/>
          <w:szCs w:val="19"/>
          <w:color w:val="auto"/>
        </w:rPr>
        <w:t>. The other Party may disclose the terms of this Agreement or any</w:t>
      </w:r>
      <w:r>
        <w:rPr>
          <w:rFonts w:ascii="Arial" w:cs="Arial" w:eastAsia="Arial" w:hAnsi="Arial"/>
          <w:sz w:val="19"/>
          <w:szCs w:val="19"/>
          <w:b w:val="1"/>
          <w:bCs w:val="1"/>
          <w:color w:val="auto"/>
        </w:rPr>
        <w:t xml:space="preserve"> </w:t>
      </w:r>
      <w:r>
        <w:rPr>
          <w:rFonts w:ascii="Arial" w:cs="Arial" w:eastAsia="Arial" w:hAnsi="Arial"/>
          <w:sz w:val="19"/>
          <w:szCs w:val="19"/>
          <w:color w:val="auto"/>
        </w:rPr>
        <w:t>action taken under this Section 13.2 (Covenants, Representations and Warranties For Compliance with Laws) to prevent a potential violation or continuing violation of applicable Anti- Corruption Laws, Data Protection Laws or Export Control Laws, including the identity of the Subject Party and the payment terms, to any government authority if the other Party determines, upon advice of counsel, that such disclosure is necessary.</w:t>
      </w:r>
    </w:p>
    <w:p>
      <w:pPr>
        <w:spacing w:after="0" w:line="190" w:lineRule="exact"/>
        <w:rPr>
          <w:rFonts w:ascii="Arial" w:cs="Arial" w:eastAsia="Arial" w:hAnsi="Arial"/>
          <w:sz w:val="19"/>
          <w:szCs w:val="19"/>
          <w:color w:val="auto"/>
        </w:rPr>
      </w:pPr>
    </w:p>
    <w:p>
      <w:pPr>
        <w:ind w:left="1480" w:hanging="455"/>
        <w:spacing w:after="0"/>
        <w:tabs>
          <w:tab w:leader="none" w:pos="1480" w:val="left"/>
        </w:tabs>
        <w:numPr>
          <w:ilvl w:val="0"/>
          <w:numId w:val="149"/>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ind w:left="1020" w:right="60" w:firstLine="648"/>
        <w:spacing w:after="0" w:line="24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Representations and Warranties of MacroGenics</w:t>
      </w:r>
      <w:r>
        <w:rPr>
          <w:rFonts w:ascii="Arial" w:cs="Arial" w:eastAsia="Arial" w:hAnsi="Arial"/>
          <w:sz w:val="18"/>
          <w:szCs w:val="18"/>
          <w:color w:val="auto"/>
        </w:rPr>
        <w:t xml:space="preserve">. Except as set forth on </w:t>
      </w:r>
      <w:r>
        <w:rPr>
          <w:rFonts w:ascii="Arial" w:cs="Arial" w:eastAsia="Arial" w:hAnsi="Arial"/>
          <w:sz w:val="18"/>
          <w:szCs w:val="18"/>
          <w:b w:val="1"/>
          <w:bCs w:val="1"/>
          <w:color w:val="auto"/>
        </w:rPr>
        <w:t>Schedule 14.1</w:t>
      </w:r>
      <w:r>
        <w:rPr>
          <w:rFonts w:ascii="Arial" w:cs="Arial" w:eastAsia="Arial" w:hAnsi="Arial"/>
          <w:sz w:val="18"/>
          <w:szCs w:val="18"/>
          <w:color w:val="auto"/>
        </w:rPr>
        <w:t xml:space="preserve"> (Exceptions to the Representations and Warranties of MacroGenics) (which schedule may be updated by MacroGenics immediately</w:t>
      </w:r>
    </w:p>
    <w:p>
      <w:pPr>
        <w:spacing w:after="0" w:line="1" w:lineRule="exact"/>
        <w:rPr>
          <w:sz w:val="20"/>
          <w:szCs w:val="20"/>
          <w:color w:val="auto"/>
        </w:rPr>
      </w:pPr>
    </w:p>
    <w:p>
      <w:pPr>
        <w:ind w:left="1020" w:right="120"/>
        <w:spacing w:after="0" w:line="255" w:lineRule="auto"/>
        <w:rPr>
          <w:sz w:val="20"/>
          <w:szCs w:val="20"/>
          <w:color w:val="auto"/>
        </w:rPr>
      </w:pPr>
      <w:r>
        <w:rPr>
          <w:rFonts w:ascii="Arial" w:cs="Arial" w:eastAsia="Arial" w:hAnsi="Arial"/>
          <w:sz w:val="16"/>
          <w:szCs w:val="16"/>
          <w:color w:val="auto"/>
        </w:rPr>
        <w:t>prior to the CD123 Option Effective Date and each Research Program Opt-In Effective Date), MacroGenics represents and warrants to Gilead that, as of the Effective Date the CD123 Option Effective Date and each Research Program Opt-</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In Effective Date:</w:t>
      </w:r>
    </w:p>
    <w:p>
      <w:pPr>
        <w:spacing w:after="0" w:line="200" w:lineRule="exact"/>
        <w:rPr>
          <w:sz w:val="20"/>
          <w:szCs w:val="20"/>
          <w:color w:val="auto"/>
        </w:rPr>
      </w:pPr>
    </w:p>
    <w:p>
      <w:pPr>
        <w:ind w:left="1020" w:right="880" w:firstLine="1301"/>
        <w:spacing w:after="0" w:line="236" w:lineRule="auto"/>
        <w:tabs>
          <w:tab w:leader="none" w:pos="273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it is duly organized, validly existing and in good standing under the Applicable Law and Regulations of the jurisdiction of its formation;</w:t>
      </w:r>
    </w:p>
    <w:p>
      <w:pPr>
        <w:spacing w:after="0" w:line="195" w:lineRule="exact"/>
        <w:rPr>
          <w:rFonts w:ascii="Arial" w:cs="Arial" w:eastAsia="Arial" w:hAnsi="Arial"/>
          <w:sz w:val="20"/>
          <w:szCs w:val="20"/>
          <w:color w:val="auto"/>
        </w:rPr>
      </w:pPr>
    </w:p>
    <w:p>
      <w:pPr>
        <w:ind w:left="1020" w:right="400" w:firstLine="1301"/>
        <w:spacing w:after="0" w:line="243" w:lineRule="auto"/>
        <w:tabs>
          <w:tab w:leader="none" w:pos="274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on behalf of such Party and constitutes a legal, valid and binding obligation, enforceable against it in accordance with its terms, except to the extent that enforcement of the rights and remedies created hereby is subject to: (i) bankruptcy, insolvency, reorganization, moratorium and other similar laws of general application affecting the rights and remedies of creditors; or (ii) laws governing specific performance, injunctive relief and other equitable remedies;</w:t>
      </w:r>
    </w:p>
    <w:p>
      <w:pPr>
        <w:spacing w:after="0" w:line="194" w:lineRule="exact"/>
        <w:rPr>
          <w:rFonts w:ascii="Arial" w:cs="Arial" w:eastAsia="Arial" w:hAnsi="Arial"/>
          <w:sz w:val="18"/>
          <w:szCs w:val="18"/>
          <w:color w:val="auto"/>
        </w:rPr>
      </w:pPr>
    </w:p>
    <w:p>
      <w:pPr>
        <w:ind w:left="1020" w:right="60" w:firstLine="1301"/>
        <w:spacing w:after="0" w:line="220" w:lineRule="auto"/>
        <w:tabs>
          <w:tab w:leader="none" w:pos="273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it has the full right, power and authority to enter into this Agreement, to grant the licenses contemplated hereunder, and the fulfillment of its obligations and performance of its activities hereunder do not conflict with, violate, or breach or constitute a default under any contractual obligation or court or administrative order by which MacroGenics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620"/>
          </w:cols>
          <w:pgMar w:left="400" w:top="1440" w:right="879" w:bottom="1440" w:gutter="0" w:footer="0" w:header="0"/>
        </w:sectPr>
      </w:pPr>
    </w:p>
    <w:bookmarkStart w:id="187" w:name="page188"/>
    <w:bookmarkEnd w:id="187"/>
    <w:p>
      <w:pPr>
        <w:spacing w:after="0" w:line="209" w:lineRule="exact"/>
        <w:rPr>
          <w:sz w:val="20"/>
          <w:szCs w:val="20"/>
          <w:color w:val="auto"/>
        </w:rPr>
      </w:pPr>
    </w:p>
    <w:p>
      <w:pPr>
        <w:ind w:left="1020" w:right="120" w:firstLine="1301"/>
        <w:spacing w:after="0" w:line="257" w:lineRule="auto"/>
        <w:tabs>
          <w:tab w:leader="none" w:pos="274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all necessary consents, approvals and authorizations of all government authorities and other persons required to be obtained by MacroGenics as of the Effective Date in connection with the execution, delivery and performance of this Agreement have been obtained;</w:t>
      </w:r>
    </w:p>
    <w:p>
      <w:pPr>
        <w:spacing w:after="0" w:line="192" w:lineRule="exact"/>
        <w:rPr>
          <w:rFonts w:ascii="Arial" w:cs="Arial" w:eastAsia="Arial" w:hAnsi="Arial"/>
          <w:sz w:val="20"/>
          <w:szCs w:val="20"/>
          <w:color w:val="auto"/>
        </w:rPr>
      </w:pPr>
    </w:p>
    <w:p>
      <w:pPr>
        <w:ind w:left="1020" w:right="160" w:firstLine="1301"/>
        <w:spacing w:after="0" w:line="226" w:lineRule="auto"/>
        <w:tabs>
          <w:tab w:leader="none" w:pos="273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it Controls the right, title and interest in and to the MacroGenics Licensed Patents and MacroGenics Licensed Know-How, and has the right to grant to Gilead the licenses under such MacroGenics Licensed Patents and MacroGenics Licensed Know-How and the sublicenses under the Existing Upstream License Agreements that it purports to grant and may grant hereunder and has not granted any Third Party rights under such MacroGenics Licensed Patents, MacroGenics Licensed Know- How and Existing Upstream License Agreements that would interfere or be inconsistent with Gilead’s rights hereunder;</w:t>
      </w:r>
    </w:p>
    <w:p>
      <w:pPr>
        <w:spacing w:after="0" w:line="190" w:lineRule="exact"/>
        <w:rPr>
          <w:rFonts w:ascii="Arial" w:cs="Arial" w:eastAsia="Arial" w:hAnsi="Arial"/>
          <w:sz w:val="19"/>
          <w:szCs w:val="19"/>
          <w:color w:val="auto"/>
        </w:rPr>
      </w:pPr>
    </w:p>
    <w:p>
      <w:pPr>
        <w:ind w:left="1020" w:right="100" w:firstLine="1301"/>
        <w:spacing w:after="0" w:line="239" w:lineRule="auto"/>
        <w:tabs>
          <w:tab w:leader="none" w:pos="271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as of the Effective Date, </w:t>
      </w:r>
      <w:r>
        <w:rPr>
          <w:rFonts w:ascii="Arial" w:cs="Arial" w:eastAsia="Arial" w:hAnsi="Arial"/>
          <w:sz w:val="18"/>
          <w:szCs w:val="18"/>
          <w:b w:val="1"/>
          <w:bCs w:val="1"/>
          <w:color w:val="auto"/>
        </w:rPr>
        <w:t>Schedule 1.80</w:t>
      </w:r>
      <w:r>
        <w:rPr>
          <w:rFonts w:ascii="Arial" w:cs="Arial" w:eastAsia="Arial" w:hAnsi="Arial"/>
          <w:sz w:val="18"/>
          <w:szCs w:val="18"/>
          <w:color w:val="auto"/>
        </w:rPr>
        <w:t xml:space="preserve"> (MacroGenics Licensed Patents) sets forth a complete and accurate list of all MacroGenics Licensed Patents issued or pending, and all such Patents have been prosecuted and maintained by or on behalf of MacroGenics in good faith and if issued, are in full force and effect and to its MacroGenics’ Knowledge, are valid and enforceable. All application, registration, maintenance and renewal fees due as of the Effective Date with respect to all MacroGenics Licensed Patents set forth on </w:t>
      </w:r>
      <w:r>
        <w:rPr>
          <w:rFonts w:ascii="Arial" w:cs="Arial" w:eastAsia="Arial" w:hAnsi="Arial"/>
          <w:sz w:val="18"/>
          <w:szCs w:val="18"/>
          <w:b w:val="1"/>
          <w:bCs w:val="1"/>
          <w:color w:val="auto"/>
        </w:rPr>
        <w:t>Schedule 1.80</w:t>
      </w:r>
      <w:r>
        <w:rPr>
          <w:rFonts w:ascii="Arial" w:cs="Arial" w:eastAsia="Arial" w:hAnsi="Arial"/>
          <w:sz w:val="18"/>
          <w:szCs w:val="18"/>
          <w:color w:val="auto"/>
        </w:rPr>
        <w:t xml:space="preserve"> (MacroGenics Licensed Patents) have been paid and all necessary documents and certificates have been filed with the relevant patent registries for the purpose of maintaining such MacroGenics Licensed Patents;</w:t>
      </w:r>
    </w:p>
    <w:p>
      <w:pPr>
        <w:spacing w:after="0" w:line="210" w:lineRule="exact"/>
        <w:rPr>
          <w:rFonts w:ascii="Arial" w:cs="Arial" w:eastAsia="Arial" w:hAnsi="Arial"/>
          <w:sz w:val="18"/>
          <w:szCs w:val="18"/>
          <w:color w:val="auto"/>
        </w:rPr>
      </w:pPr>
    </w:p>
    <w:p>
      <w:pPr>
        <w:ind w:left="1020" w:right="80" w:firstLine="1301"/>
        <w:spacing w:after="0" w:line="291" w:lineRule="auto"/>
        <w:tabs>
          <w:tab w:leader="none" w:pos="274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with respect to any MacroGenics Licensed Technology that is licensed under the Upstream License Agreements, the MacroGenics Licensed Patents and MacroGenics Licensed Know-How are not subject to any other Third Party agreements or existing royalty or other payment obligations to any Third Party;</w:t>
      </w:r>
    </w:p>
    <w:p>
      <w:pPr>
        <w:spacing w:after="0" w:line="178" w:lineRule="exact"/>
        <w:rPr>
          <w:rFonts w:ascii="Arial" w:cs="Arial" w:eastAsia="Arial" w:hAnsi="Arial"/>
          <w:sz w:val="18"/>
          <w:szCs w:val="18"/>
          <w:color w:val="auto"/>
        </w:rPr>
      </w:pPr>
    </w:p>
    <w:p>
      <w:pPr>
        <w:jc w:val="both"/>
        <w:ind w:left="1020" w:right="140" w:firstLine="1301"/>
        <w:spacing w:after="0" w:line="252" w:lineRule="auto"/>
        <w:tabs>
          <w:tab w:leader="none" w:pos="274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with respect to any MacroGenics Licensed Technology that is licensed under the Existing Upstream License Agreements, MacroGenics is the sole and exclusive owner of the MacroGenics Licensed Patents and MacroGenics Licensed Know-How, in each case, free and clear of all liens and encumbrances;</w:t>
      </w:r>
    </w:p>
    <w:p>
      <w:pPr>
        <w:spacing w:after="0" w:line="198" w:lineRule="exact"/>
        <w:rPr>
          <w:rFonts w:ascii="Arial" w:cs="Arial" w:eastAsia="Arial" w:hAnsi="Arial"/>
          <w:sz w:val="18"/>
          <w:szCs w:val="18"/>
          <w:color w:val="auto"/>
        </w:rPr>
      </w:pPr>
    </w:p>
    <w:p>
      <w:pPr>
        <w:ind w:left="1020" w:firstLine="1301"/>
        <w:spacing w:after="0" w:line="214" w:lineRule="auto"/>
        <w:tabs>
          <w:tab w:leader="none" w:pos="2699" w:val="left"/>
        </w:tabs>
        <w:numPr>
          <w:ilvl w:val="0"/>
          <w:numId w:val="151"/>
        </w:numPr>
        <w:rPr>
          <w:rFonts w:ascii="Arial" w:cs="Arial" w:eastAsia="Arial" w:hAnsi="Arial"/>
          <w:sz w:val="20"/>
          <w:szCs w:val="20"/>
          <w:color w:val="auto"/>
        </w:rPr>
      </w:pPr>
      <w:r>
        <w:rPr>
          <w:rFonts w:ascii="Arial" w:cs="Arial" w:eastAsia="Arial" w:hAnsi="Arial"/>
          <w:sz w:val="20"/>
          <w:szCs w:val="20"/>
          <w:color w:val="auto"/>
        </w:rPr>
        <w:t>MacroGenics and its Affiliates have obtained from all individuals who participated in any respect in the invention or authorship of any MacroGenics Licensed Technology effective assignments of all ownership rights of such individuals in such MacroGenics Licensed Technology, either pursuant to written agreement or by operation of law; and to the Knowledge of MacroGenics, no Person who claims to be an inventor of an invention claimed in a MacroGenics Licensed Patent is not identified as an inventor of such invention in the filed patent documents for such MacroGenics Licensed Patent;</w:t>
      </w:r>
    </w:p>
    <w:p>
      <w:pPr>
        <w:spacing w:after="0" w:line="200" w:lineRule="exact"/>
        <w:rPr>
          <w:rFonts w:ascii="Arial" w:cs="Arial" w:eastAsia="Arial" w:hAnsi="Arial"/>
          <w:sz w:val="20"/>
          <w:szCs w:val="20"/>
          <w:color w:val="auto"/>
        </w:rPr>
      </w:pPr>
    </w:p>
    <w:p>
      <w:pPr>
        <w:ind w:left="1020" w:right="60" w:firstLine="1301"/>
        <w:spacing w:after="0" w:line="223" w:lineRule="auto"/>
        <w:tabs>
          <w:tab w:leader="none" w:pos="270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all of MacroGenics and its Affiliates’ employees, officers and consultants: (1) have executed agreements or have existing obligations under Applicable Law and Regulations requiring assignment to MacroGenics or its Affiliates of all inventions made during the course of and as the result of their association with MacroGenics or its Affiliates, as applicable, and obligating the individual to assign to MacroGenics or its Affiliates, as applicable, all inventions made during the course of performance under this Agreement; (2) are not subject to any agreement with any other Third Party that requires such officer or employee or consultant to assign any interest in any MacroGenics Licensed Technology to such Third Party; and (3) have executed agreements or have existing obligations under Applicable Law and Regulations obligating the individual to maintain as confidential MacroGenics’ Confidential Information as well as confidential information of other parties (including of Gilead and its Affiliates) that such individual may receive in its performance under this Agreement, to the extent required to support MacroGenics’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620"/>
          </w:cols>
          <w:pgMar w:left="400" w:top="1440" w:right="879" w:bottom="1440" w:gutter="0" w:footer="0" w:header="0"/>
        </w:sectPr>
      </w:pPr>
    </w:p>
    <w:bookmarkStart w:id="188" w:name="page189"/>
    <w:bookmarkEnd w:id="188"/>
    <w:p>
      <w:pPr>
        <w:spacing w:after="0" w:line="195" w:lineRule="exact"/>
        <w:rPr>
          <w:sz w:val="20"/>
          <w:szCs w:val="20"/>
          <w:color w:val="auto"/>
        </w:rPr>
      </w:pPr>
    </w:p>
    <w:p>
      <w:pPr>
        <w:ind w:left="1020" w:right="60" w:firstLine="1301"/>
        <w:spacing w:after="0" w:line="220" w:lineRule="auto"/>
        <w:tabs>
          <w:tab w:leader="none" w:pos="274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there is no action, suit, inquiry, investigation or other proceeding threatened in writing, pending, or ongoing by any Third Party that challenges or threatens the validity or enforceability of any of the MacroGenics Licensed Patents or MacroGenics Licensed Know-How. In the event that MacroGenics receives written notice of any such action or proceeding, it shall notify Gilead in writing;</w:t>
      </w:r>
    </w:p>
    <w:p>
      <w:pPr>
        <w:spacing w:after="0" w:line="196" w:lineRule="exact"/>
        <w:rPr>
          <w:rFonts w:ascii="Arial" w:cs="Arial" w:eastAsia="Arial" w:hAnsi="Arial"/>
          <w:sz w:val="20"/>
          <w:szCs w:val="20"/>
          <w:color w:val="auto"/>
        </w:rPr>
      </w:pPr>
    </w:p>
    <w:p>
      <w:pPr>
        <w:ind w:left="1020" w:right="140" w:firstLine="1301"/>
        <w:spacing w:after="0" w:line="231" w:lineRule="auto"/>
        <w:tabs>
          <w:tab w:leader="none" w:pos="269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to the Knowledge of MacroGenics, the use of the MacroGenics Licensed Technology in the performance of the activities under the CD123 Development Plan and the Exploitation of any CD123 Molecule or CD123 Product, in each case, as contemplated to be conducted under this Agreement, does not infringe, misappropriate or otherwise violate any intellectual property owned or controlled by any Third Party;</w:t>
      </w:r>
    </w:p>
    <w:p>
      <w:pPr>
        <w:spacing w:after="0" w:line="198" w:lineRule="exact"/>
        <w:rPr>
          <w:rFonts w:ascii="Arial" w:cs="Arial" w:eastAsia="Arial" w:hAnsi="Arial"/>
          <w:sz w:val="19"/>
          <w:szCs w:val="19"/>
          <w:color w:val="auto"/>
        </w:rPr>
      </w:pPr>
    </w:p>
    <w:p>
      <w:pPr>
        <w:ind w:left="1020" w:firstLine="1301"/>
        <w:spacing w:after="0" w:line="228" w:lineRule="auto"/>
        <w:tabs>
          <w:tab w:leader="none" w:pos="28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there is no action, suit, inquiry, investigation or other proceeding threatened in writing, pending, or ongoing by any Third Party (and it is not aware of any grounds therefor) that alleges the use of the MacroGenics Licensed Patents or the MacroGenics Licensed Know-How or the Exploitation of any Licensed Molecule or Licensed Product would infringe, misappropriate or otherwise violate any intellectual property rights of any Third Party (and it has not received any written notice alleging such an infringement). In the event that MacroGenics receives written notice of any such action or proceeding, it shall notify Gilead in writing;</w:t>
      </w:r>
    </w:p>
    <w:p>
      <w:pPr>
        <w:spacing w:after="0" w:line="193" w:lineRule="exact"/>
        <w:rPr>
          <w:rFonts w:ascii="Arial" w:cs="Arial" w:eastAsia="Arial" w:hAnsi="Arial"/>
          <w:sz w:val="19"/>
          <w:szCs w:val="19"/>
          <w:color w:val="auto"/>
        </w:rPr>
      </w:pPr>
    </w:p>
    <w:p>
      <w:pPr>
        <w:ind w:left="1020" w:right="80" w:firstLine="1301"/>
        <w:spacing w:after="0" w:line="264" w:lineRule="auto"/>
        <w:tabs>
          <w:tab w:leader="none" w:pos="2744"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Schedule 1.151 </w:t>
      </w:r>
      <w:r>
        <w:rPr>
          <w:rFonts w:ascii="Arial" w:cs="Arial" w:eastAsia="Arial" w:hAnsi="Arial"/>
          <w:sz w:val="16"/>
          <w:szCs w:val="16"/>
          <w:color w:val="auto"/>
        </w:rPr>
        <w:t>(Upstream License Agreements) sets forth a complete and accurate list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Upstream License Agreements in effect as of the Effective Date, the CD123 Option Effective Date or the Research Program Opt-In Effective Date (as applicable). MacroGenics has provided Gilead true, correct and complete copies of each such Upstream License Agreement (in reasonably redacted form). Each such Upstream License Agreement is in full force and effect, and there has been no default of or under (or notice of default of or under) any such Upstream License Agreement, in each case, that could give the relevant Third Party licensor to such Upstream License Agreement the right to terminate such agreement as a result of any action or omission or alleged act or omission of MacroGenics or its Affiliates or, to the Knowledge of MacroGenics, the actions or omissions of any Third Party. MacroGenics has not waived any of its rights under any such Upstream License Agreement to which it is party. Immediately following the Effective Date, the CD123 Option Effective Date or the Research Program Opt-In Effective Date (as applicable), MacroGenics will continue to be permitted to exercise all of its rights under each such Upstream License Agreement to which it is party pursuant to the terms thereof without the payment of any additional amounts of consideration beyond ongoing fees, royalties or payments that MacroGenics would otherwise be required to pay in accordance with the terms of such Upstream License Agreement had the transactions contemplated by this Agreement not occurred;</w:t>
      </w:r>
    </w:p>
    <w:p>
      <w:pPr>
        <w:spacing w:after="0" w:line="393" w:lineRule="exact"/>
        <w:rPr>
          <w:rFonts w:ascii="Arial" w:cs="Arial" w:eastAsia="Arial" w:hAnsi="Arial"/>
          <w:sz w:val="16"/>
          <w:szCs w:val="16"/>
          <w:color w:val="auto"/>
        </w:rPr>
      </w:pPr>
    </w:p>
    <w:p>
      <w:pPr>
        <w:ind w:left="1020" w:right="80" w:firstLine="1301"/>
        <w:spacing w:after="0" w:line="226" w:lineRule="auto"/>
        <w:tabs>
          <w:tab w:leader="none" w:pos="2743" w:val="left"/>
        </w:tabs>
        <w:numPr>
          <w:ilvl w:val="0"/>
          <w:numId w:val="152"/>
        </w:numPr>
        <w:rPr>
          <w:rFonts w:ascii="Arial" w:cs="Arial" w:eastAsia="Arial" w:hAnsi="Arial"/>
          <w:sz w:val="19"/>
          <w:szCs w:val="19"/>
          <w:color w:val="auto"/>
        </w:rPr>
      </w:pPr>
      <w:r>
        <w:rPr>
          <w:rFonts w:ascii="Arial" w:cs="Arial" w:eastAsia="Arial" w:hAnsi="Arial"/>
          <w:sz w:val="19"/>
          <w:szCs w:val="19"/>
          <w:b w:val="1"/>
          <w:bCs w:val="1"/>
          <w:color w:val="auto"/>
        </w:rPr>
        <w:t xml:space="preserve">Schedule 9.1(a)(i) </w:t>
      </w:r>
      <w:r>
        <w:rPr>
          <w:rFonts w:ascii="Arial" w:cs="Arial" w:eastAsia="Arial" w:hAnsi="Arial"/>
          <w:sz w:val="19"/>
          <w:szCs w:val="19"/>
          <w:color w:val="auto"/>
        </w:rPr>
        <w:t>(Existing CMO Agreements) sets forth a complete and accurate list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Existing CMO Agreements. MacroGenics has provided Gilead true, correct and complete copies of each such Existing CMO Agreement (in reasonably redacted form). Each such Existing CMO Agreement is in full force and effect, and there has been no default of or under (or notice of default of or under) any such Existing CMO Agreement, in each case, that could give the relevant Third Party CMO under such Existing CMO Agreement the right to terminate such agreement as a result of any action or omission or alleged act or omission of MacroGenics or its Affiliates or, to the Knowledge of MacroGenics, the actions or omissions of any Third Party;</w:t>
      </w:r>
    </w:p>
    <w:p>
      <w:pPr>
        <w:spacing w:after="0" w:line="199" w:lineRule="exact"/>
        <w:rPr>
          <w:rFonts w:ascii="Arial" w:cs="Arial" w:eastAsia="Arial" w:hAnsi="Arial"/>
          <w:sz w:val="19"/>
          <w:szCs w:val="19"/>
          <w:color w:val="auto"/>
        </w:rPr>
      </w:pPr>
    </w:p>
    <w:p>
      <w:pPr>
        <w:jc w:val="both"/>
        <w:ind w:left="1020" w:right="300" w:firstLine="1301"/>
        <w:spacing w:after="0" w:line="246" w:lineRule="auto"/>
        <w:tabs>
          <w:tab w:leader="none" w:pos="274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MacroGenics has disclosed to Gilead (i) all safety data and other material information and data related to MGD024, including all safety data from the ongoing clinical trial for MGD024, with the study number CP-MGD024-01; and (ii) all material correspondences sent to or received from any Regulatory Authority related to MGD024, in each case ((i) and (ii)), in the possession or control of MacroGenics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620"/>
          </w:cols>
          <w:pgMar w:left="400" w:top="1440" w:right="879" w:bottom="1440" w:gutter="0" w:footer="0" w:header="0"/>
        </w:sectPr>
      </w:pPr>
    </w:p>
    <w:bookmarkStart w:id="189" w:name="page190"/>
    <w:bookmarkEnd w:id="189"/>
    <w:p>
      <w:pPr>
        <w:spacing w:after="0" w:line="195" w:lineRule="exact"/>
        <w:rPr>
          <w:sz w:val="20"/>
          <w:szCs w:val="20"/>
          <w:color w:val="auto"/>
        </w:rPr>
      </w:pPr>
    </w:p>
    <w:p>
      <w:pPr>
        <w:ind w:left="1020" w:firstLine="1301"/>
        <w:spacing w:after="0" w:line="241" w:lineRule="auto"/>
        <w:tabs>
          <w:tab w:leader="none" w:pos="274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Other than as permitted under the CD123 Development Plan or Research Plan, (i) the Development or Commercialization of the MacroGenics Platform by Gilead is not necessary (1) for Gilead to conduct the activities contemplated under the CD123 Development Plan or the Research Plans hereunder or (2) to MacroGenics’ Knowledge, for the Exploitation of any Licensed Molecule or Licensed Product by Gilead in accordance with this Agreement to the extent known to MacroGenics and (ii) MacroGenics is not, and has not, Developed or Commercialized the MacroGenics Platform in the Exploitation of any Licensed Molecule or Licensed Product;</w:t>
      </w:r>
    </w:p>
    <w:p>
      <w:pPr>
        <w:spacing w:after="0" w:line="177" w:lineRule="exact"/>
        <w:rPr>
          <w:rFonts w:ascii="Arial" w:cs="Arial" w:eastAsia="Arial" w:hAnsi="Arial"/>
          <w:sz w:val="18"/>
          <w:szCs w:val="18"/>
          <w:color w:val="auto"/>
        </w:rPr>
      </w:pPr>
    </w:p>
    <w:p>
      <w:pPr>
        <w:ind w:left="1020" w:firstLine="1301"/>
        <w:spacing w:after="0" w:line="243" w:lineRule="auto"/>
        <w:tabs>
          <w:tab w:leader="none" w:pos="271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Schedule 14.1</w:t>
      </w:r>
      <w:r>
        <w:rPr>
          <w:rFonts w:ascii="Arial" w:cs="Arial" w:eastAsia="Arial" w:hAnsi="Arial"/>
          <w:sz w:val="18"/>
          <w:szCs w:val="18"/>
          <w:color w:val="auto"/>
        </w:rPr>
        <w:t>, no government funding, facilities of a university, college, or other educational institution or research center was used in the development of any of the MacroGenics Licensed Patents that are owned or jointly owned by MacroGenics. No individual who was involved in, or who contributed to, the creation or development of any MacroGenics Licensed Patent that is owned or jointly owned by MacroGenics has performed services for the government, a university, a college, or other educational institution or research center in a manner that would affect Gilead’s rights to such MacroGenics Licensed Patent; and</w:t>
      </w:r>
    </w:p>
    <w:p>
      <w:pPr>
        <w:spacing w:after="0" w:line="193" w:lineRule="exact"/>
        <w:rPr>
          <w:rFonts w:ascii="Arial" w:cs="Arial" w:eastAsia="Arial" w:hAnsi="Arial"/>
          <w:sz w:val="18"/>
          <w:szCs w:val="18"/>
          <w:color w:val="auto"/>
        </w:rPr>
      </w:pPr>
    </w:p>
    <w:p>
      <w:pPr>
        <w:ind w:left="1020" w:right="40" w:firstLine="1301"/>
        <w:spacing w:after="0" w:line="214" w:lineRule="auto"/>
        <w:tabs>
          <w:tab w:leader="none" w:pos="272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Solely as of the Effective Date, to the Knowledge of MacroGenics, MacroGenics has not intentionally failed to furnish Gilead with any material information specifically requested by Gilead in writing, or intentionally concealed from Gilead any material information in its possessions, in each case, relating to the MacroGenics Licensed Technology, that MacroGenics reasonably believes would be material to Gilead’s decision to enter into this Agreement and undertake the commitments and obligations set forth herein as anticipated to be conducted hereunder.</w:t>
      </w:r>
    </w:p>
    <w:p>
      <w:pPr>
        <w:spacing w:after="0" w:line="195" w:lineRule="exact"/>
        <w:rPr>
          <w:sz w:val="20"/>
          <w:szCs w:val="20"/>
          <w:color w:val="auto"/>
        </w:rPr>
      </w:pPr>
    </w:p>
    <w:p>
      <w:pPr>
        <w:ind w:left="1020" w:right="140" w:firstLine="647"/>
        <w:spacing w:after="0" w:line="264"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b w:val="1"/>
          <w:bCs w:val="1"/>
          <w:color w:val="auto"/>
        </w:rPr>
        <w:t>Representations and Warranties of Gilead</w:t>
      </w:r>
      <w:r>
        <w:rPr>
          <w:rFonts w:ascii="Arial" w:cs="Arial" w:eastAsia="Arial" w:hAnsi="Arial"/>
          <w:sz w:val="19"/>
          <w:szCs w:val="19"/>
          <w:color w:val="auto"/>
        </w:rPr>
        <w:t>. Gilead represents and warrants to MacroGenics that, as of the Effective Date, the CD123 Option Effective Date and each Research Program Opt-In Effective Date:</w:t>
      </w:r>
    </w:p>
    <w:p>
      <w:pPr>
        <w:spacing w:after="0" w:line="173" w:lineRule="exact"/>
        <w:rPr>
          <w:sz w:val="20"/>
          <w:szCs w:val="20"/>
          <w:color w:val="auto"/>
        </w:rPr>
      </w:pPr>
    </w:p>
    <w:p>
      <w:pPr>
        <w:ind w:left="1020" w:right="220" w:firstLine="1301"/>
        <w:spacing w:after="0" w:line="227" w:lineRule="auto"/>
        <w:tabs>
          <w:tab w:leader="none" w:pos="2734"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it is duly organized, validly existing and in good standing under the Applicable Law and Regulations of the jurisdiction of its formation and has full corporate power and authority to enter into this Agreement and to carry out the provisions hereof;</w:t>
      </w:r>
    </w:p>
    <w:p>
      <w:pPr>
        <w:spacing w:after="0" w:line="184" w:lineRule="exact"/>
        <w:rPr>
          <w:rFonts w:ascii="Arial" w:cs="Arial" w:eastAsia="Arial" w:hAnsi="Arial"/>
          <w:sz w:val="20"/>
          <w:szCs w:val="20"/>
          <w:color w:val="auto"/>
        </w:rPr>
      </w:pPr>
    </w:p>
    <w:p>
      <w:pPr>
        <w:ind w:left="1020" w:right="380" w:firstLine="1301"/>
        <w:spacing w:after="0" w:line="243" w:lineRule="auto"/>
        <w:tabs>
          <w:tab w:leader="none" w:pos="274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on behalf of such Party and constitutes a legal, valid and binding obligation, enforceable against it in accordance with its terms, except to the extent that enforcement of the rights and remedies created hereby is subject to: (i) bankruptcy, insolvency, reorganization, moratorium and other similar laws of general application affecting the rights and remedies of creditors; or (ii) laws governing specific performance, injunctive relief and other equitable remedies;</w:t>
      </w:r>
    </w:p>
    <w:p>
      <w:pPr>
        <w:spacing w:after="0" w:line="194" w:lineRule="exact"/>
        <w:rPr>
          <w:rFonts w:ascii="Arial" w:cs="Arial" w:eastAsia="Arial" w:hAnsi="Arial"/>
          <w:sz w:val="18"/>
          <w:szCs w:val="18"/>
          <w:color w:val="auto"/>
        </w:rPr>
      </w:pPr>
    </w:p>
    <w:p>
      <w:pPr>
        <w:jc w:val="both"/>
        <w:ind w:left="1020" w:right="120" w:firstLine="1301"/>
        <w:spacing w:after="0" w:line="220" w:lineRule="auto"/>
        <w:tabs>
          <w:tab w:leader="none" w:pos="2734"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it has the full right, power and authority to enter into this Agreement, to grant the licenses granted hereunder, and the fulfillment of its obligations and performance of its activities hereunder do not conflict with, violate, or breach or constitute a default under any contractual obligation or court or administrative order by which Gilead is bound;</w:t>
      </w:r>
    </w:p>
    <w:p>
      <w:pPr>
        <w:spacing w:after="0" w:line="196" w:lineRule="exact"/>
        <w:rPr>
          <w:rFonts w:ascii="Arial" w:cs="Arial" w:eastAsia="Arial" w:hAnsi="Arial"/>
          <w:sz w:val="20"/>
          <w:szCs w:val="20"/>
          <w:color w:val="auto"/>
        </w:rPr>
      </w:pPr>
    </w:p>
    <w:p>
      <w:pPr>
        <w:jc w:val="both"/>
        <w:ind w:left="1020" w:right="600" w:firstLine="1301"/>
        <w:spacing w:after="0" w:line="223" w:lineRule="auto"/>
        <w:tabs>
          <w:tab w:leader="none" w:pos="274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all necessary consents, approvals and authorizations of all government authorities and other persons required to be obtained by Gilead as of the Effective Date in connection with the execution, delivery and performance of this Agreement have been obtained; and</w:t>
      </w:r>
    </w:p>
    <w:p>
      <w:pPr>
        <w:spacing w:after="0" w:line="209" w:lineRule="exact"/>
        <w:rPr>
          <w:rFonts w:ascii="Arial" w:cs="Arial" w:eastAsia="Arial" w:hAnsi="Arial"/>
          <w:sz w:val="20"/>
          <w:szCs w:val="20"/>
          <w:color w:val="auto"/>
        </w:rPr>
      </w:pPr>
    </w:p>
    <w:p>
      <w:pPr>
        <w:ind w:left="1020" w:right="380" w:firstLine="1301"/>
        <w:spacing w:after="0" w:line="332" w:lineRule="auto"/>
        <w:tabs>
          <w:tab w:leader="none" w:pos="273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solely as of the Effective Date, neither it nor its Affiliates is, directly or indirectly, researching, developing, manufacturing or commercializing any bi-specific molecule that is directed to CD3 and CD123.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600"/>
          </w:cols>
          <w:pgMar w:left="400" w:top="1440" w:right="899" w:bottom="1440" w:gutter="0" w:footer="0" w:header="0"/>
        </w:sectPr>
      </w:pPr>
    </w:p>
    <w:bookmarkStart w:id="190" w:name="page191"/>
    <w:bookmarkEnd w:id="190"/>
    <w:p>
      <w:pPr>
        <w:spacing w:after="0" w:line="189" w:lineRule="exact"/>
        <w:rPr>
          <w:sz w:val="20"/>
          <w:szCs w:val="20"/>
          <w:color w:val="auto"/>
        </w:rPr>
      </w:pPr>
    </w:p>
    <w:p>
      <w:pPr>
        <w:ind w:left="1020" w:right="260" w:firstLine="648"/>
        <w:spacing w:after="0" w:line="24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color w:val="auto"/>
        </w:rPr>
        <w:t>Mutual Representations and Warranties</w:t>
      </w:r>
      <w:r>
        <w:rPr>
          <w:rFonts w:ascii="Arial" w:cs="Arial" w:eastAsia="Arial" w:hAnsi="Arial"/>
          <w:sz w:val="18"/>
          <w:szCs w:val="18"/>
          <w:color w:val="auto"/>
        </w:rPr>
        <w:t>. Each Party represents and warrants to the other Party as of the Effective Date, such Party is not debarred under the United States Federal Food, Drug and Cosmetic Act or</w:t>
      </w:r>
    </w:p>
    <w:p>
      <w:pPr>
        <w:spacing w:after="0" w:line="1" w:lineRule="exact"/>
        <w:rPr>
          <w:sz w:val="20"/>
          <w:szCs w:val="20"/>
          <w:color w:val="auto"/>
        </w:rPr>
      </w:pPr>
    </w:p>
    <w:p>
      <w:pPr>
        <w:ind w:left="1020" w:right="320"/>
        <w:spacing w:after="0" w:line="215" w:lineRule="auto"/>
        <w:rPr>
          <w:sz w:val="20"/>
          <w:szCs w:val="20"/>
          <w:color w:val="auto"/>
        </w:rPr>
      </w:pPr>
      <w:r>
        <w:rPr>
          <w:rFonts w:ascii="Arial" w:cs="Arial" w:eastAsia="Arial" w:hAnsi="Arial"/>
          <w:sz w:val="19"/>
          <w:szCs w:val="19"/>
          <w:color w:val="auto"/>
        </w:rPr>
        <w:t>comparable laws in any other country or jurisdiction, and it does not, and will not during the Term, employ or use the services of any person or entity who is debarred, in connection with the Development, Manufacture or</w:t>
      </w:r>
    </w:p>
    <w:p>
      <w:pPr>
        <w:ind w:left="1020"/>
        <w:spacing w:after="0" w:line="222" w:lineRule="auto"/>
        <w:rPr>
          <w:sz w:val="20"/>
          <w:szCs w:val="20"/>
          <w:color w:val="auto"/>
        </w:rPr>
      </w:pPr>
      <w:r>
        <w:rPr>
          <w:rFonts w:ascii="Arial" w:cs="Arial" w:eastAsia="Arial" w:hAnsi="Arial"/>
          <w:sz w:val="19"/>
          <w:szCs w:val="19"/>
          <w:color w:val="auto"/>
        </w:rPr>
        <w:t>Commercialization of the Licensed Products. In the event that either Party becomes aware of the debarment or</w:t>
      </w:r>
    </w:p>
    <w:p>
      <w:pPr>
        <w:ind w:left="1020" w:right="60"/>
        <w:spacing w:after="0" w:line="226" w:lineRule="auto"/>
        <w:rPr>
          <w:sz w:val="20"/>
          <w:szCs w:val="20"/>
          <w:color w:val="auto"/>
        </w:rPr>
      </w:pPr>
      <w:r>
        <w:rPr>
          <w:rFonts w:ascii="Arial" w:cs="Arial" w:eastAsia="Arial" w:hAnsi="Arial"/>
          <w:sz w:val="18"/>
          <w:szCs w:val="18"/>
          <w:color w:val="auto"/>
        </w:rPr>
        <w:t>threatened debarment of any person or entity providing services to such Party, including the Party itself and its Affiliates or (Sub)licensees, which directly or indirectly relate to activities under this Agreement, the other Party shall be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immediately notified in writing.</w:t>
      </w:r>
    </w:p>
    <w:p>
      <w:pPr>
        <w:spacing w:after="0" w:line="19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6"/>
          <w:szCs w:val="16"/>
          <w:b w:val="1"/>
          <w:bCs w:val="1"/>
          <w:color w:val="auto"/>
        </w:rPr>
        <w:t>Covenant</w:t>
      </w:r>
      <w:r>
        <w:rPr>
          <w:rFonts w:ascii="Arial" w:cs="Arial" w:eastAsia="Arial" w:hAnsi="Arial"/>
          <w:sz w:val="16"/>
          <w:szCs w:val="16"/>
          <w:color w:val="auto"/>
        </w:rPr>
        <w:t>.</w:t>
      </w:r>
    </w:p>
    <w:p>
      <w:pPr>
        <w:spacing w:after="0" w:line="216" w:lineRule="exact"/>
        <w:rPr>
          <w:sz w:val="20"/>
          <w:szCs w:val="20"/>
          <w:color w:val="auto"/>
        </w:rPr>
      </w:pPr>
    </w:p>
    <w:p>
      <w:pPr>
        <w:jc w:val="both"/>
        <w:ind w:left="1020" w:right="380" w:firstLine="1301"/>
        <w:spacing w:after="0" w:line="237" w:lineRule="auto"/>
        <w:tabs>
          <w:tab w:leader="none" w:pos="2734" w:val="left"/>
        </w:tabs>
        <w:numPr>
          <w:ilvl w:val="0"/>
          <w:numId w:val="155"/>
        </w:numPr>
        <w:rPr>
          <w:rFonts w:ascii="Arial" w:cs="Arial" w:eastAsia="Arial" w:hAnsi="Arial"/>
          <w:sz w:val="19"/>
          <w:szCs w:val="19"/>
          <w:color w:val="auto"/>
        </w:rPr>
      </w:pPr>
      <w:r>
        <w:rPr>
          <w:rFonts w:ascii="Arial" w:cs="Arial" w:eastAsia="Arial" w:hAnsi="Arial"/>
          <w:sz w:val="19"/>
          <w:szCs w:val="19"/>
          <w:b w:val="1"/>
          <w:bCs w:val="1"/>
          <w:color w:val="auto"/>
        </w:rPr>
        <w:t>Mutual Covenant</w:t>
      </w:r>
      <w:r>
        <w:rPr>
          <w:rFonts w:ascii="Arial" w:cs="Arial" w:eastAsia="Arial" w:hAnsi="Arial"/>
          <w:sz w:val="19"/>
          <w:szCs w:val="19"/>
          <w:color w:val="auto"/>
        </w:rPr>
        <w:t>. Each Party hereby covenants to the other Party that it will not, and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permit its Affiliates, (Sub)licensees or anyone acting on its or their behalf to, grant or otherwise convey to any Third Party any rights that would interfere or be inconsistent with such other Party’s rights hereunder.</w:t>
      </w:r>
    </w:p>
    <w:p>
      <w:pPr>
        <w:spacing w:after="0" w:line="203" w:lineRule="exact"/>
        <w:rPr>
          <w:rFonts w:ascii="Arial" w:cs="Arial" w:eastAsia="Arial" w:hAnsi="Arial"/>
          <w:sz w:val="19"/>
          <w:szCs w:val="19"/>
          <w:color w:val="auto"/>
        </w:rPr>
      </w:pPr>
    </w:p>
    <w:p>
      <w:pPr>
        <w:ind w:left="2740" w:hanging="419"/>
        <w:spacing w:after="0"/>
        <w:tabs>
          <w:tab w:leader="none" w:pos="2740" w:val="left"/>
        </w:tabs>
        <w:numPr>
          <w:ilvl w:val="0"/>
          <w:numId w:val="155"/>
        </w:numPr>
        <w:rPr>
          <w:rFonts w:ascii="Arial" w:cs="Arial" w:eastAsia="Arial" w:hAnsi="Arial"/>
          <w:sz w:val="20"/>
          <w:szCs w:val="20"/>
          <w:color w:val="auto"/>
        </w:rPr>
      </w:pPr>
      <w:r>
        <w:rPr>
          <w:rFonts w:ascii="Arial" w:cs="Arial" w:eastAsia="Arial" w:hAnsi="Arial"/>
          <w:sz w:val="20"/>
          <w:szCs w:val="20"/>
          <w:b w:val="1"/>
          <w:bCs w:val="1"/>
          <w:color w:val="auto"/>
        </w:rPr>
        <w:t>Additional Covenants of MacroGenics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020" w:right="100" w:firstLine="1949"/>
        <w:spacing w:after="0" w:line="229" w:lineRule="auto"/>
        <w:tabs>
          <w:tab w:leader="none" w:pos="3349" w:val="left"/>
        </w:tabs>
        <w:numPr>
          <w:ilvl w:val="1"/>
          <w:numId w:val="155"/>
        </w:numPr>
        <w:rPr>
          <w:rFonts w:ascii="Arial" w:cs="Arial" w:eastAsia="Arial" w:hAnsi="Arial"/>
          <w:sz w:val="19"/>
          <w:szCs w:val="19"/>
          <w:color w:val="auto"/>
        </w:rPr>
      </w:pPr>
      <w:r>
        <w:rPr>
          <w:rFonts w:ascii="Arial" w:cs="Arial" w:eastAsia="Arial" w:hAnsi="Arial"/>
          <w:sz w:val="19"/>
          <w:szCs w:val="19"/>
          <w:color w:val="auto"/>
        </w:rPr>
        <w:t>Neither MacroGenics nor its Affiliates will grant any option, right or license to any Third Party relating to any of the intellectual property rights it Controls (including the MacroGenics Licensed Technology), or otherwise with respect to any Licensed Product, which (1) conflict with any of the options, rights or licenses granted to Gilead hereunder or (2) has an adverse effect on MacroGenics’ ability to grant the options, rights or licenses granted to Gilead hereunder or to perform its obligations under this Agreement.</w:t>
      </w:r>
    </w:p>
    <w:p>
      <w:pPr>
        <w:spacing w:after="0" w:line="199" w:lineRule="exact"/>
        <w:rPr>
          <w:rFonts w:ascii="Arial" w:cs="Arial" w:eastAsia="Arial" w:hAnsi="Arial"/>
          <w:sz w:val="19"/>
          <w:szCs w:val="19"/>
          <w:color w:val="auto"/>
        </w:rPr>
      </w:pPr>
    </w:p>
    <w:p>
      <w:pPr>
        <w:ind w:left="1020" w:right="40" w:firstLine="1949"/>
        <w:spacing w:after="0" w:line="223" w:lineRule="auto"/>
        <w:tabs>
          <w:tab w:leader="none" w:pos="3404" w:val="left"/>
        </w:tabs>
        <w:numPr>
          <w:ilvl w:val="1"/>
          <w:numId w:val="155"/>
        </w:numPr>
        <w:rPr>
          <w:rFonts w:ascii="Arial" w:cs="Arial" w:eastAsia="Arial" w:hAnsi="Arial"/>
          <w:sz w:val="19"/>
          <w:szCs w:val="19"/>
          <w:color w:val="auto"/>
        </w:rPr>
      </w:pPr>
      <w:r>
        <w:rPr>
          <w:rFonts w:ascii="Arial" w:cs="Arial" w:eastAsia="Arial" w:hAnsi="Arial"/>
          <w:sz w:val="19"/>
          <w:szCs w:val="19"/>
          <w:color w:val="auto"/>
        </w:rPr>
        <w:t>Except as otherwise expressly permitted under this Agreement, MacroGenics will not, and will cause its Affiliates not to: (1) assign, transfer, convey, encumber (through a lien, charge, security interest, mortgage or similar encumbrance) or dispose of, or enter into any agreement with any Third Party to assign, transfer, convey, encumber (through a lien, charge, security interest, mortgage or similar encumbrance) or dispose of, any assets related to the MacroGenics Licensed Technology or any Licensed Product, except to the extent that such assignment, transfer, conveyance, encumbrance or disposition would not conflict with, be inconsistent with or adversely affect in any respect any of the options, rights or licenses granted to Gilead hereunder; or (2) license or grant to any Third Party, or agree to license or grant to any Third Party, any rights under the MacroGenics Licensed Technology the Exploitation of any Licensed Product.</w:t>
      </w:r>
    </w:p>
    <w:p>
      <w:pPr>
        <w:spacing w:after="0" w:line="197" w:lineRule="exact"/>
        <w:rPr>
          <w:rFonts w:ascii="Arial" w:cs="Arial" w:eastAsia="Arial" w:hAnsi="Arial"/>
          <w:sz w:val="19"/>
          <w:szCs w:val="19"/>
          <w:color w:val="auto"/>
        </w:rPr>
      </w:pPr>
    </w:p>
    <w:p>
      <w:pPr>
        <w:ind w:left="1020" w:firstLine="1949"/>
        <w:spacing w:after="0" w:line="217" w:lineRule="auto"/>
        <w:tabs>
          <w:tab w:leader="none" w:pos="3459" w:val="left"/>
        </w:tabs>
        <w:numPr>
          <w:ilvl w:val="1"/>
          <w:numId w:val="155"/>
        </w:numPr>
        <w:rPr>
          <w:rFonts w:ascii="Arial" w:cs="Arial" w:eastAsia="Arial" w:hAnsi="Arial"/>
          <w:sz w:val="20"/>
          <w:szCs w:val="20"/>
          <w:color w:val="auto"/>
        </w:rPr>
      </w:pPr>
      <w:r>
        <w:rPr>
          <w:rFonts w:ascii="Arial" w:cs="Arial" w:eastAsia="Arial" w:hAnsi="Arial"/>
          <w:sz w:val="20"/>
          <w:szCs w:val="20"/>
          <w:color w:val="auto"/>
        </w:rPr>
        <w:t>MacroGenics will: (1) maintain Control of all MacroGenics Licensed Technology licensed or sublicensed to Gilead under each Upstream License Agreement; and (2) not terminate, intentionally breach or otherwise materially default under any Upstream License Agreement or Existing CMO Agreement in a manner that would permit the counterparty thereto to terminate such Upstream License Agreement or Existing CMO Agreement (as applicable) or otherwise diminish the scope or exclusivity of the licenses granted to Gilead under any MacroGenics Licensed Technology.</w:t>
      </w:r>
    </w:p>
    <w:p>
      <w:pPr>
        <w:spacing w:after="0" w:line="183" w:lineRule="exact"/>
        <w:rPr>
          <w:rFonts w:ascii="Arial" w:cs="Arial" w:eastAsia="Arial" w:hAnsi="Arial"/>
          <w:sz w:val="20"/>
          <w:szCs w:val="20"/>
          <w:color w:val="auto"/>
        </w:rPr>
      </w:pPr>
    </w:p>
    <w:p>
      <w:pPr>
        <w:ind w:left="1020" w:firstLine="1949"/>
        <w:spacing w:after="0" w:line="243" w:lineRule="auto"/>
        <w:tabs>
          <w:tab w:leader="none" w:pos="34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MacroGenics will not (1) modify, amend, or terminate any Upstream License Agreement, or exercise, waive, release, or assign any rights or claims thereunder, in each case in a manner that would adversely affect Gilead’s rights or MacroGenics’ ability to perform its obligations under this Agreement or (2) modify or amend any Upstream License Agreement in a manner that would impose additional obligations on Gilead as a sublicensee under such Upstream License Agreement, in each case ((1) and (2)), without first obtaining Gilead’s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620"/>
          </w:cols>
          <w:pgMar w:left="400" w:top="1440" w:right="879" w:bottom="1440" w:gutter="0" w:footer="0" w:header="0"/>
        </w:sectPr>
      </w:pPr>
    </w:p>
    <w:bookmarkStart w:id="191" w:name="page192"/>
    <w:bookmarkEnd w:id="191"/>
    <w:p>
      <w:pPr>
        <w:spacing w:after="0" w:line="195" w:lineRule="exact"/>
        <w:rPr>
          <w:sz w:val="20"/>
          <w:szCs w:val="20"/>
          <w:color w:val="auto"/>
        </w:rPr>
      </w:pPr>
    </w:p>
    <w:p>
      <w:pPr>
        <w:ind w:left="1020" w:right="40" w:firstLine="1949"/>
        <w:spacing w:after="0" w:line="223" w:lineRule="auto"/>
        <w:tabs>
          <w:tab w:leader="none" w:pos="3393" w:val="left"/>
        </w:tabs>
        <w:numPr>
          <w:ilvl w:val="1"/>
          <w:numId w:val="156"/>
        </w:numPr>
        <w:rPr>
          <w:rFonts w:ascii="Arial" w:cs="Arial" w:eastAsia="Arial" w:hAnsi="Arial"/>
          <w:sz w:val="19"/>
          <w:szCs w:val="19"/>
          <w:color w:val="auto"/>
        </w:rPr>
      </w:pPr>
      <w:r>
        <w:rPr>
          <w:rFonts w:ascii="Arial" w:cs="Arial" w:eastAsia="Arial" w:hAnsi="Arial"/>
          <w:sz w:val="19"/>
          <w:szCs w:val="19"/>
          <w:color w:val="auto"/>
        </w:rPr>
        <w:t>If MacroGenics receives notice of an alleged default by MacroGenics or its Affiliates under any Upstream License Agreement, where termination of such Upstream License Agreement or any diminishment of the scope or exclusivity of the licenses granted to Gilead under the MacroGenics Licensed Technology is being or could be sought by the counterparty or result from such default, then MacroGenics will provide written notice thereof to Gilead within [***] thereafter, which notice may be redacted to protect commercially sensitive information or information related to products that are not Licensed Products. Within [***] after receipt of such notice (or such other time period as is reasonably necessary to allow Gilead to meaningfully cure the alleged breach) and, solely in the event MacroGenics determines not to contest such alleged default and otherwise fails to cure such alleged default within such period, MacroGenics hereby grants to Gilead the right (but not the obligation) to: (1) cure such alleged breach; and (2) offset any costs or expenses incurred in connection therewith against any payments due or that may become due under this Agreement.</w:t>
      </w:r>
    </w:p>
    <w:p>
      <w:pPr>
        <w:spacing w:after="0" w:line="190" w:lineRule="exact"/>
        <w:rPr>
          <w:rFonts w:ascii="Arial" w:cs="Arial" w:eastAsia="Arial" w:hAnsi="Arial"/>
          <w:sz w:val="19"/>
          <w:szCs w:val="19"/>
          <w:color w:val="auto"/>
        </w:rPr>
      </w:pPr>
    </w:p>
    <w:p>
      <w:pPr>
        <w:ind w:left="2740" w:hanging="419"/>
        <w:spacing w:after="0"/>
        <w:tabs>
          <w:tab w:leader="none" w:pos="2740" w:val="left"/>
        </w:tabs>
        <w:numPr>
          <w:ilvl w:val="0"/>
          <w:numId w:val="157"/>
        </w:numPr>
        <w:rPr>
          <w:rFonts w:ascii="Arial" w:cs="Arial" w:eastAsia="Arial" w:hAnsi="Arial"/>
          <w:sz w:val="20"/>
          <w:szCs w:val="20"/>
          <w:color w:val="auto"/>
        </w:rPr>
      </w:pPr>
      <w:r>
        <w:rPr>
          <w:rFonts w:ascii="Arial" w:cs="Arial" w:eastAsia="Arial" w:hAnsi="Arial"/>
          <w:sz w:val="20"/>
          <w:szCs w:val="20"/>
          <w:b w:val="1"/>
          <w:bCs w:val="1"/>
          <w:color w:val="auto"/>
        </w:rPr>
        <w:t>Additional Covenants of Gilead</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020" w:firstLine="1949"/>
        <w:spacing w:after="0" w:line="223" w:lineRule="auto"/>
        <w:tabs>
          <w:tab w:leader="none" w:pos="3347" w:val="left"/>
        </w:tabs>
        <w:numPr>
          <w:ilvl w:val="1"/>
          <w:numId w:val="157"/>
        </w:numPr>
        <w:rPr>
          <w:rFonts w:ascii="Arial" w:cs="Arial" w:eastAsia="Arial" w:hAnsi="Arial"/>
          <w:sz w:val="20"/>
          <w:szCs w:val="20"/>
          <w:color w:val="auto"/>
        </w:rPr>
      </w:pPr>
      <w:r>
        <w:rPr>
          <w:rFonts w:ascii="Arial" w:cs="Arial" w:eastAsia="Arial" w:hAnsi="Arial"/>
          <w:sz w:val="20"/>
          <w:szCs w:val="20"/>
          <w:color w:val="auto"/>
        </w:rPr>
        <w:t>Gilead and its Affiliates shall comply with, and will contractually require its Sublicensees and Permitted Subcontractors to comply with, all applicable terms of any Upstream License Agreement with respect to a sublicensee that are disclosed to Gilead; and</w:t>
      </w:r>
    </w:p>
    <w:p>
      <w:pPr>
        <w:spacing w:after="0" w:line="196" w:lineRule="exact"/>
        <w:rPr>
          <w:sz w:val="20"/>
          <w:szCs w:val="20"/>
          <w:color w:val="auto"/>
        </w:rPr>
      </w:pPr>
    </w:p>
    <w:p>
      <w:pPr>
        <w:ind w:left="1020" w:right="140" w:firstLine="1949"/>
        <w:spacing w:after="0" w:line="215" w:lineRule="auto"/>
        <w:tabs>
          <w:tab w:leader="none" w:pos="3404"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If MacroGenics receives notice of an alleged breach by Gilead or any of its Affiliates, Sublicensees or Permitted Subcontractors of an Upstream License Agreement, then MacroGenics may notify Gilead of such breach and Gilead will use Commercially Reasonable Efforts to cooperate with and assist MacroGenics in curing such breach (which may include, at Gilead’s election, terminating Gilead’s sublicense under the applicable Upstream License Agreement).</w:t>
      </w:r>
    </w:p>
    <w:p>
      <w:pPr>
        <w:spacing w:after="0" w:line="206" w:lineRule="exact"/>
        <w:rPr>
          <w:sz w:val="20"/>
          <w:szCs w:val="20"/>
          <w:color w:val="auto"/>
        </w:rPr>
      </w:pPr>
    </w:p>
    <w:p>
      <w:pPr>
        <w:ind w:left="1020" w:right="800" w:firstLine="648"/>
        <w:spacing w:after="0" w:line="239"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color w:val="auto"/>
        </w:rPr>
        <w:t>No Other Representations or Warranties</w:t>
      </w:r>
      <w:r>
        <w:rPr>
          <w:rFonts w:ascii="Arial" w:cs="Arial" w:eastAsia="Arial" w:hAnsi="Arial"/>
          <w:sz w:val="18"/>
          <w:szCs w:val="18"/>
          <w:color w:val="auto"/>
        </w:rPr>
        <w:t>. EXCEPT AS EXPRESSLY STATED IN THIS AGREEMENT, NO REPRESENTATIONS OR WARRANTIES WHATSOEVER, WHETHER EXPRESS OR</w:t>
      </w:r>
    </w:p>
    <w:p>
      <w:pPr>
        <w:ind w:left="1020"/>
        <w:spacing w:after="0" w:line="223" w:lineRule="auto"/>
        <w:rPr>
          <w:sz w:val="20"/>
          <w:szCs w:val="20"/>
          <w:color w:val="auto"/>
        </w:rPr>
      </w:pPr>
      <w:r>
        <w:rPr>
          <w:rFonts w:ascii="Arial" w:cs="Arial" w:eastAsia="Arial" w:hAnsi="Arial"/>
          <w:sz w:val="19"/>
          <w:szCs w:val="19"/>
          <w:color w:val="auto"/>
        </w:rPr>
        <w:t>IMPLIED, INCLUDING WARRANTIES OF MERCHANTABILITY, FITNESS FOR A PARTICULAR PURPOSE,</w:t>
      </w:r>
    </w:p>
    <w:p>
      <w:pPr>
        <w:spacing w:after="0" w:line="1" w:lineRule="exact"/>
        <w:rPr>
          <w:sz w:val="20"/>
          <w:szCs w:val="20"/>
          <w:color w:val="auto"/>
        </w:rPr>
      </w:pPr>
    </w:p>
    <w:p>
      <w:pPr>
        <w:ind w:left="1020" w:right="520"/>
        <w:spacing w:after="0" w:line="215" w:lineRule="auto"/>
        <w:rPr>
          <w:sz w:val="20"/>
          <w:szCs w:val="20"/>
          <w:color w:val="auto"/>
        </w:rPr>
      </w:pPr>
      <w:r>
        <w:rPr>
          <w:rFonts w:ascii="Arial" w:cs="Arial" w:eastAsia="Arial" w:hAnsi="Arial"/>
          <w:sz w:val="19"/>
          <w:szCs w:val="19"/>
          <w:color w:val="auto"/>
        </w:rPr>
        <w:t>NON-INFRINGEMENT, OR NON-MISAPPROPRIATION OF THIRD- PARTY INTELLECTUAL PROPERTY RIGHTS, IS MADE OR GIVEN BY OR ON BEHALF OF A PARTY. ALL REPRESENTATIONS AND</w:t>
      </w:r>
    </w:p>
    <w:p>
      <w:pPr>
        <w:ind w:left="1020"/>
        <w:spacing w:after="0" w:line="222" w:lineRule="auto"/>
        <w:rPr>
          <w:sz w:val="20"/>
          <w:szCs w:val="20"/>
          <w:color w:val="auto"/>
        </w:rPr>
      </w:pPr>
      <w:r>
        <w:rPr>
          <w:rFonts w:ascii="Arial" w:cs="Arial" w:eastAsia="Arial" w:hAnsi="Arial"/>
          <w:sz w:val="19"/>
          <w:szCs w:val="19"/>
          <w:color w:val="auto"/>
        </w:rPr>
        <w:t>WARRANTIES, WHETHER ARISING BY OPERATION OF LAW OR OTHERWISE, ARE HEREBY EXPRESSLY</w:t>
      </w:r>
    </w:p>
    <w:p>
      <w:pPr>
        <w:ind w:left="1020" w:right="480"/>
        <w:spacing w:after="0" w:line="215" w:lineRule="auto"/>
        <w:rPr>
          <w:sz w:val="20"/>
          <w:szCs w:val="20"/>
          <w:color w:val="auto"/>
        </w:rPr>
      </w:pPr>
      <w:r>
        <w:rPr>
          <w:rFonts w:ascii="Arial" w:cs="Arial" w:eastAsia="Arial" w:hAnsi="Arial"/>
          <w:sz w:val="19"/>
          <w:szCs w:val="19"/>
          <w:color w:val="auto"/>
        </w:rPr>
        <w:t>EXCLUDED. WITHOUT LIMITING THE FOREGOING, THE PARTIES AGREE THAT THE CD123 DEVELOPMENT MILESTONE EVENTS, RESEARCH PRODUCT DEVELOPMENT MILESTONE EVENTS,</w:t>
      </w:r>
    </w:p>
    <w:p>
      <w:pPr>
        <w:ind w:left="1020"/>
        <w:spacing w:after="0" w:line="211" w:lineRule="auto"/>
        <w:rPr>
          <w:sz w:val="20"/>
          <w:szCs w:val="20"/>
          <w:color w:val="auto"/>
        </w:rPr>
      </w:pPr>
      <w:r>
        <w:rPr>
          <w:rFonts w:ascii="Arial" w:cs="Arial" w:eastAsia="Arial" w:hAnsi="Arial"/>
          <w:sz w:val="20"/>
          <w:szCs w:val="20"/>
          <w:color w:val="auto"/>
        </w:rPr>
        <w:t>COMMERCIAL MILESTONE EVENTS AND NET SALES LEVELS SET FORTH IN THIS AGREEMENT OR</w:t>
      </w:r>
    </w:p>
    <w:p>
      <w:pPr>
        <w:ind w:left="1020" w:right="180"/>
        <w:spacing w:after="0" w:line="226" w:lineRule="auto"/>
        <w:rPr>
          <w:sz w:val="20"/>
          <w:szCs w:val="20"/>
          <w:color w:val="auto"/>
        </w:rPr>
      </w:pPr>
      <w:r>
        <w:rPr>
          <w:rFonts w:ascii="Arial" w:cs="Arial" w:eastAsia="Arial" w:hAnsi="Arial"/>
          <w:sz w:val="18"/>
          <w:szCs w:val="18"/>
          <w:color w:val="auto"/>
        </w:rPr>
        <w:t>THAT HAVE OTHERWISE BEEN DISCUSSED BY THE PARTIES ARE MERELY INTENDED TO DEFINE THE MILESTONE PAYMENTS AND ROYALTY OBLIGATIONS IF SUCH CD123 DEVELOPMENT MILESTONE</w:t>
      </w:r>
    </w:p>
    <w:p>
      <w:pPr>
        <w:ind w:left="1020"/>
        <w:spacing w:after="0" w:line="213" w:lineRule="auto"/>
        <w:rPr>
          <w:sz w:val="20"/>
          <w:szCs w:val="20"/>
          <w:color w:val="auto"/>
        </w:rPr>
      </w:pPr>
      <w:r>
        <w:rPr>
          <w:rFonts w:ascii="Arial" w:cs="Arial" w:eastAsia="Arial" w:hAnsi="Arial"/>
          <w:sz w:val="20"/>
          <w:szCs w:val="20"/>
          <w:color w:val="auto"/>
        </w:rPr>
        <w:t>EVENTS, RESEARCH PRODUCT DEVELOPMENT MILESTONE EVENTS, COMMERCIAL MILESTONE</w:t>
      </w:r>
    </w:p>
    <w:p>
      <w:pPr>
        <w:ind w:left="1020" w:right="200"/>
        <w:spacing w:after="0" w:line="215" w:lineRule="auto"/>
        <w:rPr>
          <w:sz w:val="20"/>
          <w:szCs w:val="20"/>
          <w:color w:val="auto"/>
        </w:rPr>
      </w:pPr>
      <w:r>
        <w:rPr>
          <w:rFonts w:ascii="Arial" w:cs="Arial" w:eastAsia="Arial" w:hAnsi="Arial"/>
          <w:sz w:val="19"/>
          <w:szCs w:val="19"/>
          <w:color w:val="auto"/>
        </w:rPr>
        <w:t>EVENTS OR NET SALES LEVELS ARE ACHIEVED. NEITHER PARTY MAKES ANY REPRESENTATION OR WARRANTY, EITHER EXPRESS OR IMPLIED, THAT IT WILL BE ABLE TO SUCCESSFULLY DEVELOP,</w:t>
      </w:r>
    </w:p>
    <w:p>
      <w:pPr>
        <w:ind w:left="1020" w:right="60"/>
        <w:spacing w:after="0" w:line="239" w:lineRule="auto"/>
        <w:rPr>
          <w:sz w:val="20"/>
          <w:szCs w:val="20"/>
          <w:color w:val="auto"/>
        </w:rPr>
      </w:pPr>
      <w:r>
        <w:rPr>
          <w:rFonts w:ascii="Arial" w:cs="Arial" w:eastAsia="Arial" w:hAnsi="Arial"/>
          <w:sz w:val="19"/>
          <w:szCs w:val="19"/>
          <w:color w:val="auto"/>
        </w:rPr>
        <w:t>MANUFACTURE OR COMMERCIALIZE ANY LICENSED PRODUCT OR, IF COMMERCIALIZED, THAT ANY PARTICULAR SALES LEVEL OR PROFIT (LOSS) OF SUCH LICENSED PRODUCT WILL BE ACHIEVED.</w:t>
      </w:r>
    </w:p>
    <w:p>
      <w:pPr>
        <w:spacing w:after="0" w:line="191" w:lineRule="exact"/>
        <w:rPr>
          <w:sz w:val="20"/>
          <w:szCs w:val="20"/>
          <w:color w:val="auto"/>
        </w:rPr>
      </w:pPr>
    </w:p>
    <w:p>
      <w:pPr>
        <w:ind w:left="1480" w:hanging="455"/>
        <w:spacing w:after="0"/>
        <w:tabs>
          <w:tab w:leader="none" w:pos="1480" w:val="left"/>
        </w:tabs>
        <w:numPr>
          <w:ilvl w:val="0"/>
          <w:numId w:val="159"/>
        </w:numPr>
        <w:rPr>
          <w:rFonts w:ascii="Arial" w:cs="Arial" w:eastAsia="Arial" w:hAnsi="Arial"/>
          <w:sz w:val="20"/>
          <w:szCs w:val="20"/>
          <w:color w:val="auto"/>
        </w:rPr>
      </w:pPr>
      <w:r>
        <w:rPr>
          <w:rFonts w:ascii="Arial" w:cs="Arial" w:eastAsia="Arial" w:hAnsi="Arial"/>
          <w:sz w:val="20"/>
          <w:szCs w:val="20"/>
          <w:b w:val="1"/>
          <w:bCs w:val="1"/>
          <w:color w:val="auto"/>
        </w:rPr>
        <w:t>Indemnification</w:t>
      </w:r>
      <w:r>
        <w:rPr>
          <w:rFonts w:ascii="Arial" w:cs="Arial" w:eastAsia="Arial" w:hAnsi="Arial"/>
          <w:sz w:val="20"/>
          <w:szCs w:val="20"/>
          <w:color w:val="auto"/>
        </w:rPr>
        <w:t>.</w:t>
      </w:r>
    </w:p>
    <w:p>
      <w:pPr>
        <w:spacing w:after="0" w:line="20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b w:val="1"/>
          <w:bCs w:val="1"/>
          <w:color w:val="auto"/>
        </w:rPr>
        <w:t>By Gilead</w:t>
      </w:r>
      <w:r>
        <w:rPr>
          <w:rFonts w:ascii="Arial" w:cs="Arial" w:eastAsia="Arial" w:hAnsi="Arial"/>
          <w:sz w:val="18"/>
          <w:szCs w:val="18"/>
          <w:color w:val="auto"/>
        </w:rPr>
        <w:t>. Gilead agrees to indemnify and hold harmless MacroGenics, its Affiliates, and its and their</w:t>
      </w:r>
    </w:p>
    <w:p>
      <w:pPr>
        <w:spacing w:after="0" w:line="6" w:lineRule="exact"/>
        <w:rPr>
          <w:sz w:val="20"/>
          <w:szCs w:val="20"/>
          <w:color w:val="auto"/>
        </w:rPr>
      </w:pPr>
    </w:p>
    <w:p>
      <w:pPr>
        <w:ind w:left="1020" w:right="220"/>
        <w:spacing w:after="0" w:line="255" w:lineRule="auto"/>
        <w:rPr>
          <w:sz w:val="20"/>
          <w:szCs w:val="20"/>
          <w:color w:val="auto"/>
        </w:rPr>
      </w:pPr>
      <w:r>
        <w:rPr>
          <w:rFonts w:ascii="Arial" w:cs="Arial" w:eastAsia="Arial" w:hAnsi="Arial"/>
          <w:sz w:val="16"/>
          <w:szCs w:val="16"/>
          <w:color w:val="auto"/>
        </w:rPr>
        <w:t>directors, officers, employees and agents (individually and collectively, the “</w:t>
      </w:r>
      <w:r>
        <w:rPr>
          <w:rFonts w:ascii="Arial" w:cs="Arial" w:eastAsia="Arial" w:hAnsi="Arial"/>
          <w:sz w:val="16"/>
          <w:szCs w:val="16"/>
          <w:b w:val="1"/>
          <w:bCs w:val="1"/>
          <w:color w:val="auto"/>
        </w:rPr>
        <w:t>MacroGenics Indemnitee(s)</w:t>
      </w:r>
      <w:r>
        <w:rPr>
          <w:rFonts w:ascii="Arial" w:cs="Arial" w:eastAsia="Arial" w:hAnsi="Arial"/>
          <w:sz w:val="16"/>
          <w:szCs w:val="16"/>
          <w:color w:val="auto"/>
        </w:rPr>
        <w:t>”) from and against all losses, liabilities, damages and expenses (including reasonable attorneys’ fees and costs) (individually and</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collectively, “</w:t>
      </w:r>
      <w:r>
        <w:rPr>
          <w:rFonts w:ascii="Arial" w:cs="Arial" w:eastAsia="Arial" w:hAnsi="Arial"/>
          <w:sz w:val="20"/>
          <w:szCs w:val="20"/>
          <w:b w:val="1"/>
          <w:bCs w:val="1"/>
          <w:color w:val="auto"/>
        </w:rPr>
        <w:t>Losses</w:t>
      </w:r>
      <w:r>
        <w:rPr>
          <w:rFonts w:ascii="Arial" w:cs="Arial" w:eastAsia="Arial" w:hAnsi="Arial"/>
          <w:sz w:val="20"/>
          <w:szCs w:val="20"/>
          <w:color w:val="auto"/>
        </w:rPr>
        <w:t>”) incurred in connection with any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580"/>
          </w:cols>
          <w:pgMar w:left="400" w:top="1440" w:right="919" w:bottom="1440" w:gutter="0" w:footer="0" w:header="0"/>
        </w:sectPr>
      </w:pPr>
    </w:p>
    <w:bookmarkStart w:id="192" w:name="page193"/>
    <w:bookmarkEnd w:id="192"/>
    <w:p>
      <w:pPr>
        <w:spacing w:after="0" w:line="195" w:lineRule="exact"/>
        <w:rPr>
          <w:sz w:val="20"/>
          <w:szCs w:val="20"/>
          <w:color w:val="auto"/>
        </w:rPr>
      </w:pPr>
    </w:p>
    <w:p>
      <w:pPr>
        <w:jc w:val="both"/>
        <w:ind w:left="1020"/>
        <w:spacing w:after="0" w:line="274" w:lineRule="auto"/>
        <w:rPr>
          <w:sz w:val="20"/>
          <w:szCs w:val="20"/>
          <w:color w:val="auto"/>
        </w:rPr>
      </w:pPr>
      <w:r>
        <w:rPr>
          <w:rFonts w:ascii="Arial" w:cs="Arial" w:eastAsia="Arial" w:hAnsi="Arial"/>
          <w:sz w:val="16"/>
          <w:szCs w:val="16"/>
          <w:color w:val="auto"/>
        </w:rPr>
        <w:t>Party Claims to the extent arising from: (a) activities by Gilead or any of its Related Parties or their respective Representatives with respect to the Programs and any other Development, use, Manufacture, Commercialization, import,</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distribution, sale or other Exploitation of Licensed Molecules or Licensed Products or the exercise of their rights or performance of their obligations related thereto except those actions for which MacroGenics has an indemnification</w:t>
      </w:r>
    </w:p>
    <w:p>
      <w:pPr>
        <w:ind w:left="1020"/>
        <w:spacing w:after="0" w:line="224" w:lineRule="auto"/>
        <w:rPr>
          <w:sz w:val="20"/>
          <w:szCs w:val="20"/>
          <w:color w:val="auto"/>
        </w:rPr>
      </w:pPr>
      <w:r>
        <w:rPr>
          <w:rFonts w:ascii="Arial" w:cs="Arial" w:eastAsia="Arial" w:hAnsi="Arial"/>
          <w:sz w:val="19"/>
          <w:szCs w:val="19"/>
          <w:color w:val="auto"/>
        </w:rPr>
        <w:t xml:space="preserve">obligation to a Gilead Indemnitee under </w:t>
      </w:r>
      <w:r>
        <w:rPr>
          <w:rFonts w:ascii="Arial" w:cs="Arial" w:eastAsia="Arial" w:hAnsi="Arial"/>
          <w:sz w:val="19"/>
          <w:szCs w:val="19"/>
          <w:b w:val="1"/>
          <w:bCs w:val="1"/>
          <w:color w:val="auto"/>
        </w:rPr>
        <w:t>Schedule 10.4(c)(iii)</w:t>
      </w:r>
      <w:r>
        <w:rPr>
          <w:rFonts w:ascii="Arial" w:cs="Arial" w:eastAsia="Arial" w:hAnsi="Arial"/>
          <w:sz w:val="19"/>
          <w:szCs w:val="19"/>
          <w:color w:val="auto"/>
        </w:rPr>
        <w:t xml:space="preserve"> (Special Offset and Indemnification), (b) the gross</w:t>
      </w:r>
    </w:p>
    <w:p>
      <w:pPr>
        <w:ind w:left="1020"/>
        <w:spacing w:after="0" w:line="215" w:lineRule="auto"/>
        <w:rPr>
          <w:sz w:val="20"/>
          <w:szCs w:val="20"/>
          <w:color w:val="auto"/>
        </w:rPr>
      </w:pPr>
      <w:r>
        <w:rPr>
          <w:rFonts w:ascii="Arial" w:cs="Arial" w:eastAsia="Arial" w:hAnsi="Arial"/>
          <w:sz w:val="19"/>
          <w:szCs w:val="19"/>
          <w:color w:val="auto"/>
        </w:rPr>
        <w:t>negligence, illegal conduct or willful misconduct of Gilead or any of its Related Parties or their respective Representatives in connection with this Agreement, or (c) Gilead’s breach of this Agreement or the Clinical Supply</w:t>
      </w:r>
    </w:p>
    <w:p>
      <w:pPr>
        <w:ind w:left="1020"/>
        <w:spacing w:after="0" w:line="222" w:lineRule="auto"/>
        <w:rPr>
          <w:sz w:val="20"/>
          <w:szCs w:val="20"/>
          <w:color w:val="auto"/>
        </w:rPr>
      </w:pPr>
      <w:r>
        <w:rPr>
          <w:rFonts w:ascii="Arial" w:cs="Arial" w:eastAsia="Arial" w:hAnsi="Arial"/>
          <w:sz w:val="19"/>
          <w:szCs w:val="19"/>
          <w:color w:val="auto"/>
        </w:rPr>
        <w:t>Agreement, except, in each case of (a)-(c), to the extent such Third Party Claims arise from any action for which</w:t>
      </w:r>
    </w:p>
    <w:p>
      <w:pPr>
        <w:ind w:left="1020"/>
        <w:spacing w:after="0" w:line="220" w:lineRule="auto"/>
        <w:rPr>
          <w:sz w:val="20"/>
          <w:szCs w:val="20"/>
          <w:color w:val="auto"/>
        </w:rPr>
      </w:pPr>
      <w:r>
        <w:rPr>
          <w:rFonts w:ascii="Arial" w:cs="Arial" w:eastAsia="Arial" w:hAnsi="Arial"/>
          <w:sz w:val="20"/>
          <w:szCs w:val="20"/>
          <w:color w:val="auto"/>
        </w:rPr>
        <w:t xml:space="preserve">MacroGenics has an indemnification obligation to a Gilead Indemnitee under Section 15.2 (By MacroGenics) or </w:t>
      </w:r>
      <w:r>
        <w:rPr>
          <w:rFonts w:ascii="Arial" w:cs="Arial" w:eastAsia="Arial" w:hAnsi="Arial"/>
          <w:sz w:val="20"/>
          <w:szCs w:val="20"/>
          <w:b w:val="1"/>
          <w:bCs w:val="1"/>
          <w:color w:val="auto"/>
        </w:rPr>
        <w:t xml:space="preserve">Schedule 10.4(c)(iii) </w:t>
      </w:r>
      <w:r>
        <w:rPr>
          <w:rFonts w:ascii="Arial" w:cs="Arial" w:eastAsia="Arial" w:hAnsi="Arial"/>
          <w:sz w:val="20"/>
          <w:szCs w:val="20"/>
          <w:color w:val="auto"/>
        </w:rPr>
        <w:t>(Special Offset and Indemnification).</w:t>
      </w:r>
    </w:p>
    <w:p>
      <w:pPr>
        <w:spacing w:after="0" w:line="204" w:lineRule="exact"/>
        <w:rPr>
          <w:sz w:val="20"/>
          <w:szCs w:val="20"/>
          <w:color w:val="auto"/>
        </w:rPr>
      </w:pPr>
    </w:p>
    <w:p>
      <w:pPr>
        <w:ind w:left="1020" w:firstLine="648"/>
        <w:spacing w:after="0" w:line="239"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By MacroGenics</w:t>
      </w:r>
      <w:r>
        <w:rPr>
          <w:rFonts w:ascii="Arial" w:cs="Arial" w:eastAsia="Arial" w:hAnsi="Arial"/>
          <w:sz w:val="18"/>
          <w:szCs w:val="18"/>
          <w:color w:val="auto"/>
        </w:rPr>
        <w:t xml:space="preserve">. In addition to </w:t>
      </w:r>
      <w:r>
        <w:rPr>
          <w:rFonts w:ascii="Arial" w:cs="Arial" w:eastAsia="Arial" w:hAnsi="Arial"/>
          <w:sz w:val="18"/>
          <w:szCs w:val="18"/>
          <w:b w:val="1"/>
          <w:bCs w:val="1"/>
          <w:color w:val="auto"/>
        </w:rPr>
        <w:t>Schedule 10.4(c)(iii)</w:t>
      </w:r>
      <w:r>
        <w:rPr>
          <w:rFonts w:ascii="Arial" w:cs="Arial" w:eastAsia="Arial" w:hAnsi="Arial"/>
          <w:sz w:val="18"/>
          <w:szCs w:val="18"/>
          <w:color w:val="auto"/>
        </w:rPr>
        <w:t xml:space="preserve"> (Special Offset and Indemnification), MacroGenics agrees to indemnify and hold harmless Gilead, its Affiliates, and its and their directors, officers, employees and agents</w:t>
      </w:r>
    </w:p>
    <w:p>
      <w:pPr>
        <w:ind w:left="1020"/>
        <w:spacing w:after="0" w:line="220" w:lineRule="auto"/>
        <w:rPr>
          <w:sz w:val="20"/>
          <w:szCs w:val="20"/>
          <w:color w:val="auto"/>
        </w:rPr>
      </w:pPr>
      <w:r>
        <w:rPr>
          <w:rFonts w:ascii="Arial" w:cs="Arial" w:eastAsia="Arial" w:hAnsi="Arial"/>
          <w:sz w:val="18"/>
          <w:szCs w:val="18"/>
          <w:color w:val="auto"/>
        </w:rPr>
        <w:t>(individually and collectively, the “</w:t>
      </w:r>
      <w:r>
        <w:rPr>
          <w:rFonts w:ascii="Arial" w:cs="Arial" w:eastAsia="Arial" w:hAnsi="Arial"/>
          <w:sz w:val="18"/>
          <w:szCs w:val="18"/>
          <w:b w:val="1"/>
          <w:bCs w:val="1"/>
          <w:color w:val="auto"/>
        </w:rPr>
        <w:t>Gilead Indemnitee(s)</w:t>
      </w:r>
      <w:r>
        <w:rPr>
          <w:rFonts w:ascii="Arial" w:cs="Arial" w:eastAsia="Arial" w:hAnsi="Arial"/>
          <w:sz w:val="18"/>
          <w:szCs w:val="18"/>
          <w:color w:val="auto"/>
        </w:rPr>
        <w:t>”) from and against all Losses incurred in connection with any</w:t>
      </w:r>
    </w:p>
    <w:p>
      <w:pPr>
        <w:ind w:left="1020"/>
        <w:spacing w:after="0" w:line="211" w:lineRule="auto"/>
        <w:rPr>
          <w:sz w:val="20"/>
          <w:szCs w:val="20"/>
          <w:color w:val="auto"/>
        </w:rPr>
      </w:pPr>
      <w:r>
        <w:rPr>
          <w:rFonts w:ascii="Arial" w:cs="Arial" w:eastAsia="Arial" w:hAnsi="Arial"/>
          <w:sz w:val="20"/>
          <w:szCs w:val="20"/>
          <w:color w:val="auto"/>
        </w:rPr>
        <w:t>Third Party Claims to the extent arising from:</w:t>
      </w:r>
    </w:p>
    <w:p>
      <w:pPr>
        <w:spacing w:after="0" w:line="1" w:lineRule="exact"/>
        <w:rPr>
          <w:sz w:val="20"/>
          <w:szCs w:val="20"/>
          <w:color w:val="auto"/>
        </w:rPr>
      </w:pPr>
    </w:p>
    <w:p>
      <w:pPr>
        <w:jc w:val="both"/>
        <w:ind w:left="1020" w:firstLine="5"/>
        <w:spacing w:after="0" w:line="233" w:lineRule="auto"/>
        <w:tabs>
          <w:tab w:leader="none" w:pos="131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activities by MacroGenics or any of its Related Parties or their respective Representatives with respect to (i) the Programs and any other Development, use, or Manufacture of Licensed Molecules or Licensed Products or the exercise of their rights or performance of their obligations related thereto, (ii) any Exploitation of any CD123 Molecule or CD123 Product prior to the Effective Date or after the effective date of termination of this Agreement and (iii) any Exploitation of any Research Molecule or Research Product after the effective date of termination of this Agreement, (b) the gross negligence, illegal conduct or willful misconduct of or any of MacroGenics or its Related Parties or their respective Representatives in connection with this Agreement, or (c) MacroGenics’ breach of this Agreement or the Clinical Supply Agreement, except, in each case of (a)-(c), to the extent such Third Party Claims arise from any action for which Gilead has an indemnification obligation to a MacroGenics Indemnitee under Section 15.1 (By Gilead).</w:t>
      </w:r>
    </w:p>
    <w:p>
      <w:pPr>
        <w:spacing w:after="0" w:line="183"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8"/>
          <w:szCs w:val="18"/>
          <w:b w:val="1"/>
          <w:bCs w:val="1"/>
          <w:color w:val="auto"/>
        </w:rPr>
        <w:t>Indemnification Procedure</w:t>
      </w:r>
      <w:r>
        <w:rPr>
          <w:rFonts w:ascii="Arial" w:cs="Arial" w:eastAsia="Arial" w:hAnsi="Arial"/>
          <w:sz w:val="18"/>
          <w:szCs w:val="18"/>
          <w:color w:val="auto"/>
        </w:rPr>
        <w:t>. The Party that is seeking indemnification under Section 15.1 (By Gilead) or</w:t>
      </w:r>
    </w:p>
    <w:p>
      <w:pPr>
        <w:spacing w:after="0" w:line="6" w:lineRule="exact"/>
        <w:rPr>
          <w:sz w:val="20"/>
          <w:szCs w:val="20"/>
          <w:color w:val="auto"/>
        </w:rPr>
      </w:pPr>
    </w:p>
    <w:p>
      <w:pPr>
        <w:ind w:left="1020" w:right="20"/>
        <w:spacing w:after="0" w:line="226" w:lineRule="auto"/>
        <w:rPr>
          <w:sz w:val="20"/>
          <w:szCs w:val="20"/>
          <w:color w:val="auto"/>
        </w:rPr>
      </w:pPr>
      <w:r>
        <w:rPr>
          <w:rFonts w:ascii="Arial" w:cs="Arial" w:eastAsia="Arial" w:hAnsi="Arial"/>
          <w:sz w:val="18"/>
          <w:szCs w:val="18"/>
          <w:color w:val="auto"/>
        </w:rPr>
        <w:t>Section 15.2 (By MacroGenics) (the “</w:t>
      </w:r>
      <w:r>
        <w:rPr>
          <w:rFonts w:ascii="Arial" w:cs="Arial" w:eastAsia="Arial" w:hAnsi="Arial"/>
          <w:sz w:val="18"/>
          <w:szCs w:val="18"/>
          <w:b w:val="1"/>
          <w:bCs w:val="1"/>
          <w:color w:val="auto"/>
        </w:rPr>
        <w:t>Indemnified Party</w:t>
      </w:r>
      <w:r>
        <w:rPr>
          <w:rFonts w:ascii="Arial" w:cs="Arial" w:eastAsia="Arial" w:hAnsi="Arial"/>
          <w:sz w:val="18"/>
          <w:szCs w:val="18"/>
          <w:color w:val="auto"/>
        </w:rPr>
        <w:t>”) will inform the other Party (the “</w:t>
      </w:r>
      <w:r>
        <w:rPr>
          <w:rFonts w:ascii="Arial" w:cs="Arial" w:eastAsia="Arial" w:hAnsi="Arial"/>
          <w:sz w:val="18"/>
          <w:szCs w:val="18"/>
          <w:b w:val="1"/>
          <w:bCs w:val="1"/>
          <w:color w:val="auto"/>
        </w:rPr>
        <w:t>Indemnifying Party</w:t>
      </w:r>
      <w:r>
        <w:rPr>
          <w:rFonts w:ascii="Arial" w:cs="Arial" w:eastAsia="Arial" w:hAnsi="Arial"/>
          <w:sz w:val="18"/>
          <w:szCs w:val="18"/>
          <w:color w:val="auto"/>
        </w:rPr>
        <w:t>”) of the Third Party Claim giving rise to such indemnification obligations promptly after receiving written notice of the Third</w:t>
      </w:r>
    </w:p>
    <w:p>
      <w:pPr>
        <w:ind w:left="1020"/>
        <w:spacing w:after="0" w:line="236" w:lineRule="auto"/>
        <w:rPr>
          <w:sz w:val="20"/>
          <w:szCs w:val="20"/>
          <w:color w:val="auto"/>
        </w:rPr>
      </w:pPr>
      <w:r>
        <w:rPr>
          <w:rFonts w:ascii="Arial" w:cs="Arial" w:eastAsia="Arial" w:hAnsi="Arial"/>
          <w:sz w:val="18"/>
          <w:szCs w:val="18"/>
          <w:color w:val="auto"/>
        </w:rPr>
        <w:t xml:space="preserve">Party Claim (it being understood and agreed,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or delay by an Indemnified Party to give such</w:t>
      </w:r>
    </w:p>
    <w:p>
      <w:pPr>
        <w:spacing w:after="0" w:line="1" w:lineRule="exact"/>
        <w:rPr>
          <w:sz w:val="20"/>
          <w:szCs w:val="20"/>
          <w:color w:val="auto"/>
        </w:rPr>
      </w:pPr>
    </w:p>
    <w:p>
      <w:pPr>
        <w:ind w:left="1020" w:right="60"/>
        <w:spacing w:after="0" w:line="226" w:lineRule="auto"/>
        <w:rPr>
          <w:sz w:val="20"/>
          <w:szCs w:val="20"/>
          <w:color w:val="auto"/>
        </w:rPr>
      </w:pPr>
      <w:r>
        <w:rPr>
          <w:rFonts w:ascii="Arial" w:cs="Arial" w:eastAsia="Arial" w:hAnsi="Arial"/>
          <w:sz w:val="18"/>
          <w:szCs w:val="18"/>
          <w:color w:val="auto"/>
        </w:rPr>
        <w:t>notice of a Third Party Claim will not affect the Indemnifying Party’s indemnification obligations hereunder except to the extent the Indemnifying Party will have been actually and materially prejudiced as a result of such failure or delay to</w:t>
      </w:r>
    </w:p>
    <w:p>
      <w:pPr>
        <w:ind w:left="1020"/>
        <w:spacing w:after="0" w:line="236" w:lineRule="auto"/>
        <w:rPr>
          <w:sz w:val="20"/>
          <w:szCs w:val="20"/>
          <w:color w:val="auto"/>
        </w:rPr>
      </w:pPr>
      <w:r>
        <w:rPr>
          <w:rFonts w:ascii="Arial" w:cs="Arial" w:eastAsia="Arial" w:hAnsi="Arial"/>
          <w:sz w:val="18"/>
          <w:szCs w:val="18"/>
          <w:color w:val="auto"/>
        </w:rPr>
        <w:t>give notice). The Indemnifying Party will have the right, at its option, to assume the defense of any such Third Party</w:t>
      </w:r>
    </w:p>
    <w:p>
      <w:pPr>
        <w:spacing w:after="0" w:line="1" w:lineRule="exact"/>
        <w:rPr>
          <w:sz w:val="20"/>
          <w:szCs w:val="20"/>
          <w:color w:val="auto"/>
        </w:rPr>
      </w:pPr>
    </w:p>
    <w:p>
      <w:pPr>
        <w:ind w:left="1020" w:right="160"/>
        <w:spacing w:after="0" w:line="226" w:lineRule="auto"/>
        <w:rPr>
          <w:sz w:val="20"/>
          <w:szCs w:val="20"/>
          <w:color w:val="auto"/>
        </w:rPr>
      </w:pPr>
      <w:r>
        <w:rPr>
          <w:rFonts w:ascii="Arial" w:cs="Arial" w:eastAsia="Arial" w:hAnsi="Arial"/>
          <w:sz w:val="18"/>
          <w:szCs w:val="18"/>
          <w:color w:val="auto"/>
        </w:rPr>
        <w:t>Claim for which it is obligated to indemnify the Indemnified Party by giving written notice to the Indemnified Party within [***] after receipt of the notice of the Third Party Claim. The assumption of defense of a Third Party Claim will</w:t>
      </w:r>
    </w:p>
    <w:p>
      <w:pPr>
        <w:ind w:left="1020"/>
        <w:spacing w:after="0" w:line="236" w:lineRule="auto"/>
        <w:rPr>
          <w:sz w:val="20"/>
          <w:szCs w:val="20"/>
          <w:color w:val="auto"/>
        </w:rPr>
      </w:pPr>
      <w:r>
        <w:rPr>
          <w:rFonts w:ascii="Arial" w:cs="Arial" w:eastAsia="Arial" w:hAnsi="Arial"/>
          <w:sz w:val="18"/>
          <w:szCs w:val="18"/>
          <w:color w:val="auto"/>
        </w:rPr>
        <w:t>not be construed as an acknowledgement that the Indemnifying Party is liable to indemnify any Indemnified Party in</w:t>
      </w:r>
    </w:p>
    <w:p>
      <w:pPr>
        <w:spacing w:after="0" w:line="1" w:lineRule="exact"/>
        <w:rPr>
          <w:sz w:val="20"/>
          <w:szCs w:val="20"/>
          <w:color w:val="auto"/>
        </w:rPr>
      </w:pPr>
    </w:p>
    <w:p>
      <w:pPr>
        <w:ind w:left="1020" w:right="160"/>
        <w:spacing w:after="0" w:line="226" w:lineRule="auto"/>
        <w:rPr>
          <w:sz w:val="20"/>
          <w:szCs w:val="20"/>
          <w:color w:val="auto"/>
        </w:rPr>
      </w:pPr>
      <w:r>
        <w:rPr>
          <w:rFonts w:ascii="Arial" w:cs="Arial" w:eastAsia="Arial" w:hAnsi="Arial"/>
          <w:sz w:val="18"/>
          <w:szCs w:val="18"/>
          <w:color w:val="auto"/>
        </w:rPr>
        <w:t>respect of the Third Party Claim, nor will it constitute a waiver by the Indemnifying Party of any defenses it may assert against the Indemnified Party’s claim for indemnification. The Indemnified Party will cooperate with the Indemnifying</w:t>
      </w:r>
    </w:p>
    <w:p>
      <w:pPr>
        <w:ind w:left="1020"/>
        <w:spacing w:after="0" w:line="224" w:lineRule="auto"/>
        <w:rPr>
          <w:sz w:val="20"/>
          <w:szCs w:val="20"/>
          <w:color w:val="auto"/>
        </w:rPr>
      </w:pPr>
      <w:r>
        <w:rPr>
          <w:rFonts w:ascii="Arial" w:cs="Arial" w:eastAsia="Arial" w:hAnsi="Arial"/>
          <w:sz w:val="19"/>
          <w:szCs w:val="19"/>
          <w:color w:val="auto"/>
        </w:rPr>
        <w:t>Party and the Indemnifying Party’s agents and representatives (including insurers) as the Indemnifying Party may</w:t>
      </w:r>
    </w:p>
    <w:p>
      <w:pPr>
        <w:ind w:left="1020" w:right="480"/>
        <w:spacing w:after="0" w:line="255" w:lineRule="auto"/>
        <w:rPr>
          <w:sz w:val="20"/>
          <w:szCs w:val="20"/>
          <w:color w:val="auto"/>
        </w:rPr>
      </w:pPr>
      <w:r>
        <w:rPr>
          <w:rFonts w:ascii="Arial" w:cs="Arial" w:eastAsia="Arial" w:hAnsi="Arial"/>
          <w:sz w:val="16"/>
          <w:szCs w:val="16"/>
          <w:color w:val="auto"/>
        </w:rPr>
        <w:t>reasonably request, and at the Indemnifying Party’s cost and expense. The Indemnified Party will have the right to participate, at its own expense and with counsel of its choice, in the defense of any Third Party Claim that has been</w:t>
      </w:r>
    </w:p>
    <w:p>
      <w:pPr>
        <w:ind w:left="1020"/>
        <w:spacing w:after="0" w:line="235" w:lineRule="auto"/>
        <w:rPr>
          <w:sz w:val="20"/>
          <w:szCs w:val="20"/>
          <w:color w:val="auto"/>
        </w:rPr>
      </w:pPr>
      <w:r>
        <w:rPr>
          <w:rFonts w:ascii="Arial" w:cs="Arial" w:eastAsia="Arial" w:hAnsi="Arial"/>
          <w:sz w:val="18"/>
          <w:szCs w:val="18"/>
          <w:color w:val="auto"/>
        </w:rPr>
        <w:t>assumed by the Indemnifying Party. If the Indemnifying Party does not assume and conduct the defense of a Third Party</w:t>
      </w:r>
    </w:p>
    <w:p>
      <w:pPr>
        <w:ind w:left="1020" w:right="160"/>
        <w:spacing w:after="0" w:line="226" w:lineRule="auto"/>
        <w:rPr>
          <w:sz w:val="20"/>
          <w:szCs w:val="20"/>
          <w:color w:val="auto"/>
        </w:rPr>
      </w:pPr>
      <w:r>
        <w:rPr>
          <w:rFonts w:ascii="Arial" w:cs="Arial" w:eastAsia="Arial" w:hAnsi="Arial"/>
          <w:sz w:val="18"/>
          <w:szCs w:val="18"/>
          <w:color w:val="auto"/>
        </w:rPr>
        <w:t>Claim as provided above, then (a) the Indemnified Party may defend against such Third Party Claim (and the Indemnified Party need not consult with the Indemnifying Party in connection therewith) and (b) the Indemnified Party</w:t>
      </w:r>
    </w:p>
    <w:p>
      <w:pPr>
        <w:ind w:left="1020"/>
        <w:spacing w:after="0" w:line="236" w:lineRule="auto"/>
        <w:rPr>
          <w:sz w:val="20"/>
          <w:szCs w:val="20"/>
          <w:color w:val="auto"/>
        </w:rPr>
      </w:pPr>
      <w:r>
        <w:rPr>
          <w:rFonts w:ascii="Arial" w:cs="Arial" w:eastAsia="Arial" w:hAnsi="Arial"/>
          <w:sz w:val="18"/>
          <w:szCs w:val="18"/>
          <w:color w:val="auto"/>
        </w:rPr>
        <w:t>reserves any rights it may have under this Article 15 (Indemnification) to obtain indemnification from the Indemnifying</w:t>
      </w:r>
    </w:p>
    <w:p>
      <w:pPr>
        <w:spacing w:after="0" w:line="1" w:lineRule="exact"/>
        <w:rPr>
          <w:sz w:val="20"/>
          <w:szCs w:val="20"/>
          <w:color w:val="auto"/>
        </w:rPr>
      </w:pPr>
    </w:p>
    <w:p>
      <w:pPr>
        <w:ind w:left="1020" w:right="20"/>
        <w:spacing w:after="0" w:line="220" w:lineRule="auto"/>
        <w:rPr>
          <w:sz w:val="20"/>
          <w:szCs w:val="20"/>
          <w:color w:val="auto"/>
        </w:rPr>
      </w:pPr>
      <w:r>
        <w:rPr>
          <w:rFonts w:ascii="Arial" w:cs="Arial" w:eastAsia="Arial" w:hAnsi="Arial"/>
          <w:sz w:val="20"/>
          <w:szCs w:val="20"/>
          <w:color w:val="auto"/>
        </w:rPr>
        <w:t>Party with respect to such Third Party Claim. If the Parties cannot agree as to the application of Section 15.1 (By Gilead) or Section 15.2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620"/>
          </w:cols>
          <w:pgMar w:left="400" w:top="1440" w:right="879" w:bottom="1440" w:gutter="0" w:footer="0" w:header="0"/>
        </w:sectPr>
      </w:pPr>
    </w:p>
    <w:bookmarkStart w:id="193" w:name="page194"/>
    <w:bookmarkEnd w:id="193"/>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MacroGenics) as to any Third Party Claim, pending resolution of the Dispute pursuant to Article 17 (Dispute Resolution), then the Parties may conduct separate defenses of such Third Party Claims, with each Party retaining the</w:t>
      </w:r>
    </w:p>
    <w:p>
      <w:pPr>
        <w:ind w:left="1020"/>
        <w:spacing w:after="0" w:line="226" w:lineRule="auto"/>
        <w:rPr>
          <w:sz w:val="20"/>
          <w:szCs w:val="20"/>
          <w:color w:val="auto"/>
        </w:rPr>
      </w:pPr>
      <w:r>
        <w:rPr>
          <w:rFonts w:ascii="Arial" w:cs="Arial" w:eastAsia="Arial" w:hAnsi="Arial"/>
          <w:sz w:val="18"/>
          <w:szCs w:val="18"/>
          <w:color w:val="auto"/>
        </w:rPr>
        <w:t xml:space="preserve">right to claim indemnification from the other Party in accordance with Section 15.1 (By Gilead) or Section 15.2 (By MacroGenics), as applicable, upon resolution of the underlying Third Party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Parties will engage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in good faith discussions regarding such Dispute before conducting separate defenses.</w:t>
      </w:r>
    </w:p>
    <w:p>
      <w:pPr>
        <w:spacing w:after="0" w:line="194" w:lineRule="exact"/>
        <w:rPr>
          <w:sz w:val="20"/>
          <w:szCs w:val="20"/>
          <w:color w:val="auto"/>
        </w:rPr>
      </w:pPr>
    </w:p>
    <w:p>
      <w:pPr>
        <w:ind w:left="1020" w:firstLine="647"/>
        <w:spacing w:after="0" w:line="247"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b w:val="1"/>
          <w:bCs w:val="1"/>
          <w:color w:val="auto"/>
        </w:rPr>
        <w:t>Settlement</w:t>
      </w:r>
      <w:r>
        <w:rPr>
          <w:rFonts w:ascii="Arial" w:cs="Arial" w:eastAsia="Arial" w:hAnsi="Arial"/>
          <w:sz w:val="18"/>
          <w:szCs w:val="18"/>
          <w:color w:val="auto"/>
        </w:rPr>
        <w:t>. The Indemnifying Party will not settle any Third Party Claim without first obtaining the prior written consent of the Indemnified Party, such consent not to be unreasonably withheld, conditioned or delayed;</w:t>
      </w:r>
    </w:p>
    <w:p>
      <w:pPr>
        <w:spacing w:after="0" w:line="1" w:lineRule="exact"/>
        <w:rPr>
          <w:sz w:val="20"/>
          <w:szCs w:val="20"/>
          <w:color w:val="auto"/>
        </w:rPr>
      </w:pPr>
    </w:p>
    <w:p>
      <w:pPr>
        <w:ind w:left="1020" w:right="60"/>
        <w:spacing w:after="0" w:line="22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Indemnifying Party will not be required to obtain such consent if the settlement: (a) involves</w:t>
      </w:r>
      <w:r>
        <w:rPr>
          <w:rFonts w:ascii="Arial" w:cs="Arial" w:eastAsia="Arial" w:hAnsi="Arial"/>
          <w:sz w:val="18"/>
          <w:szCs w:val="18"/>
          <w:i w:val="1"/>
          <w:iCs w:val="1"/>
          <w:color w:val="auto"/>
        </w:rPr>
        <w:t xml:space="preserve"> </w:t>
      </w:r>
      <w:r>
        <w:rPr>
          <w:rFonts w:ascii="Arial" w:cs="Arial" w:eastAsia="Arial" w:hAnsi="Arial"/>
          <w:sz w:val="18"/>
          <w:szCs w:val="18"/>
          <w:color w:val="auto"/>
        </w:rPr>
        <w:t>only the payment of money and will not result in the Indemnified Party (or other MacroGenics Indemnitee(s) or Gilead</w:t>
      </w:r>
    </w:p>
    <w:p>
      <w:pPr>
        <w:spacing w:after="0" w:line="2" w:lineRule="exact"/>
        <w:rPr>
          <w:sz w:val="20"/>
          <w:szCs w:val="20"/>
          <w:color w:val="auto"/>
        </w:rPr>
      </w:pPr>
    </w:p>
    <w:p>
      <w:pPr>
        <w:ind w:left="1020" w:right="240"/>
        <w:spacing w:after="0" w:line="226" w:lineRule="auto"/>
        <w:rPr>
          <w:sz w:val="20"/>
          <w:szCs w:val="20"/>
          <w:color w:val="auto"/>
        </w:rPr>
      </w:pPr>
      <w:r>
        <w:rPr>
          <w:rFonts w:ascii="Arial" w:cs="Arial" w:eastAsia="Arial" w:hAnsi="Arial"/>
          <w:sz w:val="18"/>
          <w:szCs w:val="18"/>
          <w:color w:val="auto"/>
        </w:rPr>
        <w:t>Indemnitee(s), as applicable) becoming subject to injunctive or other similar type of relief; (b) does not require an admission by the Indemnified Party (or other MacroGenics Indemnitee(s) or Gilead Indemnitee(s), as applicable); and</w:t>
      </w:r>
    </w:p>
    <w:p>
      <w:pPr>
        <w:spacing w:after="0" w:line="2" w:lineRule="exact"/>
        <w:rPr>
          <w:sz w:val="20"/>
          <w:szCs w:val="20"/>
          <w:color w:val="auto"/>
        </w:rPr>
      </w:pPr>
    </w:p>
    <w:p>
      <w:pPr>
        <w:ind w:left="1020" w:right="60" w:firstLine="6"/>
        <w:spacing w:after="0" w:line="217" w:lineRule="auto"/>
        <w:tabs>
          <w:tab w:leader="none" w:pos="128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does not adversely affect the rights or licenses granted to the Indemnified Party (or its Affiliates) under this Agreement. The Indemnified Party will not settle or compromise any such claim without first obtaining the prior written consent of the Indemnifying Party.</w:t>
      </w:r>
    </w:p>
    <w:p>
      <w:pPr>
        <w:spacing w:after="0" w:line="180" w:lineRule="exact"/>
        <w:rPr>
          <w:sz w:val="20"/>
          <w:szCs w:val="20"/>
          <w:color w:val="auto"/>
        </w:rPr>
      </w:pPr>
    </w:p>
    <w:p>
      <w:pPr>
        <w:jc w:val="center"/>
        <w:ind w:left="420"/>
        <w:spacing w:after="0"/>
        <w:tabs>
          <w:tab w:leader="none" w:pos="18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8"/>
          <w:szCs w:val="18"/>
          <w:b w:val="1"/>
          <w:bCs w:val="1"/>
          <w:color w:val="auto"/>
        </w:rPr>
        <w:t>Insurance</w:t>
      </w:r>
      <w:r>
        <w:rPr>
          <w:rFonts w:ascii="Arial" w:cs="Arial" w:eastAsia="Arial" w:hAnsi="Arial"/>
          <w:sz w:val="18"/>
          <w:szCs w:val="18"/>
          <w:color w:val="auto"/>
        </w:rPr>
        <w:t>. Each Party will, [***] insurance policies, including product liability insurance when</w:t>
      </w:r>
    </w:p>
    <w:p>
      <w:pPr>
        <w:spacing w:after="0" w:line="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applicable, adequate to cover its obligations hereunder and that are consistent with normal business practices of prudent</w:t>
      </w:r>
    </w:p>
    <w:p>
      <w:pPr>
        <w:ind w:left="1020" w:right="200"/>
        <w:spacing w:after="0" w:line="226" w:lineRule="auto"/>
        <w:rPr>
          <w:sz w:val="20"/>
          <w:szCs w:val="20"/>
          <w:color w:val="auto"/>
        </w:rPr>
      </w:pPr>
      <w:r>
        <w:rPr>
          <w:rFonts w:ascii="Arial" w:cs="Arial" w:eastAsia="Arial" w:hAnsi="Arial"/>
          <w:sz w:val="18"/>
          <w:szCs w:val="18"/>
          <w:color w:val="auto"/>
        </w:rPr>
        <w:t>companies similarly situated. Such insurance will not be construed to create a limit of a Party’s liability with respect to its indemnification obligations under this Article 15 (Indemnification). Each Party will provide the other Party with</w:t>
      </w:r>
    </w:p>
    <w:p>
      <w:pPr>
        <w:spacing w:after="0" w:line="2" w:lineRule="exact"/>
        <w:rPr>
          <w:sz w:val="20"/>
          <w:szCs w:val="20"/>
          <w:color w:val="auto"/>
        </w:rPr>
      </w:pPr>
    </w:p>
    <w:p>
      <w:pPr>
        <w:ind w:left="1020" w:right="120"/>
        <w:spacing w:after="0" w:line="250" w:lineRule="auto"/>
        <w:rPr>
          <w:sz w:val="20"/>
          <w:szCs w:val="20"/>
          <w:color w:val="auto"/>
        </w:rPr>
      </w:pPr>
      <w:r>
        <w:rPr>
          <w:rFonts w:ascii="Arial" w:cs="Arial" w:eastAsia="Arial" w:hAnsi="Arial"/>
          <w:sz w:val="18"/>
          <w:szCs w:val="18"/>
          <w:color w:val="auto"/>
        </w:rPr>
        <w:t>written evidence of such insurance upon request from the other Party. Notwithstanding any provision to the contrary set forth in this Agreement, Gilead may self-insure, in whole or in part, the insurance requirements described above.</w:t>
      </w:r>
    </w:p>
    <w:p>
      <w:pPr>
        <w:spacing w:after="0" w:line="195" w:lineRule="exact"/>
        <w:rPr>
          <w:sz w:val="20"/>
          <w:szCs w:val="20"/>
          <w:color w:val="auto"/>
        </w:rPr>
      </w:pPr>
    </w:p>
    <w:p>
      <w:pPr>
        <w:ind w:left="1020" w:right="120" w:firstLine="648"/>
        <w:spacing w:after="0" w:line="227" w:lineRule="auto"/>
        <w:rPr>
          <w:sz w:val="20"/>
          <w:szCs w:val="20"/>
          <w:color w:val="auto"/>
        </w:rPr>
      </w:pPr>
      <w:r>
        <w:rPr>
          <w:rFonts w:ascii="Arial" w:cs="Arial" w:eastAsia="Arial" w:hAnsi="Arial"/>
          <w:sz w:val="19"/>
          <w:szCs w:val="19"/>
          <w:color w:val="auto"/>
        </w:rPr>
        <w:t xml:space="preserve">15.6 </w:t>
      </w:r>
      <w:r>
        <w:rPr>
          <w:rFonts w:ascii="Arial" w:cs="Arial" w:eastAsia="Arial" w:hAnsi="Arial"/>
          <w:sz w:val="19"/>
          <w:szCs w:val="19"/>
          <w:b w:val="1"/>
          <w:bCs w:val="1"/>
          <w:color w:val="auto"/>
        </w:rPr>
        <w:t>Limitation of Liability</w:t>
      </w:r>
      <w:r>
        <w:rPr>
          <w:rFonts w:ascii="Arial" w:cs="Arial" w:eastAsia="Arial" w:hAnsi="Arial"/>
          <w:sz w:val="19"/>
          <w:szCs w:val="19"/>
          <w:color w:val="auto"/>
        </w:rPr>
        <w:t>. NEITHER PARTY SHALL BE LIABLE TO THE OTHER PARTY FOR ANY SPECIAL, CONSEQUENTIAL, INCIDENTAL, PUNITIVE, OR INDIRECT DAMAGES OR FOR LOST PROFITS</w:t>
      </w:r>
    </w:p>
    <w:p>
      <w:pPr>
        <w:ind w:left="1020"/>
        <w:spacing w:after="0" w:line="222" w:lineRule="auto"/>
        <w:rPr>
          <w:sz w:val="20"/>
          <w:szCs w:val="20"/>
          <w:color w:val="auto"/>
        </w:rPr>
      </w:pPr>
      <w:r>
        <w:rPr>
          <w:rFonts w:ascii="Arial" w:cs="Arial" w:eastAsia="Arial" w:hAnsi="Arial"/>
          <w:sz w:val="19"/>
          <w:szCs w:val="19"/>
          <w:color w:val="auto"/>
        </w:rPr>
        <w:t>ARISING FROM OR RELATING TO ANY BREACH OF THIS AGREEMENT, REGARDLESS OF ANY NOTICE</w:t>
      </w:r>
    </w:p>
    <w:p>
      <w:pPr>
        <w:spacing w:after="0" w:line="1" w:lineRule="exact"/>
        <w:rPr>
          <w:sz w:val="20"/>
          <w:szCs w:val="20"/>
          <w:color w:val="auto"/>
        </w:rPr>
      </w:pPr>
    </w:p>
    <w:p>
      <w:pPr>
        <w:ind w:left="1020" w:right="380"/>
        <w:spacing w:after="0" w:line="215" w:lineRule="auto"/>
        <w:rPr>
          <w:sz w:val="20"/>
          <w:szCs w:val="20"/>
          <w:color w:val="auto"/>
        </w:rPr>
      </w:pPr>
      <w:r>
        <w:rPr>
          <w:rFonts w:ascii="Arial" w:cs="Arial" w:eastAsia="Arial" w:hAnsi="Arial"/>
          <w:sz w:val="19"/>
          <w:szCs w:val="19"/>
          <w:color w:val="auto"/>
        </w:rPr>
        <w:t>OF THE POSSIBILITY OF SUCH DAMAGES. NOTWITHSTANDING THE FOREGOING, NOTHING IN THIS SECTION 15.6 (LIMITATION OF LIABILITY) IS INTENDED TO OR SHALL LIMIT OR RESTRICT (A) THE</w:t>
      </w:r>
    </w:p>
    <w:p>
      <w:pPr>
        <w:ind w:left="1020" w:right="1600"/>
        <w:spacing w:after="0" w:line="204" w:lineRule="auto"/>
        <w:rPr>
          <w:sz w:val="20"/>
          <w:szCs w:val="20"/>
          <w:color w:val="auto"/>
        </w:rPr>
      </w:pPr>
      <w:r>
        <w:rPr>
          <w:rFonts w:ascii="Arial" w:cs="Arial" w:eastAsia="Arial" w:hAnsi="Arial"/>
          <w:sz w:val="20"/>
          <w:szCs w:val="20"/>
          <w:color w:val="auto"/>
        </w:rPr>
        <w:t>INDEMNIFICATION RIGHTS OR OBLIGATIONS OF ANY PARTY UNDER THIS ARTICLE 15 (INDEMNIFICATION),</w:t>
      </w:r>
    </w:p>
    <w:p>
      <w:pPr>
        <w:spacing w:after="0" w:line="1" w:lineRule="exact"/>
        <w:rPr>
          <w:sz w:val="20"/>
          <w:szCs w:val="20"/>
          <w:color w:val="auto"/>
        </w:rPr>
      </w:pPr>
    </w:p>
    <w:p>
      <w:pPr>
        <w:jc w:val="both"/>
        <w:ind w:left="1020" w:right="20" w:firstLine="5"/>
        <w:spacing w:after="0" w:line="216" w:lineRule="auto"/>
        <w:tabs>
          <w:tab w:leader="none" w:pos="136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DAMAGES AVAILABLE FOR MACROGENICS BREACH OF ITS OBLIGATIONS UNDER SECTION 3.10 (EXCLUSIVITY) OR (C) DAMAGES AVAILABLE FOR A PARTY’S GROSS NEGLIGENCE, INTENTIONAL MISCONDUCT OR FRAUD OR FOR A PARTY’S BREACH OF CONFIDENTIALITY OBLIGATIONS IN ARTICLE 12 (CONFIDENTIALITY; PUBLICATION).</w:t>
      </w:r>
    </w:p>
    <w:p>
      <w:pPr>
        <w:spacing w:after="0" w:line="203" w:lineRule="exact"/>
        <w:rPr>
          <w:sz w:val="20"/>
          <w:szCs w:val="20"/>
          <w:color w:val="auto"/>
        </w:rPr>
      </w:pPr>
    </w:p>
    <w:p>
      <w:pPr>
        <w:ind w:left="1480" w:hanging="454"/>
        <w:spacing w:after="0"/>
        <w:tabs>
          <w:tab w:leader="none" w:pos="148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Intellectual Property</w:t>
      </w:r>
      <w:r>
        <w:rPr>
          <w:rFonts w:ascii="Arial" w:cs="Arial" w:eastAsia="Arial" w:hAnsi="Arial"/>
          <w:sz w:val="20"/>
          <w:szCs w:val="20"/>
          <w:color w:val="auto"/>
        </w:rPr>
        <w:t>.</w:t>
      </w:r>
    </w:p>
    <w:p>
      <w:pPr>
        <w:spacing w:after="0" w:line="216"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b w:val="1"/>
          <w:bCs w:val="1"/>
          <w:color w:val="auto"/>
        </w:rPr>
        <w:t>Ownership of Intellectual Property</w:t>
      </w:r>
      <w:r>
        <w:rPr>
          <w:rFonts w:ascii="Arial" w:cs="Arial" w:eastAsia="Arial" w:hAnsi="Arial"/>
          <w:sz w:val="18"/>
          <w:szCs w:val="18"/>
          <w:color w:val="auto"/>
        </w:rPr>
        <w:t>.</w:t>
      </w:r>
    </w:p>
    <w:p>
      <w:pPr>
        <w:spacing w:after="0" w:line="216" w:lineRule="exact"/>
        <w:rPr>
          <w:sz w:val="20"/>
          <w:szCs w:val="20"/>
          <w:color w:val="auto"/>
        </w:rPr>
      </w:pPr>
    </w:p>
    <w:p>
      <w:pPr>
        <w:ind w:left="1020" w:right="100" w:firstLine="1301"/>
        <w:spacing w:after="0" w:line="219" w:lineRule="auto"/>
        <w:tabs>
          <w:tab w:leader="none" w:pos="2734" w:val="left"/>
        </w:tabs>
        <w:numPr>
          <w:ilvl w:val="0"/>
          <w:numId w:val="164"/>
        </w:numPr>
        <w:rPr>
          <w:rFonts w:ascii="Arial" w:cs="Arial" w:eastAsia="Arial" w:hAnsi="Arial"/>
          <w:sz w:val="20"/>
          <w:szCs w:val="20"/>
          <w:color w:val="auto"/>
        </w:rPr>
      </w:pPr>
      <w:r>
        <w:rPr>
          <w:rFonts w:ascii="Arial" w:cs="Arial" w:eastAsia="Arial" w:hAnsi="Arial"/>
          <w:sz w:val="20"/>
          <w:szCs w:val="20"/>
          <w:b w:val="1"/>
          <w:bCs w:val="1"/>
          <w:color w:val="auto"/>
        </w:rPr>
        <w:t>Ownership of Current MacroGenics IP</w:t>
      </w:r>
      <w:r>
        <w:rPr>
          <w:rFonts w:ascii="Arial" w:cs="Arial" w:eastAsia="Arial" w:hAnsi="Arial"/>
          <w:sz w:val="20"/>
          <w:szCs w:val="20"/>
          <w:color w:val="auto"/>
        </w:rPr>
        <w:t>. As between MacroGenics and Gilead, MacroGenics</w:t>
      </w:r>
      <w:r>
        <w:rPr>
          <w:rFonts w:ascii="Arial" w:cs="Arial" w:eastAsia="Arial" w:hAnsi="Arial"/>
          <w:sz w:val="20"/>
          <w:szCs w:val="20"/>
          <w:b w:val="1"/>
          <w:bCs w:val="1"/>
          <w:color w:val="auto"/>
        </w:rPr>
        <w:t xml:space="preserve"> </w:t>
      </w:r>
      <w:r>
        <w:rPr>
          <w:rFonts w:ascii="Arial" w:cs="Arial" w:eastAsia="Arial" w:hAnsi="Arial"/>
          <w:sz w:val="20"/>
          <w:szCs w:val="20"/>
          <w:color w:val="auto"/>
        </w:rPr>
        <w:t>shall remain the sole and exclusive owner of all MacroGenics Licensed Patents, MacroGenics Platform Trademarks and MacroGenics Licensed Know-How that exist as of the Effective Date, and shall be the sole and exclusive owner of all Patents and Trademarks filed after the Effective Date that claim priority to such MacroGenics Licensed Patents and MacroGenics Platform Trademarks.</w:t>
      </w:r>
    </w:p>
    <w:p>
      <w:pPr>
        <w:spacing w:after="0" w:line="192" w:lineRule="exact"/>
        <w:rPr>
          <w:rFonts w:ascii="Arial" w:cs="Arial" w:eastAsia="Arial" w:hAnsi="Arial"/>
          <w:sz w:val="20"/>
          <w:szCs w:val="20"/>
          <w:color w:val="auto"/>
        </w:rPr>
      </w:pPr>
    </w:p>
    <w:p>
      <w:pPr>
        <w:ind w:left="1020" w:right="140" w:firstLine="1301"/>
        <w:spacing w:after="0" w:line="239" w:lineRule="auto"/>
        <w:tabs>
          <w:tab w:leader="none" w:pos="2743" w:val="left"/>
        </w:tabs>
        <w:numPr>
          <w:ilvl w:val="0"/>
          <w:numId w:val="164"/>
        </w:numPr>
        <w:rPr>
          <w:rFonts w:ascii="Arial" w:cs="Arial" w:eastAsia="Arial" w:hAnsi="Arial"/>
          <w:sz w:val="20"/>
          <w:szCs w:val="20"/>
          <w:color w:val="auto"/>
        </w:rPr>
      </w:pPr>
      <w:r>
        <w:rPr>
          <w:rFonts w:ascii="Arial" w:cs="Arial" w:eastAsia="Arial" w:hAnsi="Arial"/>
          <w:sz w:val="20"/>
          <w:szCs w:val="20"/>
          <w:b w:val="1"/>
          <w:bCs w:val="1"/>
          <w:color w:val="auto"/>
        </w:rPr>
        <w:t>Ownership of Current Gilead IP</w:t>
      </w:r>
      <w:r>
        <w:rPr>
          <w:rFonts w:ascii="Arial" w:cs="Arial" w:eastAsia="Arial" w:hAnsi="Arial"/>
          <w:sz w:val="20"/>
          <w:szCs w:val="20"/>
          <w:color w:val="auto"/>
        </w:rPr>
        <w:t>. As between Gilead and MacroGenics, Gilead shall remain the</w:t>
      </w:r>
      <w:r>
        <w:rPr>
          <w:rFonts w:ascii="Arial" w:cs="Arial" w:eastAsia="Arial" w:hAnsi="Arial"/>
          <w:sz w:val="20"/>
          <w:szCs w:val="20"/>
          <w:b w:val="1"/>
          <w:bCs w:val="1"/>
          <w:color w:val="auto"/>
        </w:rPr>
        <w:t xml:space="preserve"> </w:t>
      </w:r>
      <w:r>
        <w:rPr>
          <w:rFonts w:ascii="Arial" w:cs="Arial" w:eastAsia="Arial" w:hAnsi="Arial"/>
          <w:sz w:val="20"/>
          <w:szCs w:val="20"/>
          <w:color w:val="auto"/>
        </w:rPr>
        <w:t>sole and exclusive owner of all Gilead Licensed Patents and Gilead Licensed Know-How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620"/>
          </w:cols>
          <w:pgMar w:left="400" w:top="1440" w:right="879" w:bottom="1440" w:gutter="0" w:footer="0" w:header="0"/>
        </w:sectPr>
      </w:pPr>
    </w:p>
    <w:bookmarkStart w:id="194" w:name="page195"/>
    <w:bookmarkEnd w:id="194"/>
    <w:p>
      <w:pPr>
        <w:spacing w:after="0" w:line="209" w:lineRule="exact"/>
        <w:rPr>
          <w:sz w:val="20"/>
          <w:szCs w:val="20"/>
          <w:color w:val="auto"/>
        </w:rPr>
      </w:pPr>
    </w:p>
    <w:p>
      <w:pPr>
        <w:jc w:val="both"/>
        <w:ind w:left="1020"/>
        <w:spacing w:after="0" w:line="257" w:lineRule="auto"/>
        <w:rPr>
          <w:sz w:val="20"/>
          <w:szCs w:val="20"/>
          <w:color w:val="auto"/>
        </w:rPr>
      </w:pPr>
      <w:r>
        <w:rPr>
          <w:rFonts w:ascii="Arial" w:cs="Arial" w:eastAsia="Arial" w:hAnsi="Arial"/>
          <w:sz w:val="20"/>
          <w:szCs w:val="20"/>
          <w:color w:val="auto"/>
        </w:rPr>
        <w:t>that exist as of the Effective Date and shall be the sole and exclusive owner of all Patents filed after the Effective Date that claim priority to such Gilead Licensed Patents or any Trademarks that are registered by or on behalf of Gilead for a Licensed Molecule or Licensed Product.</w:t>
      </w:r>
    </w:p>
    <w:p>
      <w:pPr>
        <w:spacing w:after="0" w:line="187" w:lineRule="exact"/>
        <w:rPr>
          <w:sz w:val="20"/>
          <w:szCs w:val="20"/>
          <w:color w:val="auto"/>
        </w:rPr>
      </w:pPr>
    </w:p>
    <w:p>
      <w:pPr>
        <w:ind w:left="1020" w:right="40" w:firstLine="1301"/>
        <w:spacing w:after="0" w:line="234" w:lineRule="auto"/>
        <w:tabs>
          <w:tab w:leader="none" w:pos="2732"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MacroGenics Platform Improvement IP</w:t>
      </w:r>
      <w:r>
        <w:rPr>
          <w:rFonts w:ascii="Arial" w:cs="Arial" w:eastAsia="Arial" w:hAnsi="Arial"/>
          <w:sz w:val="18"/>
          <w:szCs w:val="18"/>
          <w:color w:val="auto"/>
        </w:rPr>
        <w:t>. MacroGenics shall own all Know- How,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patentable or not, conceived or reduced to practice by MacroGenics or Gilead in the course of conducting activities under this Agreement, in each case, that constitutes an improvement, modification or enhancement of the MacroGenics Platform, which Know-How arises from and only relates to the use of such MacroGenics Platform under this Agreement (“</w:t>
      </w:r>
      <w:r>
        <w:rPr>
          <w:rFonts w:ascii="Arial" w:cs="Arial" w:eastAsia="Arial" w:hAnsi="Arial"/>
          <w:sz w:val="18"/>
          <w:szCs w:val="18"/>
          <w:b w:val="1"/>
          <w:bCs w:val="1"/>
          <w:color w:val="auto"/>
        </w:rPr>
        <w:t>MacroGenics Platform Improvement Know- How</w:t>
      </w:r>
      <w:r>
        <w:rPr>
          <w:rFonts w:ascii="Arial" w:cs="Arial" w:eastAsia="Arial" w:hAnsi="Arial"/>
          <w:sz w:val="18"/>
          <w:szCs w:val="18"/>
          <w:color w:val="auto"/>
        </w:rPr>
        <w:t>”). Gilead shall, and hereby does (and shall cause its Related Parties and its and their respective Representatives to), assign to MacroGenics all of its and their right, title and interest in and to MacroGenics Platform Improvement Know-How. Upon MacroGenics’ written request, Gilead shall, and shall cause its Related Parties and its and their respective Representatives to, execute and deliver such instruments and do such acts and things as may be necessary under Applicable Laws and Regulations, or as MacroGenics may reasonably request, to effectuate and confirm the vesting of all right, title and interest in and to the MacroGenics Platform Improvement Know-How in MacroGenics.</w:t>
      </w:r>
    </w:p>
    <w:p>
      <w:pPr>
        <w:spacing w:after="0" w:line="210" w:lineRule="exact"/>
        <w:rPr>
          <w:rFonts w:ascii="Arial" w:cs="Arial" w:eastAsia="Arial" w:hAnsi="Arial"/>
          <w:sz w:val="18"/>
          <w:szCs w:val="18"/>
          <w:color w:val="auto"/>
        </w:rPr>
      </w:pPr>
    </w:p>
    <w:p>
      <w:pPr>
        <w:ind w:left="1020" w:right="20" w:firstLine="1301"/>
        <w:spacing w:after="0" w:line="223" w:lineRule="auto"/>
        <w:tabs>
          <w:tab w:leader="none" w:pos="2744" w:val="left"/>
        </w:tabs>
        <w:numPr>
          <w:ilvl w:val="0"/>
          <w:numId w:val="165"/>
        </w:numPr>
        <w:rPr>
          <w:rFonts w:ascii="Arial" w:cs="Arial" w:eastAsia="Arial" w:hAnsi="Arial"/>
          <w:sz w:val="19"/>
          <w:szCs w:val="19"/>
          <w:color w:val="auto"/>
        </w:rPr>
      </w:pPr>
      <w:r>
        <w:rPr>
          <w:rFonts w:ascii="Arial" w:cs="Arial" w:eastAsia="Arial" w:hAnsi="Arial"/>
          <w:sz w:val="19"/>
          <w:szCs w:val="19"/>
          <w:b w:val="1"/>
          <w:bCs w:val="1"/>
          <w:color w:val="auto"/>
        </w:rPr>
        <w:t>Gilead Agent Improvement IP</w:t>
      </w:r>
      <w:r>
        <w:rPr>
          <w:rFonts w:ascii="Arial" w:cs="Arial" w:eastAsia="Arial" w:hAnsi="Arial"/>
          <w:sz w:val="19"/>
          <w:szCs w:val="19"/>
          <w:color w:val="auto"/>
        </w:rPr>
        <w:t>. Gilead shall own all Know-How, whether patentable or not,</w:t>
      </w:r>
      <w:r>
        <w:rPr>
          <w:rFonts w:ascii="Arial" w:cs="Arial" w:eastAsia="Arial" w:hAnsi="Arial"/>
          <w:sz w:val="19"/>
          <w:szCs w:val="19"/>
          <w:b w:val="1"/>
          <w:bCs w:val="1"/>
          <w:color w:val="auto"/>
        </w:rPr>
        <w:t xml:space="preserve"> </w:t>
      </w:r>
      <w:r>
        <w:rPr>
          <w:rFonts w:ascii="Arial" w:cs="Arial" w:eastAsia="Arial" w:hAnsi="Arial"/>
          <w:sz w:val="19"/>
          <w:szCs w:val="19"/>
          <w:color w:val="auto"/>
        </w:rPr>
        <w:t>conceived or reduced to practice by MacroGenics or Gilead in the course of conducting activities under this Agreement, [***], which Know-How arises from [***] under this Agreement (“</w:t>
      </w:r>
      <w:r>
        <w:rPr>
          <w:rFonts w:ascii="Arial" w:cs="Arial" w:eastAsia="Arial" w:hAnsi="Arial"/>
          <w:sz w:val="19"/>
          <w:szCs w:val="19"/>
          <w:b w:val="1"/>
          <w:bCs w:val="1"/>
          <w:color w:val="auto"/>
        </w:rPr>
        <w:t>Gilead Agent Improvement Know-How</w:t>
      </w:r>
      <w:r>
        <w:rPr>
          <w:rFonts w:ascii="Arial" w:cs="Arial" w:eastAsia="Arial" w:hAnsi="Arial"/>
          <w:sz w:val="19"/>
          <w:szCs w:val="19"/>
          <w:color w:val="auto"/>
        </w:rPr>
        <w:t>”), together with all Patents that Cover such Gilead Agent Improvement Know-How (“</w:t>
      </w:r>
      <w:r>
        <w:rPr>
          <w:rFonts w:ascii="Arial" w:cs="Arial" w:eastAsia="Arial" w:hAnsi="Arial"/>
          <w:sz w:val="19"/>
          <w:szCs w:val="19"/>
          <w:b w:val="1"/>
          <w:bCs w:val="1"/>
          <w:color w:val="auto"/>
        </w:rPr>
        <w:t>Gilead Agent Improvement</w:t>
      </w:r>
      <w:r>
        <w:rPr>
          <w:rFonts w:ascii="Arial" w:cs="Arial" w:eastAsia="Arial" w:hAnsi="Arial"/>
          <w:sz w:val="19"/>
          <w:szCs w:val="19"/>
          <w:color w:val="auto"/>
        </w:rPr>
        <w:t xml:space="preserve"> </w:t>
      </w:r>
      <w:r>
        <w:rPr>
          <w:rFonts w:ascii="Arial" w:cs="Arial" w:eastAsia="Arial" w:hAnsi="Arial"/>
          <w:sz w:val="19"/>
          <w:szCs w:val="19"/>
          <w:b w:val="1"/>
          <w:bCs w:val="1"/>
          <w:color w:val="auto"/>
        </w:rPr>
        <w:t>Patents</w:t>
      </w:r>
      <w:r>
        <w:rPr>
          <w:rFonts w:ascii="Arial" w:cs="Arial" w:eastAsia="Arial" w:hAnsi="Arial"/>
          <w:sz w:val="19"/>
          <w:szCs w:val="19"/>
          <w:color w:val="auto"/>
        </w:rPr>
        <w:t>”). MacroGenics shall, and hereby does (and shall cause its Related Parties and its and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to), assign to Gilead all of its and their right, title and interest in and to Gilead Agent Improvement IP. Upon Gilead’s written request, MacroGenics shall, and shall cause its Related Parties and its and their respective Representatives to, execute and deliver such instruments and do such acts and things as may be necessary under Applicable Laws and Regulations, or as Gilead may reasonably request, to effectuate and confirm the vesting of all right, title and interest in and to the Gilead Agent Improvement IP in Gilead.</w:t>
      </w:r>
    </w:p>
    <w:p>
      <w:pPr>
        <w:spacing w:after="0" w:line="197" w:lineRule="exact"/>
        <w:rPr>
          <w:rFonts w:ascii="Arial" w:cs="Arial" w:eastAsia="Arial" w:hAnsi="Arial"/>
          <w:sz w:val="19"/>
          <w:szCs w:val="19"/>
          <w:color w:val="auto"/>
        </w:rPr>
      </w:pPr>
    </w:p>
    <w:p>
      <w:pPr>
        <w:ind w:left="1020" w:right="40" w:firstLine="1301"/>
        <w:spacing w:after="0" w:line="266" w:lineRule="auto"/>
        <w:tabs>
          <w:tab w:leader="none" w:pos="2732"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Jointly Owned IP</w:t>
      </w:r>
      <w:r>
        <w:rPr>
          <w:rFonts w:ascii="Arial" w:cs="Arial" w:eastAsia="Arial" w:hAnsi="Arial"/>
          <w:sz w:val="16"/>
          <w:szCs w:val="16"/>
          <w:color w:val="auto"/>
        </w:rPr>
        <w:t>. Other than MacroGenics Platform Improvement Know-How and Gilead Agent</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Know-How, MacroGenics and Gilead shall jointly own all Know-How, whether patentable or not, jointly conceived or reduced to practice in the course of conducting activities under this Agreement (“</w:t>
      </w:r>
      <w:r>
        <w:rPr>
          <w:rFonts w:ascii="Arial" w:cs="Arial" w:eastAsia="Arial" w:hAnsi="Arial"/>
          <w:sz w:val="16"/>
          <w:szCs w:val="16"/>
          <w:b w:val="1"/>
          <w:bCs w:val="1"/>
          <w:color w:val="auto"/>
        </w:rPr>
        <w:t>Jointly Owned Know-How</w:t>
      </w:r>
      <w:r>
        <w:rPr>
          <w:rFonts w:ascii="Arial" w:cs="Arial" w:eastAsia="Arial" w:hAnsi="Arial"/>
          <w:sz w:val="16"/>
          <w:szCs w:val="16"/>
          <w:color w:val="auto"/>
        </w:rPr>
        <w:t>”), together with all Patents that Cover such Jointly Owned Know-How (“</w:t>
      </w:r>
      <w:r>
        <w:rPr>
          <w:rFonts w:ascii="Arial" w:cs="Arial" w:eastAsia="Arial" w:hAnsi="Arial"/>
          <w:sz w:val="16"/>
          <w:szCs w:val="16"/>
          <w:b w:val="1"/>
          <w:bCs w:val="1"/>
          <w:color w:val="auto"/>
        </w:rPr>
        <w:t>Jointly Owned Patents</w:t>
      </w:r>
      <w:r>
        <w:rPr>
          <w:rFonts w:ascii="Arial" w:cs="Arial" w:eastAsia="Arial" w:hAnsi="Arial"/>
          <w:sz w:val="16"/>
          <w:szCs w:val="16"/>
          <w:color w:val="auto"/>
        </w:rPr>
        <w:t>”), with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Party owning an undivided half interest, subject to any rights or licenses expressly granted by one Party to the other Party under this Agreement, and the right to exploit without the duty of accounting or seeking consent from the other Party to the extent permitted under Applicable Laws and Regulations. Each Party shall, and hereby does (and shall cause its Related Parties and its and their respective Representatives to), assign to the other Party an undivided half interest of its and their right, title and interest in and to Jointly Owned IP. Upon either Party’s written request, the other Party shall, and shall cause its Related Parties and its and their respective Representatives to, execute and deliver such instruments and do such acts and things as may be necessary under Applicable Laws and Regulations, or as the requesting Party may reasonably request to effectuate and confirm the vesting of such right, title and interest in and to the Jointly Owned IP.</w:t>
      </w:r>
    </w:p>
    <w:p>
      <w:pPr>
        <w:spacing w:after="0" w:line="389" w:lineRule="exact"/>
        <w:rPr>
          <w:rFonts w:ascii="Arial" w:cs="Arial" w:eastAsia="Arial" w:hAnsi="Arial"/>
          <w:sz w:val="16"/>
          <w:szCs w:val="16"/>
          <w:color w:val="auto"/>
        </w:rPr>
      </w:pPr>
    </w:p>
    <w:p>
      <w:pPr>
        <w:ind w:left="1020" w:right="140" w:firstLine="1301"/>
        <w:spacing w:after="0" w:line="221" w:lineRule="auto"/>
        <w:tabs>
          <w:tab w:leader="none" w:pos="2712" w:val="left"/>
        </w:tabs>
        <w:numPr>
          <w:ilvl w:val="0"/>
          <w:numId w:val="165"/>
        </w:numPr>
        <w:rPr>
          <w:rFonts w:ascii="Arial" w:cs="Arial" w:eastAsia="Arial" w:hAnsi="Arial"/>
          <w:sz w:val="20"/>
          <w:szCs w:val="20"/>
          <w:color w:val="auto"/>
        </w:rPr>
      </w:pPr>
      <w:r>
        <w:rPr>
          <w:rFonts w:ascii="Arial" w:cs="Arial" w:eastAsia="Arial" w:hAnsi="Arial"/>
          <w:sz w:val="20"/>
          <w:szCs w:val="20"/>
          <w:b w:val="1"/>
          <w:bCs w:val="1"/>
          <w:color w:val="auto"/>
        </w:rPr>
        <w:t>Ownership of All Other IP</w:t>
      </w:r>
      <w:r>
        <w:rPr>
          <w:rFonts w:ascii="Arial" w:cs="Arial" w:eastAsia="Arial" w:hAnsi="Arial"/>
          <w:sz w:val="20"/>
          <w:szCs w:val="20"/>
          <w:color w:val="auto"/>
        </w:rPr>
        <w:t>. Other than MacroGenics Platform Improvement Know-How, Gilead</w:t>
      </w:r>
      <w:r>
        <w:rPr>
          <w:rFonts w:ascii="Arial" w:cs="Arial" w:eastAsia="Arial" w:hAnsi="Arial"/>
          <w:sz w:val="20"/>
          <w:szCs w:val="20"/>
          <w:b w:val="1"/>
          <w:bCs w:val="1"/>
          <w:color w:val="auto"/>
        </w:rPr>
        <w:t xml:space="preserve"> </w:t>
      </w:r>
      <w:r>
        <w:rPr>
          <w:rFonts w:ascii="Arial" w:cs="Arial" w:eastAsia="Arial" w:hAnsi="Arial"/>
          <w:sz w:val="20"/>
          <w:szCs w:val="20"/>
          <w:color w:val="auto"/>
        </w:rPr>
        <w:t>Agent Improvement Know-How and Jointly Owned Know-How, ownership of all Know-How, whether patentable or not, conceived or reduced to practice in the course of conducting activities under this Agreement shall be based upon inventorship, as determined in accordance with U.S. patent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620"/>
          </w:cols>
          <w:pgMar w:left="400" w:top="1440" w:right="879" w:bottom="1440" w:gutter="0" w:footer="0" w:header="0"/>
        </w:sectPr>
      </w:pPr>
    </w:p>
    <w:bookmarkStart w:id="195" w:name="page196"/>
    <w:bookmarkEnd w:id="195"/>
    <w:p>
      <w:pPr>
        <w:ind w:left="1680"/>
        <w:spacing w:after="0"/>
        <w:tabs>
          <w:tab w:leader="none" w:pos="22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b w:val="1"/>
          <w:bCs w:val="1"/>
          <w:color w:val="auto"/>
        </w:rPr>
        <w:t>Patent and Trademark Filing, Prosecution and Maintenance</w:t>
      </w:r>
      <w:r>
        <w:rPr>
          <w:rFonts w:ascii="Arial" w:cs="Arial" w:eastAsia="Arial" w:hAnsi="Arial"/>
          <w:sz w:val="18"/>
          <w:szCs w:val="18"/>
          <w:color w:val="auto"/>
        </w:rPr>
        <w:t>.</w:t>
      </w:r>
    </w:p>
    <w:p>
      <w:pPr>
        <w:spacing w:after="0" w:line="216" w:lineRule="exact"/>
        <w:rPr>
          <w:sz w:val="20"/>
          <w:szCs w:val="20"/>
          <w:color w:val="auto"/>
        </w:rPr>
      </w:pPr>
    </w:p>
    <w:p>
      <w:pPr>
        <w:ind w:left="2740" w:hanging="419"/>
        <w:spacing w:after="0"/>
        <w:tabs>
          <w:tab w:leader="none" w:pos="2740"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Prosecution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020" w:firstLine="1949"/>
        <w:spacing w:after="0" w:line="221" w:lineRule="auto"/>
        <w:tabs>
          <w:tab w:leader="none" w:pos="3347" w:val="left"/>
        </w:tabs>
        <w:numPr>
          <w:ilvl w:val="1"/>
          <w:numId w:val="166"/>
        </w:numPr>
        <w:rPr>
          <w:rFonts w:ascii="Arial" w:cs="Arial" w:eastAsia="Arial" w:hAnsi="Arial"/>
          <w:sz w:val="20"/>
          <w:szCs w:val="20"/>
          <w:color w:val="auto"/>
        </w:rPr>
      </w:pPr>
      <w:r>
        <w:rPr>
          <w:rFonts w:ascii="Arial" w:cs="Arial" w:eastAsia="Arial" w:hAnsi="Arial"/>
          <w:sz w:val="20"/>
          <w:szCs w:val="20"/>
          <w:b w:val="1"/>
          <w:bCs w:val="1"/>
          <w:color w:val="auto"/>
        </w:rPr>
        <w:t>Trademarks</w:t>
      </w:r>
      <w:r>
        <w:rPr>
          <w:rFonts w:ascii="Arial" w:cs="Arial" w:eastAsia="Arial" w:hAnsi="Arial"/>
          <w:sz w:val="20"/>
          <w:szCs w:val="20"/>
          <w:color w:val="auto"/>
        </w:rPr>
        <w:t>. MacroGenics shall have the sole right to conduct any and all Trademark</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Prosecution for the MacroGenics Platform Trademarks listed in </w:t>
      </w:r>
      <w:r>
        <w:rPr>
          <w:rFonts w:ascii="Arial" w:cs="Arial" w:eastAsia="Arial" w:hAnsi="Arial"/>
          <w:sz w:val="20"/>
          <w:szCs w:val="20"/>
          <w:b w:val="1"/>
          <w:bCs w:val="1"/>
          <w:color w:val="auto"/>
        </w:rPr>
        <w:t>Schedule 1.87</w:t>
      </w:r>
      <w:r>
        <w:rPr>
          <w:rFonts w:ascii="Arial" w:cs="Arial" w:eastAsia="Arial" w:hAnsi="Arial"/>
          <w:sz w:val="20"/>
          <w:szCs w:val="20"/>
          <w:color w:val="auto"/>
        </w:rPr>
        <w:t xml:space="preserve"> (MacroGenics Platform Trademarks) and Gilead shall have the sole right to conduct any and all Trademark Prosecution for all Trademarks that are registered by or on behalf of Gilead for a Licensed Molecule or Licensed Product.</w:t>
      </w:r>
    </w:p>
    <w:p>
      <w:pPr>
        <w:spacing w:after="0" w:line="205" w:lineRule="exact"/>
        <w:rPr>
          <w:rFonts w:ascii="Arial" w:cs="Arial" w:eastAsia="Arial" w:hAnsi="Arial"/>
          <w:sz w:val="20"/>
          <w:szCs w:val="20"/>
          <w:color w:val="auto"/>
        </w:rPr>
      </w:pPr>
    </w:p>
    <w:p>
      <w:pPr>
        <w:jc w:val="both"/>
        <w:ind w:left="1020" w:right="940" w:firstLine="1949"/>
        <w:spacing w:after="0" w:line="393" w:lineRule="auto"/>
        <w:tabs>
          <w:tab w:leader="none" w:pos="3403" w:val="left"/>
        </w:tabs>
        <w:numPr>
          <w:ilvl w:val="1"/>
          <w:numId w:val="166"/>
        </w:numPr>
        <w:rPr>
          <w:rFonts w:ascii="Arial" w:cs="Arial" w:eastAsia="Arial" w:hAnsi="Arial"/>
          <w:sz w:val="16"/>
          <w:szCs w:val="16"/>
          <w:color w:val="auto"/>
        </w:rPr>
      </w:pPr>
      <w:r>
        <w:rPr>
          <w:rFonts w:ascii="Arial" w:cs="Arial" w:eastAsia="Arial" w:hAnsi="Arial"/>
          <w:sz w:val="16"/>
          <w:szCs w:val="16"/>
          <w:b w:val="1"/>
          <w:bCs w:val="1"/>
          <w:color w:val="auto"/>
        </w:rPr>
        <w:t>Gilead Licensed Patents</w:t>
      </w:r>
      <w:r>
        <w:rPr>
          <w:rFonts w:ascii="Arial" w:cs="Arial" w:eastAsia="Arial" w:hAnsi="Arial"/>
          <w:sz w:val="16"/>
          <w:szCs w:val="16"/>
          <w:color w:val="auto"/>
        </w:rPr>
        <w:t>. As between the Parties, the responsibility for Patent</w:t>
      </w:r>
      <w:r>
        <w:rPr>
          <w:rFonts w:ascii="Arial" w:cs="Arial" w:eastAsia="Arial" w:hAnsi="Arial"/>
          <w:sz w:val="16"/>
          <w:szCs w:val="16"/>
          <w:b w:val="1"/>
          <w:bCs w:val="1"/>
          <w:color w:val="auto"/>
        </w:rPr>
        <w:t xml:space="preserve"> </w:t>
      </w:r>
      <w:r>
        <w:rPr>
          <w:rFonts w:ascii="Arial" w:cs="Arial" w:eastAsia="Arial" w:hAnsi="Arial"/>
          <w:sz w:val="16"/>
          <w:szCs w:val="16"/>
          <w:color w:val="auto"/>
        </w:rPr>
        <w:t>Prosecution related to a Patent that is within the Gilead Licensed Patents shall be the responsibility of Gilead.</w:t>
      </w:r>
    </w:p>
    <w:p>
      <w:pPr>
        <w:spacing w:after="0" w:line="85" w:lineRule="exact"/>
        <w:rPr>
          <w:rFonts w:ascii="Arial" w:cs="Arial" w:eastAsia="Arial" w:hAnsi="Arial"/>
          <w:sz w:val="16"/>
          <w:szCs w:val="16"/>
          <w:color w:val="auto"/>
        </w:rPr>
      </w:pPr>
    </w:p>
    <w:p>
      <w:pPr>
        <w:ind w:left="1020" w:firstLine="1949"/>
        <w:spacing w:after="0" w:line="243" w:lineRule="auto"/>
        <w:tabs>
          <w:tab w:leader="none" w:pos="3459" w:val="left"/>
        </w:tabs>
        <w:numPr>
          <w:ilvl w:val="1"/>
          <w:numId w:val="166"/>
        </w:numPr>
        <w:rPr>
          <w:rFonts w:ascii="Arial" w:cs="Arial" w:eastAsia="Arial" w:hAnsi="Arial"/>
          <w:sz w:val="18"/>
          <w:szCs w:val="18"/>
          <w:color w:val="auto"/>
        </w:rPr>
      </w:pPr>
      <w:r>
        <w:rPr>
          <w:rFonts w:ascii="Arial" w:cs="Arial" w:eastAsia="Arial" w:hAnsi="Arial"/>
          <w:sz w:val="18"/>
          <w:szCs w:val="18"/>
          <w:b w:val="1"/>
          <w:bCs w:val="1"/>
          <w:color w:val="auto"/>
        </w:rPr>
        <w:t>MacroGenics Platform Patents or Other MacroGenics Licensed Patents</w:t>
      </w:r>
      <w:r>
        <w:rPr>
          <w:rFonts w:ascii="Arial" w:cs="Arial" w:eastAsia="Arial" w:hAnsi="Arial"/>
          <w:sz w:val="18"/>
          <w:szCs w:val="18"/>
          <w:color w:val="auto"/>
        </w:rPr>
        <w:t>. As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the responsibility for Patent Prosecution related to a Patent that is within the MacroGenics Platform Patents or Other MacroGenics Licensed Patents shall be the responsibility of MacroGenics. MacroGenics will provide Gilead with a copy of all material communications from any patent authority regarding the MacroGenics Platform Patents or the Other MacroGenics Licensed Patents and copies of any material filings or responses made to such patent authorities (excluding for clarity, any draft responses) promptly after submission thereof.</w:t>
      </w:r>
    </w:p>
    <w:p>
      <w:pPr>
        <w:spacing w:after="0" w:line="187" w:lineRule="exact"/>
        <w:rPr>
          <w:rFonts w:ascii="Arial" w:cs="Arial" w:eastAsia="Arial" w:hAnsi="Arial"/>
          <w:sz w:val="18"/>
          <w:szCs w:val="18"/>
          <w:color w:val="auto"/>
        </w:rPr>
      </w:pPr>
    </w:p>
    <w:p>
      <w:pPr>
        <w:ind w:left="1020" w:firstLine="1949"/>
        <w:spacing w:after="0" w:line="221" w:lineRule="auto"/>
        <w:tabs>
          <w:tab w:leader="none" w:pos="3448" w:val="left"/>
        </w:tabs>
        <w:numPr>
          <w:ilvl w:val="1"/>
          <w:numId w:val="166"/>
        </w:numPr>
        <w:rPr>
          <w:rFonts w:ascii="Arial" w:cs="Arial" w:eastAsia="Arial" w:hAnsi="Arial"/>
          <w:sz w:val="19"/>
          <w:szCs w:val="19"/>
          <w:color w:val="auto"/>
        </w:rPr>
      </w:pPr>
      <w:r>
        <w:rPr>
          <w:rFonts w:ascii="Arial" w:cs="Arial" w:eastAsia="Arial" w:hAnsi="Arial"/>
          <w:sz w:val="19"/>
          <w:szCs w:val="19"/>
          <w:b w:val="1"/>
          <w:bCs w:val="1"/>
          <w:color w:val="auto"/>
        </w:rPr>
        <w:t>MacroGenics Multi-Product Patents</w:t>
      </w:r>
      <w:r>
        <w:rPr>
          <w:rFonts w:ascii="Arial" w:cs="Arial" w:eastAsia="Arial" w:hAnsi="Arial"/>
          <w:sz w:val="19"/>
          <w:szCs w:val="19"/>
          <w:color w:val="auto"/>
        </w:rPr>
        <w:t>. As between the Parties, the responsibility for</w:t>
      </w:r>
      <w:r>
        <w:rPr>
          <w:rFonts w:ascii="Arial" w:cs="Arial" w:eastAsia="Arial" w:hAnsi="Arial"/>
          <w:sz w:val="19"/>
          <w:szCs w:val="19"/>
          <w:b w:val="1"/>
          <w:bCs w:val="1"/>
          <w:color w:val="auto"/>
        </w:rPr>
        <w:t xml:space="preserve"> </w:t>
      </w:r>
      <w:r>
        <w:rPr>
          <w:rFonts w:ascii="Arial" w:cs="Arial" w:eastAsia="Arial" w:hAnsi="Arial"/>
          <w:sz w:val="19"/>
          <w:szCs w:val="19"/>
          <w:color w:val="auto"/>
        </w:rPr>
        <w:t>Patent Prosecution related to a Patent that is within the MacroGenics Multi-Product Patents shall be the responsibility of MacroGenics. MacroGenics shall provide Gilead with a reasonable opportunity, [***] in advance of any relevant deadline, to review and comment on its efforts to prepare, file, prosecute and maintain the MacroGenics Multi-Product Patents, including by providing Gilead with a copy of all material communications from any patent authority regarding any MacroGenics Multi-Product Patent, and by providing drafts of any material filings or responses to be made to such patent authorities in advance of submitting such filings or responses. MacroGenics shall consider Gilead’s comments regarding such communications and drafts in good faith. In the event that MacroGenics elects not to undertake the Patent Prosecution for any MacroGenics Multi-Product Patents, MacroGenics shall notify Gilead at least [***] before any such patent rights would become abandoned or otherwise forfeited, and the Parties will discuss in good faith whether to continue the prosecution and maintenance of such MacroGenics Multi-Product Patent. If the Parties are unable to agree in good faith whether to continue the prosecution and maintenance of such MacroGenics Multi-Product Patent, then MacroGenics shall, at Gilead’s reasonable request, continue prosecution or maintenance of such MacroGenics Multi-Product Patent.</w:t>
      </w:r>
    </w:p>
    <w:p>
      <w:pPr>
        <w:spacing w:after="0" w:line="207" w:lineRule="exact"/>
        <w:rPr>
          <w:rFonts w:ascii="Arial" w:cs="Arial" w:eastAsia="Arial" w:hAnsi="Arial"/>
          <w:sz w:val="19"/>
          <w:szCs w:val="19"/>
          <w:color w:val="auto"/>
        </w:rPr>
      </w:pPr>
    </w:p>
    <w:p>
      <w:pPr>
        <w:ind w:left="3400" w:hanging="431"/>
        <w:spacing w:after="0"/>
        <w:tabs>
          <w:tab w:leader="none" w:pos="3400" w:val="left"/>
        </w:tabs>
        <w:numPr>
          <w:ilvl w:val="1"/>
          <w:numId w:val="166"/>
        </w:numPr>
        <w:rPr>
          <w:rFonts w:ascii="Arial" w:cs="Arial" w:eastAsia="Arial" w:hAnsi="Arial"/>
          <w:sz w:val="20"/>
          <w:szCs w:val="20"/>
          <w:color w:val="auto"/>
        </w:rPr>
      </w:pPr>
      <w:r>
        <w:rPr>
          <w:rFonts w:ascii="Arial" w:cs="Arial" w:eastAsia="Arial" w:hAnsi="Arial"/>
          <w:sz w:val="20"/>
          <w:szCs w:val="20"/>
          <w:b w:val="1"/>
          <w:bCs w:val="1"/>
          <w:color w:val="auto"/>
        </w:rPr>
        <w:t>MacroGenics Product-Specific Patents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20" w:right="120" w:firstLine="2598"/>
        <w:spacing w:after="0" w:line="236" w:lineRule="auto"/>
        <w:tabs>
          <w:tab w:leader="none" w:pos="4040" w:val="left"/>
        </w:tabs>
        <w:numPr>
          <w:ilvl w:val="2"/>
          <w:numId w:val="166"/>
        </w:numPr>
        <w:rPr>
          <w:rFonts w:ascii="Arial" w:cs="Arial" w:eastAsia="Arial" w:hAnsi="Arial"/>
          <w:sz w:val="18"/>
          <w:szCs w:val="18"/>
          <w:color w:val="auto"/>
        </w:rPr>
      </w:pPr>
      <w:r>
        <w:rPr>
          <w:rFonts w:ascii="Arial" w:cs="Arial" w:eastAsia="Arial" w:hAnsi="Arial"/>
          <w:sz w:val="18"/>
          <w:szCs w:val="18"/>
          <w:b w:val="1"/>
          <w:bCs w:val="1"/>
          <w:color w:val="auto"/>
        </w:rPr>
        <w:t>Prior to Option Exercise</w:t>
      </w:r>
      <w:r>
        <w:rPr>
          <w:rFonts w:ascii="Arial" w:cs="Arial" w:eastAsia="Arial" w:hAnsi="Arial"/>
          <w:sz w:val="18"/>
          <w:szCs w:val="18"/>
          <w:color w:val="auto"/>
        </w:rPr>
        <w:t>. Prior to the applicable Option Effective Date for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MacroGenics shall have the first right (but not the obligation), at its election and cost and expense, to file, prosecute and maintain the MacroGenics Product-Specific Patents for such Licensed Product. MacroGenics shall provide Gilead with a reasonable opportunity, [***] in advance of any relevant deadline, to review and comment on its efforts to prepare, file, prosecute and maintain such MacroGenics Product-Specific Patents, including by providing Gilead with a copy of all material communications from any patent authority regarding any such MacroGenics Product-Specific Patent, and by providing drafts of any material filings or responses to be made to such patent authorities in advance of submitting such filings or responses. MacroGenics shall consider Gilead’s comments regarding such communications and drafts in good faith. In the event that MacroGenics elects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620"/>
          </w:cols>
          <w:pgMar w:left="400" w:top="1399" w:right="879" w:bottom="1440" w:gutter="0" w:footer="0" w:header="0"/>
        </w:sectPr>
      </w:pPr>
    </w:p>
    <w:bookmarkStart w:id="196" w:name="page197"/>
    <w:bookmarkEnd w:id="196"/>
    <w:p>
      <w:pPr>
        <w:ind w:left="1020"/>
        <w:spacing w:after="0" w:line="244" w:lineRule="auto"/>
        <w:rPr>
          <w:sz w:val="20"/>
          <w:szCs w:val="20"/>
          <w:color w:val="auto"/>
        </w:rPr>
      </w:pPr>
      <w:r>
        <w:rPr>
          <w:rFonts w:ascii="Arial" w:cs="Arial" w:eastAsia="Arial" w:hAnsi="Arial"/>
          <w:sz w:val="18"/>
          <w:szCs w:val="18"/>
          <w:color w:val="auto"/>
        </w:rPr>
        <w:t>not to undertake the Patent Prosecution for any such MacroGenics Product-Specific Patents, MacroGenics shall notify Gilead [***] before any such patent rights would become abandoned or otherwise forfeited, and Gilead shall have the</w:t>
      </w:r>
    </w:p>
    <w:p>
      <w:pPr>
        <w:ind w:left="1020"/>
        <w:spacing w:after="0" w:line="220" w:lineRule="auto"/>
        <w:rPr>
          <w:sz w:val="20"/>
          <w:szCs w:val="20"/>
          <w:color w:val="auto"/>
        </w:rPr>
      </w:pPr>
      <w:r>
        <w:rPr>
          <w:rFonts w:ascii="Arial" w:cs="Arial" w:eastAsia="Arial" w:hAnsi="Arial"/>
          <w:sz w:val="20"/>
          <w:szCs w:val="20"/>
          <w:color w:val="auto"/>
        </w:rPr>
        <w:t>right (but not the obligation), at its sole cost and expense, to undertake the Patent Prosecution of such MacroGenics Product-Specific Patent.</w:t>
      </w:r>
    </w:p>
    <w:p>
      <w:pPr>
        <w:spacing w:after="0" w:line="191" w:lineRule="exact"/>
        <w:rPr>
          <w:sz w:val="20"/>
          <w:szCs w:val="20"/>
          <w:color w:val="auto"/>
        </w:rPr>
      </w:pPr>
    </w:p>
    <w:p>
      <w:pPr>
        <w:ind w:left="1020" w:right="60" w:firstLine="2598"/>
        <w:spacing w:after="0" w:line="231" w:lineRule="auto"/>
        <w:tabs>
          <w:tab w:leader="none" w:pos="4040" w:val="left"/>
        </w:tabs>
        <w:numPr>
          <w:ilvl w:val="1"/>
          <w:numId w:val="167"/>
        </w:numPr>
        <w:rPr>
          <w:rFonts w:ascii="Arial" w:cs="Arial" w:eastAsia="Arial" w:hAnsi="Arial"/>
          <w:sz w:val="18"/>
          <w:szCs w:val="18"/>
          <w:color w:val="auto"/>
        </w:rPr>
      </w:pPr>
      <w:r>
        <w:rPr>
          <w:rFonts w:ascii="Arial" w:cs="Arial" w:eastAsia="Arial" w:hAnsi="Arial"/>
          <w:sz w:val="18"/>
          <w:szCs w:val="18"/>
          <w:b w:val="1"/>
          <w:bCs w:val="1"/>
          <w:color w:val="auto"/>
        </w:rPr>
        <w:t>After Option Exercise</w:t>
      </w:r>
      <w:r>
        <w:rPr>
          <w:rFonts w:ascii="Arial" w:cs="Arial" w:eastAsia="Arial" w:hAnsi="Arial"/>
          <w:sz w:val="18"/>
          <w:szCs w:val="18"/>
          <w:color w:val="auto"/>
        </w:rPr>
        <w:t>. From and after the applicable Option Effective Date for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Gilead shall have the first right (but not the obligation), at its election and cost and expense, to file, prosecute and maintain the MacroGenics Product-Specific Patents for such Licensed Product and Gilead shall do so using a patent prosecution firm that is (x) reasonably acceptable to both Parties or (y) at Gilead’s election, selected by MacroGenics from a list of firms proposed by Gilead. Gilead shall provide MacroGenics with a reasonable opportunity to review and comment on its efforts to prepare, file, prosecute and maintain such MacroGenics Product-Specific Patents, including by providing MacroGenics with a copy of all material communications from any patent authority regarding any such MacroGenics Product-Specific Patent, and by providing drafts of any material filings or responses to be made to such patent authorities in advance of submitting such filings or responses. Gilead shall consider MacroGenics’ comments regarding such communications and drafts in good faith. In the event that Gilead elects not to undertake the Patent Prosecution for any such MacroGenics Product-Specific Patent, Gilead shall notify MacroGenics</w:t>
      </w:r>
    </w:p>
    <w:p>
      <w:pPr>
        <w:spacing w:after="0" w:line="4" w:lineRule="exact"/>
        <w:rPr>
          <w:rFonts w:ascii="Arial" w:cs="Arial" w:eastAsia="Arial" w:hAnsi="Arial"/>
          <w:sz w:val="18"/>
          <w:szCs w:val="18"/>
          <w:color w:val="auto"/>
        </w:rPr>
      </w:pPr>
    </w:p>
    <w:p>
      <w:pPr>
        <w:ind w:left="1500" w:hanging="474"/>
        <w:spacing w:after="0" w:line="234" w:lineRule="auto"/>
        <w:tabs>
          <w:tab w:leader="none" w:pos="15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before any such patent rights would become abandoned or otherwise forfeited, and MacroGenics shall have the</w:t>
      </w:r>
    </w:p>
    <w:p>
      <w:pPr>
        <w:ind w:left="1020"/>
        <w:spacing w:after="0" w:line="235" w:lineRule="auto"/>
        <w:rPr>
          <w:sz w:val="20"/>
          <w:szCs w:val="20"/>
          <w:color w:val="auto"/>
        </w:rPr>
      </w:pPr>
      <w:r>
        <w:rPr>
          <w:rFonts w:ascii="Arial" w:cs="Arial" w:eastAsia="Arial" w:hAnsi="Arial"/>
          <w:sz w:val="18"/>
          <w:szCs w:val="18"/>
          <w:color w:val="auto"/>
        </w:rPr>
        <w:t>right (but not the obligation), at its sole cost and expense, to undertake the Patent Prosecution of such MacroGenics</w:t>
      </w:r>
    </w:p>
    <w:p>
      <w:pPr>
        <w:spacing w:after="0" w:line="1" w:lineRule="exact"/>
        <w:rPr>
          <w:sz w:val="20"/>
          <w:szCs w:val="20"/>
          <w:color w:val="auto"/>
        </w:rPr>
      </w:pPr>
    </w:p>
    <w:p>
      <w:pPr>
        <w:ind w:left="1020" w:right="320"/>
        <w:spacing w:after="0" w:line="226" w:lineRule="auto"/>
        <w:rPr>
          <w:sz w:val="20"/>
          <w:szCs w:val="20"/>
          <w:color w:val="auto"/>
        </w:rPr>
      </w:pPr>
      <w:r>
        <w:rPr>
          <w:rFonts w:ascii="Arial" w:cs="Arial" w:eastAsia="Arial" w:hAnsi="Arial"/>
          <w:sz w:val="18"/>
          <w:szCs w:val="18"/>
          <w:color w:val="auto"/>
        </w:rPr>
        <w:t>Product-Specific Patent. Notwithstanding the foregoing, MacroGenics’ [***] Patent Prosecution of a MacroGenics Licensed Patent under this Section 16.2(a)(v)(2) (After Option Exercise) shall [***] MacroGenics Licensed Patent or</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Jointly Owned Patent. For clarity, [***].</w:t>
      </w:r>
    </w:p>
    <w:p>
      <w:pPr>
        <w:spacing w:after="0" w:line="275" w:lineRule="exact"/>
        <w:rPr>
          <w:sz w:val="20"/>
          <w:szCs w:val="20"/>
          <w:color w:val="auto"/>
        </w:rPr>
      </w:pPr>
    </w:p>
    <w:p>
      <w:pPr>
        <w:ind w:left="1020" w:right="40" w:firstLine="1949"/>
        <w:spacing w:after="0" w:line="234" w:lineRule="auto"/>
        <w:tabs>
          <w:tab w:leader="none" w:pos="3448" w:val="left"/>
        </w:tabs>
        <w:numPr>
          <w:ilvl w:val="1"/>
          <w:numId w:val="168"/>
        </w:numPr>
        <w:rPr>
          <w:rFonts w:ascii="Arial" w:cs="Arial" w:eastAsia="Arial" w:hAnsi="Arial"/>
          <w:sz w:val="18"/>
          <w:szCs w:val="18"/>
          <w:color w:val="auto"/>
        </w:rPr>
      </w:pPr>
      <w:r>
        <w:rPr>
          <w:rFonts w:ascii="Arial" w:cs="Arial" w:eastAsia="Arial" w:hAnsi="Arial"/>
          <w:sz w:val="18"/>
          <w:szCs w:val="18"/>
          <w:b w:val="1"/>
          <w:bCs w:val="1"/>
          <w:color w:val="auto"/>
        </w:rPr>
        <w:t>Jointly Owned Patents</w:t>
      </w:r>
      <w:r>
        <w:rPr>
          <w:rFonts w:ascii="Arial" w:cs="Arial" w:eastAsia="Arial" w:hAnsi="Arial"/>
          <w:sz w:val="18"/>
          <w:szCs w:val="18"/>
          <w:color w:val="auto"/>
        </w:rPr>
        <w:t>. Gilead shall have the first right (but not the obligation), at its</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to file, prosecute and maintain the Jointly Owned Patents. Gilead shall provide MacroGenics with a reasonable opportunity to review and comment on its efforts to prepare, file, prosecute and maintain the Jointly Owned Patents, including by providing MacroGenics with a copy of all material communications from any patent authority regarding any Jointly Owned Patent, and by providing drafts of any material filings or responses to be made to such patent authorities in advance of submitting such filings or responses. Gilead shall consider MacroGenics’ comments regarding such communications and drafts in good faith. In the event that Gilead elects not to undertake the Patent Prosecution for a Jointly Owned Patent, Gilead shall notify MacroGenics [***] before any such patent rights would become abandoned or otherwise forfeited, and MacroGenics shall have the right (but not the obligation), to undertake the Patent Prosecution of such Jointly Owned Patent and become the prosecuting Party therefor. Notwithstanding the foregoing, MacroGenics’ right to assume Patent Prosecution of a Jointly Owned Patent shall not apply in the event such patent application was abandoned or otherwise forfeited by Gilead for strategic reasons.</w:t>
      </w:r>
    </w:p>
    <w:p>
      <w:pPr>
        <w:spacing w:after="0" w:line="210" w:lineRule="exact"/>
        <w:rPr>
          <w:rFonts w:ascii="Arial" w:cs="Arial" w:eastAsia="Arial" w:hAnsi="Arial"/>
          <w:sz w:val="18"/>
          <w:szCs w:val="18"/>
          <w:color w:val="auto"/>
        </w:rPr>
      </w:pPr>
    </w:p>
    <w:p>
      <w:pPr>
        <w:ind w:left="1020" w:firstLine="1301"/>
        <w:spacing w:after="0" w:line="215" w:lineRule="auto"/>
        <w:tabs>
          <w:tab w:leader="none" w:pos="2744" w:val="left"/>
        </w:tabs>
        <w:numPr>
          <w:ilvl w:val="0"/>
          <w:numId w:val="169"/>
        </w:numPr>
        <w:rPr>
          <w:rFonts w:ascii="Arial" w:cs="Arial" w:eastAsia="Arial" w:hAnsi="Arial"/>
          <w:sz w:val="20"/>
          <w:szCs w:val="20"/>
          <w:color w:val="auto"/>
        </w:rPr>
      </w:pPr>
      <w:r>
        <w:rPr>
          <w:rFonts w:ascii="Arial" w:cs="Arial" w:eastAsia="Arial" w:hAnsi="Arial"/>
          <w:sz w:val="20"/>
          <w:szCs w:val="20"/>
          <w:b w:val="1"/>
          <w:bCs w:val="1"/>
          <w:color w:val="auto"/>
        </w:rPr>
        <w:t>Patent and Trademark Invalidations</w:t>
      </w:r>
      <w:r>
        <w:rPr>
          <w:rFonts w:ascii="Arial" w:cs="Arial" w:eastAsia="Arial" w:hAnsi="Arial"/>
          <w:sz w:val="20"/>
          <w:szCs w:val="20"/>
          <w:color w:val="auto"/>
        </w:rPr>
        <w:t>. If either Party desires to undertake activities intended to</w:t>
      </w:r>
      <w:r>
        <w:rPr>
          <w:rFonts w:ascii="Arial" w:cs="Arial" w:eastAsia="Arial" w:hAnsi="Arial"/>
          <w:sz w:val="20"/>
          <w:szCs w:val="20"/>
          <w:b w:val="1"/>
          <w:bCs w:val="1"/>
          <w:color w:val="auto"/>
        </w:rPr>
        <w:t xml:space="preserve"> </w:t>
      </w:r>
      <w:r>
        <w:rPr>
          <w:rFonts w:ascii="Arial" w:cs="Arial" w:eastAsia="Arial" w:hAnsi="Arial"/>
          <w:sz w:val="20"/>
          <w:szCs w:val="20"/>
          <w:color w:val="auto"/>
        </w:rPr>
        <w:t>invalidate a pending or issued Patent or Trademark owned or controlled by a Third Party and having one or more claims that Cover a Licensed Product (except insofar as such action is a counterclaim to or defense of, or accompanies a defense of, a Third Party’s claim or assertion of infringement under Section 16.5 (Defense), in which case the provisions of Section 16.5 (Defense) will govern), such Party will so notify the other Party, and the Parties will promptly confer to determine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620"/>
          </w:cols>
          <w:pgMar w:left="400" w:top="1392" w:right="879" w:bottom="1440" w:gutter="0" w:footer="0" w:header="0"/>
        </w:sectPr>
      </w:pPr>
    </w:p>
    <w:bookmarkStart w:id="197" w:name="page198"/>
    <w:bookmarkEnd w:id="197"/>
    <w:p>
      <w:pPr>
        <w:spacing w:after="0" w:line="195" w:lineRule="exact"/>
        <w:rPr>
          <w:sz w:val="20"/>
          <w:szCs w:val="20"/>
          <w:color w:val="auto"/>
        </w:rPr>
      </w:pPr>
    </w:p>
    <w:p>
      <w:pPr>
        <w:ind w:left="1020"/>
        <w:spacing w:after="0" w:line="231" w:lineRule="auto"/>
        <w:rPr>
          <w:sz w:val="20"/>
          <w:szCs w:val="20"/>
          <w:color w:val="auto"/>
        </w:rPr>
      </w:pPr>
      <w:r>
        <w:rPr>
          <w:rFonts w:ascii="Arial" w:cs="Arial" w:eastAsia="Arial" w:hAnsi="Arial"/>
          <w:sz w:val="19"/>
          <w:szCs w:val="19"/>
          <w:color w:val="auto"/>
        </w:rPr>
        <w:t>to bring such action, the strategy to be employed in connection with any such action, or the manner in which to settle such action. [***] Third Party Patents in the Territory that Cover the Licensed Product. [***] MacroGenics and</w:t>
      </w:r>
    </w:p>
    <w:p>
      <w:pPr>
        <w:ind w:left="1020"/>
        <w:spacing w:after="0" w:line="226" w:lineRule="auto"/>
        <w:rPr>
          <w:sz w:val="20"/>
          <w:szCs w:val="20"/>
          <w:color w:val="auto"/>
        </w:rPr>
      </w:pPr>
      <w:r>
        <w:rPr>
          <w:rFonts w:ascii="Arial" w:cs="Arial" w:eastAsia="Arial" w:hAnsi="Arial"/>
          <w:sz w:val="18"/>
          <w:szCs w:val="18"/>
          <w:color w:val="auto"/>
        </w:rPr>
        <w:t>MacroGenics will have [***]. The Party not bringing an action under this Section 16.2(b) (Patent and Trademark Invalidations) will be entitled to separate representation in such proceeding by counsel of its own choice and at its own</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expense and will cooperate fully with the Party bringing such action.</w:t>
      </w:r>
    </w:p>
    <w:p>
      <w:pPr>
        <w:spacing w:after="0" w:line="194" w:lineRule="exact"/>
        <w:rPr>
          <w:sz w:val="20"/>
          <w:szCs w:val="20"/>
          <w:color w:val="auto"/>
        </w:rPr>
      </w:pPr>
    </w:p>
    <w:p>
      <w:pPr>
        <w:ind w:left="1020" w:right="20" w:firstLine="1301"/>
        <w:spacing w:after="0" w:line="221" w:lineRule="auto"/>
        <w:tabs>
          <w:tab w:leader="none" w:pos="2732" w:val="left"/>
        </w:tabs>
        <w:numPr>
          <w:ilvl w:val="0"/>
          <w:numId w:val="170"/>
        </w:numPr>
        <w:rPr>
          <w:rFonts w:ascii="Arial" w:cs="Arial" w:eastAsia="Arial" w:hAnsi="Arial"/>
          <w:sz w:val="20"/>
          <w:szCs w:val="20"/>
          <w:color w:val="auto"/>
        </w:rPr>
      </w:pPr>
      <w:r>
        <w:rPr>
          <w:rFonts w:ascii="Arial" w:cs="Arial" w:eastAsia="Arial" w:hAnsi="Arial"/>
          <w:sz w:val="20"/>
          <w:szCs w:val="20"/>
          <w:b w:val="1"/>
          <w:bCs w:val="1"/>
          <w:color w:val="auto"/>
        </w:rPr>
        <w:t>Costs of Patent and Trademark Prosecution</w:t>
      </w:r>
      <w:r>
        <w:rPr>
          <w:rFonts w:ascii="Arial" w:cs="Arial" w:eastAsia="Arial" w:hAnsi="Arial"/>
          <w:sz w:val="20"/>
          <w:szCs w:val="20"/>
          <w:color w:val="auto"/>
        </w:rPr>
        <w:t>. All Out-of-Pocket Costs for Patent Prosecution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Trademark Prosecution of any Patent (other than the Jointly Owned Patents) or Trademark shall be solely incurred by and the sole responsibility of the prosecuting Party. The Parties shall equally share the Out-of-Pocket Costs to prosecute Jointly Owned Patents.</w:t>
      </w:r>
    </w:p>
    <w:p>
      <w:pPr>
        <w:spacing w:after="0" w:line="205" w:lineRule="exact"/>
        <w:rPr>
          <w:rFonts w:ascii="Arial" w:cs="Arial" w:eastAsia="Arial" w:hAnsi="Arial"/>
          <w:sz w:val="20"/>
          <w:szCs w:val="20"/>
          <w:color w:val="auto"/>
        </w:rPr>
      </w:pPr>
    </w:p>
    <w:p>
      <w:pPr>
        <w:ind w:left="1020" w:firstLine="1301"/>
        <w:spacing w:after="0" w:line="222" w:lineRule="auto"/>
        <w:tabs>
          <w:tab w:leader="none" w:pos="2744" w:val="left"/>
        </w:tabs>
        <w:numPr>
          <w:ilvl w:val="0"/>
          <w:numId w:val="170"/>
        </w:numPr>
        <w:rPr>
          <w:rFonts w:ascii="Arial" w:cs="Arial" w:eastAsia="Arial" w:hAnsi="Arial"/>
          <w:sz w:val="19"/>
          <w:szCs w:val="19"/>
          <w:color w:val="auto"/>
        </w:rPr>
      </w:pPr>
      <w:r>
        <w:rPr>
          <w:rFonts w:ascii="Arial" w:cs="Arial" w:eastAsia="Arial" w:hAnsi="Arial"/>
          <w:sz w:val="19"/>
          <w:szCs w:val="19"/>
          <w:b w:val="1"/>
          <w:bCs w:val="1"/>
          <w:color w:val="auto"/>
        </w:rPr>
        <w:t>Patent Strategy</w:t>
      </w:r>
      <w:r>
        <w:rPr>
          <w:rFonts w:ascii="Arial" w:cs="Arial" w:eastAsia="Arial" w:hAnsi="Arial"/>
          <w:sz w:val="19"/>
          <w:szCs w:val="19"/>
          <w:color w:val="auto"/>
        </w:rPr>
        <w:t>. Notwithstanding MacroGenics’ right to file, prosecute and maintain the</w:t>
      </w:r>
      <w:r>
        <w:rPr>
          <w:rFonts w:ascii="Arial" w:cs="Arial" w:eastAsia="Arial" w:hAnsi="Arial"/>
          <w:sz w:val="19"/>
          <w:szCs w:val="19"/>
          <w:b w:val="1"/>
          <w:bCs w:val="1"/>
          <w:color w:val="auto"/>
        </w:rPr>
        <w:t xml:space="preserve"> </w:t>
      </w:r>
      <w:r>
        <w:rPr>
          <w:rFonts w:ascii="Arial" w:cs="Arial" w:eastAsia="Arial" w:hAnsi="Arial"/>
          <w:sz w:val="19"/>
          <w:szCs w:val="19"/>
          <w:color w:val="auto"/>
        </w:rPr>
        <w:t>MacroGenics Multi-Product Patents: (1) the Parties will, and will cause their Affiliates to, cooperate and implement reasonable patent filing and prosecution strategies (including filing divisionals, continuations or otherwise) so that, to the extent reasonably feasible, the MacroGenics Product-Specific Patents, MacroGenics Platform Patents and MacroGenics Multi-Product Patents are pursued in mutually exclusive patent applications; (2) at Gilead’s request and expense, MacroGenics will file any new MacroGenics Product-Specific Patents in a separate patent application from the existing MacroGenics Platform Patents and MacroGenics Multi-Product Patents, in each case to the extent reasonably feasible and in a manner that does not materially prejudice the prosecution of other MacroGenics Licensed Patents; and (3) for any MacroGenics Licensed Patents for which MacroGenics is responsible for filing, to the extent legally permitted by the applicable patent authority, MacroGenics will segregate claims to CD123 Products from products directed to other targets into separate Patents.</w:t>
      </w:r>
    </w:p>
    <w:p>
      <w:pPr>
        <w:spacing w:after="0" w:line="182"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b w:val="1"/>
          <w:bCs w:val="1"/>
          <w:color w:val="auto"/>
        </w:rPr>
        <w:t>Patent Prosecution Cooperation</w:t>
      </w:r>
      <w:r>
        <w:rPr>
          <w:rFonts w:ascii="Arial" w:cs="Arial" w:eastAsia="Arial" w:hAnsi="Arial"/>
          <w:sz w:val="16"/>
          <w:szCs w:val="16"/>
          <w:color w:val="auto"/>
        </w:rPr>
        <w:t>. With respect to all Patent Prosecution related to pending or issued</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Patents that are Jointly Owned Patents, MacroGenics Licensed Patents or Gilead Licensed Patents, each Party shall:</w:t>
      </w:r>
    </w:p>
    <w:p>
      <w:pPr>
        <w:spacing w:after="0" w:line="236" w:lineRule="exact"/>
        <w:rPr>
          <w:sz w:val="20"/>
          <w:szCs w:val="20"/>
          <w:color w:val="auto"/>
        </w:rPr>
      </w:pPr>
    </w:p>
    <w:p>
      <w:pPr>
        <w:ind w:left="1020" w:right="720" w:firstLine="1301"/>
        <w:spacing w:after="0" w:line="274" w:lineRule="auto"/>
        <w:tabs>
          <w:tab w:leader="none" w:pos="2732" w:val="left"/>
        </w:tabs>
        <w:numPr>
          <w:ilvl w:val="0"/>
          <w:numId w:val="171"/>
        </w:numPr>
        <w:rPr>
          <w:rFonts w:ascii="Arial" w:cs="Arial" w:eastAsia="Arial" w:hAnsi="Arial"/>
          <w:sz w:val="20"/>
          <w:szCs w:val="20"/>
          <w:color w:val="auto"/>
        </w:rPr>
      </w:pPr>
      <w:r>
        <w:rPr>
          <w:rFonts w:ascii="Arial" w:cs="Arial" w:eastAsia="Arial" w:hAnsi="Arial"/>
          <w:sz w:val="20"/>
          <w:szCs w:val="20"/>
          <w:color w:val="auto"/>
        </w:rPr>
        <w:t>execute all further instruments to document their respective ownership consistent with this Agreement as reasonably requested by the other Party;</w:t>
      </w:r>
    </w:p>
    <w:p>
      <w:pPr>
        <w:spacing w:after="0" w:line="190" w:lineRule="exact"/>
        <w:rPr>
          <w:rFonts w:ascii="Arial" w:cs="Arial" w:eastAsia="Arial" w:hAnsi="Arial"/>
          <w:sz w:val="20"/>
          <w:szCs w:val="20"/>
          <w:color w:val="auto"/>
        </w:rPr>
      </w:pPr>
    </w:p>
    <w:p>
      <w:pPr>
        <w:ind w:left="1020" w:right="120" w:firstLine="1301"/>
        <w:spacing w:after="0" w:line="223" w:lineRule="auto"/>
        <w:tabs>
          <w:tab w:leader="none" w:pos="2745" w:val="left"/>
        </w:tabs>
        <w:numPr>
          <w:ilvl w:val="0"/>
          <w:numId w:val="171"/>
        </w:numPr>
        <w:rPr>
          <w:rFonts w:ascii="Arial" w:cs="Arial" w:eastAsia="Arial" w:hAnsi="Arial"/>
          <w:sz w:val="20"/>
          <w:szCs w:val="20"/>
          <w:color w:val="auto"/>
        </w:rPr>
      </w:pPr>
      <w:r>
        <w:rPr>
          <w:rFonts w:ascii="Arial" w:cs="Arial" w:eastAsia="Arial" w:hAnsi="Arial"/>
          <w:sz w:val="20"/>
          <w:szCs w:val="20"/>
          <w:color w:val="auto"/>
        </w:rPr>
        <w:t>make its employees, agents and consultants reasonably available to the other Party (or to the other Party’s authorized attorneys, agents or representatives), to the extent reasonably necessary to enable the appropriate Party hereunder to undertake its Patent Prosecution responsibilities;</w:t>
      </w:r>
    </w:p>
    <w:p>
      <w:pPr>
        <w:spacing w:after="0" w:line="265" w:lineRule="exact"/>
        <w:rPr>
          <w:rFonts w:ascii="Arial" w:cs="Arial" w:eastAsia="Arial" w:hAnsi="Arial"/>
          <w:sz w:val="20"/>
          <w:szCs w:val="20"/>
          <w:color w:val="auto"/>
        </w:rPr>
      </w:pPr>
    </w:p>
    <w:p>
      <w:pPr>
        <w:ind w:left="2740" w:hanging="419"/>
        <w:spacing w:after="0"/>
        <w:tabs>
          <w:tab w:leader="none" w:pos="274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cooperate, if necessary and appropriate, with the other Party in gaining Patent term</w:t>
      </w:r>
    </w:p>
    <w:p>
      <w:pPr>
        <w:ind w:left="1020"/>
        <w:spacing w:after="0"/>
        <w:rPr>
          <w:sz w:val="20"/>
          <w:szCs w:val="20"/>
          <w:color w:val="auto"/>
        </w:rPr>
      </w:pPr>
      <w:r>
        <w:rPr>
          <w:rFonts w:ascii="Arial" w:cs="Arial" w:eastAsia="Arial" w:hAnsi="Arial"/>
          <w:sz w:val="20"/>
          <w:szCs w:val="20"/>
          <w:color w:val="auto"/>
        </w:rPr>
        <w:t>extensions; and</w:t>
      </w:r>
    </w:p>
    <w:p>
      <w:pPr>
        <w:spacing w:after="0" w:line="308" w:lineRule="exact"/>
        <w:rPr>
          <w:sz w:val="20"/>
          <w:szCs w:val="20"/>
          <w:color w:val="auto"/>
        </w:rPr>
      </w:pPr>
    </w:p>
    <w:p>
      <w:pPr>
        <w:ind w:left="1020" w:right="620" w:firstLine="1301"/>
        <w:spacing w:after="0" w:line="260" w:lineRule="auto"/>
        <w:tabs>
          <w:tab w:leader="none" w:pos="274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endeavor in good faith to coordinate its efforts under this Agreement with the other Party to minimize or avoid interference with the Patent Prosecution of the other Party’s Patents.</w:t>
      </w:r>
    </w:p>
    <w:p>
      <w:pPr>
        <w:spacing w:after="0" w:line="198"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6"/>
          <w:szCs w:val="16"/>
          <w:b w:val="1"/>
          <w:bCs w:val="1"/>
          <w:color w:val="auto"/>
        </w:rPr>
        <w:t>Enforcement</w:t>
      </w:r>
      <w:r>
        <w:rPr>
          <w:rFonts w:ascii="Arial" w:cs="Arial" w:eastAsia="Arial" w:hAnsi="Arial"/>
          <w:sz w:val="16"/>
          <w:szCs w:val="16"/>
          <w:color w:val="auto"/>
        </w:rPr>
        <w:t>.</w:t>
      </w:r>
    </w:p>
    <w:p>
      <w:pPr>
        <w:spacing w:after="0" w:line="216" w:lineRule="exact"/>
        <w:rPr>
          <w:sz w:val="20"/>
          <w:szCs w:val="20"/>
          <w:color w:val="auto"/>
        </w:rPr>
      </w:pPr>
    </w:p>
    <w:p>
      <w:pPr>
        <w:ind w:left="1020" w:right="100" w:firstLine="1302"/>
        <w:spacing w:after="0" w:line="225" w:lineRule="auto"/>
        <w:tabs>
          <w:tab w:leader="none" w:pos="2733" w:val="left"/>
        </w:tabs>
        <w:numPr>
          <w:ilvl w:val="0"/>
          <w:numId w:val="173"/>
        </w:numPr>
        <w:rPr>
          <w:rFonts w:ascii="Arial" w:cs="Arial" w:eastAsia="Arial" w:hAnsi="Arial"/>
          <w:sz w:val="20"/>
          <w:szCs w:val="20"/>
          <w:color w:val="auto"/>
        </w:rPr>
      </w:pPr>
      <w:r>
        <w:rPr>
          <w:rFonts w:ascii="Arial" w:cs="Arial" w:eastAsia="Arial" w:hAnsi="Arial"/>
          <w:sz w:val="20"/>
          <w:szCs w:val="20"/>
          <w:b w:val="1"/>
          <w:bCs w:val="1"/>
          <w:color w:val="auto"/>
        </w:rPr>
        <w:t>Notice</w:t>
      </w:r>
      <w:r>
        <w:rPr>
          <w:rFonts w:ascii="Arial" w:cs="Arial" w:eastAsia="Arial" w:hAnsi="Arial"/>
          <w:sz w:val="20"/>
          <w:szCs w:val="20"/>
          <w:color w:val="auto"/>
        </w:rPr>
        <w:t>. Each Party shall promptly provide, but in no event [***], the other Party with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notice reasonably detailing any known or alleged infringement, misappropriation or other violation of any MacroGenics Licensed Technology, Jointly Owned IP or Gilead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620"/>
          </w:cols>
          <w:pgMar w:left="400" w:top="1440" w:right="879" w:bottom="1440" w:gutter="0" w:footer="0" w:header="0"/>
        </w:sectPr>
      </w:pPr>
    </w:p>
    <w:bookmarkStart w:id="198" w:name="page199"/>
    <w:bookmarkEnd w:id="198"/>
    <w:p>
      <w:pPr>
        <w:spacing w:after="0" w:line="195" w:lineRule="exact"/>
        <w:rPr>
          <w:sz w:val="20"/>
          <w:szCs w:val="20"/>
          <w:color w:val="auto"/>
        </w:rPr>
      </w:pPr>
    </w:p>
    <w:p>
      <w:pPr>
        <w:ind w:left="1020"/>
        <w:spacing w:after="0" w:line="236" w:lineRule="auto"/>
        <w:rPr>
          <w:sz w:val="20"/>
          <w:szCs w:val="20"/>
          <w:color w:val="auto"/>
        </w:rPr>
      </w:pPr>
      <w:r>
        <w:rPr>
          <w:rFonts w:ascii="Arial" w:cs="Arial" w:eastAsia="Arial" w:hAnsi="Arial"/>
          <w:sz w:val="20"/>
          <w:szCs w:val="20"/>
          <w:color w:val="auto"/>
        </w:rPr>
        <w:t>Licensed Technology. The notifying Party will provide the other Party with all evidence available to it supporting its belief of such infringement.</w:t>
      </w:r>
    </w:p>
    <w:p>
      <w:pPr>
        <w:spacing w:after="0" w:line="190" w:lineRule="exact"/>
        <w:rPr>
          <w:sz w:val="20"/>
          <w:szCs w:val="20"/>
          <w:color w:val="auto"/>
        </w:rPr>
      </w:pPr>
    </w:p>
    <w:p>
      <w:pPr>
        <w:ind w:left="2740" w:hanging="419"/>
        <w:spacing w:after="0"/>
        <w:tabs>
          <w:tab w:leader="none" w:pos="2740" w:val="left"/>
        </w:tabs>
        <w:numPr>
          <w:ilvl w:val="2"/>
          <w:numId w:val="174"/>
        </w:numPr>
        <w:rPr>
          <w:rFonts w:ascii="Arial" w:cs="Arial" w:eastAsia="Arial" w:hAnsi="Arial"/>
          <w:sz w:val="20"/>
          <w:szCs w:val="20"/>
          <w:color w:val="auto"/>
        </w:rPr>
      </w:pPr>
      <w:r>
        <w:rPr>
          <w:rFonts w:ascii="Arial" w:cs="Arial" w:eastAsia="Arial" w:hAnsi="Arial"/>
          <w:sz w:val="20"/>
          <w:szCs w:val="20"/>
          <w:b w:val="1"/>
          <w:bCs w:val="1"/>
          <w:color w:val="auto"/>
        </w:rPr>
        <w:t>Enforcement of Intellectual Property Rights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20" w:right="440" w:firstLine="1949"/>
        <w:spacing w:after="0" w:line="224" w:lineRule="auto"/>
        <w:tabs>
          <w:tab w:leader="none" w:pos="3349" w:val="left"/>
        </w:tabs>
        <w:numPr>
          <w:ilvl w:val="3"/>
          <w:numId w:val="174"/>
        </w:numPr>
        <w:rPr>
          <w:rFonts w:ascii="Arial" w:cs="Arial" w:eastAsia="Arial" w:hAnsi="Arial"/>
          <w:sz w:val="19"/>
          <w:szCs w:val="19"/>
          <w:color w:val="auto"/>
        </w:rPr>
      </w:pPr>
      <w:r>
        <w:rPr>
          <w:rFonts w:ascii="Arial" w:cs="Arial" w:eastAsia="Arial" w:hAnsi="Arial"/>
          <w:sz w:val="19"/>
          <w:szCs w:val="19"/>
          <w:b w:val="1"/>
          <w:bCs w:val="1"/>
          <w:color w:val="auto"/>
        </w:rPr>
        <w:t>MacroGenics Platform Patents and Other MacroGenics Licensed Patents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MacroGenics shall have the sole right to initiate and direct any infringement, misappropriation or other appropriate suit with respect to any Competing Activity (“</w:t>
      </w:r>
      <w:r>
        <w:rPr>
          <w:rFonts w:ascii="Arial" w:cs="Arial" w:eastAsia="Arial" w:hAnsi="Arial"/>
          <w:sz w:val="19"/>
          <w:szCs w:val="19"/>
          <w:b w:val="1"/>
          <w:bCs w:val="1"/>
          <w:color w:val="auto"/>
        </w:rPr>
        <w:t>Enforcement Effort</w:t>
      </w:r>
      <w:r>
        <w:rPr>
          <w:rFonts w:ascii="Arial" w:cs="Arial" w:eastAsia="Arial" w:hAnsi="Arial"/>
          <w:sz w:val="19"/>
          <w:szCs w:val="19"/>
          <w:color w:val="auto"/>
        </w:rPr>
        <w:t xml:space="preserve">”) under the MacroGenics Platform Patents, the Other MacroGenics Licensed Patents or the MacroGenics Platform Trademarks;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Gilead’s request from and after the applicable Option Effective Date for a Licensed Product, [***]. With respect to any Enforcement Effort requested by Gilead after MacroGenics’ decision not to so initiate or prosecute, MacroGenics will consult with Gilead regarding such Enforcement Effort and will consider, reasonably and in good faith, all input received from Gilead regarding such Enforcement Efforts. For purposes of this Section 16.4(b) (Enforcement of Intellectual Property Rights), a [***] Enforcement Effort, shall mean the following: [***].</w:t>
      </w:r>
    </w:p>
    <w:p>
      <w:pPr>
        <w:spacing w:after="0" w:line="270" w:lineRule="exact"/>
        <w:rPr>
          <w:rFonts w:ascii="Arial" w:cs="Arial" w:eastAsia="Arial" w:hAnsi="Arial"/>
          <w:sz w:val="19"/>
          <w:szCs w:val="19"/>
          <w:color w:val="auto"/>
        </w:rPr>
      </w:pPr>
    </w:p>
    <w:p>
      <w:pPr>
        <w:ind w:left="1020" w:right="420" w:firstLine="1949"/>
        <w:spacing w:after="0" w:line="239" w:lineRule="auto"/>
        <w:tabs>
          <w:tab w:leader="none" w:pos="3403" w:val="left"/>
        </w:tabs>
        <w:numPr>
          <w:ilvl w:val="3"/>
          <w:numId w:val="174"/>
        </w:numPr>
        <w:rPr>
          <w:rFonts w:ascii="Arial" w:cs="Arial" w:eastAsia="Arial" w:hAnsi="Arial"/>
          <w:sz w:val="18"/>
          <w:szCs w:val="18"/>
          <w:color w:val="auto"/>
        </w:rPr>
      </w:pPr>
      <w:r>
        <w:rPr>
          <w:rFonts w:ascii="Arial" w:cs="Arial" w:eastAsia="Arial" w:hAnsi="Arial"/>
          <w:sz w:val="18"/>
          <w:szCs w:val="18"/>
          <w:b w:val="1"/>
          <w:bCs w:val="1"/>
          <w:color w:val="auto"/>
        </w:rPr>
        <w:t>MacroGenics Multi-Product Patents</w:t>
      </w:r>
      <w:r>
        <w:rPr>
          <w:rFonts w:ascii="Arial" w:cs="Arial" w:eastAsia="Arial" w:hAnsi="Arial"/>
          <w:sz w:val="18"/>
          <w:szCs w:val="18"/>
          <w:color w:val="auto"/>
        </w:rPr>
        <w:t>. MacroGenics shall have the first right (but not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institute and direct Enforcement Efforts under the MacroGenics Multi- Product Patents. If MacroGenics</w:t>
      </w:r>
    </w:p>
    <w:p>
      <w:pPr>
        <w:spacing w:after="0" w:line="1" w:lineRule="exact"/>
        <w:rPr>
          <w:rFonts w:ascii="Arial" w:cs="Arial" w:eastAsia="Arial" w:hAnsi="Arial"/>
          <w:sz w:val="18"/>
          <w:szCs w:val="18"/>
          <w:color w:val="auto"/>
        </w:rPr>
      </w:pPr>
    </w:p>
    <w:p>
      <w:pPr>
        <w:ind w:left="1020" w:right="480" w:firstLine="5"/>
        <w:spacing w:after="0" w:line="229" w:lineRule="auto"/>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does not initiate any Enforcement Effort against a Third Party alleged to be conducting a Competing Activity, including by commencement of a legal action under the applicable MacroGenics Multi-Product Patents or obtaining a settlement thereof (in accordance with this Agreement), within [***] after receiving notice of such Competing Activity,</w:t>
      </w:r>
    </w:p>
    <w:p>
      <w:pPr>
        <w:spacing w:after="0" w:line="1" w:lineRule="exact"/>
        <w:rPr>
          <w:rFonts w:ascii="Arial" w:cs="Arial" w:eastAsia="Arial" w:hAnsi="Arial"/>
          <w:sz w:val="18"/>
          <w:szCs w:val="18"/>
          <w:color w:val="auto"/>
        </w:rPr>
      </w:pPr>
    </w:p>
    <w:p>
      <w:pPr>
        <w:ind w:left="1020" w:right="560" w:firstLine="5"/>
        <w:spacing w:after="0" w:line="215" w:lineRule="auto"/>
        <w:tabs>
          <w:tab w:leader="none" w:pos="130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initiates such Enforcement Efforts within such period, and subsequently ceases to pursue or withdraws from such Enforcement Effort, or (3) provides written notice to Gilead that it does not intend to initiate such Enforcement Effort, then in each case ((1) through (3)) Gilead shall have the right (but shall not be obligated) to take all actions reasonably necessary to abate and seek damages resulting from such Competing Activity, including commencement of a lawsuit against the accused Third Party if necessary.</w:t>
      </w:r>
    </w:p>
    <w:p>
      <w:pPr>
        <w:spacing w:after="0" w:line="176" w:lineRule="exact"/>
        <w:rPr>
          <w:rFonts w:ascii="Arial" w:cs="Arial" w:eastAsia="Arial" w:hAnsi="Arial"/>
          <w:sz w:val="20"/>
          <w:szCs w:val="20"/>
          <w:color w:val="auto"/>
        </w:rPr>
      </w:pPr>
    </w:p>
    <w:p>
      <w:pPr>
        <w:ind w:left="3460" w:hanging="491"/>
        <w:spacing w:after="0"/>
        <w:tabs>
          <w:tab w:leader="none" w:pos="3460" w:val="left"/>
        </w:tabs>
        <w:numPr>
          <w:ilvl w:val="3"/>
          <w:numId w:val="175"/>
        </w:numPr>
        <w:rPr>
          <w:rFonts w:ascii="Arial" w:cs="Arial" w:eastAsia="Arial" w:hAnsi="Arial"/>
          <w:sz w:val="20"/>
          <w:szCs w:val="20"/>
          <w:color w:val="auto"/>
        </w:rPr>
      </w:pPr>
      <w:r>
        <w:rPr>
          <w:rFonts w:ascii="Arial" w:cs="Arial" w:eastAsia="Arial" w:hAnsi="Arial"/>
          <w:sz w:val="20"/>
          <w:szCs w:val="20"/>
          <w:b w:val="1"/>
          <w:bCs w:val="1"/>
          <w:color w:val="auto"/>
        </w:rPr>
        <w:t>MacroGenics Product-Specific Patents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020" w:right="780" w:firstLine="2597"/>
        <w:spacing w:after="0" w:line="214" w:lineRule="auto"/>
        <w:tabs>
          <w:tab w:leader="none" w:pos="4039" w:val="left"/>
        </w:tabs>
        <w:numPr>
          <w:ilvl w:val="4"/>
          <w:numId w:val="175"/>
        </w:numPr>
        <w:rPr>
          <w:rFonts w:ascii="Arial" w:cs="Arial" w:eastAsia="Arial" w:hAnsi="Arial"/>
          <w:sz w:val="20"/>
          <w:szCs w:val="20"/>
          <w:color w:val="auto"/>
        </w:rPr>
      </w:pPr>
      <w:r>
        <w:rPr>
          <w:rFonts w:ascii="Arial" w:cs="Arial" w:eastAsia="Arial" w:hAnsi="Arial"/>
          <w:sz w:val="20"/>
          <w:szCs w:val="20"/>
          <w:b w:val="1"/>
          <w:bCs w:val="1"/>
          <w:color w:val="auto"/>
        </w:rPr>
        <w:t>Prior to Option Exercise</w:t>
      </w:r>
      <w:r>
        <w:rPr>
          <w:rFonts w:ascii="Arial" w:cs="Arial" w:eastAsia="Arial" w:hAnsi="Arial"/>
          <w:sz w:val="20"/>
          <w:szCs w:val="20"/>
          <w:color w:val="auto"/>
        </w:rPr>
        <w:t>. Prior to the applicable Option Effective Date for a</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 MacroGenics shall have the first right (but not the obligation) to institute and direct Enforcement Efforts under the MacroGenics Product-Specific Patents. If MacroGenics</w:t>
      </w:r>
    </w:p>
    <w:p>
      <w:pPr>
        <w:jc w:val="both"/>
        <w:ind w:left="1020" w:right="340" w:firstLine="6"/>
        <w:spacing w:after="0" w:line="229" w:lineRule="auto"/>
        <w:tabs>
          <w:tab w:leader="none" w:pos="133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does not initiate any Enforcement Effort against a Third Party alleged to be conducting a Competing Activity, including by commencement of a legal action under the applicable MacroGenics Product-Specific Patents or obtaining a settlement thereof (in accordance with this Agreement), within [***] after receiving notice of such Competing Activity,</w:t>
      </w:r>
    </w:p>
    <w:p>
      <w:pPr>
        <w:spacing w:after="0" w:line="1" w:lineRule="exact"/>
        <w:rPr>
          <w:rFonts w:ascii="Arial" w:cs="Arial" w:eastAsia="Arial" w:hAnsi="Arial"/>
          <w:sz w:val="18"/>
          <w:szCs w:val="18"/>
          <w:color w:val="auto"/>
        </w:rPr>
      </w:pPr>
    </w:p>
    <w:p>
      <w:pPr>
        <w:jc w:val="both"/>
        <w:ind w:left="1020" w:right="340" w:firstLine="6"/>
        <w:spacing w:after="0" w:line="212" w:lineRule="auto"/>
        <w:tabs>
          <w:tab w:leader="none" w:pos="1322" w:val="left"/>
        </w:tabs>
        <w:numPr>
          <w:ilvl w:val="1"/>
          <w:numId w:val="175"/>
        </w:numPr>
        <w:rPr>
          <w:rFonts w:ascii="Arial" w:cs="Arial" w:eastAsia="Arial" w:hAnsi="Arial"/>
          <w:sz w:val="20"/>
          <w:szCs w:val="20"/>
          <w:color w:val="auto"/>
        </w:rPr>
      </w:pPr>
      <w:r>
        <w:rPr>
          <w:rFonts w:ascii="Arial" w:cs="Arial" w:eastAsia="Arial" w:hAnsi="Arial"/>
          <w:sz w:val="20"/>
          <w:szCs w:val="20"/>
          <w:color w:val="auto"/>
        </w:rPr>
        <w:t>initiates such Enforcement Efforts within such period, and subsequently ceases to pursue or withdraws from such Enforcement Effort, or (z) provides written notice to Gilead that it does not intend to initiate such Enforcement Effort, then in each case ((x) through (z)) Gilead shall have the right (but shall not be obligated) to take all actions reasonably necessary to abate and seek damages resulting from such Competing Activity, including commencement of a lawsuit against the accused Third Party if necessary;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60"/>
          </w:cols>
          <w:pgMar w:left="400" w:top="1440" w:right="539" w:bottom="1440" w:gutter="0" w:footer="0" w:header="0"/>
        </w:sectPr>
      </w:pPr>
    </w:p>
    <w:bookmarkStart w:id="199" w:name="page200"/>
    <w:bookmarkEnd w:id="199"/>
    <w:p>
      <w:pPr>
        <w:spacing w:after="0" w:line="149" w:lineRule="exact"/>
        <w:rPr>
          <w:sz w:val="20"/>
          <w:szCs w:val="20"/>
          <w:color w:val="auto"/>
        </w:rPr>
      </w:pPr>
    </w:p>
    <w:p>
      <w:pPr>
        <w:ind w:left="1020" w:right="60" w:firstLine="2597"/>
        <w:spacing w:after="0" w:line="233" w:lineRule="auto"/>
        <w:tabs>
          <w:tab w:leader="none" w:pos="4040" w:val="left"/>
        </w:tabs>
        <w:numPr>
          <w:ilvl w:val="3"/>
          <w:numId w:val="176"/>
        </w:numPr>
        <w:rPr>
          <w:rFonts w:ascii="Arial" w:cs="Arial" w:eastAsia="Arial" w:hAnsi="Arial"/>
          <w:sz w:val="18"/>
          <w:szCs w:val="18"/>
          <w:color w:val="auto"/>
        </w:rPr>
      </w:pPr>
      <w:r>
        <w:rPr>
          <w:rFonts w:ascii="Arial" w:cs="Arial" w:eastAsia="Arial" w:hAnsi="Arial"/>
          <w:sz w:val="18"/>
          <w:szCs w:val="18"/>
          <w:b w:val="1"/>
          <w:bCs w:val="1"/>
          <w:color w:val="auto"/>
        </w:rPr>
        <w:t>After Option Exercise</w:t>
      </w:r>
      <w:r>
        <w:rPr>
          <w:rFonts w:ascii="Arial" w:cs="Arial" w:eastAsia="Arial" w:hAnsi="Arial"/>
          <w:sz w:val="18"/>
          <w:szCs w:val="18"/>
          <w:color w:val="auto"/>
        </w:rPr>
        <w:t>. From and after the applicable Option Effective Date for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Gilead shall have the first right (but not the obligation) to institute and direct Enforcement Efforts under the MacroGenics Product-Specific Patents. If Gilead (x) does not initiate any Enforcement Effort against a Third Party alleged to be conducting a Competing Activity, including by commencement of a legal action under the applicable MacroGenics Product-Specific Patents or obtaining a settlement thereof (in accordance with this Agreement), within</w:t>
      </w:r>
    </w:p>
    <w:p>
      <w:pPr>
        <w:spacing w:after="0" w:line="2" w:lineRule="exact"/>
        <w:rPr>
          <w:rFonts w:ascii="Arial" w:cs="Arial" w:eastAsia="Arial" w:hAnsi="Arial"/>
          <w:sz w:val="18"/>
          <w:szCs w:val="18"/>
          <w:color w:val="auto"/>
        </w:rPr>
      </w:pPr>
    </w:p>
    <w:p>
      <w:pPr>
        <w:ind w:left="1020" w:right="60" w:firstLine="5"/>
        <w:spacing w:after="0" w:line="212" w:lineRule="auto"/>
        <w:tabs>
          <w:tab w:leader="none" w:pos="1498"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after receiving notice of such Competing Activity, (y) initiates such Enforcement Efforts within such period, and subsequently ceases to pursue or withdraws from such Enforcement Effort, or (z) provides written notice to MacroGenics that it does not intend to initiate such Enforcement Effort, then in each case ((x) through (z)) MacroGenics shall have the right (but shall not be obligated) to take all actions reasonably necessary to abate and seek damages resulting from such Competing Activity, including commencement of a lawsuit against the accused Third Party if necessary; [***].</w:t>
      </w:r>
    </w:p>
    <w:p>
      <w:pPr>
        <w:spacing w:after="0" w:line="28" w:lineRule="exact"/>
        <w:rPr>
          <w:rFonts w:ascii="Arial" w:cs="Arial" w:eastAsia="Arial" w:hAnsi="Arial"/>
          <w:sz w:val="20"/>
          <w:szCs w:val="20"/>
          <w:color w:val="auto"/>
        </w:rPr>
      </w:pPr>
    </w:p>
    <w:p>
      <w:pPr>
        <w:ind w:left="1020" w:firstLine="1949"/>
        <w:spacing w:after="0" w:line="233" w:lineRule="auto"/>
        <w:tabs>
          <w:tab w:leader="none" w:pos="3448" w:val="left"/>
        </w:tabs>
        <w:numPr>
          <w:ilvl w:val="2"/>
          <w:numId w:val="177"/>
        </w:numPr>
        <w:rPr>
          <w:rFonts w:ascii="Arial" w:cs="Arial" w:eastAsia="Arial" w:hAnsi="Arial"/>
          <w:sz w:val="18"/>
          <w:szCs w:val="18"/>
          <w:color w:val="auto"/>
        </w:rPr>
      </w:pPr>
      <w:r>
        <w:rPr>
          <w:rFonts w:ascii="Arial" w:cs="Arial" w:eastAsia="Arial" w:hAnsi="Arial"/>
          <w:sz w:val="18"/>
          <w:szCs w:val="18"/>
          <w:b w:val="1"/>
          <w:bCs w:val="1"/>
          <w:color w:val="auto"/>
        </w:rPr>
        <w:t>Jointly Owned IP</w:t>
      </w:r>
      <w:r>
        <w:rPr>
          <w:rFonts w:ascii="Arial" w:cs="Arial" w:eastAsia="Arial" w:hAnsi="Arial"/>
          <w:sz w:val="18"/>
          <w:szCs w:val="18"/>
          <w:color w:val="auto"/>
        </w:rPr>
        <w:t>. Gilead shall have the first right (but not the obligation) to institute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 Enforcement Efforts under the Jointly Owned Patents. If Gilead (x) does not initiate any Enforcement Effort against a Third Party alleged to be conducting a Competing Activity, including by commencement of a legal action under the applicable Jointly Owned Patents or obtaining a settlement thereof (in accordance with this Agreement), within</w:t>
      </w:r>
    </w:p>
    <w:p>
      <w:pPr>
        <w:spacing w:after="0" w:line="1" w:lineRule="exact"/>
        <w:rPr>
          <w:rFonts w:ascii="Arial" w:cs="Arial" w:eastAsia="Arial" w:hAnsi="Arial"/>
          <w:sz w:val="18"/>
          <w:szCs w:val="18"/>
          <w:color w:val="auto"/>
        </w:rPr>
      </w:pPr>
    </w:p>
    <w:p>
      <w:pPr>
        <w:ind w:left="1020" w:right="60" w:firstLine="5"/>
        <w:spacing w:after="0" w:line="214" w:lineRule="auto"/>
        <w:tabs>
          <w:tab w:leader="none" w:pos="1498"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after receiving notice of such Competing Activity, (y) initiates such Enforcement Effort within such period, and subsequently ceases to pursue or withdraws from such Enforcement Effort, or (z) provides written notice to MacroGenics that it does not intend to initiate such Enforcement Effort, then in each case ((x) through (z)) MacroGenics shall have the right (but shall not be obligated) to take all actions reasonably necessary to abate and seek damages resulting from such Competing Activity, including commencement of a lawsuit against the accused Third Party if necessary; [***].</w:t>
      </w:r>
    </w:p>
    <w:p>
      <w:pPr>
        <w:spacing w:after="0" w:line="30" w:lineRule="exact"/>
        <w:rPr>
          <w:rFonts w:ascii="Arial" w:cs="Arial" w:eastAsia="Arial" w:hAnsi="Arial"/>
          <w:sz w:val="20"/>
          <w:szCs w:val="20"/>
          <w:color w:val="auto"/>
        </w:rPr>
      </w:pPr>
    </w:p>
    <w:p>
      <w:pPr>
        <w:ind w:left="1020" w:right="260" w:firstLine="1949"/>
        <w:spacing w:after="0" w:line="260" w:lineRule="auto"/>
        <w:tabs>
          <w:tab w:leader="none" w:pos="3391" w:val="left"/>
        </w:tabs>
        <w:numPr>
          <w:ilvl w:val="2"/>
          <w:numId w:val="178"/>
        </w:numPr>
        <w:rPr>
          <w:rFonts w:ascii="Arial" w:cs="Arial" w:eastAsia="Arial" w:hAnsi="Arial"/>
          <w:sz w:val="20"/>
          <w:szCs w:val="20"/>
          <w:color w:val="auto"/>
        </w:rPr>
      </w:pPr>
      <w:r>
        <w:rPr>
          <w:rFonts w:ascii="Arial" w:cs="Arial" w:eastAsia="Arial" w:hAnsi="Arial"/>
          <w:sz w:val="20"/>
          <w:szCs w:val="20"/>
          <w:b w:val="1"/>
          <w:bCs w:val="1"/>
          <w:color w:val="auto"/>
        </w:rPr>
        <w:t>Cooperation</w:t>
      </w:r>
      <w:r>
        <w:rPr>
          <w:rFonts w:ascii="Arial" w:cs="Arial" w:eastAsia="Arial" w:hAnsi="Arial"/>
          <w:sz w:val="20"/>
          <w:szCs w:val="20"/>
          <w:color w:val="auto"/>
        </w:rPr>
        <w:t>. Each Party shall discuss in good faith with the other Party, and shall keep</w:t>
      </w:r>
      <w:r>
        <w:rPr>
          <w:rFonts w:ascii="Arial" w:cs="Arial" w:eastAsia="Arial" w:hAnsi="Arial"/>
          <w:sz w:val="20"/>
          <w:szCs w:val="20"/>
          <w:b w:val="1"/>
          <w:bCs w:val="1"/>
          <w:color w:val="auto"/>
        </w:rPr>
        <w:t xml:space="preserve"> </w:t>
      </w:r>
      <w:r>
        <w:rPr>
          <w:rFonts w:ascii="Arial" w:cs="Arial" w:eastAsia="Arial" w:hAnsi="Arial"/>
          <w:sz w:val="20"/>
          <w:szCs w:val="20"/>
          <w:color w:val="auto"/>
        </w:rPr>
        <w:t>the other Party updated with respect to, the progress of each Enforcement Effort being undertaken by such Party pursuant to this Section 16.4 (Enforcement).</w:t>
      </w:r>
    </w:p>
    <w:p>
      <w:pPr>
        <w:spacing w:after="0" w:line="184" w:lineRule="exact"/>
        <w:rPr>
          <w:rFonts w:ascii="Arial" w:cs="Arial" w:eastAsia="Arial" w:hAnsi="Arial"/>
          <w:sz w:val="20"/>
          <w:szCs w:val="20"/>
          <w:color w:val="auto"/>
        </w:rPr>
      </w:pPr>
    </w:p>
    <w:p>
      <w:pPr>
        <w:ind w:left="2740" w:hanging="419"/>
        <w:spacing w:after="0"/>
        <w:tabs>
          <w:tab w:leader="none" w:pos="2740" w:val="left"/>
        </w:tabs>
        <w:numPr>
          <w:ilvl w:val="1"/>
          <w:numId w:val="179"/>
        </w:numPr>
        <w:rPr>
          <w:rFonts w:ascii="Arial" w:cs="Arial" w:eastAsia="Arial" w:hAnsi="Arial"/>
          <w:sz w:val="20"/>
          <w:szCs w:val="20"/>
          <w:color w:val="auto"/>
        </w:rPr>
      </w:pPr>
      <w:r>
        <w:rPr>
          <w:rFonts w:ascii="Arial" w:cs="Arial" w:eastAsia="Arial" w:hAnsi="Arial"/>
          <w:sz w:val="20"/>
          <w:szCs w:val="20"/>
          <w:b w:val="1"/>
          <w:bCs w:val="1"/>
          <w:color w:val="auto"/>
        </w:rPr>
        <w:t>Recovery Allocations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3340" w:hanging="371"/>
        <w:spacing w:after="0"/>
        <w:tabs>
          <w:tab w:leader="none" w:pos="3340" w:val="left"/>
        </w:tabs>
        <w:numPr>
          <w:ilvl w:val="2"/>
          <w:numId w:val="179"/>
        </w:numPr>
        <w:rPr>
          <w:rFonts w:ascii="Arial" w:cs="Arial" w:eastAsia="Arial" w:hAnsi="Arial"/>
          <w:sz w:val="19"/>
          <w:szCs w:val="19"/>
          <w:color w:val="auto"/>
        </w:rPr>
      </w:pPr>
      <w:r>
        <w:rPr>
          <w:rFonts w:ascii="Arial" w:cs="Arial" w:eastAsia="Arial" w:hAnsi="Arial"/>
          <w:sz w:val="19"/>
          <w:szCs w:val="19"/>
          <w:color w:val="auto"/>
        </w:rPr>
        <w:t>All amounts recovered by either Party in the Territory relating to an Enforcement Effort</w:t>
      </w:r>
    </w:p>
    <w:p>
      <w:pPr>
        <w:ind w:left="1020" w:right="680"/>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Recovery</w:t>
      </w:r>
      <w:r>
        <w:rPr>
          <w:rFonts w:ascii="Arial" w:cs="Arial" w:eastAsia="Arial" w:hAnsi="Arial"/>
          <w:sz w:val="20"/>
          <w:szCs w:val="20"/>
          <w:color w:val="auto"/>
        </w:rPr>
        <w:t>”) shall be first used to reimburse each Party’s Out-of-Pocket Costs incurred in connection with such Enforcement Effort.</w:t>
      </w:r>
    </w:p>
    <w:p>
      <w:pPr>
        <w:spacing w:after="0" w:line="210" w:lineRule="exact"/>
        <w:rPr>
          <w:sz w:val="20"/>
          <w:szCs w:val="20"/>
          <w:color w:val="auto"/>
        </w:rPr>
      </w:pPr>
    </w:p>
    <w:p>
      <w:pPr>
        <w:ind w:left="1020" w:right="160" w:firstLine="1949"/>
        <w:spacing w:after="0" w:line="223" w:lineRule="auto"/>
        <w:tabs>
          <w:tab w:leader="none" w:pos="339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After reimbursement of all amounts under Section 16.4(c)(i) (Recovery Allocations), any remainder of a Recovery that is obtained by Gilead from an Enforcement Effort or by MacroGenics from an Enforcement Effort shall be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620"/>
          </w:cols>
          <w:pgMar w:left="400" w:top="1440" w:right="879" w:bottom="1440" w:gutter="0" w:footer="0" w:header="0"/>
        </w:sectPr>
      </w:pPr>
    </w:p>
    <w:bookmarkStart w:id="200" w:name="page201"/>
    <w:bookmarkEnd w:id="200"/>
    <w:p>
      <w:pPr>
        <w:ind w:left="1020" w:firstLine="1301"/>
        <w:spacing w:after="0" w:line="223" w:lineRule="auto"/>
        <w:tabs>
          <w:tab w:leader="none" w:pos="2744" w:val="left"/>
        </w:tabs>
        <w:numPr>
          <w:ilvl w:val="0"/>
          <w:numId w:val="181"/>
        </w:numPr>
        <w:rPr>
          <w:rFonts w:ascii="Arial" w:cs="Arial" w:eastAsia="Arial" w:hAnsi="Arial"/>
          <w:sz w:val="19"/>
          <w:szCs w:val="19"/>
          <w:color w:val="auto"/>
        </w:rPr>
      </w:pPr>
      <w:r>
        <w:rPr>
          <w:rFonts w:ascii="Arial" w:cs="Arial" w:eastAsia="Arial" w:hAnsi="Arial"/>
          <w:sz w:val="19"/>
          <w:szCs w:val="19"/>
          <w:b w:val="1"/>
          <w:bCs w:val="1"/>
          <w:color w:val="auto"/>
        </w:rPr>
        <w:t>Cooperation in Enforcement Proceedings</w:t>
      </w:r>
      <w:r>
        <w:rPr>
          <w:rFonts w:ascii="Arial" w:cs="Arial" w:eastAsia="Arial" w:hAnsi="Arial"/>
          <w:sz w:val="19"/>
          <w:szCs w:val="19"/>
          <w:color w:val="auto"/>
        </w:rPr>
        <w:t>. For any action by a Party pursuant to Section 16.4(b)</w:t>
      </w:r>
      <w:r>
        <w:rPr>
          <w:rFonts w:ascii="Arial" w:cs="Arial" w:eastAsia="Arial" w:hAnsi="Arial"/>
          <w:sz w:val="19"/>
          <w:szCs w:val="19"/>
          <w:b w:val="1"/>
          <w:bCs w:val="1"/>
          <w:color w:val="auto"/>
        </w:rPr>
        <w:t xml:space="preserve"> </w:t>
      </w:r>
      <w:r>
        <w:rPr>
          <w:rFonts w:ascii="Arial" w:cs="Arial" w:eastAsia="Arial" w:hAnsi="Arial"/>
          <w:sz w:val="19"/>
          <w:szCs w:val="19"/>
          <w:color w:val="auto"/>
        </w:rPr>
        <w:t>(Enforcement of Intellectual Property Rights), in the event that such Party is unable to initiate or prosecute such action solely in its own name, the other Party shall join such action voluntarily and shall execute all documents necessary for such Party to initiate, prosecute and maintain such action. If either Gilead or MacroGenics initiates an enforcement action pursuant to Section 16.4(b) (Enforcement of Intellectual Property Rights), then the other Party shall cooperate to the extent reasonably necessary and at the first Party’s sole expense (except for the expenses of the non-controlling Party’s counsel, if any). Upon the reasonable request of the Party instituting any such action, such other Party shall join the suit and can be represented in any such legal proceedings using counsel of its own choice. Each Party shall assert and not waive the joint defense privilege with respect to all communications between the Parties reasonably the subject thereof.</w:t>
      </w:r>
    </w:p>
    <w:p>
      <w:pPr>
        <w:spacing w:after="0" w:line="210" w:lineRule="exact"/>
        <w:rPr>
          <w:rFonts w:ascii="Arial" w:cs="Arial" w:eastAsia="Arial" w:hAnsi="Arial"/>
          <w:sz w:val="19"/>
          <w:szCs w:val="19"/>
          <w:color w:val="auto"/>
        </w:rPr>
      </w:pPr>
    </w:p>
    <w:p>
      <w:pPr>
        <w:ind w:left="1020" w:right="160" w:firstLine="1301"/>
        <w:spacing w:after="0" w:line="232" w:lineRule="auto"/>
        <w:tabs>
          <w:tab w:leader="none" w:pos="2732"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Status; Settlement</w:t>
      </w:r>
      <w:r>
        <w:rPr>
          <w:rFonts w:ascii="Arial" w:cs="Arial" w:eastAsia="Arial" w:hAnsi="Arial"/>
          <w:sz w:val="18"/>
          <w:szCs w:val="18"/>
          <w:color w:val="auto"/>
        </w:rPr>
        <w:t>. The Parties shall keep each other reasonably informed of the status of and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activities regarding any enforcement action pursuant to Section 16.4(b) (Enforcement of Intellectual Property Rights). In no event may the Party who has the right to initiate an Enforcement Effort pursuant to Section</w:t>
      </w:r>
    </w:p>
    <w:p>
      <w:pPr>
        <w:spacing w:after="0" w:line="2" w:lineRule="exact"/>
        <w:rPr>
          <w:rFonts w:ascii="Arial" w:cs="Arial" w:eastAsia="Arial" w:hAnsi="Arial"/>
          <w:sz w:val="18"/>
          <w:szCs w:val="18"/>
          <w:color w:val="auto"/>
        </w:rPr>
      </w:pPr>
    </w:p>
    <w:p>
      <w:pPr>
        <w:ind w:left="1020" w:right="80"/>
        <w:spacing w:after="0" w:line="234" w:lineRule="auto"/>
        <w:rPr>
          <w:rFonts w:ascii="Arial" w:cs="Arial" w:eastAsia="Arial" w:hAnsi="Arial"/>
          <w:sz w:val="18"/>
          <w:szCs w:val="18"/>
          <w:color w:val="auto"/>
        </w:rPr>
      </w:pPr>
      <w:r>
        <w:rPr>
          <w:rFonts w:ascii="Arial" w:cs="Arial" w:eastAsia="Arial" w:hAnsi="Arial"/>
          <w:sz w:val="19"/>
          <w:szCs w:val="19"/>
          <w:color w:val="auto"/>
        </w:rPr>
        <w:t>16.4(b) (Enforcement of Intellectual Property Rights) settle such Enforcement Effort in a manner that would limit the rights of the other Party or impose any obligation on the other Party, in each case, without the other Party’s prior written consent, which consent will not be unreasonably withheld, delayed or conditioned.</w:t>
      </w:r>
    </w:p>
    <w:p>
      <w:pPr>
        <w:spacing w:after="0" w:line="18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6"/>
          <w:szCs w:val="16"/>
          <w:b w:val="1"/>
          <w:bCs w:val="1"/>
          <w:color w:val="auto"/>
        </w:rPr>
        <w:t>Defense</w:t>
      </w:r>
      <w:r>
        <w:rPr>
          <w:rFonts w:ascii="Arial" w:cs="Arial" w:eastAsia="Arial" w:hAnsi="Arial"/>
          <w:sz w:val="16"/>
          <w:szCs w:val="16"/>
          <w:color w:val="auto"/>
        </w:rPr>
        <w:t>.</w:t>
      </w:r>
    </w:p>
    <w:p>
      <w:pPr>
        <w:spacing w:after="0" w:line="216" w:lineRule="exact"/>
        <w:rPr>
          <w:sz w:val="20"/>
          <w:szCs w:val="20"/>
          <w:color w:val="auto"/>
        </w:rPr>
      </w:pPr>
    </w:p>
    <w:p>
      <w:pPr>
        <w:ind w:left="1020" w:right="260" w:firstLine="1301"/>
        <w:spacing w:after="0" w:line="215" w:lineRule="auto"/>
        <w:tabs>
          <w:tab w:leader="none" w:pos="2734" w:val="left"/>
        </w:tabs>
        <w:numPr>
          <w:ilvl w:val="0"/>
          <w:numId w:val="182"/>
        </w:numPr>
        <w:rPr>
          <w:rFonts w:ascii="Arial" w:cs="Arial" w:eastAsia="Arial" w:hAnsi="Arial"/>
          <w:sz w:val="20"/>
          <w:szCs w:val="20"/>
          <w:color w:val="auto"/>
        </w:rPr>
      </w:pPr>
      <w:r>
        <w:rPr>
          <w:rFonts w:ascii="Arial" w:cs="Arial" w:eastAsia="Arial" w:hAnsi="Arial"/>
          <w:sz w:val="20"/>
          <w:szCs w:val="20"/>
          <w:b w:val="1"/>
          <w:bCs w:val="1"/>
          <w:color w:val="auto"/>
        </w:rPr>
        <w:t>Notice of Allegations</w:t>
      </w:r>
      <w:r>
        <w:rPr>
          <w:rFonts w:ascii="Arial" w:cs="Arial" w:eastAsia="Arial" w:hAnsi="Arial"/>
          <w:sz w:val="20"/>
          <w:szCs w:val="20"/>
          <w:color w:val="auto"/>
        </w:rPr>
        <w:t>. Each Party shall notify the other in writing of any allegations it receives</w:t>
      </w:r>
      <w:r>
        <w:rPr>
          <w:rFonts w:ascii="Arial" w:cs="Arial" w:eastAsia="Arial" w:hAnsi="Arial"/>
          <w:sz w:val="20"/>
          <w:szCs w:val="20"/>
          <w:b w:val="1"/>
          <w:bCs w:val="1"/>
          <w:color w:val="auto"/>
        </w:rPr>
        <w:t xml:space="preserve"> </w:t>
      </w:r>
      <w:r>
        <w:rPr>
          <w:rFonts w:ascii="Arial" w:cs="Arial" w:eastAsia="Arial" w:hAnsi="Arial"/>
          <w:sz w:val="20"/>
          <w:szCs w:val="20"/>
          <w:color w:val="auto"/>
        </w:rPr>
        <w:t>from a Third Party that the manufacture, production, use, development, sale, offer for sale, import or distribution of a Licensed Molecule or Licensed Product or practice of any MacroGenics Licensed Technology or Jointly Owned IP infringes, misappropriates or otherwise violates the intellectual property rights of such Third Party (“</w:t>
      </w:r>
      <w:r>
        <w:rPr>
          <w:rFonts w:ascii="Arial" w:cs="Arial" w:eastAsia="Arial" w:hAnsi="Arial"/>
          <w:sz w:val="20"/>
          <w:szCs w:val="20"/>
          <w:b w:val="1"/>
          <w:bCs w:val="1"/>
          <w:color w:val="auto"/>
        </w:rPr>
        <w:t>Third Party</w:t>
      </w:r>
      <w:r>
        <w:rPr>
          <w:rFonts w:ascii="Arial" w:cs="Arial" w:eastAsia="Arial" w:hAnsi="Arial"/>
          <w:sz w:val="20"/>
          <w:szCs w:val="20"/>
          <w:color w:val="auto"/>
        </w:rPr>
        <w:t xml:space="preserve"> </w:t>
      </w:r>
      <w:r>
        <w:rPr>
          <w:rFonts w:ascii="Arial" w:cs="Arial" w:eastAsia="Arial" w:hAnsi="Arial"/>
          <w:sz w:val="20"/>
          <w:szCs w:val="20"/>
          <w:b w:val="1"/>
          <w:bCs w:val="1"/>
          <w:color w:val="auto"/>
        </w:rPr>
        <w:t>Allegation</w:t>
      </w:r>
      <w:r>
        <w:rPr>
          <w:rFonts w:ascii="Arial" w:cs="Arial" w:eastAsia="Arial" w:hAnsi="Arial"/>
          <w:sz w:val="20"/>
          <w:szCs w:val="20"/>
          <w:color w:val="auto"/>
        </w:rPr>
        <w:t>”). Such notice shall be provided promptly, but in no event after more than [***], following receipt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allegations.</w:t>
      </w:r>
    </w:p>
    <w:p>
      <w:pPr>
        <w:spacing w:after="0" w:line="275" w:lineRule="exact"/>
        <w:rPr>
          <w:rFonts w:ascii="Arial" w:cs="Arial" w:eastAsia="Arial" w:hAnsi="Arial"/>
          <w:sz w:val="20"/>
          <w:szCs w:val="20"/>
          <w:color w:val="auto"/>
        </w:rPr>
      </w:pPr>
    </w:p>
    <w:p>
      <w:pPr>
        <w:ind w:left="1020" w:right="100" w:firstLine="1301"/>
        <w:spacing w:after="0" w:line="214" w:lineRule="auto"/>
        <w:tabs>
          <w:tab w:leader="none" w:pos="2744" w:val="left"/>
        </w:tabs>
        <w:numPr>
          <w:ilvl w:val="0"/>
          <w:numId w:val="182"/>
        </w:numPr>
        <w:rPr>
          <w:rFonts w:ascii="Arial" w:cs="Arial" w:eastAsia="Arial" w:hAnsi="Arial"/>
          <w:sz w:val="20"/>
          <w:szCs w:val="20"/>
          <w:color w:val="auto"/>
        </w:rPr>
      </w:pPr>
      <w:r>
        <w:rPr>
          <w:rFonts w:ascii="Arial" w:cs="Arial" w:eastAsia="Arial" w:hAnsi="Arial"/>
          <w:sz w:val="20"/>
          <w:szCs w:val="20"/>
          <w:b w:val="1"/>
          <w:bCs w:val="1"/>
          <w:color w:val="auto"/>
        </w:rPr>
        <w:t>Notice of Suit</w:t>
      </w:r>
      <w:r>
        <w:rPr>
          <w:rFonts w:ascii="Arial" w:cs="Arial" w:eastAsia="Arial" w:hAnsi="Arial"/>
          <w:sz w:val="20"/>
          <w:szCs w:val="20"/>
          <w:color w:val="auto"/>
        </w:rPr>
        <w:t>. In the event that a Party receives notice that it or any of its Affiliates have been</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individually or collectively named as a defendant (or defendants) in a legal proceeding by a Third Party alleging infringement, misappropriation or any other violation of a Third Party’s intellectual property right as a result of the Development, Manufacture, or Commercialization of a Licensed Molecule or Licensed Product or any of MacroGenics Licensed Technology or Jointly Owned IP (“</w:t>
      </w:r>
      <w:r>
        <w:rPr>
          <w:rFonts w:ascii="Arial" w:cs="Arial" w:eastAsia="Arial" w:hAnsi="Arial"/>
          <w:sz w:val="20"/>
          <w:szCs w:val="20"/>
          <w:b w:val="1"/>
          <w:bCs w:val="1"/>
          <w:color w:val="auto"/>
        </w:rPr>
        <w:t>Third Party Suit</w:t>
      </w:r>
      <w:r>
        <w:rPr>
          <w:rFonts w:ascii="Arial" w:cs="Arial" w:eastAsia="Arial" w:hAnsi="Arial"/>
          <w:sz w:val="20"/>
          <w:szCs w:val="20"/>
          <w:color w:val="auto"/>
        </w:rPr>
        <w:t>”), such Party shall promptly notify the other Party in writing and in no event notify such other Party later than [***] after the receipt of such notice. Such written notice shall include a copy of any summons or complaint (or the equivalent thereof) received regarding the foregoing. Each Party shall assert and not waive the joint defense privilege with respect to all communications between the Parties reasonably the subject thereof.</w:t>
      </w:r>
    </w:p>
    <w:p>
      <w:pPr>
        <w:spacing w:after="0" w:line="179" w:lineRule="exact"/>
        <w:rPr>
          <w:rFonts w:ascii="Arial" w:cs="Arial" w:eastAsia="Arial" w:hAnsi="Arial"/>
          <w:sz w:val="20"/>
          <w:szCs w:val="20"/>
          <w:color w:val="auto"/>
        </w:rPr>
      </w:pPr>
    </w:p>
    <w:p>
      <w:pPr>
        <w:ind w:left="2740" w:hanging="419"/>
        <w:spacing w:after="0"/>
        <w:tabs>
          <w:tab w:leader="none" w:pos="2740" w:val="left"/>
        </w:tabs>
        <w:numPr>
          <w:ilvl w:val="0"/>
          <w:numId w:val="182"/>
        </w:numPr>
        <w:rPr>
          <w:rFonts w:ascii="Arial" w:cs="Arial" w:eastAsia="Arial" w:hAnsi="Arial"/>
          <w:sz w:val="20"/>
          <w:szCs w:val="20"/>
          <w:color w:val="auto"/>
        </w:rPr>
      </w:pPr>
      <w:r>
        <w:rPr>
          <w:rFonts w:ascii="Arial" w:cs="Arial" w:eastAsia="Arial" w:hAnsi="Arial"/>
          <w:sz w:val="20"/>
          <w:szCs w:val="20"/>
          <w:b w:val="1"/>
          <w:bCs w:val="1"/>
          <w:color w:val="auto"/>
        </w:rPr>
        <w:t>Right to Defend</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020" w:right="160" w:firstLine="1949"/>
        <w:spacing w:after="0" w:line="225" w:lineRule="auto"/>
        <w:tabs>
          <w:tab w:leader="none" w:pos="3349" w:val="left"/>
        </w:tabs>
        <w:numPr>
          <w:ilvl w:val="1"/>
          <w:numId w:val="182"/>
        </w:numPr>
        <w:rPr>
          <w:rFonts w:ascii="Arial" w:cs="Arial" w:eastAsia="Arial" w:hAnsi="Arial"/>
          <w:sz w:val="20"/>
          <w:szCs w:val="20"/>
          <w:color w:val="auto"/>
        </w:rPr>
      </w:pPr>
      <w:r>
        <w:rPr>
          <w:rFonts w:ascii="Arial" w:cs="Arial" w:eastAsia="Arial" w:hAnsi="Arial"/>
          <w:sz w:val="20"/>
          <w:szCs w:val="20"/>
          <w:b w:val="1"/>
          <w:bCs w:val="1"/>
          <w:color w:val="auto"/>
        </w:rPr>
        <w:t>Prior to Option Exercise</w:t>
      </w:r>
      <w:r>
        <w:rPr>
          <w:rFonts w:ascii="Arial" w:cs="Arial" w:eastAsia="Arial" w:hAnsi="Arial"/>
          <w:sz w:val="20"/>
          <w:szCs w:val="20"/>
          <w:color w:val="auto"/>
        </w:rPr>
        <w:t>. Prior to the Option Effective Date for a Licensed Product,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will meet and discuss any Third Party Allegation or Third Party Suit and determine in good faith how to defend such claim.</w:t>
      </w:r>
    </w:p>
    <w:p>
      <w:pPr>
        <w:spacing w:after="0" w:line="190" w:lineRule="exact"/>
        <w:rPr>
          <w:rFonts w:ascii="Arial" w:cs="Arial" w:eastAsia="Arial" w:hAnsi="Arial"/>
          <w:sz w:val="20"/>
          <w:szCs w:val="20"/>
          <w:color w:val="auto"/>
        </w:rPr>
      </w:pPr>
    </w:p>
    <w:p>
      <w:pPr>
        <w:ind w:left="1020" w:right="180" w:firstLine="1949"/>
        <w:spacing w:after="0" w:line="219" w:lineRule="auto"/>
        <w:tabs>
          <w:tab w:leader="none" w:pos="3403" w:val="left"/>
        </w:tabs>
        <w:numPr>
          <w:ilvl w:val="1"/>
          <w:numId w:val="182"/>
        </w:numPr>
        <w:rPr>
          <w:rFonts w:ascii="Arial" w:cs="Arial" w:eastAsia="Arial" w:hAnsi="Arial"/>
          <w:sz w:val="20"/>
          <w:szCs w:val="20"/>
          <w:color w:val="auto"/>
        </w:rPr>
      </w:pPr>
      <w:r>
        <w:rPr>
          <w:rFonts w:ascii="Arial" w:cs="Arial" w:eastAsia="Arial" w:hAnsi="Arial"/>
          <w:sz w:val="20"/>
          <w:szCs w:val="20"/>
          <w:b w:val="1"/>
          <w:bCs w:val="1"/>
          <w:color w:val="auto"/>
        </w:rPr>
        <w:t>After Option Exercise</w:t>
      </w:r>
      <w:r>
        <w:rPr>
          <w:rFonts w:ascii="Arial" w:cs="Arial" w:eastAsia="Arial" w:hAnsi="Arial"/>
          <w:sz w:val="20"/>
          <w:szCs w:val="20"/>
          <w:color w:val="auto"/>
        </w:rPr>
        <w:t>. From and after the applicable Option Effective Date for a</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 Gilead will have the first right, but not the obligation, to defend any Third Party Allegation or Third Party Suit related to such Licensed Product or the applicable Licensed Molecule at its cost and expense. MacroGenics may participate in any such claim, suit or proceeding with counsel of its choice at its own cost and expense. Without limitation of the foregoing, if Gilead finds it necessary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600"/>
          </w:cols>
          <w:pgMar w:left="400" w:top="1386" w:right="899" w:bottom="1440" w:gutter="0" w:footer="0" w:header="0"/>
        </w:sectPr>
      </w:pPr>
    </w:p>
    <w:bookmarkStart w:id="201" w:name="page202"/>
    <w:bookmarkEnd w:id="201"/>
    <w:p>
      <w:pPr>
        <w:spacing w:after="0" w:line="195" w:lineRule="exact"/>
        <w:rPr>
          <w:sz w:val="20"/>
          <w:szCs w:val="20"/>
          <w:color w:val="auto"/>
        </w:rPr>
      </w:pPr>
    </w:p>
    <w:p>
      <w:pPr>
        <w:ind w:left="1020"/>
        <w:spacing w:after="0" w:line="219" w:lineRule="auto"/>
        <w:rPr>
          <w:sz w:val="20"/>
          <w:szCs w:val="20"/>
          <w:color w:val="auto"/>
        </w:rPr>
      </w:pPr>
      <w:r>
        <w:rPr>
          <w:rFonts w:ascii="Arial" w:cs="Arial" w:eastAsia="Arial" w:hAnsi="Arial"/>
          <w:sz w:val="20"/>
          <w:szCs w:val="20"/>
          <w:color w:val="auto"/>
        </w:rPr>
        <w:t>MacroGenics to join Gilead as a party to any such action, then the Parties shall cooperate to execute all papers and perform such acts as shall be reasonably required for MacroGenics to join such action. If Gilead</w:t>
      </w:r>
    </w:p>
    <w:p>
      <w:pPr>
        <w:spacing w:after="0" w:line="1" w:lineRule="exact"/>
        <w:rPr>
          <w:sz w:val="20"/>
          <w:szCs w:val="20"/>
          <w:color w:val="auto"/>
        </w:rPr>
      </w:pPr>
    </w:p>
    <w:p>
      <w:pPr>
        <w:jc w:val="both"/>
        <w:ind w:left="1020" w:firstLine="5"/>
        <w:spacing w:after="0" w:line="223" w:lineRule="auto"/>
        <w:tabs>
          <w:tab w:leader="none" w:pos="130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does not initiate any defense of any Third Party Allegation or Third Party Suit related to such Licensed Product or the applicable Licensed Molecule within [***] after receiving notice of such Third Party Allegation or Third Party Suit, (y) if such defense is initiated within such period, and Gilead ceases to pursue or withdraws from such defense, or (z) provides written notice to MacroGenics that it does not intend to defend against such Third Party Allegation or Third Party Suit, then in each case ((x) through (z)) MacroGenics shall have the right (but shall not be obligated) to take all actions reasonably necessary to defend such Third Party Allegation or Third Party Suit, including commencement of a lawsuit against the accused Third Party if necessary.</w:t>
      </w:r>
    </w:p>
    <w:p>
      <w:pPr>
        <w:spacing w:after="0" w:line="190" w:lineRule="exact"/>
        <w:rPr>
          <w:rFonts w:ascii="Arial" w:cs="Arial" w:eastAsia="Arial" w:hAnsi="Arial"/>
          <w:sz w:val="19"/>
          <w:szCs w:val="19"/>
          <w:color w:val="auto"/>
        </w:rPr>
      </w:pPr>
    </w:p>
    <w:p>
      <w:pPr>
        <w:ind w:left="1020" w:firstLine="1301"/>
        <w:spacing w:after="0" w:line="215" w:lineRule="auto"/>
        <w:tabs>
          <w:tab w:leader="none" w:pos="2744" w:val="left"/>
        </w:tabs>
        <w:numPr>
          <w:ilvl w:val="1"/>
          <w:numId w:val="183"/>
        </w:numPr>
        <w:rPr>
          <w:rFonts w:ascii="Arial" w:cs="Arial" w:eastAsia="Arial" w:hAnsi="Arial"/>
          <w:sz w:val="20"/>
          <w:szCs w:val="20"/>
          <w:color w:val="auto"/>
        </w:rPr>
      </w:pPr>
      <w:r>
        <w:rPr>
          <w:rFonts w:ascii="Arial" w:cs="Arial" w:eastAsia="Arial" w:hAnsi="Arial"/>
          <w:sz w:val="20"/>
          <w:szCs w:val="20"/>
          <w:b w:val="1"/>
          <w:bCs w:val="1"/>
          <w:color w:val="auto"/>
        </w:rPr>
        <w:t>Status; Settlement</w:t>
      </w:r>
      <w:r>
        <w:rPr>
          <w:rFonts w:ascii="Arial" w:cs="Arial" w:eastAsia="Arial" w:hAnsi="Arial"/>
          <w:sz w:val="20"/>
          <w:szCs w:val="20"/>
          <w:color w:val="auto"/>
        </w:rPr>
        <w:t>. The Parties shall keep each other informed of the status of and of their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respective activities regarding any litigation or settlement thereof initiated by a Third Party as contemplated under Section 16.5(c) (Right to Defend);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 settlement or consent judgment or other voluntary final disposition of a suit under this Section 16.5(d) (Status; Settlement) that affects the other Party’s rights or interests may be undertaken by a Party without the consent of the other Party, which consent shall not be unreasonably withheld, conditioned or delayed.</w:t>
      </w:r>
    </w:p>
    <w:p>
      <w:pPr>
        <w:spacing w:after="0" w:line="183"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8"/>
          <w:szCs w:val="18"/>
          <w:b w:val="1"/>
          <w:bCs w:val="1"/>
          <w:color w:val="auto"/>
        </w:rPr>
        <w:t>Patent Listing</w:t>
      </w:r>
      <w:r>
        <w:rPr>
          <w:rFonts w:ascii="Arial" w:cs="Arial" w:eastAsia="Arial" w:hAnsi="Arial"/>
          <w:sz w:val="18"/>
          <w:szCs w:val="18"/>
          <w:color w:val="auto"/>
        </w:rPr>
        <w:t>. From and after the applicable Option Effective Date for a Licensed Product, [***] in the</w:t>
      </w:r>
    </w:p>
    <w:p>
      <w:pPr>
        <w:spacing w:after="0" w:line="6" w:lineRule="exact"/>
        <w:rPr>
          <w:sz w:val="20"/>
          <w:szCs w:val="20"/>
          <w:color w:val="auto"/>
        </w:rPr>
      </w:pPr>
    </w:p>
    <w:p>
      <w:pPr>
        <w:ind w:left="1020" w:right="60"/>
        <w:spacing w:after="0" w:line="220" w:lineRule="auto"/>
        <w:rPr>
          <w:sz w:val="20"/>
          <w:szCs w:val="20"/>
          <w:color w:val="auto"/>
        </w:rPr>
      </w:pPr>
      <w:r>
        <w:rPr>
          <w:rFonts w:ascii="Arial" w:cs="Arial" w:eastAsia="Arial" w:hAnsi="Arial"/>
          <w:sz w:val="20"/>
          <w:szCs w:val="20"/>
          <w:color w:val="auto"/>
        </w:rPr>
        <w:t>then-current edition of the FDA’s Purple Book in connection with the Regulatory Approval of such Licensed Product, or in equivalent patent listings in any other country within the Territory.</w:t>
      </w:r>
    </w:p>
    <w:p>
      <w:pPr>
        <w:spacing w:after="0" w:line="17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6"/>
          <w:szCs w:val="16"/>
          <w:b w:val="1"/>
          <w:bCs w:val="1"/>
          <w:color w:val="auto"/>
        </w:rPr>
        <w:t>Patent Term Extensions</w:t>
      </w:r>
      <w:r>
        <w:rPr>
          <w:rFonts w:ascii="Arial" w:cs="Arial" w:eastAsia="Arial" w:hAnsi="Arial"/>
          <w:sz w:val="16"/>
          <w:szCs w:val="16"/>
          <w:color w:val="auto"/>
        </w:rPr>
        <w:t>. From and after the applicable Option Effective Date for a Licensed Product,</w:t>
      </w:r>
    </w:p>
    <w:p>
      <w:pPr>
        <w:spacing w:after="0" w:line="6" w:lineRule="exact"/>
        <w:rPr>
          <w:sz w:val="20"/>
          <w:szCs w:val="20"/>
          <w:color w:val="auto"/>
        </w:rPr>
      </w:pPr>
    </w:p>
    <w:p>
      <w:pPr>
        <w:ind w:left="1020" w:right="240" w:firstLine="5"/>
        <w:spacing w:after="0" w:line="258" w:lineRule="auto"/>
        <w:tabs>
          <w:tab w:leader="none" w:pos="149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for patent term extensions, supplementary protection certificates, or equivalents thereto in any country in the Territory, in each case, where applicable to such Licensed Product (hereinafter “</w:t>
      </w:r>
      <w:r>
        <w:rPr>
          <w:rFonts w:ascii="Arial" w:cs="Arial" w:eastAsia="Arial" w:hAnsi="Arial"/>
          <w:sz w:val="16"/>
          <w:szCs w:val="16"/>
          <w:b w:val="1"/>
          <w:bCs w:val="1"/>
          <w:color w:val="auto"/>
        </w:rPr>
        <w:t>Patent Term Extensions</w:t>
      </w:r>
      <w:r>
        <w:rPr>
          <w:rFonts w:ascii="Arial" w:cs="Arial" w:eastAsia="Arial" w:hAnsi="Arial"/>
          <w:sz w:val="16"/>
          <w:szCs w:val="16"/>
          <w:color w:val="auto"/>
        </w:rPr>
        <w:t>”), including for any MacroGenics Licensed Patents or Jointly Owned Patents (but excluding any MacroGenics Platform Patent).</w:t>
      </w:r>
    </w:p>
    <w:p>
      <w:pPr>
        <w:ind w:left="1020" w:right="280" w:firstLine="5"/>
        <w:spacing w:after="0" w:line="227" w:lineRule="auto"/>
        <w:tabs>
          <w:tab w:leader="none" w:pos="1498" w:val="left"/>
        </w:tabs>
        <w:numPr>
          <w:ilvl w:val="0"/>
          <w:numId w:val="184"/>
        </w:numPr>
        <w:rPr>
          <w:rFonts w:ascii="Arial" w:cs="Arial" w:eastAsia="Arial" w:hAnsi="Arial"/>
          <w:sz w:val="20"/>
          <w:szCs w:val="20"/>
          <w:color w:val="auto"/>
        </w:rPr>
      </w:pPr>
      <w:r>
        <w:rPr>
          <w:rFonts w:ascii="Arial" w:cs="Arial" w:eastAsia="Arial" w:hAnsi="Arial"/>
          <w:sz w:val="20"/>
          <w:szCs w:val="20"/>
          <w:color w:val="auto"/>
        </w:rPr>
        <w:t>will provide support, assistance, and all necessary documents, in full, executed form if needed, to Gilead for the purpose of supporting, filing, obtaining and maintaining Patent Term Extensions.</w:t>
      </w:r>
    </w:p>
    <w:p>
      <w:pPr>
        <w:spacing w:after="0" w:line="177" w:lineRule="exact"/>
        <w:rPr>
          <w:sz w:val="20"/>
          <w:szCs w:val="20"/>
          <w:color w:val="auto"/>
        </w:rPr>
      </w:pPr>
    </w:p>
    <w:p>
      <w:pPr>
        <w:ind w:left="1480" w:hanging="454"/>
        <w:spacing w:after="0"/>
        <w:tabs>
          <w:tab w:leader="none" w:pos="1480" w:val="left"/>
        </w:tabs>
        <w:numPr>
          <w:ilvl w:val="0"/>
          <w:numId w:val="185"/>
        </w:numPr>
        <w:rPr>
          <w:rFonts w:ascii="Arial" w:cs="Arial" w:eastAsia="Arial" w:hAnsi="Arial"/>
          <w:sz w:val="20"/>
          <w:szCs w:val="20"/>
          <w:color w:val="auto"/>
        </w:rPr>
      </w:pPr>
      <w:r>
        <w:rPr>
          <w:rFonts w:ascii="Arial" w:cs="Arial" w:eastAsia="Arial" w:hAnsi="Arial"/>
          <w:sz w:val="20"/>
          <w:szCs w:val="20"/>
          <w:b w:val="1"/>
          <w:bCs w:val="1"/>
          <w:color w:val="auto"/>
        </w:rPr>
        <w:t>Dispute Resolution</w:t>
      </w:r>
      <w:r>
        <w:rPr>
          <w:rFonts w:ascii="Arial" w:cs="Arial" w:eastAsia="Arial" w:hAnsi="Arial"/>
          <w:sz w:val="20"/>
          <w:szCs w:val="20"/>
          <w:color w:val="auto"/>
        </w:rPr>
        <w:t>.</w:t>
      </w:r>
    </w:p>
    <w:p>
      <w:pPr>
        <w:spacing w:after="0" w:line="20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b w:val="1"/>
          <w:bCs w:val="1"/>
          <w:color w:val="auto"/>
        </w:rPr>
        <w:t>Exclusive Dispute Resolution Mechanism</w:t>
      </w:r>
      <w:r>
        <w:rPr>
          <w:rFonts w:ascii="Arial" w:cs="Arial" w:eastAsia="Arial" w:hAnsi="Arial"/>
          <w:sz w:val="16"/>
          <w:szCs w:val="16"/>
          <w:color w:val="auto"/>
        </w:rPr>
        <w:t>. The Parties agree that the procedures set forth in this Article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17 (Dispute Resolution) shall be the exclusive mechanism for resolving any Dispute between the Parties that may arise</w:t>
      </w:r>
    </w:p>
    <w:p>
      <w:pPr>
        <w:ind w:left="1020"/>
        <w:spacing w:after="0" w:line="234" w:lineRule="auto"/>
        <w:rPr>
          <w:sz w:val="20"/>
          <w:szCs w:val="20"/>
          <w:color w:val="auto"/>
        </w:rPr>
      </w:pPr>
      <w:r>
        <w:rPr>
          <w:rFonts w:ascii="Arial" w:cs="Arial" w:eastAsia="Arial" w:hAnsi="Arial"/>
          <w:sz w:val="18"/>
          <w:szCs w:val="18"/>
          <w:color w:val="auto"/>
        </w:rPr>
        <w:t>from time to time pursuant to this Agreement relating to either Party’s rights or obligations hereunder that is not resolved</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through good faith negotiation between the Parties. For the avoidance of doubt, this Article 17 (Dispute Resolution) shall not apply to any decision with respect to which a Party has final decision-making authority hereunder. Any Dispute,</w:t>
      </w:r>
    </w:p>
    <w:p>
      <w:pPr>
        <w:spacing w:after="0" w:line="2" w:lineRule="exact"/>
        <w:rPr>
          <w:sz w:val="20"/>
          <w:szCs w:val="20"/>
          <w:color w:val="auto"/>
        </w:rPr>
      </w:pPr>
    </w:p>
    <w:p>
      <w:pPr>
        <w:ind w:left="1020" w:right="140"/>
        <w:spacing w:after="0" w:line="227" w:lineRule="auto"/>
        <w:rPr>
          <w:sz w:val="20"/>
          <w:szCs w:val="20"/>
          <w:color w:val="auto"/>
        </w:rPr>
      </w:pPr>
      <w:r>
        <w:rPr>
          <w:rFonts w:ascii="Arial" w:cs="Arial" w:eastAsia="Arial" w:hAnsi="Arial"/>
          <w:sz w:val="20"/>
          <w:szCs w:val="20"/>
          <w:color w:val="auto"/>
        </w:rPr>
        <w:t>including Disputes that may involve the parent company, subsidiaries, or Affiliates under common control of any Party, shall be resolved in accordance with this Article 17 (Dispute Resolution).</w:t>
      </w:r>
    </w:p>
    <w:p>
      <w:pPr>
        <w:spacing w:after="0" w:line="191" w:lineRule="exact"/>
        <w:rPr>
          <w:sz w:val="20"/>
          <w:szCs w:val="20"/>
          <w:color w:val="auto"/>
        </w:rPr>
      </w:pPr>
    </w:p>
    <w:p>
      <w:pPr>
        <w:ind w:left="1020" w:right="60" w:firstLine="648"/>
        <w:spacing w:after="0" w:line="239"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Resolution by Executive Officers</w:t>
      </w:r>
      <w:r>
        <w:rPr>
          <w:rFonts w:ascii="Arial" w:cs="Arial" w:eastAsia="Arial" w:hAnsi="Arial"/>
          <w:sz w:val="18"/>
          <w:szCs w:val="18"/>
          <w:color w:val="auto"/>
        </w:rPr>
        <w:t>. Except as otherwise provided in this Article 17 (Dispute Resolution), in the event of any Dispute, the Parties will refer the Dispute to the Executive Officer of each Party for attempted</w:t>
      </w:r>
    </w:p>
    <w:p>
      <w:pPr>
        <w:spacing w:after="0" w:line="1" w:lineRule="exact"/>
        <w:rPr>
          <w:sz w:val="20"/>
          <w:szCs w:val="20"/>
          <w:color w:val="auto"/>
        </w:rPr>
      </w:pPr>
    </w:p>
    <w:p>
      <w:pPr>
        <w:ind w:left="1020" w:right="360"/>
        <w:spacing w:after="0" w:line="227" w:lineRule="auto"/>
        <w:rPr>
          <w:sz w:val="20"/>
          <w:szCs w:val="20"/>
          <w:color w:val="auto"/>
        </w:rPr>
      </w:pPr>
      <w:r>
        <w:rPr>
          <w:rFonts w:ascii="Arial" w:cs="Arial" w:eastAsia="Arial" w:hAnsi="Arial"/>
          <w:sz w:val="20"/>
          <w:szCs w:val="20"/>
          <w:color w:val="auto"/>
        </w:rPr>
        <w:t>resolution by good faith negotiation within [***] after such notice is received. Each Party may, in its discretion, seek resolution of [***] hereunder (“</w:t>
      </w:r>
      <w:r>
        <w:rPr>
          <w:rFonts w:ascii="Arial" w:cs="Arial" w:eastAsia="Arial" w:hAnsi="Arial"/>
          <w:sz w:val="20"/>
          <w:szCs w:val="20"/>
          <w:b w:val="1"/>
          <w:bCs w:val="1"/>
          <w:color w:val="auto"/>
        </w:rPr>
        <w:t>Incidental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620"/>
          </w:cols>
          <w:pgMar w:left="400" w:top="1440" w:right="879" w:bottom="1440" w:gutter="0" w:footer="0" w:header="0"/>
        </w:sectPr>
      </w:pPr>
    </w:p>
    <w:bookmarkStart w:id="202" w:name="page203"/>
    <w:bookmarkEnd w:id="202"/>
    <w:p>
      <w:pPr>
        <w:spacing w:after="0" w:line="189" w:lineRule="exact"/>
        <w:rPr>
          <w:sz w:val="20"/>
          <w:szCs w:val="20"/>
          <w:color w:val="auto"/>
        </w:rPr>
      </w:pPr>
    </w:p>
    <w:p>
      <w:pPr>
        <w:ind w:left="1020"/>
        <w:spacing w:after="0" w:line="229" w:lineRule="auto"/>
        <w:rPr>
          <w:sz w:val="20"/>
          <w:szCs w:val="20"/>
          <w:color w:val="auto"/>
        </w:rPr>
      </w:pPr>
      <w:r>
        <w:rPr>
          <w:rFonts w:ascii="Arial" w:cs="Arial" w:eastAsia="Arial" w:hAnsi="Arial"/>
          <w:sz w:val="20"/>
          <w:szCs w:val="20"/>
          <w:b w:val="1"/>
          <w:bCs w:val="1"/>
          <w:color w:val="auto"/>
        </w:rPr>
        <w:t>Payment Disputes</w:t>
      </w:r>
      <w:r>
        <w:rPr>
          <w:rFonts w:ascii="Arial" w:cs="Arial" w:eastAsia="Arial" w:hAnsi="Arial"/>
          <w:sz w:val="20"/>
          <w:szCs w:val="20"/>
          <w:color w:val="auto"/>
        </w:rPr>
        <w:t>”) that remains unresolved after escalation to Executive Officers in accordance with this Section 17.2</w:t>
      </w:r>
      <w:r>
        <w:rPr>
          <w:rFonts w:ascii="Arial" w:cs="Arial" w:eastAsia="Arial" w:hAnsi="Arial"/>
          <w:sz w:val="20"/>
          <w:szCs w:val="20"/>
          <w:b w:val="1"/>
          <w:bCs w:val="1"/>
          <w:color w:val="auto"/>
        </w:rPr>
        <w:t xml:space="preserve"> </w:t>
      </w:r>
      <w:r>
        <w:rPr>
          <w:rFonts w:ascii="Arial" w:cs="Arial" w:eastAsia="Arial" w:hAnsi="Arial"/>
          <w:sz w:val="20"/>
          <w:szCs w:val="20"/>
          <w:color w:val="auto"/>
        </w:rPr>
        <w:t>(Resolution by Execution Officers) through expedited arbitration in accordance with Section</w:t>
      </w:r>
    </w:p>
    <w:p>
      <w:pPr>
        <w:spacing w:after="0" w:line="2" w:lineRule="exact"/>
        <w:rPr>
          <w:sz w:val="20"/>
          <w:szCs w:val="20"/>
          <w:color w:val="auto"/>
        </w:rPr>
      </w:pPr>
    </w:p>
    <w:p>
      <w:pPr>
        <w:ind w:left="1020" w:right="320"/>
        <w:spacing w:after="0" w:line="241" w:lineRule="auto"/>
        <w:rPr>
          <w:sz w:val="20"/>
          <w:szCs w:val="20"/>
          <w:color w:val="auto"/>
        </w:rPr>
      </w:pPr>
      <w:r>
        <w:rPr>
          <w:rFonts w:ascii="Arial" w:cs="Arial" w:eastAsia="Arial" w:hAnsi="Arial"/>
          <w:sz w:val="20"/>
          <w:szCs w:val="20"/>
          <w:color w:val="auto"/>
        </w:rPr>
        <w:t>17.3 (Expedited Arbitration for Incidental Payment Disputes) and (b) any other Disputes (other than Incidental Payment Disputes) that are not resolved within such [***] through litigation in accordance with the remainder of this Article 17 (Dispute Resolution).</w:t>
      </w:r>
    </w:p>
    <w:p>
      <w:pPr>
        <w:spacing w:after="0" w:line="192"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b w:val="1"/>
          <w:bCs w:val="1"/>
          <w:color w:val="auto"/>
        </w:rPr>
        <w:t>Expedited Arbitration for Incidental Payment Disputes</w:t>
      </w:r>
      <w:r>
        <w:rPr>
          <w:rFonts w:ascii="Arial" w:cs="Arial" w:eastAsia="Arial" w:hAnsi="Arial"/>
          <w:sz w:val="18"/>
          <w:szCs w:val="18"/>
          <w:color w:val="auto"/>
        </w:rPr>
        <w:t>. Notwithstanding Section 17.4 (Jurisdiction;</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Venue; Service of Process), any unresolved Incidental Payment Disputes will be submitted to the International Court of</w:t>
      </w:r>
    </w:p>
    <w:p>
      <w:pPr>
        <w:ind w:left="1020" w:right="380"/>
        <w:spacing w:after="0" w:line="226" w:lineRule="auto"/>
        <w:rPr>
          <w:sz w:val="20"/>
          <w:szCs w:val="20"/>
          <w:color w:val="auto"/>
        </w:rPr>
      </w:pPr>
      <w:r>
        <w:rPr>
          <w:rFonts w:ascii="Arial" w:cs="Arial" w:eastAsia="Arial" w:hAnsi="Arial"/>
          <w:sz w:val="18"/>
          <w:szCs w:val="18"/>
          <w:color w:val="auto"/>
        </w:rPr>
        <w:t>Arbitration of the International Chamber of Commerce (the “</w:t>
      </w:r>
      <w:r>
        <w:rPr>
          <w:rFonts w:ascii="Arial" w:cs="Arial" w:eastAsia="Arial" w:hAnsi="Arial"/>
          <w:sz w:val="18"/>
          <w:szCs w:val="18"/>
          <w:b w:val="1"/>
          <w:bCs w:val="1"/>
          <w:color w:val="auto"/>
        </w:rPr>
        <w:t>ICC</w:t>
      </w:r>
      <w:r>
        <w:rPr>
          <w:rFonts w:ascii="Arial" w:cs="Arial" w:eastAsia="Arial" w:hAnsi="Arial"/>
          <w:sz w:val="18"/>
          <w:szCs w:val="18"/>
          <w:color w:val="auto"/>
        </w:rPr>
        <w:t>”) and will be finally settled under the Rules of the Arbitration of the ICC as then in effect, except as modified herein. The seat, or legal place, of arbitration will be San</w:t>
      </w:r>
    </w:p>
    <w:p>
      <w:pPr>
        <w:ind w:left="1020"/>
        <w:spacing w:after="0" w:line="236" w:lineRule="auto"/>
        <w:rPr>
          <w:sz w:val="20"/>
          <w:szCs w:val="20"/>
          <w:color w:val="auto"/>
        </w:rPr>
      </w:pPr>
      <w:r>
        <w:rPr>
          <w:rFonts w:ascii="Arial" w:cs="Arial" w:eastAsia="Arial" w:hAnsi="Arial"/>
          <w:sz w:val="18"/>
          <w:szCs w:val="18"/>
          <w:color w:val="auto"/>
        </w:rPr>
        <w:t>Francisco, California and the Parties agree not to contest such seat of arbitration. The arbitration will be conducted by a</w:t>
      </w:r>
    </w:p>
    <w:p>
      <w:pPr>
        <w:spacing w:after="0" w:line="1" w:lineRule="exact"/>
        <w:rPr>
          <w:sz w:val="20"/>
          <w:szCs w:val="20"/>
          <w:color w:val="auto"/>
        </w:rPr>
      </w:pPr>
    </w:p>
    <w:p>
      <w:pPr>
        <w:ind w:left="1020" w:right="20" w:firstLine="5"/>
        <w:spacing w:after="0" w:line="228" w:lineRule="auto"/>
        <w:tabs>
          <w:tab w:leader="none" w:pos="149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arbitrators, which will be constituted as follows: each Party will nominate an arbitrator within [***]. Each arbitrator will have expertise and significant experience with respect to licensing and partnering agreements in the pharmaceutical and biotechnology industries, including expertise in the applicable subject matter of the Incidental Payment Dispute. An arbitrator will be deemed to meet these qualifications unless a Party objects [***] after the arbitrator is nominated. If any of the arbitrators are not nominated within the time prescribed above, then the arbitrator(s) will be appointed by the ICC in accordance with ICC rules. The Parties agree not to contest the jurisdiction of the arbitral tribunal. The arbitral tribunal will submit its award to the International Court of Arbitration of the ICC within</w:t>
      </w:r>
    </w:p>
    <w:p>
      <w:pPr>
        <w:ind w:left="1020" w:right="20" w:firstLine="5"/>
        <w:spacing w:after="0" w:line="233" w:lineRule="auto"/>
        <w:tabs>
          <w:tab w:leader="none" w:pos="149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of the final arbitration hearing or the final post-hearing submission, whichever is later, subject to extension by the Parties’ mutual agreement. The Parties will in good faith facilitate an expedited arbitration process such that the arbitration will conclude within [***]. No arbitrator (nor the arbitral tribunal) will have the power to award punitive damages or to award costs and expenses of the proceeding or reasonable attorney’s fees to any Party under this Agreement and such award is expressly prohibited. The award will be final and binding on the Parties and the Parties undertake to carry out any award without delay. Judgment on the award so rendered may be entered in any court of competent jurisdiction. No award or procedural order made in the arbitration will be published. The Parties acknowledge that this Agreement evidences a transaction involving interstate and international commerce. Notwithstanding the provision in Section 17.5 (Governing Law) with respect to applicable substantive law, any arbitration conducted pursuant to the terms of this Agreement will be governed by the U.S. Federal Arbitration Act.</w:t>
      </w:r>
    </w:p>
    <w:p>
      <w:pPr>
        <w:spacing w:after="0" w:line="196" w:lineRule="exact"/>
        <w:rPr>
          <w:sz w:val="20"/>
          <w:szCs w:val="20"/>
          <w:color w:val="auto"/>
        </w:rPr>
      </w:pPr>
    </w:p>
    <w:p>
      <w:pPr>
        <w:jc w:val="both"/>
        <w:ind w:left="1020" w:right="20" w:firstLine="648"/>
        <w:spacing w:after="0" w:line="278"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b w:val="1"/>
          <w:bCs w:val="1"/>
          <w:color w:val="auto"/>
        </w:rPr>
        <w:t>Jurisdiction; Venue; Service of Process</w:t>
      </w:r>
      <w:r>
        <w:rPr>
          <w:rFonts w:ascii="Arial" w:cs="Arial" w:eastAsia="Arial" w:hAnsi="Arial"/>
          <w:sz w:val="16"/>
          <w:szCs w:val="16"/>
          <w:color w:val="auto"/>
        </w:rPr>
        <w:t>. Except with respect to Incidental Payment Disputes, each Party irrevocably submits to the exclusive jurisdiction of [***]. Each Party agrees to commence any Action either in the [***]</w:t>
      </w:r>
    </w:p>
    <w:p>
      <w:pPr>
        <w:spacing w:after="0" w:line="1" w:lineRule="exact"/>
        <w:rPr>
          <w:sz w:val="20"/>
          <w:szCs w:val="20"/>
          <w:color w:val="auto"/>
        </w:rPr>
      </w:pPr>
    </w:p>
    <w:p>
      <w:pPr>
        <w:ind w:left="1020" w:right="20"/>
        <w:spacing w:after="0" w:line="226" w:lineRule="auto"/>
        <w:rPr>
          <w:sz w:val="20"/>
          <w:szCs w:val="20"/>
          <w:color w:val="auto"/>
        </w:rPr>
      </w:pPr>
      <w:r>
        <w:rPr>
          <w:rFonts w:ascii="Arial" w:cs="Arial" w:eastAsia="Arial" w:hAnsi="Arial"/>
          <w:sz w:val="18"/>
          <w:szCs w:val="18"/>
          <w:color w:val="auto"/>
        </w:rPr>
        <w:t>or if such Action may not be brought in such court for jurisdictional reasons, in the courts of the [***] Each Party further agrees that service of any process, summons, notice or document by the U.S. registered mail to such Party’s respective</w:t>
      </w:r>
    </w:p>
    <w:p>
      <w:pPr>
        <w:ind w:left="1020"/>
        <w:spacing w:after="0" w:line="236" w:lineRule="auto"/>
        <w:rPr>
          <w:sz w:val="20"/>
          <w:szCs w:val="20"/>
          <w:color w:val="auto"/>
        </w:rPr>
      </w:pPr>
      <w:r>
        <w:rPr>
          <w:rFonts w:ascii="Arial" w:cs="Arial" w:eastAsia="Arial" w:hAnsi="Arial"/>
          <w:sz w:val="18"/>
          <w:szCs w:val="18"/>
          <w:color w:val="auto"/>
        </w:rPr>
        <w:t>address set forth in Section 19.6 (Notices) will be effective service of process for any Action in New York with respect</w:t>
      </w:r>
    </w:p>
    <w:p>
      <w:pPr>
        <w:spacing w:after="0" w:line="1" w:lineRule="exact"/>
        <w:rPr>
          <w:sz w:val="20"/>
          <w:szCs w:val="20"/>
          <w:color w:val="auto"/>
        </w:rPr>
      </w:pPr>
    </w:p>
    <w:p>
      <w:pPr>
        <w:ind w:left="1020" w:right="80"/>
        <w:spacing w:after="0" w:line="226" w:lineRule="auto"/>
        <w:rPr>
          <w:sz w:val="20"/>
          <w:szCs w:val="20"/>
          <w:color w:val="auto"/>
        </w:rPr>
      </w:pPr>
      <w:r>
        <w:rPr>
          <w:rFonts w:ascii="Arial" w:cs="Arial" w:eastAsia="Arial" w:hAnsi="Arial"/>
          <w:sz w:val="18"/>
          <w:szCs w:val="18"/>
          <w:color w:val="auto"/>
        </w:rPr>
        <w:t>to any matters to which it has submitted to jurisdiction in this Section 17.3. (Jurisdiction; Venue; Service of Process). Each Party irrevocably and unconditionally waives any objection to the laying of venue of any Action arising out of this</w:t>
      </w:r>
    </w:p>
    <w:p>
      <w:pPr>
        <w:spacing w:after="0" w:line="2" w:lineRule="exact"/>
        <w:rPr>
          <w:sz w:val="20"/>
          <w:szCs w:val="20"/>
          <w:color w:val="auto"/>
        </w:rPr>
      </w:pPr>
    </w:p>
    <w:p>
      <w:pPr>
        <w:ind w:left="1020" w:right="240"/>
        <w:spacing w:after="0" w:line="266" w:lineRule="auto"/>
        <w:rPr>
          <w:sz w:val="20"/>
          <w:szCs w:val="20"/>
          <w:color w:val="auto"/>
        </w:rPr>
      </w:pPr>
      <w:r>
        <w:rPr>
          <w:rFonts w:ascii="Arial" w:cs="Arial" w:eastAsia="Arial" w:hAnsi="Arial"/>
          <w:sz w:val="18"/>
          <w:szCs w:val="18"/>
          <w:color w:val="auto"/>
        </w:rPr>
        <w:t>Agreement in [***], and hereby and thereby further irrevocably and unconditionally waives and agrees not to plead or claim in any such court that any such Action brought in any such court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620"/>
          </w:cols>
          <w:pgMar w:left="400" w:top="1440" w:right="879" w:bottom="1440" w:gutter="0" w:footer="0" w:header="0"/>
        </w:sectPr>
      </w:pPr>
    </w:p>
    <w:bookmarkStart w:id="203" w:name="page204"/>
    <w:bookmarkEnd w:id="203"/>
    <w:p>
      <w:pPr>
        <w:spacing w:after="0" w:line="189" w:lineRule="exact"/>
        <w:rPr>
          <w:sz w:val="20"/>
          <w:szCs w:val="20"/>
          <w:color w:val="auto"/>
        </w:rPr>
      </w:pPr>
    </w:p>
    <w:p>
      <w:pPr>
        <w:ind w:left="1020" w:right="80" w:firstLine="648"/>
        <w:spacing w:after="0" w:line="247"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all claims or causes of action (whether in contract, tort, statute, or otherwise) that may be based upon, arise out of, or relate to this Agreement, or the negotiation, execution, or</w:t>
      </w:r>
    </w:p>
    <w:p>
      <w:pPr>
        <w:spacing w:after="0" w:line="1" w:lineRule="exact"/>
        <w:rPr>
          <w:sz w:val="20"/>
          <w:szCs w:val="20"/>
          <w:color w:val="auto"/>
        </w:rPr>
      </w:pPr>
    </w:p>
    <w:p>
      <w:pPr>
        <w:ind w:left="1020" w:right="100"/>
        <w:spacing w:after="0" w:line="255" w:lineRule="auto"/>
        <w:rPr>
          <w:sz w:val="20"/>
          <w:szCs w:val="20"/>
          <w:color w:val="auto"/>
        </w:rPr>
      </w:pPr>
      <w:r>
        <w:rPr>
          <w:rFonts w:ascii="Arial" w:cs="Arial" w:eastAsia="Arial" w:hAnsi="Arial"/>
          <w:sz w:val="16"/>
          <w:szCs w:val="16"/>
          <w:color w:val="auto"/>
        </w:rPr>
        <w:t>performance of this Agreement, or the breach thereof (including any claim or cause of action based upon, arising out of, or related to any representation or warranty made in or in connection with this Agreement or as an inducement to enter</w:t>
      </w:r>
    </w:p>
    <w:p>
      <w:pPr>
        <w:ind w:left="1020"/>
        <w:spacing w:after="0" w:line="235" w:lineRule="auto"/>
        <w:rPr>
          <w:sz w:val="20"/>
          <w:szCs w:val="20"/>
          <w:color w:val="auto"/>
        </w:rPr>
      </w:pPr>
      <w:r>
        <w:rPr>
          <w:rFonts w:ascii="Arial" w:cs="Arial" w:eastAsia="Arial" w:hAnsi="Arial"/>
          <w:sz w:val="18"/>
          <w:szCs w:val="18"/>
          <w:color w:val="auto"/>
        </w:rPr>
        <w:t>into this Agreement), will be governed by, and enforced in accordance with, [***], including its statutes of limitations,</w:t>
      </w:r>
    </w:p>
    <w:p>
      <w:pPr>
        <w:ind w:left="1020" w:right="440"/>
        <w:spacing w:after="0" w:line="226" w:lineRule="auto"/>
        <w:rPr>
          <w:sz w:val="20"/>
          <w:szCs w:val="20"/>
          <w:color w:val="auto"/>
        </w:rPr>
      </w:pPr>
      <w:r>
        <w:rPr>
          <w:rFonts w:ascii="Arial" w:cs="Arial" w:eastAsia="Arial" w:hAnsi="Arial"/>
          <w:sz w:val="18"/>
          <w:szCs w:val="18"/>
          <w:color w:val="auto"/>
        </w:rPr>
        <w:t>without giving effect to any conflicts or choice of law rule or principle that might otherwise refer construction or interpretation of this Agreement to the substantive law of another jurisdiction. The provisions of the United Nations</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Convention on Contracts for the International Sale of Goods are expressly excluded.</w:t>
      </w:r>
    </w:p>
    <w:p>
      <w:pPr>
        <w:spacing w:after="0" w:line="194" w:lineRule="exact"/>
        <w:rPr>
          <w:sz w:val="20"/>
          <w:szCs w:val="20"/>
          <w:color w:val="auto"/>
        </w:rPr>
      </w:pPr>
    </w:p>
    <w:p>
      <w:pPr>
        <w:ind w:left="1020" w:right="40" w:firstLine="648"/>
        <w:spacing w:after="0" w:line="234" w:lineRule="auto"/>
        <w:rPr>
          <w:sz w:val="20"/>
          <w:szCs w:val="20"/>
          <w:color w:val="auto"/>
        </w:rPr>
      </w:pPr>
      <w:r>
        <w:rPr>
          <w:rFonts w:ascii="Arial" w:cs="Arial" w:eastAsia="Arial" w:hAnsi="Arial"/>
          <w:sz w:val="19"/>
          <w:szCs w:val="19"/>
          <w:color w:val="auto"/>
        </w:rPr>
        <w:t xml:space="preserve">17.6 </w:t>
      </w:r>
      <w:r>
        <w:rPr>
          <w:rFonts w:ascii="Arial" w:cs="Arial" w:eastAsia="Arial" w:hAnsi="Arial"/>
          <w:sz w:val="19"/>
          <w:szCs w:val="19"/>
          <w:b w:val="1"/>
          <w:bCs w:val="1"/>
          <w:color w:val="auto"/>
        </w:rPr>
        <w:t>Waiver of Jury Trial</w:t>
      </w:r>
      <w:r>
        <w:rPr>
          <w:rFonts w:ascii="Arial" w:cs="Arial" w:eastAsia="Arial" w:hAnsi="Arial"/>
          <w:sz w:val="19"/>
          <w:szCs w:val="19"/>
          <w:color w:val="auto"/>
        </w:rPr>
        <w:t>. THE PARTIES HEREBY WAIVE, AND COVENANT THAT THEY WILL NOT ASSERT (WHETHER AS PLAINTIFF, DEFENDANT OR OTHERWISE), ANY RIGHT TO TRIAL BY JURY IN</w:t>
      </w:r>
    </w:p>
    <w:p>
      <w:pPr>
        <w:spacing w:after="0" w:line="1" w:lineRule="exact"/>
        <w:rPr>
          <w:sz w:val="20"/>
          <w:szCs w:val="20"/>
          <w:color w:val="auto"/>
        </w:rPr>
      </w:pPr>
    </w:p>
    <w:p>
      <w:pPr>
        <w:ind w:left="1020" w:right="180"/>
        <w:spacing w:after="0" w:line="215" w:lineRule="auto"/>
        <w:rPr>
          <w:sz w:val="20"/>
          <w:szCs w:val="20"/>
          <w:color w:val="auto"/>
        </w:rPr>
      </w:pPr>
      <w:r>
        <w:rPr>
          <w:rFonts w:ascii="Arial" w:cs="Arial" w:eastAsia="Arial" w:hAnsi="Arial"/>
          <w:sz w:val="19"/>
          <w:szCs w:val="19"/>
          <w:color w:val="auto"/>
        </w:rPr>
        <w:t>ANY ACTION ARISING IN WHOLE OR IN PART UNDER OR IN CONNECTION WITH THIS AGREEMENT, WHETHER NOW EXISTING OR HEREAFTER ARISING, AND WHETHER SOUNDING IN CONTRACT, TORT</w:t>
      </w:r>
    </w:p>
    <w:p>
      <w:pPr>
        <w:ind w:left="1020"/>
        <w:spacing w:after="0" w:line="222" w:lineRule="auto"/>
        <w:rPr>
          <w:sz w:val="20"/>
          <w:szCs w:val="20"/>
          <w:color w:val="auto"/>
        </w:rPr>
      </w:pPr>
      <w:r>
        <w:rPr>
          <w:rFonts w:ascii="Arial" w:cs="Arial" w:eastAsia="Arial" w:hAnsi="Arial"/>
          <w:sz w:val="19"/>
          <w:szCs w:val="19"/>
          <w:color w:val="auto"/>
        </w:rPr>
        <w:t>OR OTHERWISE. THE PARTIES AGREE THAT ANY OF THEM MAY FILE A COPY OF THIS PARAGRAPH</w:t>
      </w:r>
    </w:p>
    <w:p>
      <w:pPr>
        <w:ind w:left="1020" w:right="360"/>
        <w:spacing w:after="0" w:line="215" w:lineRule="auto"/>
        <w:rPr>
          <w:sz w:val="20"/>
          <w:szCs w:val="20"/>
          <w:color w:val="auto"/>
        </w:rPr>
      </w:pPr>
      <w:r>
        <w:rPr>
          <w:rFonts w:ascii="Arial" w:cs="Arial" w:eastAsia="Arial" w:hAnsi="Arial"/>
          <w:sz w:val="19"/>
          <w:szCs w:val="19"/>
          <w:color w:val="auto"/>
        </w:rPr>
        <w:t>WITH ANY COURT AS WRITTEN EVIDENCE OF THE KNOWING, VOLUNTARY AND BARGAINED-FOR AGREEMENT AMONG THE PARTIES IRREVOCABLY TO WAIVE ITS RIGHT TO TRIAL BY JURY IN ANY</w:t>
      </w:r>
    </w:p>
    <w:p>
      <w:pPr>
        <w:ind w:left="1020"/>
        <w:spacing w:after="0" w:line="222" w:lineRule="auto"/>
        <w:rPr>
          <w:sz w:val="20"/>
          <w:szCs w:val="20"/>
          <w:color w:val="auto"/>
        </w:rPr>
      </w:pPr>
      <w:r>
        <w:rPr>
          <w:rFonts w:ascii="Arial" w:cs="Arial" w:eastAsia="Arial" w:hAnsi="Arial"/>
          <w:sz w:val="19"/>
          <w:szCs w:val="19"/>
          <w:color w:val="auto"/>
        </w:rPr>
        <w:t>PROCEEDING WHATSOEVER BETWEEN THEM RELATING TO THIS AGREEMENT, AND THE PARTIES</w:t>
      </w:r>
    </w:p>
    <w:p>
      <w:pPr>
        <w:ind w:left="1020"/>
        <w:spacing w:after="0" w:line="220" w:lineRule="auto"/>
        <w:rPr>
          <w:sz w:val="20"/>
          <w:szCs w:val="20"/>
          <w:color w:val="auto"/>
        </w:rPr>
      </w:pPr>
      <w:r>
        <w:rPr>
          <w:rFonts w:ascii="Arial" w:cs="Arial" w:eastAsia="Arial" w:hAnsi="Arial"/>
          <w:sz w:val="20"/>
          <w:szCs w:val="20"/>
          <w:color w:val="auto"/>
        </w:rPr>
        <w:t>WILL INSTEAD BE TRIED IN A COURT OF COMPETENT JURISDICTION BY A JUDGE SITTING WITHOUT A JURY.</w:t>
      </w:r>
    </w:p>
    <w:p>
      <w:pPr>
        <w:spacing w:after="0" w:line="191" w:lineRule="exact"/>
        <w:rPr>
          <w:sz w:val="20"/>
          <w:szCs w:val="20"/>
          <w:color w:val="auto"/>
        </w:rPr>
      </w:pPr>
    </w:p>
    <w:p>
      <w:pPr>
        <w:ind w:left="1020" w:right="140" w:firstLine="648"/>
        <w:spacing w:after="0" w:line="239"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Equitable Relief</w:t>
      </w:r>
      <w:r>
        <w:rPr>
          <w:rFonts w:ascii="Arial" w:cs="Arial" w:eastAsia="Arial" w:hAnsi="Arial"/>
          <w:sz w:val="18"/>
          <w:szCs w:val="18"/>
          <w:color w:val="auto"/>
        </w:rPr>
        <w:t>. Notwithstanding anything to the contrary, either Party may at any time seek to obtain preliminary injunctive relief or other applicable provisional relief from a court of competent jurisdiction with respect to</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an issue arising under this Agreement if the rights of such Party would be prejudiced absent such relief.</w:t>
      </w:r>
    </w:p>
    <w:p>
      <w:pPr>
        <w:spacing w:after="0" w:line="194" w:lineRule="exact"/>
        <w:rPr>
          <w:sz w:val="20"/>
          <w:szCs w:val="20"/>
          <w:color w:val="auto"/>
        </w:rPr>
      </w:pPr>
    </w:p>
    <w:p>
      <w:pPr>
        <w:ind w:left="1480" w:hanging="455"/>
        <w:spacing w:after="0"/>
        <w:tabs>
          <w:tab w:leader="none" w:pos="1480" w:val="left"/>
        </w:tabs>
        <w:numPr>
          <w:ilvl w:val="0"/>
          <w:numId w:val="187"/>
        </w:numPr>
        <w:rPr>
          <w:rFonts w:ascii="Arial" w:cs="Arial" w:eastAsia="Arial" w:hAnsi="Arial"/>
          <w:sz w:val="20"/>
          <w:szCs w:val="20"/>
          <w:color w:val="auto"/>
        </w:rPr>
      </w:pPr>
      <w:r>
        <w:rPr>
          <w:rFonts w:ascii="Arial" w:cs="Arial" w:eastAsia="Arial" w:hAnsi="Arial"/>
          <w:sz w:val="20"/>
          <w:szCs w:val="20"/>
          <w:b w:val="1"/>
          <w:bCs w:val="1"/>
          <w:color w:val="auto"/>
        </w:rPr>
        <w:t>Term and Termination</w:t>
      </w:r>
      <w:r>
        <w:rPr>
          <w:rFonts w:ascii="Arial" w:cs="Arial" w:eastAsia="Arial" w:hAnsi="Arial"/>
          <w:sz w:val="20"/>
          <w:szCs w:val="20"/>
          <w:color w:val="auto"/>
        </w:rPr>
        <w:t>.</w:t>
      </w:r>
    </w:p>
    <w:p>
      <w:pPr>
        <w:spacing w:after="0" w:line="20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6"/>
          <w:szCs w:val="16"/>
          <w:b w:val="1"/>
          <w:bCs w:val="1"/>
          <w:color w:val="auto"/>
        </w:rPr>
        <w:t>Term</w:t>
      </w:r>
      <w:r>
        <w:rPr>
          <w:rFonts w:ascii="Arial" w:cs="Arial" w:eastAsia="Arial" w:hAnsi="Arial"/>
          <w:sz w:val="16"/>
          <w:szCs w:val="16"/>
          <w:color w:val="auto"/>
        </w:rPr>
        <w:t>. This Agreement shall become effective as of the Effective Date and, unless earlier terminated</w:t>
      </w:r>
    </w:p>
    <w:p>
      <w:pPr>
        <w:spacing w:after="0" w:line="6" w:lineRule="exact"/>
        <w:rPr>
          <w:sz w:val="20"/>
          <w:szCs w:val="20"/>
          <w:color w:val="auto"/>
        </w:rPr>
      </w:pPr>
    </w:p>
    <w:p>
      <w:pPr>
        <w:ind w:left="1020" w:right="220"/>
        <w:spacing w:after="0" w:line="226" w:lineRule="auto"/>
        <w:rPr>
          <w:sz w:val="20"/>
          <w:szCs w:val="20"/>
          <w:color w:val="auto"/>
        </w:rPr>
      </w:pPr>
      <w:r>
        <w:rPr>
          <w:rFonts w:ascii="Arial" w:cs="Arial" w:eastAsia="Arial" w:hAnsi="Arial"/>
          <w:sz w:val="18"/>
          <w:szCs w:val="18"/>
          <w:color w:val="auto"/>
        </w:rPr>
        <w:t>pursuant to this Article 18 (Term and Termination), shall continue in full force and effect until, on a Licensed Product-by-Licensed Product and country-by-country basis, the expiration of the last Royalty Term for a Licensed Product in a</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country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9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8"/>
          <w:szCs w:val="18"/>
          <w:b w:val="1"/>
          <w:bCs w:val="1"/>
          <w:color w:val="auto"/>
        </w:rPr>
        <w:t>Termination for Material Breach</w:t>
      </w:r>
      <w:r>
        <w:rPr>
          <w:rFonts w:ascii="Arial" w:cs="Arial" w:eastAsia="Arial" w:hAnsi="Arial"/>
          <w:sz w:val="18"/>
          <w:szCs w:val="18"/>
          <w:color w:val="auto"/>
        </w:rPr>
        <w:t>.</w:t>
      </w:r>
    </w:p>
    <w:p>
      <w:pPr>
        <w:spacing w:after="0" w:line="216" w:lineRule="exact"/>
        <w:rPr>
          <w:sz w:val="20"/>
          <w:szCs w:val="20"/>
          <w:color w:val="auto"/>
        </w:rPr>
      </w:pPr>
    </w:p>
    <w:p>
      <w:pPr>
        <w:ind w:left="1020" w:right="20" w:firstLine="1301"/>
        <w:spacing w:after="0" w:line="236" w:lineRule="auto"/>
        <w:tabs>
          <w:tab w:leader="none" w:pos="2734"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Material Breach</w:t>
      </w:r>
      <w:r>
        <w:rPr>
          <w:rFonts w:ascii="Arial" w:cs="Arial" w:eastAsia="Arial" w:hAnsi="Arial"/>
          <w:sz w:val="18"/>
          <w:szCs w:val="18"/>
          <w:color w:val="auto"/>
        </w:rPr>
        <w:t>. This Agreement may be terminated in its entirety or with respect to a Program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during the Term upon written notice by a Party (the “</w:t>
      </w:r>
      <w:r>
        <w:rPr>
          <w:rFonts w:ascii="Arial" w:cs="Arial" w:eastAsia="Arial" w:hAnsi="Arial"/>
          <w:sz w:val="18"/>
          <w:szCs w:val="18"/>
          <w:b w:val="1"/>
          <w:bCs w:val="1"/>
          <w:color w:val="auto"/>
        </w:rPr>
        <w:t>Non-Breaching Party</w:t>
      </w:r>
      <w:r>
        <w:rPr>
          <w:rFonts w:ascii="Arial" w:cs="Arial" w:eastAsia="Arial" w:hAnsi="Arial"/>
          <w:sz w:val="18"/>
          <w:szCs w:val="18"/>
          <w:color w:val="auto"/>
        </w:rPr>
        <w:t>”) if the other Party (the “</w:t>
      </w:r>
      <w:r>
        <w:rPr>
          <w:rFonts w:ascii="Arial" w:cs="Arial" w:eastAsia="Arial" w:hAnsi="Arial"/>
          <w:sz w:val="18"/>
          <w:szCs w:val="18"/>
          <w:b w:val="1"/>
          <w:bCs w:val="1"/>
          <w:color w:val="auto"/>
        </w:rPr>
        <w:t>Breaching Party</w:t>
      </w:r>
      <w:r>
        <w:rPr>
          <w:rFonts w:ascii="Arial" w:cs="Arial" w:eastAsia="Arial" w:hAnsi="Arial"/>
          <w:sz w:val="18"/>
          <w:szCs w:val="18"/>
          <w:color w:val="auto"/>
        </w:rPr>
        <w:t xml:space="preserve">”) is in material breach of this Agreement (or in connection with the applicable Program, as applicable) and, in each case, has not cured such breach within the applicable cure period after written notice requesting cure of the breach, which notice will describe such material breach in reasonable detail and will state the Non-Breaching Party’s intention to terminate this Agreement, in its entirety or in part. For any breach arising from a failure to make a payment set forth in this Agreement, the Breaching Party will have [***] notification to cure such breach. For all breaches other than a failure to make a payment as set forth in this Agreement, the Breaching Party will have [***] to cure such breach;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 then such [***]. For clarity, if a material breach is limited to one or more (but not all) Programs, then the Non-Breaching Party will have the right to terminate solely with respect to such Program(s).</w:t>
      </w:r>
    </w:p>
    <w:p>
      <w:pPr>
        <w:spacing w:after="0" w:line="178" w:lineRule="exact"/>
        <w:rPr>
          <w:rFonts w:ascii="Arial" w:cs="Arial" w:eastAsia="Arial" w:hAnsi="Arial"/>
          <w:sz w:val="18"/>
          <w:szCs w:val="18"/>
          <w:color w:val="auto"/>
        </w:rPr>
      </w:pPr>
    </w:p>
    <w:p>
      <w:pPr>
        <w:ind w:left="1020" w:right="140" w:firstLine="1301"/>
        <w:spacing w:after="0" w:line="238" w:lineRule="auto"/>
        <w:tabs>
          <w:tab w:leader="none" w:pos="2744"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Disagreement as to Material Breach</w:t>
      </w:r>
      <w:r>
        <w:rPr>
          <w:rFonts w:ascii="Arial" w:cs="Arial" w:eastAsia="Arial" w:hAnsi="Arial"/>
          <w:sz w:val="18"/>
          <w:szCs w:val="18"/>
          <w:color w:val="auto"/>
        </w:rPr>
        <w:t>. Notwithstanding Section 18.2(a) (Material Breach), if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in good faith disagree as to whether there has been a material breach of this Agreement, then: (i) the Breaching Party may contest the allegation by referring such matter, within [***]. following its receipt of notice of the alleged material breach, for resolution in accordance with Article 17 (Dispute Resolution); (ii) the relevant cure period with respect to such alleged material breach will be tolled from the date on which the Breaching Party notifies the Non-Breaching Party of the Dispute and through the resolution of such Dispute in accordance with the applicable provisions of this Agreement; (iii) during the pendency of such Dispute, all of the terms and conditions of this Agreement will remain in effect and the Parties will continue to perform all of their respective obligations hereunder; and (iv) if it is ultimately determined that the Breaching Party committed such material breach, then the</w:t>
      </w:r>
    </w:p>
    <w:p>
      <w:pPr>
        <w:sectPr>
          <w:pgSz w:w="11900" w:h="16838" w:orient="portrait"/>
          <w:cols w:equalWidth="0" w:num="1">
            <w:col w:w="10620"/>
          </w:cols>
          <w:pgMar w:left="40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620"/>
          </w:cols>
          <w:pgMar w:left="400" w:top="1440" w:right="879" w:bottom="1440" w:gutter="0" w:footer="0" w:header="0"/>
          <w:type w:val="continuous"/>
        </w:sectPr>
      </w:pPr>
    </w:p>
    <w:bookmarkStart w:id="204" w:name="page205"/>
    <w:bookmarkEnd w:id="204"/>
    <w:p>
      <w:pPr>
        <w:ind w:left="1020" w:right="360"/>
        <w:spacing w:after="0" w:line="227" w:lineRule="auto"/>
        <w:rPr>
          <w:sz w:val="20"/>
          <w:szCs w:val="20"/>
          <w:color w:val="auto"/>
        </w:rPr>
      </w:pPr>
      <w:r>
        <w:rPr>
          <w:rFonts w:ascii="Arial" w:cs="Arial" w:eastAsia="Arial" w:hAnsi="Arial"/>
          <w:sz w:val="20"/>
          <w:szCs w:val="20"/>
          <w:color w:val="auto"/>
        </w:rPr>
        <w:t>Breaching Party will have the right to cure such material breach, after such determination, within the applicable cure period set forth in Section 18.2(a) (Material Breach), which cure period will commence as of the date of such determination.</w:t>
      </w:r>
    </w:p>
    <w:p>
      <w:pPr>
        <w:spacing w:after="0" w:line="192" w:lineRule="exact"/>
        <w:rPr>
          <w:sz w:val="20"/>
          <w:szCs w:val="20"/>
          <w:color w:val="auto"/>
        </w:rPr>
      </w:pPr>
    </w:p>
    <w:p>
      <w:pPr>
        <w:ind w:left="1020" w:right="140" w:firstLine="648"/>
        <w:spacing w:after="0" w:line="239"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Termination for Convenience</w:t>
      </w:r>
      <w:r>
        <w:rPr>
          <w:rFonts w:ascii="Arial" w:cs="Arial" w:eastAsia="Arial" w:hAnsi="Arial"/>
          <w:sz w:val="18"/>
          <w:szCs w:val="18"/>
          <w:color w:val="auto"/>
        </w:rPr>
        <w:t>. At any time after the [***] of the Effective Date, Gilead may, in its sole discretion, terminate this Agreement in its entirety upon (a) [***] notice to MacroGenics prior to the CD123 Option</w:t>
      </w:r>
    </w:p>
    <w:p>
      <w:pPr>
        <w:ind w:left="1020"/>
        <w:spacing w:after="0" w:line="236" w:lineRule="auto"/>
        <w:rPr>
          <w:sz w:val="20"/>
          <w:szCs w:val="20"/>
          <w:color w:val="auto"/>
        </w:rPr>
      </w:pPr>
      <w:r>
        <w:rPr>
          <w:rFonts w:ascii="Arial" w:cs="Arial" w:eastAsia="Arial" w:hAnsi="Arial"/>
          <w:sz w:val="18"/>
          <w:szCs w:val="18"/>
          <w:color w:val="auto"/>
        </w:rPr>
        <w:t>Effective Date or (b) [***] notice to MacroGenics after the CD123 Option Effective Date. In addition, at any time after</w:t>
      </w:r>
    </w:p>
    <w:p>
      <w:pPr>
        <w:jc w:val="both"/>
        <w:ind w:left="1020" w:right="220"/>
        <w:spacing w:after="0" w:line="250" w:lineRule="auto"/>
        <w:rPr>
          <w:sz w:val="20"/>
          <w:szCs w:val="20"/>
          <w:color w:val="auto"/>
        </w:rPr>
      </w:pPr>
      <w:r>
        <w:rPr>
          <w:rFonts w:ascii="Arial" w:cs="Arial" w:eastAsia="Arial" w:hAnsi="Arial"/>
          <w:sz w:val="18"/>
          <w:szCs w:val="18"/>
          <w:color w:val="auto"/>
        </w:rPr>
        <w:t>the [***] of the Effective Date, Gilead may, at its sole discretion, terminate this Agreement on a Program-by-Program basis upon (i) [***] notice to MacroGenics if such notice is provided [***], or (ii) [***] notice to MacroGenics [***].</w:t>
      </w:r>
    </w:p>
    <w:p>
      <w:pPr>
        <w:spacing w:after="0" w:line="276" w:lineRule="exact"/>
        <w:rPr>
          <w:sz w:val="20"/>
          <w:szCs w:val="20"/>
          <w:color w:val="auto"/>
        </w:rPr>
      </w:pPr>
    </w:p>
    <w:p>
      <w:pPr>
        <w:ind w:left="1020" w:right="200" w:firstLine="647"/>
        <w:spacing w:after="0" w:line="253" w:lineRule="auto"/>
        <w:rPr>
          <w:sz w:val="20"/>
          <w:szCs w:val="20"/>
          <w:color w:val="auto"/>
        </w:rPr>
      </w:pPr>
      <w:r>
        <w:rPr>
          <w:rFonts w:ascii="Arial" w:cs="Arial" w:eastAsia="Arial" w:hAnsi="Arial"/>
          <w:sz w:val="20"/>
          <w:szCs w:val="20"/>
          <w:color w:val="auto"/>
        </w:rPr>
        <w:t xml:space="preserve">18.4 </w:t>
      </w:r>
      <w:r>
        <w:rPr>
          <w:rFonts w:ascii="Arial" w:cs="Arial" w:eastAsia="Arial" w:hAnsi="Arial"/>
          <w:sz w:val="20"/>
          <w:szCs w:val="20"/>
          <w:b w:val="1"/>
          <w:bCs w:val="1"/>
          <w:color w:val="auto"/>
        </w:rPr>
        <w:t>Termination for Force Majeure</w:t>
      </w:r>
      <w:r>
        <w:rPr>
          <w:rFonts w:ascii="Arial" w:cs="Arial" w:eastAsia="Arial" w:hAnsi="Arial"/>
          <w:sz w:val="20"/>
          <w:szCs w:val="20"/>
          <w:color w:val="auto"/>
        </w:rPr>
        <w:t>. This Agreement may be terminated in its entirety or in part on a Program-by-Program basis at any time during the Term upon written notice by either Party in accordance with Section 19.1 (Force Majeure).</w:t>
      </w:r>
    </w:p>
    <w:p>
      <w:pPr>
        <w:spacing w:after="0" w:line="204" w:lineRule="exact"/>
        <w:rPr>
          <w:sz w:val="20"/>
          <w:szCs w:val="20"/>
          <w:color w:val="auto"/>
        </w:rPr>
      </w:pPr>
    </w:p>
    <w:p>
      <w:pPr>
        <w:ind w:left="1020" w:right="100" w:firstLine="648"/>
        <w:spacing w:after="0" w:line="239"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Termination for Bankruptcy</w:t>
      </w:r>
      <w:r>
        <w:rPr>
          <w:rFonts w:ascii="Arial" w:cs="Arial" w:eastAsia="Arial" w:hAnsi="Arial"/>
          <w:sz w:val="18"/>
          <w:szCs w:val="18"/>
          <w:color w:val="auto"/>
        </w:rPr>
        <w:t>. This Agreement may be terminated in its entirety, to the extent permitted by the Applicable Laws and Regulations, by a Party (the “</w:t>
      </w:r>
      <w:r>
        <w:rPr>
          <w:rFonts w:ascii="Arial" w:cs="Arial" w:eastAsia="Arial" w:hAnsi="Arial"/>
          <w:sz w:val="18"/>
          <w:szCs w:val="18"/>
          <w:b w:val="1"/>
          <w:bCs w:val="1"/>
          <w:color w:val="auto"/>
        </w:rPr>
        <w:t>Non-Bankrupt Party</w:t>
      </w:r>
      <w:r>
        <w:rPr>
          <w:rFonts w:ascii="Arial" w:cs="Arial" w:eastAsia="Arial" w:hAnsi="Arial"/>
          <w:sz w:val="18"/>
          <w:szCs w:val="18"/>
          <w:color w:val="auto"/>
        </w:rPr>
        <w:t>”) upon the filing or institution of</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bankruptcy, reorganization, liquidation or receivership proceedings, or upon an assignment of a substantial portion of the</w:t>
      </w:r>
    </w:p>
    <w:p>
      <w:pPr>
        <w:spacing w:after="0" w:line="19"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assets for the benefit of creditors, in each case, of the other Party (the “</w:t>
      </w:r>
      <w:r>
        <w:rPr>
          <w:rFonts w:ascii="Arial" w:cs="Arial" w:eastAsia="Arial" w:hAnsi="Arial"/>
          <w:sz w:val="18"/>
          <w:szCs w:val="18"/>
          <w:b w:val="1"/>
          <w:bCs w:val="1"/>
          <w:color w:val="auto"/>
        </w:rPr>
        <w:t>Bankrupt Party</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any involuntary bankruptcy, reorganization, liquidation or receivership proceeding, such right to terminate will</w:t>
      </w:r>
    </w:p>
    <w:p>
      <w:pPr>
        <w:ind w:left="1020"/>
        <w:spacing w:after="0" w:line="236" w:lineRule="auto"/>
        <w:rPr>
          <w:sz w:val="20"/>
          <w:szCs w:val="20"/>
          <w:color w:val="auto"/>
        </w:rPr>
      </w:pPr>
      <w:r>
        <w:rPr>
          <w:rFonts w:ascii="Arial" w:cs="Arial" w:eastAsia="Arial" w:hAnsi="Arial"/>
          <w:sz w:val="18"/>
          <w:szCs w:val="18"/>
          <w:color w:val="auto"/>
        </w:rPr>
        <w:t>only become effective if the Bankrupt Party consents to the involuntary bankruptcy or such proceeding is not dismissed</w:t>
      </w:r>
    </w:p>
    <w:p>
      <w:pPr>
        <w:spacing w:after="0" w:line="1" w:lineRule="exact"/>
        <w:rPr>
          <w:sz w:val="20"/>
          <w:szCs w:val="20"/>
          <w:color w:val="auto"/>
        </w:rPr>
      </w:pPr>
    </w:p>
    <w:p>
      <w:pPr>
        <w:ind w:left="1020" w:right="160"/>
        <w:spacing w:after="0" w:line="220" w:lineRule="auto"/>
        <w:rPr>
          <w:sz w:val="20"/>
          <w:szCs w:val="20"/>
          <w:color w:val="auto"/>
        </w:rPr>
      </w:pPr>
      <w:r>
        <w:rPr>
          <w:rFonts w:ascii="Arial" w:cs="Arial" w:eastAsia="Arial" w:hAnsi="Arial"/>
          <w:sz w:val="20"/>
          <w:szCs w:val="20"/>
          <w:color w:val="auto"/>
        </w:rPr>
        <w:t>within [***] after the filing thereof (such bankruptcy and related events described in this Section 18.5 (Termination for Bankruptcy), collectively, “</w:t>
      </w:r>
      <w:r>
        <w:rPr>
          <w:rFonts w:ascii="Arial" w:cs="Arial" w:eastAsia="Arial" w:hAnsi="Arial"/>
          <w:sz w:val="20"/>
          <w:szCs w:val="20"/>
          <w:b w:val="1"/>
          <w:bCs w:val="1"/>
          <w:color w:val="auto"/>
        </w:rPr>
        <w:t>Bankruptcy Events</w:t>
      </w:r>
      <w:r>
        <w:rPr>
          <w:rFonts w:ascii="Arial" w:cs="Arial" w:eastAsia="Arial" w:hAnsi="Arial"/>
          <w:sz w:val="20"/>
          <w:szCs w:val="20"/>
          <w:color w:val="auto"/>
        </w:rPr>
        <w:t>”).</w:t>
      </w:r>
    </w:p>
    <w:p>
      <w:pPr>
        <w:spacing w:after="0" w:line="204" w:lineRule="exact"/>
        <w:rPr>
          <w:sz w:val="20"/>
          <w:szCs w:val="20"/>
          <w:color w:val="auto"/>
        </w:rPr>
      </w:pPr>
    </w:p>
    <w:p>
      <w:pPr>
        <w:ind w:left="1020" w:right="380" w:firstLine="648"/>
        <w:spacing w:after="0" w:line="239"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b w:val="1"/>
          <w:bCs w:val="1"/>
          <w:color w:val="auto"/>
        </w:rPr>
        <w:t>Termination for Patent Challenge</w:t>
      </w:r>
      <w:r>
        <w:rPr>
          <w:rFonts w:ascii="Arial" w:cs="Arial" w:eastAsia="Arial" w:hAnsi="Arial"/>
          <w:sz w:val="18"/>
          <w:szCs w:val="18"/>
          <w:color w:val="auto"/>
        </w:rPr>
        <w:t>. Except to the extent the following is unenforceable under the Applicable Laws and Regulations of a particular jurisdiction in the Territory, on a MacroGenics Licensed Patent-by-</w:t>
      </w:r>
    </w:p>
    <w:p>
      <w:pPr>
        <w:spacing w:after="0" w:line="1" w:lineRule="exact"/>
        <w:rPr>
          <w:sz w:val="20"/>
          <w:szCs w:val="20"/>
          <w:color w:val="auto"/>
        </w:rPr>
      </w:pPr>
    </w:p>
    <w:p>
      <w:pPr>
        <w:ind w:left="1020" w:right="480"/>
        <w:spacing w:after="0" w:line="255" w:lineRule="auto"/>
        <w:rPr>
          <w:sz w:val="20"/>
          <w:szCs w:val="20"/>
          <w:color w:val="auto"/>
        </w:rPr>
      </w:pPr>
      <w:r>
        <w:rPr>
          <w:rFonts w:ascii="Arial" w:cs="Arial" w:eastAsia="Arial" w:hAnsi="Arial"/>
          <w:sz w:val="16"/>
          <w:szCs w:val="16"/>
          <w:color w:val="auto"/>
        </w:rPr>
        <w:t>MacroGenics Licensed Patent basis, MacroGenics may terminate the licenses granted to Gilead under Section 3.1 (Licenses to Gilead) for a MacroGenics Licensed Patent (and such Patent will cease to be a MacroGenics Licensed</w:t>
      </w:r>
    </w:p>
    <w:p>
      <w:pPr>
        <w:ind w:left="1020"/>
        <w:spacing w:after="0" w:line="235" w:lineRule="auto"/>
        <w:rPr>
          <w:sz w:val="20"/>
          <w:szCs w:val="20"/>
          <w:color w:val="auto"/>
        </w:rPr>
      </w:pPr>
      <w:r>
        <w:rPr>
          <w:rFonts w:ascii="Arial" w:cs="Arial" w:eastAsia="Arial" w:hAnsi="Arial"/>
          <w:sz w:val="18"/>
          <w:szCs w:val="18"/>
          <w:color w:val="auto"/>
        </w:rPr>
        <w:t>Patent for all purposes under this Agreement) upon written notice to Gilead if Gilead, its Affiliates, or Sublicensees,</w:t>
      </w:r>
    </w:p>
    <w:p>
      <w:pPr>
        <w:ind w:left="1020" w:right="420"/>
        <w:spacing w:after="0" w:line="255" w:lineRule="auto"/>
        <w:rPr>
          <w:sz w:val="20"/>
          <w:szCs w:val="20"/>
          <w:color w:val="auto"/>
        </w:rPr>
      </w:pPr>
      <w:r>
        <w:rPr>
          <w:rFonts w:ascii="Arial" w:cs="Arial" w:eastAsia="Arial" w:hAnsi="Arial"/>
          <w:sz w:val="16"/>
          <w:szCs w:val="16"/>
          <w:color w:val="auto"/>
        </w:rPr>
        <w:t>individually or in association with any other person or entity, commences a legal action challenging the validity, enforceability or scope of such MacroGenics Licensed Patent in a court or other governmental agency of competent</w:t>
      </w:r>
    </w:p>
    <w:p>
      <w:pPr>
        <w:spacing w:after="0" w:line="1" w:lineRule="exact"/>
        <w:rPr>
          <w:sz w:val="20"/>
          <w:szCs w:val="20"/>
          <w:color w:val="auto"/>
        </w:rPr>
      </w:pPr>
    </w:p>
    <w:p>
      <w:pPr>
        <w:ind w:left="1020" w:right="280"/>
        <w:spacing w:after="0" w:line="227" w:lineRule="auto"/>
        <w:rPr>
          <w:sz w:val="20"/>
          <w:szCs w:val="20"/>
          <w:color w:val="auto"/>
        </w:rPr>
      </w:pPr>
      <w:r>
        <w:rPr>
          <w:rFonts w:ascii="Arial" w:cs="Arial" w:eastAsia="Arial" w:hAnsi="Arial"/>
          <w:sz w:val="20"/>
          <w:szCs w:val="20"/>
          <w:color w:val="auto"/>
        </w:rPr>
        <w:t>jurisdiction, including a reexamination or opposition proceeding (a “</w:t>
      </w:r>
      <w:r>
        <w:rPr>
          <w:rFonts w:ascii="Arial" w:cs="Arial" w:eastAsia="Arial" w:hAnsi="Arial"/>
          <w:sz w:val="20"/>
          <w:szCs w:val="20"/>
          <w:b w:val="1"/>
          <w:bCs w:val="1"/>
          <w:color w:val="auto"/>
        </w:rPr>
        <w:t>Patent Challenge</w:t>
      </w:r>
      <w:r>
        <w:rPr>
          <w:rFonts w:ascii="Arial" w:cs="Arial" w:eastAsia="Arial" w:hAnsi="Arial"/>
          <w:sz w:val="20"/>
          <w:szCs w:val="20"/>
          <w:color w:val="auto"/>
        </w:rPr>
        <w:t>”) and does not withdraw such Patent Challenge within [***] after receipt of notice from MacroGenics requesting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600"/>
          </w:cols>
          <w:pgMar w:left="400" w:top="1324" w:right="899" w:bottom="1440" w:gutter="0" w:footer="0" w:header="0"/>
        </w:sectPr>
      </w:pPr>
    </w:p>
    <w:bookmarkStart w:id="205" w:name="page206"/>
    <w:bookmarkEnd w:id="205"/>
    <w:p>
      <w:pPr>
        <w:spacing w:after="0" w:line="195" w:lineRule="exact"/>
        <w:rPr>
          <w:sz w:val="20"/>
          <w:szCs w:val="20"/>
          <w:color w:val="auto"/>
        </w:rPr>
      </w:pPr>
    </w:p>
    <w:p>
      <w:pPr>
        <w:ind w:left="1020" w:right="20"/>
        <w:spacing w:after="0" w:line="231" w:lineRule="auto"/>
        <w:rPr>
          <w:sz w:val="20"/>
          <w:szCs w:val="20"/>
          <w:color w:val="auto"/>
        </w:rPr>
      </w:pPr>
      <w:r>
        <w:rPr>
          <w:rFonts w:ascii="Arial" w:cs="Arial" w:eastAsia="Arial" w:hAnsi="Arial"/>
          <w:sz w:val="19"/>
          <w:szCs w:val="19"/>
          <w:color w:val="auto"/>
        </w:rPr>
        <w:t xml:space="preserve">a withdrawal;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Patent Challenge by any Sublicensee, MacroGenics will not have the right to terminate this Agreement under this Section 18.6 (Termination for Patent Challenge) if, within [***] of</w:t>
      </w:r>
    </w:p>
    <w:p>
      <w:pPr>
        <w:ind w:left="1020" w:right="20"/>
        <w:spacing w:after="0" w:line="226" w:lineRule="auto"/>
        <w:rPr>
          <w:sz w:val="20"/>
          <w:szCs w:val="20"/>
          <w:color w:val="auto"/>
        </w:rPr>
      </w:pPr>
      <w:r>
        <w:rPr>
          <w:rFonts w:ascii="Arial" w:cs="Arial" w:eastAsia="Arial" w:hAnsi="Arial"/>
          <w:sz w:val="18"/>
          <w:szCs w:val="18"/>
          <w:color w:val="auto"/>
        </w:rPr>
        <w:t>MacroGenics’ notice to Gilead under this Section 18.6 (Termination for Patent Challenge), Gilead (a) causes such Patent Challenge to be terminated or dismissed or (b) terminates the sublicense granted to such Sublicensee under this</w:t>
      </w:r>
    </w:p>
    <w:p>
      <w:pPr>
        <w:ind w:left="1020"/>
        <w:spacing w:after="0" w:line="236" w:lineRule="auto"/>
        <w:rPr>
          <w:sz w:val="20"/>
          <w:szCs w:val="20"/>
          <w:color w:val="auto"/>
        </w:rPr>
      </w:pPr>
      <w:r>
        <w:rPr>
          <w:rFonts w:ascii="Arial" w:cs="Arial" w:eastAsia="Arial" w:hAnsi="Arial"/>
          <w:sz w:val="18"/>
          <w:szCs w:val="18"/>
          <w:color w:val="auto"/>
        </w:rPr>
        <w:t>Agreement. Notwithstanding the foregoing, MacroGenics will not have the right to terminate under this Section 18.6</w:t>
      </w:r>
    </w:p>
    <w:p>
      <w:pPr>
        <w:spacing w:after="0" w:line="1" w:lineRule="exact"/>
        <w:rPr>
          <w:sz w:val="20"/>
          <w:szCs w:val="20"/>
          <w:color w:val="auto"/>
        </w:rPr>
      </w:pPr>
    </w:p>
    <w:p>
      <w:pPr>
        <w:ind w:left="1020" w:right="20"/>
        <w:spacing w:after="0" w:line="226" w:lineRule="auto"/>
        <w:rPr>
          <w:sz w:val="20"/>
          <w:szCs w:val="20"/>
          <w:color w:val="auto"/>
        </w:rPr>
      </w:pPr>
      <w:r>
        <w:rPr>
          <w:rFonts w:ascii="Arial" w:cs="Arial" w:eastAsia="Arial" w:hAnsi="Arial"/>
          <w:sz w:val="18"/>
          <w:szCs w:val="18"/>
          <w:color w:val="auto"/>
        </w:rPr>
        <w:t>(Termination for Patent Challenge) as a result of (i) any claim or proceeding that would otherwise be a Patent Challenge hereunder to the extent commenced by a Third Party that after the Effective Date acquires or is acquired by Gilead or its</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 xml:space="preserve">Affiliates or its other business assets, whether by stock purchase, merger, asset purchase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w:t>
      </w:r>
    </w:p>
    <w:p>
      <w:pPr>
        <w:spacing w:after="0" w:line="19" w:lineRule="exact"/>
        <w:rPr>
          <w:sz w:val="20"/>
          <w:szCs w:val="20"/>
          <w:color w:val="auto"/>
        </w:rPr>
      </w:pPr>
    </w:p>
    <w:p>
      <w:pPr>
        <w:ind w:left="1020" w:right="20"/>
        <w:spacing w:after="0" w:line="215" w:lineRule="auto"/>
        <w:rPr>
          <w:sz w:val="20"/>
          <w:szCs w:val="20"/>
          <w:color w:val="auto"/>
        </w:rPr>
      </w:pPr>
      <w:r>
        <w:rPr>
          <w:rFonts w:ascii="Arial" w:cs="Arial" w:eastAsia="Arial" w:hAnsi="Arial"/>
          <w:sz w:val="19"/>
          <w:szCs w:val="19"/>
          <w:color w:val="auto"/>
        </w:rPr>
        <w:t>proceeding was commenced prior to the closing of such acquisition; (ii) any claim or proceeding by a licensor of a product licensed by Gilead for which the licensor has an existing challenge, whether in a court or administrative</w:t>
      </w:r>
    </w:p>
    <w:p>
      <w:pPr>
        <w:ind w:left="1020"/>
        <w:spacing w:after="0"/>
        <w:rPr>
          <w:sz w:val="20"/>
          <w:szCs w:val="20"/>
          <w:color w:val="auto"/>
        </w:rPr>
      </w:pPr>
      <w:r>
        <w:rPr>
          <w:rFonts w:ascii="Arial" w:cs="Arial" w:eastAsia="Arial" w:hAnsi="Arial"/>
          <w:sz w:val="16"/>
          <w:szCs w:val="16"/>
          <w:color w:val="auto"/>
        </w:rPr>
        <w:t>proceeding against a MacroGenics Licensed Patent; (iii) any Patent Challenge required to be commenced pursuant to an</w:t>
      </w:r>
    </w:p>
    <w:p>
      <w:pPr>
        <w:spacing w:after="0" w:line="19"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order of a governmental authority or Applicable Laws and Regulations; (iv) any proceeding not initiated, directed or controlled by or on behalf of Gilead or one of its Affiliates (or any of their respective Sublicensees), for which Gilead or</w:t>
      </w:r>
    </w:p>
    <w:p>
      <w:pPr>
        <w:ind w:left="1020"/>
        <w:spacing w:after="0" w:line="236" w:lineRule="auto"/>
        <w:rPr>
          <w:sz w:val="20"/>
          <w:szCs w:val="20"/>
          <w:color w:val="auto"/>
        </w:rPr>
      </w:pPr>
      <w:r>
        <w:rPr>
          <w:rFonts w:ascii="Arial" w:cs="Arial" w:eastAsia="Arial" w:hAnsi="Arial"/>
          <w:sz w:val="18"/>
          <w:szCs w:val="18"/>
          <w:color w:val="auto"/>
        </w:rPr>
        <w:t>the Affiliate, as the case may be, opposes, or assists any Third Party to oppose, the grant of a MacroGenics Licensed</w:t>
      </w:r>
    </w:p>
    <w:p>
      <w:pPr>
        <w:spacing w:after="0" w:line="1" w:lineRule="exact"/>
        <w:rPr>
          <w:sz w:val="20"/>
          <w:szCs w:val="20"/>
          <w:color w:val="auto"/>
        </w:rPr>
      </w:pPr>
    </w:p>
    <w:p>
      <w:pPr>
        <w:ind w:left="1020" w:right="20"/>
        <w:spacing w:after="0" w:line="226" w:lineRule="auto"/>
        <w:rPr>
          <w:sz w:val="20"/>
          <w:szCs w:val="20"/>
          <w:color w:val="auto"/>
        </w:rPr>
      </w:pPr>
      <w:r>
        <w:rPr>
          <w:rFonts w:ascii="Arial" w:cs="Arial" w:eastAsia="Arial" w:hAnsi="Arial"/>
          <w:sz w:val="18"/>
          <w:szCs w:val="18"/>
          <w:color w:val="auto"/>
        </w:rPr>
        <w:t>Patent pursuant to any application in relation thereto in an administrative proceeding, such as a patent reexamination, inter partes review, or other post grant proceeding or opposition; (v) challenges by an open forum entity or other industry</w:t>
      </w:r>
    </w:p>
    <w:p>
      <w:pPr>
        <w:ind w:left="1020"/>
        <w:spacing w:after="0" w:line="224" w:lineRule="auto"/>
        <w:rPr>
          <w:sz w:val="20"/>
          <w:szCs w:val="20"/>
          <w:color w:val="auto"/>
        </w:rPr>
      </w:pPr>
      <w:r>
        <w:rPr>
          <w:rFonts w:ascii="Arial" w:cs="Arial" w:eastAsia="Arial" w:hAnsi="Arial"/>
          <w:sz w:val="19"/>
          <w:szCs w:val="19"/>
          <w:color w:val="auto"/>
        </w:rPr>
        <w:t>group in which Gilead or its Affiliates or Sublicensees do not direct or control the action of such entity; (vi) general</w:t>
      </w:r>
    </w:p>
    <w:p>
      <w:pPr>
        <w:ind w:left="1020" w:right="20"/>
        <w:spacing w:after="0" w:line="226" w:lineRule="auto"/>
        <w:rPr>
          <w:sz w:val="20"/>
          <w:szCs w:val="20"/>
          <w:color w:val="auto"/>
        </w:rPr>
      </w:pPr>
      <w:r>
        <w:rPr>
          <w:rFonts w:ascii="Arial" w:cs="Arial" w:eastAsia="Arial" w:hAnsi="Arial"/>
          <w:sz w:val="18"/>
          <w:szCs w:val="18"/>
          <w:color w:val="auto"/>
        </w:rPr>
        <w:t>activities not specifically directed to a particular Patent, such as amicus briefs on cases not involving a MacroGenics Licensed Patent; (vii) lobbying or other efforts directed to patent issues generally and not to any specific MacroGenics</w:t>
      </w:r>
    </w:p>
    <w:p>
      <w:pPr>
        <w:spacing w:after="0" w:line="2" w:lineRule="exact"/>
        <w:rPr>
          <w:sz w:val="20"/>
          <w:szCs w:val="20"/>
          <w:color w:val="auto"/>
        </w:rPr>
      </w:pPr>
    </w:p>
    <w:p>
      <w:pPr>
        <w:ind w:left="1020" w:right="20"/>
        <w:spacing w:after="0" w:line="220" w:lineRule="auto"/>
        <w:rPr>
          <w:sz w:val="20"/>
          <w:szCs w:val="20"/>
          <w:color w:val="auto"/>
        </w:rPr>
      </w:pPr>
      <w:r>
        <w:rPr>
          <w:rFonts w:ascii="Arial" w:cs="Arial" w:eastAsia="Arial" w:hAnsi="Arial"/>
          <w:sz w:val="20"/>
          <w:szCs w:val="20"/>
          <w:color w:val="auto"/>
        </w:rPr>
        <w:t>Licensed Patent; or (viii) providing documents or testimony in response to any discovery requests or court order in a valid legal process not directed to a Patent Challenge of a MacroGenics Licensed Patent.</w:t>
      </w:r>
    </w:p>
    <w:p>
      <w:pPr>
        <w:spacing w:after="0" w:line="191" w:lineRule="exact"/>
        <w:rPr>
          <w:sz w:val="20"/>
          <w:szCs w:val="20"/>
          <w:color w:val="auto"/>
        </w:rPr>
      </w:pPr>
    </w:p>
    <w:p>
      <w:pPr>
        <w:ind w:left="1020" w:right="300" w:firstLine="648"/>
        <w:spacing w:after="0" w:line="239" w:lineRule="auto"/>
        <w:rPr>
          <w:sz w:val="20"/>
          <w:szCs w:val="20"/>
          <w:color w:val="auto"/>
        </w:rPr>
      </w:pPr>
      <w:r>
        <w:rPr>
          <w:rFonts w:ascii="Arial" w:cs="Arial" w:eastAsia="Arial" w:hAnsi="Arial"/>
          <w:sz w:val="20"/>
          <w:szCs w:val="20"/>
          <w:color w:val="auto"/>
        </w:rPr>
        <w:t xml:space="preserve">18.7 </w:t>
      </w:r>
      <w:r>
        <w:rPr>
          <w:rFonts w:ascii="Arial" w:cs="Arial" w:eastAsia="Arial" w:hAnsi="Arial"/>
          <w:sz w:val="20"/>
          <w:szCs w:val="20"/>
          <w:b w:val="1"/>
          <w:bCs w:val="1"/>
          <w:color w:val="auto"/>
        </w:rPr>
        <w:t>[***]</w:t>
      </w:r>
      <w:r>
        <w:rPr>
          <w:rFonts w:ascii="Arial" w:cs="Arial" w:eastAsia="Arial" w:hAnsi="Arial"/>
          <w:sz w:val="20"/>
          <w:szCs w:val="20"/>
          <w:color w:val="auto"/>
        </w:rPr>
        <w:t>. Gilead shall have the right, on a Program- by-Program basis, to terminate this Agreement at any time upon providing [***] prior written notice to MacroGenics: [***].</w:t>
      </w:r>
    </w:p>
    <w:p>
      <w:pPr>
        <w:spacing w:after="0" w:line="25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18.8</w:t>
      </w:r>
      <w:r>
        <w:rPr>
          <w:sz w:val="20"/>
          <w:szCs w:val="20"/>
          <w:color w:val="auto"/>
        </w:rPr>
        <w:tab/>
      </w:r>
      <w:r>
        <w:rPr>
          <w:rFonts w:ascii="Arial" w:cs="Arial" w:eastAsia="Arial" w:hAnsi="Arial"/>
          <w:sz w:val="18"/>
          <w:szCs w:val="18"/>
          <w:b w:val="1"/>
          <w:bCs w:val="1"/>
          <w:color w:val="auto"/>
        </w:rPr>
        <w:t>Alternative Remedy in Lieu of Termination</w:t>
      </w:r>
      <w:r>
        <w:rPr>
          <w:rFonts w:ascii="Arial" w:cs="Arial" w:eastAsia="Arial" w:hAnsi="Arial"/>
          <w:sz w:val="18"/>
          <w:szCs w:val="18"/>
          <w:color w:val="auto"/>
        </w:rPr>
        <w:t>. MacroGenics agrees that Gilead’s decision to enter into</w:t>
      </w:r>
    </w:p>
    <w:p>
      <w:pPr>
        <w:spacing w:after="0" w:line="6" w:lineRule="exact"/>
        <w:rPr>
          <w:sz w:val="20"/>
          <w:szCs w:val="20"/>
          <w:color w:val="auto"/>
        </w:rPr>
      </w:pPr>
    </w:p>
    <w:p>
      <w:pPr>
        <w:ind w:left="1020" w:right="160"/>
        <w:spacing w:after="0" w:line="226" w:lineRule="auto"/>
        <w:rPr>
          <w:sz w:val="20"/>
          <w:szCs w:val="20"/>
          <w:color w:val="auto"/>
        </w:rPr>
      </w:pPr>
      <w:r>
        <w:rPr>
          <w:rFonts w:ascii="Arial" w:cs="Arial" w:eastAsia="Arial" w:hAnsi="Arial"/>
          <w:sz w:val="18"/>
          <w:szCs w:val="18"/>
          <w:color w:val="auto"/>
        </w:rPr>
        <w:t>this Agreement and invest in the Development of the Programs is premised upon the assumption that MacroGenics will perform its obligations under this Agreement, and that a material breach of the Agreement by MacroGenics could</w:t>
      </w:r>
    </w:p>
    <w:p>
      <w:pPr>
        <w:ind w:left="1020"/>
        <w:spacing w:after="0" w:line="236" w:lineRule="auto"/>
        <w:rPr>
          <w:sz w:val="20"/>
          <w:szCs w:val="20"/>
          <w:color w:val="auto"/>
        </w:rPr>
      </w:pPr>
      <w:r>
        <w:rPr>
          <w:rFonts w:ascii="Arial" w:cs="Arial" w:eastAsia="Arial" w:hAnsi="Arial"/>
          <w:sz w:val="18"/>
          <w:szCs w:val="18"/>
          <w:color w:val="auto"/>
        </w:rPr>
        <w:t>undermine the economic fundamentals of the transaction for Gilead, and that in such event Gilead’s damages arising</w:t>
      </w:r>
    </w:p>
    <w:p>
      <w:pPr>
        <w:spacing w:after="0" w:line="1" w:lineRule="exact"/>
        <w:rPr>
          <w:sz w:val="20"/>
          <w:szCs w:val="20"/>
          <w:color w:val="auto"/>
        </w:rPr>
      </w:pPr>
    </w:p>
    <w:p>
      <w:pPr>
        <w:ind w:left="1020" w:right="120"/>
        <w:spacing w:after="0" w:line="226" w:lineRule="auto"/>
        <w:rPr>
          <w:sz w:val="20"/>
          <w:szCs w:val="20"/>
          <w:color w:val="auto"/>
        </w:rPr>
      </w:pPr>
      <w:r>
        <w:rPr>
          <w:rFonts w:ascii="Arial" w:cs="Arial" w:eastAsia="Arial" w:hAnsi="Arial"/>
          <w:sz w:val="18"/>
          <w:szCs w:val="18"/>
          <w:color w:val="auto"/>
        </w:rPr>
        <w:t>from MacroGenics’ breach would be of an uncertain amount and difficult to prove. Accordingly, if it has been conclusively determined that Gilead has the right to terminate this Agreement pursuant to Section 18.2 (Termination for</w:t>
      </w:r>
    </w:p>
    <w:p>
      <w:pPr>
        <w:ind w:left="1020"/>
        <w:spacing w:after="0" w:line="213" w:lineRule="auto"/>
        <w:rPr>
          <w:sz w:val="20"/>
          <w:szCs w:val="20"/>
          <w:color w:val="auto"/>
        </w:rPr>
      </w:pPr>
      <w:r>
        <w:rPr>
          <w:rFonts w:ascii="Arial" w:cs="Arial" w:eastAsia="Arial" w:hAnsi="Arial"/>
          <w:sz w:val="20"/>
          <w:szCs w:val="20"/>
          <w:color w:val="auto"/>
        </w:rPr>
        <w:t>Material Breach) or Section 18.5 (Termination for Bankruptcy) (for clarity, (i) based upon MacroGenics’s</w:t>
      </w:r>
    </w:p>
    <w:p>
      <w:pPr>
        <w:ind w:left="1020" w:right="60"/>
        <w:spacing w:after="0" w:line="255" w:lineRule="auto"/>
        <w:rPr>
          <w:sz w:val="20"/>
          <w:szCs w:val="20"/>
          <w:color w:val="auto"/>
        </w:rPr>
      </w:pPr>
      <w:r>
        <w:rPr>
          <w:rFonts w:ascii="Arial" w:cs="Arial" w:eastAsia="Arial" w:hAnsi="Arial"/>
          <w:sz w:val="16"/>
          <w:szCs w:val="16"/>
          <w:color w:val="auto"/>
        </w:rPr>
        <w:t>acknowledgment of or failure to dispute, as applicable, under Section 18.2(b) (Disagreement as to Material Breach) such material breach or bankruptcy or (ii) pursuant to the procedures set forth in Section 18.2(b) (Disagreement as to Material</w:t>
      </w:r>
    </w:p>
    <w:p>
      <w:pPr>
        <w:ind w:left="1020"/>
        <w:spacing w:after="0" w:line="235" w:lineRule="auto"/>
        <w:rPr>
          <w:sz w:val="20"/>
          <w:szCs w:val="20"/>
          <w:color w:val="auto"/>
        </w:rPr>
      </w:pPr>
      <w:r>
        <w:rPr>
          <w:rFonts w:ascii="Arial" w:cs="Arial" w:eastAsia="Arial" w:hAnsi="Arial"/>
          <w:sz w:val="18"/>
          <w:szCs w:val="18"/>
          <w:color w:val="auto"/>
        </w:rPr>
        <w:t>Breach)), then in lieu of terminating this Agreement due to such material breach or suing MacroGenics for damages</w:t>
      </w:r>
    </w:p>
    <w:p>
      <w:pPr>
        <w:ind w:left="1020" w:right="60"/>
        <w:spacing w:after="0" w:line="232" w:lineRule="auto"/>
        <w:rPr>
          <w:sz w:val="20"/>
          <w:szCs w:val="20"/>
          <w:color w:val="auto"/>
        </w:rPr>
      </w:pPr>
      <w:r>
        <w:rPr>
          <w:rFonts w:ascii="Arial" w:cs="Arial" w:eastAsia="Arial" w:hAnsi="Arial"/>
          <w:sz w:val="19"/>
          <w:szCs w:val="19"/>
          <w:color w:val="auto"/>
        </w:rPr>
        <w:t>arising from such material breach, Gilead may, in its sole discretion, exercise the following remedy (which MacroGenics stipulates and agrees would be a reasonable remedy in such circumstance and not a penalty):</w:t>
      </w:r>
    </w:p>
    <w:p>
      <w:pPr>
        <w:spacing w:after="0" w:line="210" w:lineRule="exact"/>
        <w:rPr>
          <w:sz w:val="20"/>
          <w:szCs w:val="20"/>
          <w:color w:val="auto"/>
        </w:rPr>
      </w:pPr>
    </w:p>
    <w:p>
      <w:pPr>
        <w:ind w:left="1020" w:right="80" w:firstLine="1301"/>
        <w:spacing w:after="0" w:line="223" w:lineRule="auto"/>
        <w:tabs>
          <w:tab w:leader="none" w:pos="2734" w:val="left"/>
        </w:tabs>
        <w:numPr>
          <w:ilvl w:val="0"/>
          <w:numId w:val="189"/>
        </w:numPr>
        <w:rPr>
          <w:rFonts w:ascii="Arial" w:cs="Arial" w:eastAsia="Arial" w:hAnsi="Arial"/>
          <w:sz w:val="20"/>
          <w:szCs w:val="20"/>
          <w:color w:val="auto"/>
        </w:rPr>
      </w:pPr>
      <w:r>
        <w:rPr>
          <w:rFonts w:ascii="Arial" w:cs="Arial" w:eastAsia="Arial" w:hAnsi="Arial"/>
          <w:sz w:val="20"/>
          <w:szCs w:val="20"/>
          <w:color w:val="auto"/>
        </w:rPr>
        <w:t>Gilead may retain all of its licenses and other rights granted under this Agreement, subject to all of its payment and other obligations; except that, [***] (which for clarity, shall remain payable in its full amount in accordance with the terms of [***]; and</w:t>
      </w:r>
    </w:p>
    <w:p>
      <w:pPr>
        <w:spacing w:after="0" w:line="276" w:lineRule="exact"/>
        <w:rPr>
          <w:rFonts w:ascii="Arial" w:cs="Arial" w:eastAsia="Arial" w:hAnsi="Arial"/>
          <w:sz w:val="20"/>
          <w:szCs w:val="20"/>
          <w:color w:val="auto"/>
        </w:rPr>
      </w:pPr>
    </w:p>
    <w:p>
      <w:pPr>
        <w:ind w:left="1020" w:right="140" w:firstLine="1301"/>
        <w:spacing w:after="0" w:line="235" w:lineRule="auto"/>
        <w:tabs>
          <w:tab w:leader="none" w:pos="2745"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any Gilead Confidential Information provided to MacroGenics pursuant to this Agreement will be promptly returned to Gilead or destroyed (at MacroGenics’ election), and Gilead will be released from its ongoing disclosure and information exchange obligations with respect to activities after the date of such election.</w:t>
      </w:r>
    </w:p>
    <w:p>
      <w:pPr>
        <w:spacing w:after="0" w:line="209" w:lineRule="exact"/>
        <w:rPr>
          <w:sz w:val="20"/>
          <w:szCs w:val="20"/>
          <w:color w:val="auto"/>
        </w:rPr>
      </w:pPr>
    </w:p>
    <w:p>
      <w:pPr>
        <w:jc w:val="both"/>
        <w:ind w:left="1020" w:right="20"/>
        <w:spacing w:after="0" w:line="236" w:lineRule="auto"/>
        <w:rPr>
          <w:sz w:val="20"/>
          <w:szCs w:val="20"/>
          <w:color w:val="auto"/>
        </w:rPr>
      </w:pPr>
      <w:r>
        <w:rPr>
          <w:rFonts w:ascii="Arial" w:cs="Arial" w:eastAsia="Arial" w:hAnsi="Arial"/>
          <w:sz w:val="18"/>
          <w:szCs w:val="18"/>
          <w:color w:val="auto"/>
        </w:rPr>
        <w:t>For the avoidance of doubt, except as set forth in this Section 18.8 (Alternative Remedy in Lieu of Termination), if Gilead exercises the alternative remedy set forth above in this Section 18.8 (Alternative Remedy in Lieu of Termination),</w:t>
      </w:r>
    </w:p>
    <w:p>
      <w:pPr>
        <w:ind w:left="1020"/>
        <w:spacing w:after="0" w:line="222" w:lineRule="auto"/>
        <w:rPr>
          <w:sz w:val="20"/>
          <w:szCs w:val="20"/>
          <w:color w:val="auto"/>
        </w:rPr>
      </w:pPr>
      <w:r>
        <w:rPr>
          <w:rFonts w:ascii="Arial" w:cs="Arial" w:eastAsia="Arial" w:hAnsi="Arial"/>
          <w:sz w:val="19"/>
          <w:szCs w:val="19"/>
          <w:color w:val="auto"/>
        </w:rPr>
        <w:t>then all rights and obligations of both Parties under this Agreement will continue unaffected, unless and until this</w:t>
      </w:r>
    </w:p>
    <w:p>
      <w:pPr>
        <w:spacing w:after="0" w:line="1" w:lineRule="exact"/>
        <w:rPr>
          <w:sz w:val="20"/>
          <w:szCs w:val="20"/>
          <w:color w:val="auto"/>
        </w:rPr>
      </w:pPr>
    </w:p>
    <w:p>
      <w:pPr>
        <w:ind w:left="1020" w:right="20"/>
        <w:spacing w:after="0" w:line="220" w:lineRule="auto"/>
        <w:rPr>
          <w:sz w:val="20"/>
          <w:szCs w:val="20"/>
          <w:color w:val="auto"/>
        </w:rPr>
      </w:pPr>
      <w:r>
        <w:rPr>
          <w:rFonts w:ascii="Arial" w:cs="Arial" w:eastAsia="Arial" w:hAnsi="Arial"/>
          <w:sz w:val="20"/>
          <w:szCs w:val="20"/>
          <w:color w:val="auto"/>
        </w:rPr>
        <w:t xml:space="preserve">Agreement is subsequently terminated by either Party pursuant to this Article 18 (Term and Termination);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that Gilead exercises the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640"/>
          </w:cols>
          <w:pgMar w:left="400" w:top="1440" w:right="859" w:bottom="1440" w:gutter="0" w:footer="0" w:header="0"/>
        </w:sectPr>
      </w:pPr>
    </w:p>
    <w:bookmarkStart w:id="206" w:name="page207"/>
    <w:bookmarkEnd w:id="206"/>
    <w:p>
      <w:pPr>
        <w:ind w:left="1020"/>
        <w:spacing w:after="0" w:line="244" w:lineRule="auto"/>
        <w:rPr>
          <w:sz w:val="20"/>
          <w:szCs w:val="20"/>
          <w:color w:val="auto"/>
        </w:rPr>
      </w:pPr>
      <w:r>
        <w:rPr>
          <w:rFonts w:ascii="Arial" w:cs="Arial" w:eastAsia="Arial" w:hAnsi="Arial"/>
          <w:sz w:val="18"/>
          <w:szCs w:val="18"/>
          <w:color w:val="auto"/>
        </w:rPr>
        <w:t>remedy set forth in this Section 18.8 (Alternative Remedy in Lieu of Termination) in the event of a material breach by MacroGenics (as described in Section 18.2 (Termination for Material Breach)) or upon the occurrence of a bankruptcy</w:t>
      </w:r>
    </w:p>
    <w:p>
      <w:pPr>
        <w:ind w:left="1020"/>
        <w:spacing w:after="0" w:line="226" w:lineRule="auto"/>
        <w:rPr>
          <w:sz w:val="20"/>
          <w:szCs w:val="20"/>
          <w:color w:val="auto"/>
        </w:rPr>
      </w:pPr>
      <w:r>
        <w:rPr>
          <w:rFonts w:ascii="Arial" w:cs="Arial" w:eastAsia="Arial" w:hAnsi="Arial"/>
          <w:sz w:val="18"/>
          <w:szCs w:val="18"/>
          <w:color w:val="auto"/>
        </w:rPr>
        <w:t>event of MacroGenics (as described in Section 18.4 (Termination for Bankruptcy)), Gilead will not have the right to terminate this Agreement or to seek monetary damages from MacroGenics for such material breach or, as it relates to</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this Agreement, bankruptcy, in each case for which the alternative remedy was exercised.</w:t>
      </w:r>
    </w:p>
    <w:p>
      <w:pPr>
        <w:spacing w:after="0" w:line="19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16"/>
          <w:szCs w:val="16"/>
          <w:b w:val="1"/>
          <w:bCs w:val="1"/>
          <w:color w:val="auto"/>
        </w:rPr>
        <w:t>Effects of Termination</w:t>
      </w:r>
      <w:r>
        <w:rPr>
          <w:rFonts w:ascii="Arial" w:cs="Arial" w:eastAsia="Arial" w:hAnsi="Arial"/>
          <w:sz w:val="16"/>
          <w:szCs w:val="16"/>
          <w:color w:val="auto"/>
        </w:rPr>
        <w:t>.</w:t>
      </w:r>
    </w:p>
    <w:p>
      <w:pPr>
        <w:spacing w:after="0" w:line="291" w:lineRule="exact"/>
        <w:rPr>
          <w:sz w:val="20"/>
          <w:szCs w:val="20"/>
          <w:color w:val="auto"/>
        </w:rPr>
      </w:pPr>
    </w:p>
    <w:p>
      <w:pPr>
        <w:ind w:left="2740" w:hanging="419"/>
        <w:spacing w:after="0"/>
        <w:tabs>
          <w:tab w:leader="none" w:pos="2740" w:val="left"/>
        </w:tabs>
        <w:numPr>
          <w:ilvl w:val="0"/>
          <w:numId w:val="190"/>
        </w:numPr>
        <w:rPr>
          <w:rFonts w:ascii="Arial" w:cs="Arial" w:eastAsia="Arial" w:hAnsi="Arial"/>
          <w:sz w:val="20"/>
          <w:szCs w:val="20"/>
          <w:color w:val="auto"/>
        </w:rPr>
      </w:pPr>
      <w:r>
        <w:rPr>
          <w:rFonts w:ascii="Arial" w:cs="Arial" w:eastAsia="Arial" w:hAnsi="Arial"/>
          <w:sz w:val="20"/>
          <w:szCs w:val="20"/>
          <w:b w:val="1"/>
          <w:bCs w:val="1"/>
          <w:color w:val="auto"/>
        </w:rPr>
        <w:t>In General</w:t>
      </w:r>
      <w:r>
        <w:rPr>
          <w:rFonts w:ascii="Arial" w:cs="Arial" w:eastAsia="Arial" w:hAnsi="Arial"/>
          <w:sz w:val="20"/>
          <w:szCs w:val="20"/>
          <w:color w:val="auto"/>
        </w:rPr>
        <w:t>. Upon any termination of this Agreement in its entirety or with respect</w:t>
      </w:r>
    </w:p>
    <w:p>
      <w:pPr>
        <w:ind w:left="1020"/>
        <w:spacing w:after="0"/>
        <w:rPr>
          <w:sz w:val="20"/>
          <w:szCs w:val="20"/>
          <w:color w:val="auto"/>
        </w:rPr>
      </w:pPr>
      <w:r>
        <w:rPr>
          <w:rFonts w:ascii="Arial" w:cs="Arial" w:eastAsia="Arial" w:hAnsi="Arial"/>
          <w:sz w:val="20"/>
          <w:szCs w:val="20"/>
          <w:color w:val="auto"/>
        </w:rPr>
        <w:t>to a Program:</w:t>
      </w:r>
    </w:p>
    <w:p>
      <w:pPr>
        <w:spacing w:after="0" w:line="294" w:lineRule="exact"/>
        <w:rPr>
          <w:sz w:val="20"/>
          <w:szCs w:val="20"/>
          <w:color w:val="auto"/>
        </w:rPr>
      </w:pPr>
    </w:p>
    <w:p>
      <w:pPr>
        <w:ind w:left="1020" w:right="180" w:firstLine="1949"/>
        <w:spacing w:after="0" w:line="252" w:lineRule="auto"/>
        <w:tabs>
          <w:tab w:leader="none" w:pos="3349" w:val="left"/>
        </w:tabs>
        <w:numPr>
          <w:ilvl w:val="2"/>
          <w:numId w:val="191"/>
        </w:numPr>
        <w:rPr>
          <w:rFonts w:ascii="Arial" w:cs="Arial" w:eastAsia="Arial" w:hAnsi="Arial"/>
          <w:sz w:val="18"/>
          <w:szCs w:val="18"/>
          <w:color w:val="auto"/>
        </w:rPr>
      </w:pPr>
      <w:r>
        <w:rPr>
          <w:rFonts w:ascii="Arial" w:cs="Arial" w:eastAsia="Arial" w:hAnsi="Arial"/>
          <w:sz w:val="18"/>
          <w:szCs w:val="18"/>
          <w:color w:val="auto"/>
        </w:rPr>
        <w:t>Gilead shall pay any amounts accrued pursuant to Section 11.1 (Development Costs, Plan Costs and Manufacturing Costs) and Article 10 (Payments) for this Agreement or the Terminated Programs, as applicable, as of the effective date of termination to the extent not previously paid prior to the date of termination;</w:t>
      </w:r>
    </w:p>
    <w:p>
      <w:pPr>
        <w:spacing w:after="0" w:line="185" w:lineRule="exact"/>
        <w:rPr>
          <w:rFonts w:ascii="Arial" w:cs="Arial" w:eastAsia="Arial" w:hAnsi="Arial"/>
          <w:sz w:val="18"/>
          <w:szCs w:val="18"/>
          <w:color w:val="auto"/>
        </w:rPr>
      </w:pPr>
    </w:p>
    <w:p>
      <w:pPr>
        <w:ind w:left="1020" w:right="20" w:firstLine="1949"/>
        <w:spacing w:after="0" w:line="241" w:lineRule="auto"/>
        <w:tabs>
          <w:tab w:leader="none" w:pos="340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 xml:space="preserve">The licenses and sublicenses granted to each Party under this Agreement (or with respect to the Terminated Programs, as applicable) including pursuant to Sections 3.1 (Licenses to Gilead) and 3.2 (Licenses to MacroGenics), shall terminate and Gilead will cease any and all Exploitation of the Terminated Products as soon as is reasonably practicable under Applicable Laws and Regulations;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licenses will continue as necessary for the Parties to complete the orderly wind-down of their activities under this Agreement in accordance with Applicable Laws and Regulations and as otherwise required in accordance with Section 18.9(a)(iii) (In General) [***];</w:t>
      </w:r>
    </w:p>
    <w:p>
      <w:pPr>
        <w:spacing w:after="0" w:line="197" w:lineRule="exact"/>
        <w:rPr>
          <w:rFonts w:ascii="Arial" w:cs="Arial" w:eastAsia="Arial" w:hAnsi="Arial"/>
          <w:sz w:val="18"/>
          <w:szCs w:val="18"/>
          <w:color w:val="auto"/>
        </w:rPr>
      </w:pPr>
    </w:p>
    <w:p>
      <w:pPr>
        <w:ind w:left="1020" w:firstLine="1949"/>
        <w:spacing w:after="0" w:line="230" w:lineRule="auto"/>
        <w:tabs>
          <w:tab w:leader="none" w:pos="3459" w:val="left"/>
        </w:tabs>
        <w:numPr>
          <w:ilvl w:val="2"/>
          <w:numId w:val="191"/>
        </w:numPr>
        <w:rPr>
          <w:rFonts w:ascii="Arial" w:cs="Arial" w:eastAsia="Arial" w:hAnsi="Arial"/>
          <w:sz w:val="18"/>
          <w:szCs w:val="18"/>
          <w:color w:val="auto"/>
        </w:rPr>
      </w:pPr>
      <w:r>
        <w:rPr>
          <w:rFonts w:ascii="Arial" w:cs="Arial" w:eastAsia="Arial" w:hAnsi="Arial"/>
          <w:sz w:val="18"/>
          <w:szCs w:val="18"/>
          <w:color w:val="auto"/>
        </w:rPr>
        <w:t>Gilead shall cease all Development and Commercialization under each Terminated Program, including, to the extent permitted by any applicable Regulatory Authority or Applicable Laws and Regulations, halting enrollment of subjects (unless otherwise directed in writing by MacroGenics) into any Clinical Trial being conducted by the Gilead for the Terminated Programs and at MacroGenics’ sole election shall either (1) wind-down (including to cease administering the Terminated Products to Clinical Trial subjects and conducting Clinical Trial procedures on such Clinical Trial subjects, to the extent medically advisable and permitted by any applicable Regulatory Authority or Applicable Laws and Regulations) or (2) if a [***] any such Clinical Trial then being conducted by Gilead</w:t>
      </w:r>
    </w:p>
    <w:p>
      <w:pPr>
        <w:spacing w:after="0" w:line="4" w:lineRule="exact"/>
        <w:rPr>
          <w:rFonts w:ascii="Arial" w:cs="Arial" w:eastAsia="Arial" w:hAnsi="Arial"/>
          <w:sz w:val="18"/>
          <w:szCs w:val="18"/>
          <w:color w:val="auto"/>
        </w:rPr>
      </w:pPr>
    </w:p>
    <w:p>
      <w:pPr>
        <w:ind w:left="1500" w:hanging="475"/>
        <w:spacing w:after="0"/>
        <w:tabs>
          <w:tab w:leader="none" w:pos="150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but in all cases in a timely manner and in accordance with all Applicable Laws and Regulations;</w:t>
      </w:r>
    </w:p>
    <w:p>
      <w:pPr>
        <w:spacing w:after="0" w:line="199" w:lineRule="exact"/>
        <w:rPr>
          <w:rFonts w:ascii="Arial" w:cs="Arial" w:eastAsia="Arial" w:hAnsi="Arial"/>
          <w:sz w:val="20"/>
          <w:szCs w:val="20"/>
          <w:color w:val="auto"/>
        </w:rPr>
      </w:pPr>
    </w:p>
    <w:p>
      <w:pPr>
        <w:ind w:left="1020" w:right="100" w:firstLine="1949"/>
        <w:spacing w:after="0" w:line="220" w:lineRule="auto"/>
        <w:tabs>
          <w:tab w:leader="none" w:pos="3437" w:val="left"/>
        </w:tabs>
        <w:numPr>
          <w:ilvl w:val="2"/>
          <w:numId w:val="192"/>
        </w:numPr>
        <w:rPr>
          <w:rFonts w:ascii="Arial" w:cs="Arial" w:eastAsia="Arial" w:hAnsi="Arial"/>
          <w:sz w:val="20"/>
          <w:szCs w:val="20"/>
          <w:color w:val="auto"/>
        </w:rPr>
      </w:pPr>
      <w:r>
        <w:rPr>
          <w:rFonts w:ascii="Arial" w:cs="Arial" w:eastAsia="Arial" w:hAnsi="Arial"/>
          <w:sz w:val="20"/>
          <w:szCs w:val="20"/>
          <w:color w:val="auto"/>
        </w:rPr>
        <w:t>All sublicenses under the rights granted pursuant to Sections 3.1 (Licenses to Gilead) and 3.2 (Licenses to MacroGenics) shall terminate with respect to the Terminated Products, unless converted to a direct license under Section 3.3(c) (Survival of Gilead Sublicenses) subject to terms and conditions to be agreed between MacroGenics and such Sublicensee; and</w:t>
      </w:r>
    </w:p>
    <w:p>
      <w:pPr>
        <w:spacing w:after="0" w:line="196" w:lineRule="exact"/>
        <w:rPr>
          <w:rFonts w:ascii="Arial" w:cs="Arial" w:eastAsia="Arial" w:hAnsi="Arial"/>
          <w:sz w:val="20"/>
          <w:szCs w:val="20"/>
          <w:color w:val="auto"/>
        </w:rPr>
      </w:pPr>
    </w:p>
    <w:p>
      <w:pPr>
        <w:ind w:left="1020" w:right="220" w:firstLine="1949"/>
        <w:spacing w:after="0" w:line="236" w:lineRule="auto"/>
        <w:tabs>
          <w:tab w:leader="none" w:pos="3391" w:val="left"/>
        </w:tabs>
        <w:numPr>
          <w:ilvl w:val="2"/>
          <w:numId w:val="192"/>
        </w:numPr>
        <w:rPr>
          <w:rFonts w:ascii="Arial" w:cs="Arial" w:eastAsia="Arial" w:hAnsi="Arial"/>
          <w:sz w:val="20"/>
          <w:szCs w:val="20"/>
          <w:color w:val="auto"/>
        </w:rPr>
      </w:pPr>
      <w:r>
        <w:rPr>
          <w:rFonts w:ascii="Arial" w:cs="Arial" w:eastAsia="Arial" w:hAnsi="Arial"/>
          <w:sz w:val="20"/>
          <w:szCs w:val="20"/>
          <w:color w:val="auto"/>
        </w:rPr>
        <w:t>MacroGenics shall revoke (and Gilead shall allow revocation of) any powers of attorney for any MacroGenics Licensed Patents that Gilead holds as of the time of such termination.</w:t>
      </w:r>
    </w:p>
    <w:p>
      <w:pPr>
        <w:spacing w:after="0" w:line="195" w:lineRule="exact"/>
        <w:rPr>
          <w:rFonts w:ascii="Arial" w:cs="Arial" w:eastAsia="Arial" w:hAnsi="Arial"/>
          <w:sz w:val="20"/>
          <w:szCs w:val="20"/>
          <w:color w:val="auto"/>
        </w:rPr>
      </w:pPr>
    </w:p>
    <w:p>
      <w:pPr>
        <w:ind w:left="1020" w:right="140" w:firstLine="1949"/>
        <w:spacing w:after="0" w:line="225" w:lineRule="auto"/>
        <w:tabs>
          <w:tab w:leader="none" w:pos="3448" w:val="left"/>
        </w:tabs>
        <w:numPr>
          <w:ilvl w:val="2"/>
          <w:numId w:val="192"/>
        </w:numPr>
        <w:rPr>
          <w:rFonts w:ascii="Arial" w:cs="Arial" w:eastAsia="Arial" w:hAnsi="Arial"/>
          <w:sz w:val="19"/>
          <w:szCs w:val="19"/>
          <w:color w:val="auto"/>
        </w:rPr>
      </w:pPr>
      <w:r>
        <w:rPr>
          <w:rFonts w:ascii="Arial" w:cs="Arial" w:eastAsia="Arial" w:hAnsi="Arial"/>
          <w:sz w:val="19"/>
          <w:szCs w:val="19"/>
          <w:color w:val="auto"/>
        </w:rPr>
        <w:t>MacroGenics shall have the right to assume all preparation, filing, prosecution, maintenance and enforcement activities under Article 16 (Intellectual Property) with respect to MacroGenics Licensed Patents as to which Gilead has assumed the right and authority to prepare, file, prosecute, maintain or enforce. Gilead will cooperate with MacroGenics and provide MacroGenics with reasonable assistance with the preparation, filing, prosecution, maintenance, and enforcement activities with respect to such MacroGenics Licensed Patents. The step-in rights granted to MacroGenics with respect to Jointly Owned Patents under Section 16.2(a)(vi) (Jointly Owned Patents) and Section 16.4(b)(iv) (Jointly Owned IP) shall remain in effect.</w:t>
      </w:r>
    </w:p>
    <w:p>
      <w:pPr>
        <w:spacing w:after="0" w:line="193" w:lineRule="exact"/>
        <w:rPr>
          <w:rFonts w:ascii="Arial" w:cs="Arial" w:eastAsia="Arial" w:hAnsi="Arial"/>
          <w:sz w:val="19"/>
          <w:szCs w:val="19"/>
          <w:color w:val="auto"/>
        </w:rPr>
      </w:pPr>
    </w:p>
    <w:p>
      <w:pPr>
        <w:ind w:left="1020" w:firstLine="1301"/>
        <w:spacing w:after="0" w:line="215" w:lineRule="auto"/>
        <w:tabs>
          <w:tab w:leader="none" w:pos="2744" w:val="left"/>
        </w:tabs>
        <w:numPr>
          <w:ilvl w:val="1"/>
          <w:numId w:val="193"/>
        </w:numPr>
        <w:rPr>
          <w:rFonts w:ascii="Arial" w:cs="Arial" w:eastAsia="Arial" w:hAnsi="Arial"/>
          <w:sz w:val="20"/>
          <w:szCs w:val="20"/>
          <w:color w:val="auto"/>
        </w:rPr>
      </w:pPr>
      <w:r>
        <w:rPr>
          <w:rFonts w:ascii="Arial" w:cs="Arial" w:eastAsia="Arial" w:hAnsi="Arial"/>
          <w:sz w:val="20"/>
          <w:szCs w:val="20"/>
          <w:b w:val="1"/>
          <w:bCs w:val="1"/>
          <w:color w:val="auto"/>
        </w:rPr>
        <w:t>Additional Effects of Certain Terminations</w:t>
      </w:r>
      <w:r>
        <w:rPr>
          <w:rFonts w:ascii="Arial" w:cs="Arial" w:eastAsia="Arial" w:hAnsi="Arial"/>
          <w:sz w:val="20"/>
          <w:szCs w:val="20"/>
          <w:color w:val="auto"/>
        </w:rPr>
        <w:t>. If (A) MacroGenics terminates this Agreement in its</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or with respect to the CD123 Development Program pursuant to (1) Section 18.2 (Termination for Material Breach), (2) Section 18.5 (Termination for Bankruptcy) or (3) Section 18.6 ((Termination for Patent Challenge), solely to the extent the relevant Patent that is the subject of such Patent Challenge is the last MacroGenics Licensed Patent for which there exists a Valid Claim that Covers the composition of matter or method of use of a Licensed Product) or (B) if Gilead terminates this</w:t>
      </w:r>
    </w:p>
    <w:p>
      <w:pPr>
        <w:sectPr>
          <w:pgSz w:w="11900" w:h="16838" w:orient="portrait"/>
          <w:cols w:equalWidth="0" w:num="1">
            <w:col w:w="10620"/>
          </w:cols>
          <w:pgMar w:left="400" w:top="1324"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620"/>
          </w:cols>
          <w:pgMar w:left="400" w:top="1324" w:right="879" w:bottom="1440" w:gutter="0" w:footer="0" w:header="0"/>
          <w:type w:val="continuous"/>
        </w:sectPr>
      </w:pPr>
    </w:p>
    <w:bookmarkStart w:id="207" w:name="page208"/>
    <w:bookmarkEnd w:id="207"/>
    <w:p>
      <w:pPr>
        <w:ind w:left="1020" w:right="100"/>
        <w:spacing w:after="0" w:line="244" w:lineRule="auto"/>
        <w:rPr>
          <w:sz w:val="20"/>
          <w:szCs w:val="20"/>
          <w:color w:val="auto"/>
        </w:rPr>
      </w:pPr>
      <w:r>
        <w:rPr>
          <w:rFonts w:ascii="Arial" w:cs="Arial" w:eastAsia="Arial" w:hAnsi="Arial"/>
          <w:sz w:val="18"/>
          <w:szCs w:val="18"/>
          <w:color w:val="auto"/>
        </w:rPr>
        <w:t>Agreement in its entirety or with respect to the CD123 Development Program pursuant to Section 18.3 (Termination for Convenience), then, in addition to those general effects set forth in Section 18.9(a) (In General), upon such termination</w:t>
      </w:r>
    </w:p>
    <w:p>
      <w:pPr>
        <w:ind w:left="1020" w:right="80"/>
        <w:spacing w:after="0" w:line="220" w:lineRule="auto"/>
        <w:rPr>
          <w:sz w:val="20"/>
          <w:szCs w:val="20"/>
          <w:color w:val="auto"/>
        </w:rPr>
      </w:pPr>
      <w:r>
        <w:rPr>
          <w:rFonts w:ascii="Arial" w:cs="Arial" w:eastAsia="Arial" w:hAnsi="Arial"/>
          <w:sz w:val="20"/>
          <w:szCs w:val="20"/>
          <w:color w:val="auto"/>
        </w:rPr>
        <w:t>the following terms of this Section 18.9(b) (Additional Effects of Certain Terminations) will apply solely with respect to any CD123 Products that are not Combination Products (“</w:t>
      </w:r>
      <w:r>
        <w:rPr>
          <w:rFonts w:ascii="Arial" w:cs="Arial" w:eastAsia="Arial" w:hAnsi="Arial"/>
          <w:sz w:val="20"/>
          <w:szCs w:val="20"/>
          <w:b w:val="1"/>
          <w:bCs w:val="1"/>
          <w:color w:val="auto"/>
        </w:rPr>
        <w:t>Reverted CD123 Products</w:t>
      </w:r>
      <w:r>
        <w:rPr>
          <w:rFonts w:ascii="Arial" w:cs="Arial" w:eastAsia="Arial" w:hAnsi="Arial"/>
          <w:sz w:val="20"/>
          <w:szCs w:val="20"/>
          <w:color w:val="auto"/>
        </w:rPr>
        <w:t>”):</w:t>
      </w:r>
    </w:p>
    <w:p>
      <w:pPr>
        <w:spacing w:after="0" w:line="197" w:lineRule="exact"/>
        <w:rPr>
          <w:sz w:val="20"/>
          <w:szCs w:val="20"/>
          <w:color w:val="auto"/>
        </w:rPr>
      </w:pPr>
    </w:p>
    <w:p>
      <w:pPr>
        <w:ind w:left="1020" w:right="60" w:firstLine="1949"/>
        <w:spacing w:after="0" w:line="220" w:lineRule="auto"/>
        <w:tabs>
          <w:tab w:leader="none" w:pos="3349" w:val="left"/>
        </w:tabs>
        <w:numPr>
          <w:ilvl w:val="0"/>
          <w:numId w:val="194"/>
        </w:numPr>
        <w:rPr>
          <w:rFonts w:ascii="Arial" w:cs="Arial" w:eastAsia="Arial" w:hAnsi="Arial"/>
          <w:sz w:val="20"/>
          <w:szCs w:val="20"/>
          <w:color w:val="auto"/>
        </w:rPr>
      </w:pPr>
      <w:r>
        <w:rPr>
          <w:rFonts w:ascii="Arial" w:cs="Arial" w:eastAsia="Arial" w:hAnsi="Arial"/>
          <w:sz w:val="20"/>
          <w:szCs w:val="20"/>
          <w:color w:val="auto"/>
        </w:rPr>
        <w:t>Gilead shall [***] MacroGenics, at [***] MacroGenics, [***] and to (1) [***] for the Reverted CD123 Products, to the extent that MacroGenics [***] CD123 Development Program; and (2) [***] of the CD123 Molecules and Reverted CD123 Products), in [***] Related Parties or its or their respective agents solely related to such Reverted CD123 Products; and</w:t>
      </w:r>
    </w:p>
    <w:p>
      <w:pPr>
        <w:spacing w:after="0" w:line="184" w:lineRule="exact"/>
        <w:rPr>
          <w:rFonts w:ascii="Arial" w:cs="Arial" w:eastAsia="Arial" w:hAnsi="Arial"/>
          <w:sz w:val="20"/>
          <w:szCs w:val="20"/>
          <w:color w:val="auto"/>
        </w:rPr>
      </w:pPr>
    </w:p>
    <w:p>
      <w:pPr>
        <w:ind w:left="3400" w:hanging="431"/>
        <w:spacing w:after="0"/>
        <w:tabs>
          <w:tab w:leader="none" w:pos="340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Upon written request from MacroGenics to Gilead provided within [***]</w:t>
      </w:r>
    </w:p>
    <w:p>
      <w:pPr>
        <w:ind w:left="1020"/>
        <w:spacing w:after="0" w:line="234" w:lineRule="auto"/>
        <w:rPr>
          <w:sz w:val="20"/>
          <w:szCs w:val="20"/>
          <w:color w:val="auto"/>
        </w:rPr>
      </w:pPr>
      <w:r>
        <w:rPr>
          <w:rFonts w:ascii="Arial" w:cs="Arial" w:eastAsia="Arial" w:hAnsi="Arial"/>
          <w:sz w:val="18"/>
          <w:szCs w:val="18"/>
          <w:color w:val="auto"/>
        </w:rPr>
        <w:t>following MacroGenics’ receipt or delivery, as applicable, of the notice of termination, the Parties [***] regarding the transition by Gilead to MacroGenics of assets and rights and the provision of assistance by each Party to the other Party</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as reasonably necessary, subject to agreement of the Parties, to enable the continued Development, Manufacture and Commercialization of the Reverted CD123 Products [***], among other things, the following matters: (i) [***] for the</w:t>
      </w:r>
    </w:p>
    <w:p>
      <w:pPr>
        <w:ind w:left="1020"/>
        <w:spacing w:after="0" w:line="224" w:lineRule="auto"/>
        <w:rPr>
          <w:sz w:val="20"/>
          <w:szCs w:val="20"/>
          <w:color w:val="auto"/>
        </w:rPr>
      </w:pPr>
      <w:r>
        <w:rPr>
          <w:rFonts w:ascii="Arial" w:cs="Arial" w:eastAsia="Arial" w:hAnsi="Arial"/>
          <w:sz w:val="19"/>
          <w:szCs w:val="19"/>
          <w:color w:val="auto"/>
        </w:rPr>
        <w:t>Reverted CD123 Products; (ii) [***] of the Reverted CD123 Products [***]; (iii) [***] applicable Reverted CD123</w:t>
      </w:r>
    </w:p>
    <w:p>
      <w:pPr>
        <w:ind w:left="1020"/>
        <w:spacing w:after="0" w:line="215" w:lineRule="auto"/>
        <w:rPr>
          <w:sz w:val="20"/>
          <w:szCs w:val="20"/>
          <w:color w:val="auto"/>
        </w:rPr>
      </w:pPr>
      <w:r>
        <w:rPr>
          <w:rFonts w:ascii="Arial" w:cs="Arial" w:eastAsia="Arial" w:hAnsi="Arial"/>
          <w:sz w:val="19"/>
          <w:szCs w:val="19"/>
          <w:color w:val="auto"/>
        </w:rPr>
        <w:t>Products; (iv) [***] of CD123 Molecules and Reverted CD123 Products [***]; (v) [***] Gilead at the time of termination to [***] the Reverted CD123 Products; (vi) the [***] the Reverted CD123 Products; (vii) the [***] the</w:t>
      </w:r>
    </w:p>
    <w:p>
      <w:pPr>
        <w:ind w:left="1020"/>
        <w:spacing w:after="0" w:line="222" w:lineRule="auto"/>
        <w:rPr>
          <w:sz w:val="20"/>
          <w:szCs w:val="20"/>
          <w:color w:val="auto"/>
        </w:rPr>
      </w:pPr>
      <w:r>
        <w:rPr>
          <w:rFonts w:ascii="Arial" w:cs="Arial" w:eastAsia="Arial" w:hAnsi="Arial"/>
          <w:sz w:val="19"/>
          <w:szCs w:val="19"/>
          <w:color w:val="auto"/>
        </w:rPr>
        <w:t>Reverted CD123 Products; (viii) any [***] Reverted CD123 Products [***]; and (ix) [***] transition and assistance to</w:t>
      </w:r>
    </w:p>
    <w:p>
      <w:pPr>
        <w:ind w:left="1020"/>
        <w:spacing w:after="0" w:line="220" w:lineRule="auto"/>
        <w:rPr>
          <w:sz w:val="20"/>
          <w:szCs w:val="20"/>
          <w:color w:val="auto"/>
        </w:rPr>
      </w:pPr>
      <w:r>
        <w:rPr>
          <w:rFonts w:ascii="Arial" w:cs="Arial" w:eastAsia="Arial" w:hAnsi="Arial"/>
          <w:sz w:val="20"/>
          <w:szCs w:val="20"/>
          <w:color w:val="auto"/>
        </w:rPr>
        <w:t xml:space="preserve">MacroGenics;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 to MacroGenics under subsection [***] if such termination is [***] for a CD123 Product.</w:t>
      </w:r>
    </w:p>
    <w:p>
      <w:pPr>
        <w:spacing w:after="0" w:line="204"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18.10</w:t>
      </w:r>
      <w:r>
        <w:rPr>
          <w:sz w:val="20"/>
          <w:szCs w:val="20"/>
          <w:color w:val="auto"/>
        </w:rPr>
        <w:tab/>
      </w:r>
      <w:r>
        <w:rPr>
          <w:rFonts w:ascii="Arial" w:cs="Arial" w:eastAsia="Arial" w:hAnsi="Arial"/>
          <w:sz w:val="16"/>
          <w:szCs w:val="16"/>
          <w:b w:val="1"/>
          <w:bCs w:val="1"/>
          <w:color w:val="auto"/>
        </w:rPr>
        <w:t>Surviving Provisions</w:t>
      </w:r>
      <w:r>
        <w:rPr>
          <w:rFonts w:ascii="Arial" w:cs="Arial" w:eastAsia="Arial" w:hAnsi="Arial"/>
          <w:sz w:val="16"/>
          <w:szCs w:val="16"/>
          <w:color w:val="auto"/>
        </w:rPr>
        <w:t>.</w:t>
      </w:r>
    </w:p>
    <w:p>
      <w:pPr>
        <w:spacing w:after="0" w:line="216" w:lineRule="exact"/>
        <w:rPr>
          <w:sz w:val="20"/>
          <w:szCs w:val="20"/>
          <w:color w:val="auto"/>
        </w:rPr>
      </w:pPr>
    </w:p>
    <w:p>
      <w:pPr>
        <w:ind w:left="1020" w:right="60" w:firstLine="1301"/>
        <w:spacing w:after="0" w:line="239" w:lineRule="auto"/>
        <w:tabs>
          <w:tab w:leader="none" w:pos="2734" w:val="left"/>
        </w:tabs>
        <w:numPr>
          <w:ilvl w:val="1"/>
          <w:numId w:val="195"/>
        </w:numPr>
        <w:rPr>
          <w:rFonts w:ascii="Arial" w:cs="Arial" w:eastAsia="Arial" w:hAnsi="Arial"/>
          <w:sz w:val="18"/>
          <w:szCs w:val="18"/>
          <w:color w:val="auto"/>
        </w:rPr>
      </w:pPr>
      <w:r>
        <w:rPr>
          <w:rFonts w:ascii="Arial" w:cs="Arial" w:eastAsia="Arial" w:hAnsi="Arial"/>
          <w:sz w:val="18"/>
          <w:szCs w:val="18"/>
          <w:b w:val="1"/>
          <w:bCs w:val="1"/>
          <w:color w:val="auto"/>
        </w:rPr>
        <w:t>Accrued Rights; Remedies</w:t>
      </w:r>
      <w:r>
        <w:rPr>
          <w:rFonts w:ascii="Arial" w:cs="Arial" w:eastAsia="Arial" w:hAnsi="Arial"/>
          <w:sz w:val="18"/>
          <w:szCs w:val="18"/>
          <w:color w:val="auto"/>
        </w:rPr>
        <w:t>. The expiration or termination of this Agreement for any reason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without prejudice to any rights that will have accrued to the benefit of any Party prior to such expiration or termination, and any and all damages or remedies (whether at law or in equity) arising from any breach hereunder, each of which will survive expiration or termination of this Agreement. Such expiration or termination will not relieve any Party from obligations which are expressly indicated to survive expiration or termination of this Agreement. Except as otherwise expressly set forth in this Agreement, the termination provisions of this Article 18 (Term and Termination) are in addition to any other relief and remedies available to either Party under this Agreement, at law or in equity.</w:t>
      </w:r>
    </w:p>
    <w:p>
      <w:pPr>
        <w:spacing w:after="0" w:line="177" w:lineRule="exact"/>
        <w:rPr>
          <w:rFonts w:ascii="Arial" w:cs="Arial" w:eastAsia="Arial" w:hAnsi="Arial"/>
          <w:sz w:val="18"/>
          <w:szCs w:val="18"/>
          <w:color w:val="auto"/>
        </w:rPr>
      </w:pPr>
    </w:p>
    <w:p>
      <w:pPr>
        <w:ind w:left="1020" w:firstLine="1302"/>
        <w:spacing w:after="0" w:line="237" w:lineRule="auto"/>
        <w:tabs>
          <w:tab w:leader="none" w:pos="2744" w:val="left"/>
        </w:tabs>
        <w:numPr>
          <w:ilvl w:val="1"/>
          <w:numId w:val="195"/>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Without limiting the provisions of Section 18.10(a) (Accrued Rights; Remedies),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provisions, as well as any other provisions which by their nature are intended to survive termination or expiration, shall survive the termination or expiration of this Agreement for any reason: Articles 1 (Definitions) (as applicable), 12 (Confidentiality; Publication), 15 (Indemnification) (except that with respect to Section 15.5 (Insurance)),</w:t>
      </w:r>
    </w:p>
    <w:p>
      <w:pPr>
        <w:ind w:left="1020" w:right="20" w:firstLine="6"/>
        <w:spacing w:after="0" w:line="219" w:lineRule="auto"/>
        <w:tabs>
          <w:tab w:leader="none" w:pos="1498" w:val="left"/>
        </w:tabs>
        <w:numPr>
          <w:ilvl w:val="0"/>
          <w:numId w:val="195"/>
        </w:numPr>
        <w:rPr>
          <w:rFonts w:ascii="Arial" w:cs="Arial" w:eastAsia="Arial" w:hAnsi="Arial"/>
          <w:sz w:val="19"/>
          <w:szCs w:val="19"/>
          <w:color w:val="auto"/>
        </w:rPr>
      </w:pPr>
      <w:r>
        <w:rPr>
          <w:rFonts w:ascii="Arial" w:cs="Arial" w:eastAsia="Arial" w:hAnsi="Arial"/>
          <w:sz w:val="19"/>
          <w:szCs w:val="19"/>
          <w:color w:val="auto"/>
        </w:rPr>
        <w:t>following termination or expiration), 17 (Dispute Resolution), and Sections 3.3(c) (Survival of Gilead Sublicenses), 3.5 (Retained Rights) (solely with respect to the second and third sentences), 3.8(c)(ii) [***] Upstream Licenses) (solely with respect to any surviving provisions of sublicensed Upstream License Agreements), 3.9 (Materials Transfer) (solely with respect to the ownership of Materials and the last sentence), 4.7 (Records; Updates) (solely with respect to the obligation to maintain records for [***] following termination or expiration), 4.8 (Data Ownership), 4.13 (CD123 Development Program Termination), 5.4 (Research Plan Costs) (solely with respect to activities conducted prior to the effective date of termination or expiration of this Agreement), 5.6 (Records; Updates) (solely with respect to the obligation to maintain records for [***] following termination or expiration), 5.7 (Data Ownership), 5.10 (Research Program Termination), 6.5 (Records) (solely with respect to the obligation to maintain records for [***] following termination or expiration), 6.7 (Data Ownership), 9.1(a)(i) (Prior to the CD123 Option Effective Date) (solely with respect to the last sentence), 10.2 (Development and Regulatory Milestone Payments) through 10.4 (Royalties on Net Sales) (solely with respect to obligations accrued, but not yet paid, as of the effective date of expiration or termination of this Agreement), 11.1 (Development Costs, Plan Costs and Manufacturing Costs) and 11.2 (Royalty Payments) (solely with respect to obligations accrued, but not yet paid, as of the effective date of expiration or termination of this Agreement), 11.3 (Payment Exchange Rate), 11.4 (Taxes), 11.5 (Records) and 11.6 (Audit Rights) (solely for [***] following termination or expiration), 11.7 (Confidentiality), 13.2(a)(iii)(6) (Anti- Corruption Laws) (solely for [***] following expiration of termination), 13.2(a)(iii)(7) (solely with respect to the last sentence), 14.5 (No Other Representations or Warranties), 16.1 (Ownership of Intellectual Property), 16.2(a)(vi) (Jointly Owned Patents), 16.3 (Patent</w:t>
      </w:r>
    </w:p>
    <w:p>
      <w:pPr>
        <w:sectPr>
          <w:pgSz w:w="11900" w:h="16838" w:orient="portrait"/>
          <w:cols w:equalWidth="0" w:num="1">
            <w:col w:w="10620"/>
          </w:cols>
          <w:pgMar w:left="400" w:top="1324"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620"/>
          </w:cols>
          <w:pgMar w:left="400" w:top="1324" w:right="879" w:bottom="1440" w:gutter="0" w:footer="0" w:header="0"/>
          <w:type w:val="continuous"/>
        </w:sectPr>
      </w:pPr>
    </w:p>
    <w:bookmarkStart w:id="208" w:name="page209"/>
    <w:bookmarkEnd w:id="208"/>
    <w:p>
      <w:pPr>
        <w:ind w:left="1020" w:right="80"/>
        <w:spacing w:after="0" w:line="244" w:lineRule="auto"/>
        <w:rPr>
          <w:sz w:val="20"/>
          <w:szCs w:val="20"/>
          <w:color w:val="auto"/>
        </w:rPr>
      </w:pPr>
      <w:r>
        <w:rPr>
          <w:rFonts w:ascii="Arial" w:cs="Arial" w:eastAsia="Arial" w:hAnsi="Arial"/>
          <w:sz w:val="18"/>
          <w:szCs w:val="18"/>
          <w:color w:val="auto"/>
        </w:rPr>
        <w:t>Prosecution Cooperation) (solely with respect to Jointly Owned Patents), 16.4(a) (Notice) (solely with respect to Jointly Owned IP), 16.4(b)(iv) (Jointly Owned IP), 16.4(b)(v) (Cooperation) (solely with respect to Jointly Owned Patents),</w:t>
      </w:r>
    </w:p>
    <w:p>
      <w:pPr>
        <w:ind w:left="1020"/>
        <w:spacing w:after="0" w:line="226" w:lineRule="auto"/>
        <w:rPr>
          <w:sz w:val="20"/>
          <w:szCs w:val="20"/>
          <w:color w:val="auto"/>
        </w:rPr>
      </w:pPr>
      <w:r>
        <w:rPr>
          <w:rFonts w:ascii="Arial" w:cs="Arial" w:eastAsia="Arial" w:hAnsi="Arial"/>
          <w:sz w:val="18"/>
          <w:szCs w:val="18"/>
          <w:color w:val="auto"/>
        </w:rPr>
        <w:t>16.4(c) (Recovery Allocations) (solely with respect to Jointly Owned Patents), 16.4(d) (Cooperation in Enforcement Proceedings) (solely with respect to Jointly Owned Patents), 18.9 (Effects of Termination), 18.10 (Surviving Provisions),</w:t>
      </w:r>
    </w:p>
    <w:p>
      <w:pPr>
        <w:ind w:left="1020"/>
        <w:spacing w:after="0" w:line="224" w:lineRule="auto"/>
        <w:rPr>
          <w:sz w:val="20"/>
          <w:szCs w:val="20"/>
          <w:color w:val="auto"/>
        </w:rPr>
      </w:pPr>
      <w:r>
        <w:rPr>
          <w:rFonts w:ascii="Arial" w:cs="Arial" w:eastAsia="Arial" w:hAnsi="Arial"/>
          <w:sz w:val="19"/>
          <w:szCs w:val="19"/>
          <w:color w:val="auto"/>
        </w:rPr>
        <w:t>19.2 (Standstill) (solely for twelve (12) months after the Effective Date if the Agreement is terminated prior to such</w:t>
      </w:r>
    </w:p>
    <w:p>
      <w:pPr>
        <w:ind w:left="1020" w:right="880"/>
        <w:spacing w:after="0" w:line="220" w:lineRule="auto"/>
        <w:rPr>
          <w:sz w:val="20"/>
          <w:szCs w:val="20"/>
          <w:color w:val="auto"/>
        </w:rPr>
      </w:pPr>
      <w:r>
        <w:rPr>
          <w:rFonts w:ascii="Arial" w:cs="Arial" w:eastAsia="Arial" w:hAnsi="Arial"/>
          <w:sz w:val="20"/>
          <w:szCs w:val="20"/>
          <w:color w:val="auto"/>
        </w:rPr>
        <w:t xml:space="preserve">time), 19.3 (Section 365(n) of the Bankruptcy Code), 19.4(a) (Assignment), 19.5 (Severability) through 19.18 (Construction), and </w:t>
      </w:r>
      <w:r>
        <w:rPr>
          <w:rFonts w:ascii="Arial" w:cs="Arial" w:eastAsia="Arial" w:hAnsi="Arial"/>
          <w:sz w:val="20"/>
          <w:szCs w:val="20"/>
          <w:b w:val="1"/>
          <w:bCs w:val="1"/>
          <w:color w:val="auto"/>
        </w:rPr>
        <w:t>Schedule 10.4(c)(iii)</w:t>
      </w:r>
      <w:r>
        <w:rPr>
          <w:rFonts w:ascii="Arial" w:cs="Arial" w:eastAsia="Arial" w:hAnsi="Arial"/>
          <w:sz w:val="20"/>
          <w:szCs w:val="20"/>
          <w:color w:val="auto"/>
        </w:rPr>
        <w:t xml:space="preserve"> (Special Offset and Indemnification).</w:t>
      </w:r>
    </w:p>
    <w:p>
      <w:pPr>
        <w:spacing w:after="0" w:line="191" w:lineRule="exact"/>
        <w:rPr>
          <w:sz w:val="20"/>
          <w:szCs w:val="20"/>
          <w:color w:val="auto"/>
        </w:rPr>
      </w:pPr>
    </w:p>
    <w:p>
      <w:pPr>
        <w:ind w:left="1480" w:hanging="455"/>
        <w:spacing w:after="0"/>
        <w:tabs>
          <w:tab w:leader="none" w:pos="1480" w:val="left"/>
        </w:tabs>
        <w:numPr>
          <w:ilvl w:val="0"/>
          <w:numId w:val="196"/>
        </w:numPr>
        <w:rPr>
          <w:rFonts w:ascii="Arial" w:cs="Arial" w:eastAsia="Arial" w:hAnsi="Arial"/>
          <w:sz w:val="20"/>
          <w:szCs w:val="20"/>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04"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6"/>
          <w:szCs w:val="16"/>
          <w:b w:val="1"/>
          <w:bCs w:val="1"/>
          <w:color w:val="auto"/>
        </w:rPr>
        <w:t>Force Majeure</w:t>
      </w:r>
      <w:r>
        <w:rPr>
          <w:rFonts w:ascii="Arial" w:cs="Arial" w:eastAsia="Arial" w:hAnsi="Arial"/>
          <w:sz w:val="16"/>
          <w:szCs w:val="16"/>
          <w:color w:val="auto"/>
        </w:rPr>
        <w:t>. Neither Party shall be held liable to the other Party nor be deemed to have defaulted</w:t>
      </w:r>
    </w:p>
    <w:p>
      <w:pPr>
        <w:spacing w:after="0" w:line="6" w:lineRule="exact"/>
        <w:rPr>
          <w:sz w:val="20"/>
          <w:szCs w:val="20"/>
          <w:color w:val="auto"/>
        </w:rPr>
      </w:pPr>
    </w:p>
    <w:p>
      <w:pPr>
        <w:ind w:left="1020" w:right="220"/>
        <w:spacing w:after="0" w:line="255" w:lineRule="auto"/>
        <w:rPr>
          <w:sz w:val="20"/>
          <w:szCs w:val="20"/>
          <w:color w:val="auto"/>
        </w:rPr>
      </w:pPr>
      <w:r>
        <w:rPr>
          <w:rFonts w:ascii="Arial" w:cs="Arial" w:eastAsia="Arial" w:hAnsi="Arial"/>
          <w:sz w:val="16"/>
          <w:szCs w:val="16"/>
          <w:color w:val="auto"/>
        </w:rPr>
        <w:t>under or breached this Agreement for failure or delay in performing any obligation under this Agreement to the extent such failure or delay is caused by or results from causes beyond the reasonable control of the affected Party, including</w:t>
      </w:r>
    </w:p>
    <w:p>
      <w:pPr>
        <w:ind w:left="1020"/>
        <w:spacing w:after="0" w:line="235" w:lineRule="auto"/>
        <w:rPr>
          <w:sz w:val="20"/>
          <w:szCs w:val="20"/>
          <w:color w:val="auto"/>
        </w:rPr>
      </w:pPr>
      <w:r>
        <w:rPr>
          <w:rFonts w:ascii="Arial" w:cs="Arial" w:eastAsia="Arial" w:hAnsi="Arial"/>
          <w:sz w:val="18"/>
          <w:szCs w:val="18"/>
          <w:color w:val="auto"/>
        </w:rPr>
        <w:t>embargoes, war, acts of war (whether war be declared or not), insurrections, riots, civil commotions, strikes, lockouts or</w:t>
      </w:r>
    </w:p>
    <w:p>
      <w:pPr>
        <w:ind w:left="1020" w:right="100"/>
        <w:spacing w:after="0" w:line="226" w:lineRule="auto"/>
        <w:rPr>
          <w:sz w:val="20"/>
          <w:szCs w:val="20"/>
          <w:color w:val="auto"/>
        </w:rPr>
      </w:pPr>
      <w:r>
        <w:rPr>
          <w:rFonts w:ascii="Arial" w:cs="Arial" w:eastAsia="Arial" w:hAnsi="Arial"/>
          <w:sz w:val="18"/>
          <w:szCs w:val="18"/>
          <w:color w:val="auto"/>
        </w:rPr>
        <w:t>other labor disturbances, fire, floods, or other acts of God, or acts, omissions or delays in acting by any governmental authority or the other Party (“</w:t>
      </w:r>
      <w:r>
        <w:rPr>
          <w:rFonts w:ascii="Arial" w:cs="Arial" w:eastAsia="Arial" w:hAnsi="Arial"/>
          <w:sz w:val="18"/>
          <w:szCs w:val="18"/>
          <w:b w:val="1"/>
          <w:bCs w:val="1"/>
          <w:color w:val="auto"/>
        </w:rPr>
        <w:t>Force Majeure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affected Party (a) notify the other Party of such Force</w:t>
      </w:r>
    </w:p>
    <w:p>
      <w:pPr>
        <w:ind w:left="1020"/>
        <w:spacing w:after="0" w:line="236" w:lineRule="auto"/>
        <w:rPr>
          <w:sz w:val="20"/>
          <w:szCs w:val="20"/>
          <w:color w:val="auto"/>
        </w:rPr>
      </w:pPr>
      <w:r>
        <w:rPr>
          <w:rFonts w:ascii="Arial" w:cs="Arial" w:eastAsia="Arial" w:hAnsi="Arial"/>
          <w:sz w:val="18"/>
          <w:szCs w:val="18"/>
          <w:color w:val="auto"/>
        </w:rPr>
        <w:t>Majeure circumstances as soon as reasonably practical and (b) promptly undertakes all reasonable efforts necessary to</w:t>
      </w:r>
    </w:p>
    <w:p>
      <w:pPr>
        <w:spacing w:after="0" w:line="1" w:lineRule="exact"/>
        <w:rPr>
          <w:sz w:val="20"/>
          <w:szCs w:val="20"/>
          <w:color w:val="auto"/>
        </w:rPr>
      </w:pPr>
    </w:p>
    <w:p>
      <w:pPr>
        <w:ind w:left="1020" w:right="120"/>
        <w:spacing w:after="0" w:line="255" w:lineRule="auto"/>
        <w:rPr>
          <w:sz w:val="20"/>
          <w:szCs w:val="20"/>
          <w:color w:val="auto"/>
        </w:rPr>
      </w:pPr>
      <w:r>
        <w:rPr>
          <w:rFonts w:ascii="Arial" w:cs="Arial" w:eastAsia="Arial" w:hAnsi="Arial"/>
          <w:sz w:val="16"/>
          <w:szCs w:val="16"/>
          <w:color w:val="auto"/>
        </w:rPr>
        <w:t>cure such Force Majeure circumstances, and will continue performance in accordance with the terms of this Agreement whenever such causes are removed. For the avoidance of doubt, the inability to expend or access financial resources in</w:t>
      </w:r>
    </w:p>
    <w:p>
      <w:pPr>
        <w:ind w:left="1020"/>
        <w:spacing w:after="0" w:line="235" w:lineRule="auto"/>
        <w:rPr>
          <w:sz w:val="20"/>
          <w:szCs w:val="20"/>
          <w:color w:val="auto"/>
        </w:rPr>
      </w:pPr>
      <w:r>
        <w:rPr>
          <w:rFonts w:ascii="Arial" w:cs="Arial" w:eastAsia="Arial" w:hAnsi="Arial"/>
          <w:sz w:val="18"/>
          <w:szCs w:val="18"/>
          <w:color w:val="auto"/>
        </w:rPr>
        <w:t>itself shall not be a Force Majeure. In the event a Party is unable to perform its obligations under this Agreement due to</w:t>
      </w:r>
    </w:p>
    <w:p>
      <w:pPr>
        <w:ind w:left="1020" w:right="400"/>
        <w:spacing w:after="0" w:line="220" w:lineRule="auto"/>
        <w:rPr>
          <w:sz w:val="20"/>
          <w:szCs w:val="20"/>
          <w:color w:val="auto"/>
        </w:rPr>
      </w:pPr>
      <w:r>
        <w:rPr>
          <w:rFonts w:ascii="Arial" w:cs="Arial" w:eastAsia="Arial" w:hAnsi="Arial"/>
          <w:sz w:val="20"/>
          <w:szCs w:val="20"/>
          <w:color w:val="auto"/>
        </w:rPr>
        <w:t>Force Majeure for a period of [***], the other Party shall have the option of unilaterally terminating this Agreement upon providing [***] written notice.</w:t>
      </w:r>
    </w:p>
    <w:p>
      <w:pPr>
        <w:spacing w:after="0" w:line="272"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b w:val="1"/>
          <w:bCs w:val="1"/>
          <w:color w:val="auto"/>
        </w:rPr>
        <w:t>Standstill.</w:t>
      </w:r>
    </w:p>
    <w:p>
      <w:pPr>
        <w:spacing w:after="0" w:line="222" w:lineRule="exact"/>
        <w:rPr>
          <w:sz w:val="20"/>
          <w:szCs w:val="20"/>
          <w:color w:val="auto"/>
        </w:rPr>
      </w:pPr>
    </w:p>
    <w:p>
      <w:pPr>
        <w:ind w:left="1020" w:right="180" w:firstLine="1301"/>
        <w:spacing w:after="0" w:line="220" w:lineRule="auto"/>
        <w:tabs>
          <w:tab w:leader="none" w:pos="2734" w:val="left"/>
        </w:tabs>
        <w:numPr>
          <w:ilvl w:val="0"/>
          <w:numId w:val="197"/>
        </w:numPr>
        <w:rPr>
          <w:rFonts w:ascii="Arial" w:cs="Arial" w:eastAsia="Arial" w:hAnsi="Arial"/>
          <w:sz w:val="20"/>
          <w:szCs w:val="20"/>
          <w:color w:val="auto"/>
        </w:rPr>
      </w:pPr>
      <w:r>
        <w:rPr>
          <w:rFonts w:ascii="Arial" w:cs="Arial" w:eastAsia="Arial" w:hAnsi="Arial"/>
          <w:sz w:val="20"/>
          <w:szCs w:val="20"/>
          <w:color w:val="auto"/>
        </w:rPr>
        <w:t>Gilead agrees that neither it nor any of its subsidiaries (but excluding any Acquirer of Gilead or any Affiliates of such Acquirer following a Change of Control of Gilead), officers or directors acting at Gilead’s direction and on its behalf, alone or as part of any 13D Group (as defined below), shall, directly or indirectly, for [***] (the “</w:t>
      </w:r>
      <w:r>
        <w:rPr>
          <w:rFonts w:ascii="Arial" w:cs="Arial" w:eastAsia="Arial" w:hAnsi="Arial"/>
          <w:sz w:val="20"/>
          <w:szCs w:val="20"/>
          <w:b w:val="1"/>
          <w:bCs w:val="1"/>
          <w:color w:val="auto"/>
        </w:rPr>
        <w:t>Standstill Period</w:t>
      </w:r>
      <w:r>
        <w:rPr>
          <w:rFonts w:ascii="Arial" w:cs="Arial" w:eastAsia="Arial" w:hAnsi="Arial"/>
          <w:sz w:val="20"/>
          <w:szCs w:val="20"/>
          <w:color w:val="auto"/>
        </w:rPr>
        <w:t>”), [***]:</w:t>
      </w:r>
    </w:p>
    <w:p>
      <w:pPr>
        <w:spacing w:after="0" w:line="34" w:lineRule="exact"/>
        <w:rPr>
          <w:rFonts w:ascii="Arial" w:cs="Arial" w:eastAsia="Arial" w:hAnsi="Arial"/>
          <w:sz w:val="20"/>
          <w:szCs w:val="20"/>
          <w:color w:val="auto"/>
        </w:rPr>
      </w:pPr>
    </w:p>
    <w:p>
      <w:pPr>
        <w:ind w:left="1020" w:right="160" w:firstLine="1949"/>
        <w:spacing w:after="0" w:line="231" w:lineRule="auto"/>
        <w:tabs>
          <w:tab w:leader="none" w:pos="3347" w:val="left"/>
        </w:tabs>
        <w:numPr>
          <w:ilvl w:val="1"/>
          <w:numId w:val="197"/>
        </w:numPr>
        <w:rPr>
          <w:rFonts w:ascii="Arial" w:cs="Arial" w:eastAsia="Arial" w:hAnsi="Arial"/>
          <w:sz w:val="19"/>
          <w:szCs w:val="19"/>
          <w:color w:val="auto"/>
        </w:rPr>
      </w:pPr>
      <w:r>
        <w:rPr>
          <w:rFonts w:ascii="Arial" w:cs="Arial" w:eastAsia="Arial" w:hAnsi="Arial"/>
          <w:sz w:val="19"/>
          <w:szCs w:val="19"/>
          <w:color w:val="auto"/>
        </w:rPr>
        <w:t>acquire, offer or publicly propose to acquire or agree to acquire or cause to be acquired, ownership (including, but not limited to, beneficial ownership as defined in Rule 13d-3 under the Securities Exchange Act of 1934 (the “</w:t>
      </w:r>
      <w:r>
        <w:rPr>
          <w:rFonts w:ascii="Arial" w:cs="Arial" w:eastAsia="Arial" w:hAnsi="Arial"/>
          <w:sz w:val="19"/>
          <w:szCs w:val="19"/>
          <w:b w:val="1"/>
          <w:bCs w:val="1"/>
          <w:color w:val="auto"/>
        </w:rPr>
        <w:t>Exchange Act</w:t>
      </w:r>
      <w:r>
        <w:rPr>
          <w:rFonts w:ascii="Arial" w:cs="Arial" w:eastAsia="Arial" w:hAnsi="Arial"/>
          <w:sz w:val="19"/>
          <w:szCs w:val="19"/>
          <w:color w:val="auto"/>
        </w:rPr>
        <w:t>”)) of more than [***] of the voting equity securities of MacroGenics, or any rights or options to acquire more than [***] of the voting equity securities of MacroGenics;</w:t>
      </w:r>
    </w:p>
    <w:p>
      <w:pPr>
        <w:spacing w:after="0" w:line="198" w:lineRule="exact"/>
        <w:rPr>
          <w:rFonts w:ascii="Arial" w:cs="Arial" w:eastAsia="Arial" w:hAnsi="Arial"/>
          <w:sz w:val="19"/>
          <w:szCs w:val="19"/>
          <w:color w:val="auto"/>
        </w:rPr>
      </w:pPr>
    </w:p>
    <w:p>
      <w:pPr>
        <w:ind w:left="1020" w:firstLine="1949"/>
        <w:spacing w:after="0" w:line="223" w:lineRule="auto"/>
        <w:tabs>
          <w:tab w:leader="none" w:pos="3404" w:val="left"/>
        </w:tabs>
        <w:numPr>
          <w:ilvl w:val="1"/>
          <w:numId w:val="197"/>
        </w:numPr>
        <w:rPr>
          <w:rFonts w:ascii="Arial" w:cs="Arial" w:eastAsia="Arial" w:hAnsi="Arial"/>
          <w:sz w:val="20"/>
          <w:szCs w:val="20"/>
          <w:color w:val="auto"/>
        </w:rPr>
      </w:pPr>
      <w:r>
        <w:rPr>
          <w:rFonts w:ascii="Arial" w:cs="Arial" w:eastAsia="Arial" w:hAnsi="Arial"/>
          <w:sz w:val="20"/>
          <w:szCs w:val="20"/>
          <w:color w:val="auto"/>
        </w:rPr>
        <w:t>make or participate in any “solicitation” of “proxies” (as such terms are used in Regulation 14A of the Exchange Act) to vote, or seek to advise or influence any Person with respect to the voting of, any voting securities of MacroGenics;</w:t>
      </w:r>
    </w:p>
    <w:p>
      <w:pPr>
        <w:spacing w:after="0" w:line="195" w:lineRule="exact"/>
        <w:rPr>
          <w:rFonts w:ascii="Arial" w:cs="Arial" w:eastAsia="Arial" w:hAnsi="Arial"/>
          <w:sz w:val="20"/>
          <w:szCs w:val="20"/>
          <w:color w:val="auto"/>
        </w:rPr>
      </w:pPr>
    </w:p>
    <w:p>
      <w:pPr>
        <w:ind w:left="3460" w:hanging="491"/>
        <w:spacing w:after="0"/>
        <w:tabs>
          <w:tab w:leader="none" w:pos="346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form or join a “group” (within the meaning of Section 13(d)(3) of the Exchange Act)</w:t>
      </w:r>
    </w:p>
    <w:p>
      <w:pPr>
        <w:ind w:left="1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13D Group</w:t>
      </w:r>
      <w:r>
        <w:rPr>
          <w:rFonts w:ascii="Arial" w:cs="Arial" w:eastAsia="Arial" w:hAnsi="Arial"/>
          <w:sz w:val="20"/>
          <w:szCs w:val="20"/>
          <w:color w:val="auto"/>
        </w:rPr>
        <w:t>”) with respect to any voting securities of MacroGenics;</w:t>
      </w:r>
    </w:p>
    <w:p>
      <w:pPr>
        <w:spacing w:after="0" w:line="200" w:lineRule="exact"/>
        <w:rPr>
          <w:sz w:val="20"/>
          <w:szCs w:val="20"/>
          <w:color w:val="auto"/>
        </w:rPr>
      </w:pPr>
    </w:p>
    <w:p>
      <w:pPr>
        <w:ind w:left="1020" w:right="160" w:firstLine="1949"/>
        <w:spacing w:after="0" w:line="231" w:lineRule="auto"/>
        <w:tabs>
          <w:tab w:leader="none" w:pos="3448" w:val="left"/>
        </w:tabs>
        <w:numPr>
          <w:ilvl w:val="0"/>
          <w:numId w:val="198"/>
        </w:numPr>
        <w:rPr>
          <w:rFonts w:ascii="Arial" w:cs="Arial" w:eastAsia="Arial" w:hAnsi="Arial"/>
          <w:sz w:val="19"/>
          <w:szCs w:val="19"/>
          <w:color w:val="auto"/>
        </w:rPr>
      </w:pPr>
      <w:r>
        <w:rPr>
          <w:rFonts w:ascii="Arial" w:cs="Arial" w:eastAsia="Arial" w:hAnsi="Arial"/>
          <w:sz w:val="19"/>
          <w:szCs w:val="19"/>
          <w:color w:val="auto"/>
        </w:rPr>
        <w:t>otherwise act to seek to publicly propose to MacroGenics any merger, business combination, restructuring, recapitalization or similar transaction with respect to or with MacroGenics or otherwise act to seek the removal of any member of the Board of Directors of MacroGenics, or nominate any person as a director of MacroGenics who is not nominated by a then incumbent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600"/>
          </w:cols>
          <w:pgMar w:left="400" w:top="1324" w:right="899" w:bottom="1440" w:gutter="0" w:footer="0" w:header="0"/>
        </w:sectPr>
      </w:pPr>
    </w:p>
    <w:bookmarkStart w:id="209" w:name="page210"/>
    <w:bookmarkEnd w:id="209"/>
    <w:p>
      <w:pPr>
        <w:spacing w:after="0" w:line="195" w:lineRule="exact"/>
        <w:rPr>
          <w:sz w:val="20"/>
          <w:szCs w:val="20"/>
          <w:color w:val="auto"/>
        </w:rPr>
      </w:pPr>
    </w:p>
    <w:p>
      <w:pPr>
        <w:ind w:left="1020" w:right="40" w:firstLine="1949"/>
        <w:spacing w:after="0" w:line="236" w:lineRule="auto"/>
        <w:tabs>
          <w:tab w:leader="none" w:pos="3393" w:val="left"/>
        </w:tabs>
        <w:numPr>
          <w:ilvl w:val="2"/>
          <w:numId w:val="199"/>
        </w:numPr>
        <w:rPr>
          <w:rFonts w:ascii="Arial" w:cs="Arial" w:eastAsia="Arial" w:hAnsi="Arial"/>
          <w:sz w:val="20"/>
          <w:szCs w:val="20"/>
          <w:color w:val="auto"/>
        </w:rPr>
      </w:pPr>
      <w:r>
        <w:rPr>
          <w:rFonts w:ascii="Arial" w:cs="Arial" w:eastAsia="Arial" w:hAnsi="Arial"/>
          <w:sz w:val="20"/>
          <w:szCs w:val="20"/>
          <w:color w:val="auto"/>
        </w:rPr>
        <w:t>publicly announce its intentions to enter into any discussion, negotiations, arrangements or understandings with any Third Party with respect to, any of the foregoing.</w:t>
      </w:r>
    </w:p>
    <w:p>
      <w:pPr>
        <w:spacing w:after="0" w:line="195" w:lineRule="exact"/>
        <w:rPr>
          <w:rFonts w:ascii="Arial" w:cs="Arial" w:eastAsia="Arial" w:hAnsi="Arial"/>
          <w:sz w:val="20"/>
          <w:szCs w:val="20"/>
          <w:color w:val="auto"/>
        </w:rPr>
      </w:pPr>
    </w:p>
    <w:p>
      <w:pPr>
        <w:ind w:left="1020" w:right="40" w:firstLine="1301"/>
        <w:spacing w:after="0" w:line="236" w:lineRule="auto"/>
        <w:tabs>
          <w:tab w:leader="none" w:pos="274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restrictions set forth in this Section 19.2 (Standstill) shall be inoperative and of no force in effect and shall automatically terminate immediately if: (i) a Person or 13D Group (not including Gilead or its Affiliates)</w:t>
      </w:r>
    </w:p>
    <w:p>
      <w:pPr>
        <w:ind w:left="1020" w:right="40" w:firstLine="5"/>
        <w:spacing w:after="0" w:line="230" w:lineRule="auto"/>
        <w:tabs>
          <w:tab w:leader="none" w:pos="13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commences or publicly announces its intent to commence a tender or exchange offer to acquire voting securities of MacroGenics representing more than twenty percent (20%) of the then-outstanding voting power of the voting securities of MacroGenics or (2) publicly announces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proposal to enter into a transaction described in, or of a similar nature to those described in, clause (ii)(1) or (ii)(2) below and either (x) MacroGenics publicly announces a willingness to consider such proposal or alternative proposals for a transaction described in, or of a similar nature as those described in, clause (ii)(1) or (ii)(2) below, (y) the Board of Directors of MacroGenics determines to engage in negotiations with such Person or 13D Group or any other Party (other than Gilead or its Affiliates) with respect to a transaction described in, or of a similar nature as those described in, clause (ii)(1) or (ii)(2) below, or (z) such offer or proposal is not publicly rejected or recommended against by the MacroGenics’ Board of Directors within [***] after such offer or proposal becomes public or the MacroGenics’ Board of Directors withdraws such recommendation of rejection or recommends acceptance of such tender or exchange offer, (ii) MacroGenics or its Affiliates publicly initiates a process to consider, or enters into a transaction described in clause (1) or (2) below, or enters into a letter of intent or definitive agreement with any Third Party regarding (1) any merger, consolidation, sale, reorganization, recapitalization, tender or exchange offer, restructuring, sale, equity issuance, dual listing structure, joint venture, liquidation, dissolution or other business combination or extraordinary transaction pursuant to which the stockholders or equity holders of MacroGenics immediately prior to such transaction would own, immediately after consummation of such a transaction, less than [***] of the total voting power of MacroGenics, any successor entity, parent entity or other entity surviving such transaction; or (2) any transaction or series of transactions that would result, directly or indirectly, in the sale or transfer to a Third Party of (A) all or a majority of MacroGenics’ consolidated assets; or (B) a majority of MacroGenics’ consolidated assets which relate to this Agreement, whether, in the case of clause (1) or (2), by way of a merger, consolidation, sale, reorganization, recapitalization, tender or exchange offer, restructuring, sale, equity issuance, dual listing structure, joint venture, liquidation, dissolution or other business combination or extraordinary transaction, (iii) any person (other than any person that is eligible to file a Schedule 13G under the Exchange Act with respect to such ownership) or 13D group becomes the beneficial owner of twenty percent (20%) or more of the outstanding voting power of MacroGenics or (iv) MacroGenics enters into a voluntary or involuntary bankruptcy or insolvency proceeding under Applicable Laws and Regulations.</w:t>
      </w:r>
    </w:p>
    <w:p>
      <w:pPr>
        <w:spacing w:after="0" w:line="201" w:lineRule="exact"/>
        <w:rPr>
          <w:rFonts w:ascii="Arial" w:cs="Arial" w:eastAsia="Arial" w:hAnsi="Arial"/>
          <w:sz w:val="18"/>
          <w:szCs w:val="18"/>
          <w:color w:val="auto"/>
        </w:rPr>
      </w:pPr>
    </w:p>
    <w:p>
      <w:pPr>
        <w:ind w:left="2740" w:hanging="418"/>
        <w:spacing w:after="0"/>
        <w:tabs>
          <w:tab w:leader="none" w:pos="274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Nothing in this Agreement, including this Section 19.2 (Standstill), shall prohibit:</w:t>
      </w:r>
    </w:p>
    <w:p>
      <w:pPr>
        <w:jc w:val="both"/>
        <w:ind w:left="1020" w:firstLine="5"/>
        <w:spacing w:after="0" w:line="211" w:lineRule="auto"/>
        <w:tabs>
          <w:tab w:leader="none" w:pos="1306" w:val="left"/>
        </w:tabs>
        <w:numPr>
          <w:ilvl w:val="0"/>
          <w:numId w:val="202"/>
        </w:numPr>
        <w:rPr>
          <w:rFonts w:ascii="Arial" w:cs="Arial" w:eastAsia="Arial" w:hAnsi="Arial"/>
          <w:sz w:val="20"/>
          <w:szCs w:val="20"/>
          <w:color w:val="auto"/>
        </w:rPr>
      </w:pPr>
      <w:r>
        <w:rPr>
          <w:rFonts w:ascii="Arial" w:cs="Arial" w:eastAsia="Arial" w:hAnsi="Arial"/>
          <w:sz w:val="20"/>
          <w:szCs w:val="20"/>
          <w:color w:val="auto"/>
        </w:rPr>
        <w:t>Gilead or its Affiliates or its or their Representatives from acquiring or offering to acquire any securities of MacroGenics in connection with any mutual fund, pension plan or employee benefit plan managed on behalf of employees or former employees of Gilead or its Affiliates; or (ii) Gilead or any of its Affiliates or its or their Representatives from making a private proposal to, or engaging in discussions or confidentially communicating with the Board of Directors of MacroGenics or any officer or member of senior management of MacroGenics, on a confidential, non-public basis regarding, any of the transactions contemplated under this Section 19.2 (Standstill) in such a manner that would not reasonably be expected to require Gilead or MacroGenics to make any public disclosure with respect thereto under Applicable Laws and Regulations.</w:t>
      </w:r>
    </w:p>
    <w:p>
      <w:pPr>
        <w:spacing w:after="0" w:line="196" w:lineRule="exact"/>
        <w:rPr>
          <w:sz w:val="20"/>
          <w:szCs w:val="20"/>
          <w:color w:val="auto"/>
        </w:rPr>
      </w:pPr>
    </w:p>
    <w:p>
      <w:pPr>
        <w:ind w:left="1020" w:right="20" w:firstLine="648"/>
        <w:spacing w:after="0" w:line="247"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Section 365(n) of the Bankruptcy Code</w:t>
      </w:r>
      <w:r>
        <w:rPr>
          <w:rFonts w:ascii="Arial" w:cs="Arial" w:eastAsia="Arial" w:hAnsi="Arial"/>
          <w:sz w:val="18"/>
          <w:szCs w:val="18"/>
          <w:color w:val="auto"/>
        </w:rPr>
        <w:t>. All rights and licenses granted under or pursuant to any section of this Agreement are, and shall otherwise be deemed to be, for purposes of Section 365(n) of the U.S. Bankruptcy</w:t>
      </w:r>
    </w:p>
    <w:p>
      <w:pPr>
        <w:spacing w:after="0" w:line="1" w:lineRule="exact"/>
        <w:rPr>
          <w:sz w:val="20"/>
          <w:szCs w:val="20"/>
          <w:color w:val="auto"/>
        </w:rPr>
      </w:pPr>
    </w:p>
    <w:p>
      <w:pPr>
        <w:ind w:left="1020" w:right="140"/>
        <w:spacing w:after="0" w:line="220" w:lineRule="auto"/>
        <w:rPr>
          <w:sz w:val="20"/>
          <w:szCs w:val="20"/>
          <w:color w:val="auto"/>
        </w:rPr>
      </w:pPr>
      <w:r>
        <w:rPr>
          <w:rFonts w:ascii="Arial" w:cs="Arial" w:eastAsia="Arial" w:hAnsi="Arial"/>
          <w:sz w:val="20"/>
          <w:szCs w:val="20"/>
          <w:color w:val="auto"/>
        </w:rPr>
        <w:t>Code, licenses of rights to “intellectual property” as defined under Section 101(35A) of the U.S. Bankruptcy Code. The Parties shall retain and may fully exercise all of their respective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620"/>
          </w:cols>
          <w:pgMar w:left="400" w:top="1440" w:right="879" w:bottom="1440" w:gutter="0" w:footer="0" w:header="0"/>
        </w:sectPr>
      </w:pPr>
    </w:p>
    <w:bookmarkStart w:id="210" w:name="page211"/>
    <w:bookmarkEnd w:id="210"/>
    <w:p>
      <w:pPr>
        <w:spacing w:after="0" w:line="195" w:lineRule="exact"/>
        <w:rPr>
          <w:sz w:val="20"/>
          <w:szCs w:val="20"/>
          <w:color w:val="auto"/>
        </w:rPr>
      </w:pPr>
    </w:p>
    <w:p>
      <w:pPr>
        <w:ind w:left="1020"/>
        <w:spacing w:after="0" w:line="244" w:lineRule="auto"/>
        <w:rPr>
          <w:sz w:val="20"/>
          <w:szCs w:val="20"/>
          <w:color w:val="auto"/>
        </w:rPr>
      </w:pPr>
      <w:r>
        <w:rPr>
          <w:rFonts w:ascii="Arial" w:cs="Arial" w:eastAsia="Arial" w:hAnsi="Arial"/>
          <w:sz w:val="18"/>
          <w:szCs w:val="18"/>
          <w:color w:val="auto"/>
        </w:rPr>
        <w:t>and elections under the U.S. Bankruptcy Code. The Parties agree that a Party that is a licensee of such rights under this Agreement shall retain and may fully exercise all of its rights and elections under the U.S. Bankruptcy Code, and that</w:t>
      </w:r>
    </w:p>
    <w:p>
      <w:pPr>
        <w:ind w:left="1020"/>
        <w:spacing w:after="0" w:line="226" w:lineRule="auto"/>
        <w:rPr>
          <w:sz w:val="20"/>
          <w:szCs w:val="20"/>
          <w:color w:val="auto"/>
        </w:rPr>
      </w:pPr>
      <w:r>
        <w:rPr>
          <w:rFonts w:ascii="Arial" w:cs="Arial" w:eastAsia="Arial" w:hAnsi="Arial"/>
          <w:sz w:val="18"/>
          <w:szCs w:val="18"/>
          <w:color w:val="auto"/>
        </w:rPr>
        <w:t>upon commencement of a bankruptcy proceeding by or against the licensing Party (such Party, the “</w:t>
      </w:r>
      <w:r>
        <w:rPr>
          <w:rFonts w:ascii="Arial" w:cs="Arial" w:eastAsia="Arial" w:hAnsi="Arial"/>
          <w:sz w:val="18"/>
          <w:szCs w:val="18"/>
          <w:b w:val="1"/>
          <w:bCs w:val="1"/>
          <w:color w:val="auto"/>
        </w:rPr>
        <w:t>Involved Party</w:t>
      </w:r>
      <w:r>
        <w:rPr>
          <w:rFonts w:ascii="Arial" w:cs="Arial" w:eastAsia="Arial" w:hAnsi="Arial"/>
          <w:sz w:val="18"/>
          <w:szCs w:val="18"/>
          <w:color w:val="auto"/>
        </w:rPr>
        <w:t>”) under the U.S. Bankruptcy Code, the other Party (such Party, the “</w:t>
      </w:r>
      <w:r>
        <w:rPr>
          <w:rFonts w:ascii="Arial" w:cs="Arial" w:eastAsia="Arial" w:hAnsi="Arial"/>
          <w:sz w:val="18"/>
          <w:szCs w:val="18"/>
          <w:b w:val="1"/>
          <w:bCs w:val="1"/>
          <w:color w:val="auto"/>
        </w:rPr>
        <w:t>Noninvolved Party</w:t>
      </w:r>
      <w:r>
        <w:rPr>
          <w:rFonts w:ascii="Arial" w:cs="Arial" w:eastAsia="Arial" w:hAnsi="Arial"/>
          <w:sz w:val="18"/>
          <w:szCs w:val="18"/>
          <w:color w:val="auto"/>
        </w:rPr>
        <w:t>”) shall be entitled to a complete</w:t>
      </w:r>
    </w:p>
    <w:p>
      <w:pPr>
        <w:ind w:left="1020"/>
        <w:spacing w:after="0" w:line="236" w:lineRule="auto"/>
        <w:rPr>
          <w:sz w:val="20"/>
          <w:szCs w:val="20"/>
          <w:color w:val="auto"/>
        </w:rPr>
      </w:pPr>
      <w:r>
        <w:rPr>
          <w:rFonts w:ascii="Arial" w:cs="Arial" w:eastAsia="Arial" w:hAnsi="Arial"/>
          <w:sz w:val="18"/>
          <w:szCs w:val="18"/>
          <w:color w:val="auto"/>
        </w:rPr>
        <w:t>duplicate of or complete access to (as such Noninvolved Party deems appropriate), any such intellectual property and all</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 xml:space="preserve">embodiments of such intellectual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Noninvolved Party continues to fulfill its payment or royalty obligations as specified herein in full. Such intellectual property and all embodiments thereof shall be promptly delivered</w:t>
      </w:r>
    </w:p>
    <w:p>
      <w:pPr>
        <w:ind w:left="1020"/>
        <w:spacing w:after="0" w:line="236" w:lineRule="auto"/>
        <w:rPr>
          <w:sz w:val="20"/>
          <w:szCs w:val="20"/>
          <w:color w:val="auto"/>
        </w:rPr>
      </w:pPr>
      <w:r>
        <w:rPr>
          <w:rFonts w:ascii="Arial" w:cs="Arial" w:eastAsia="Arial" w:hAnsi="Arial"/>
          <w:sz w:val="18"/>
          <w:szCs w:val="18"/>
          <w:color w:val="auto"/>
        </w:rPr>
        <w:t>to the Noninvolved Party (a) upon any such commencement of a bankruptcy proceeding upon written request therefor by</w:t>
      </w:r>
    </w:p>
    <w:p>
      <w:pPr>
        <w:spacing w:after="0" w:line="1" w:lineRule="exact"/>
        <w:rPr>
          <w:sz w:val="20"/>
          <w:szCs w:val="20"/>
          <w:color w:val="auto"/>
        </w:rPr>
      </w:pPr>
    </w:p>
    <w:p>
      <w:pPr>
        <w:ind w:left="1020"/>
        <w:spacing w:after="0" w:line="226" w:lineRule="auto"/>
        <w:rPr>
          <w:sz w:val="20"/>
          <w:szCs w:val="20"/>
          <w:color w:val="auto"/>
        </w:rPr>
      </w:pPr>
      <w:r>
        <w:rPr>
          <w:rFonts w:ascii="Arial" w:cs="Arial" w:eastAsia="Arial" w:hAnsi="Arial"/>
          <w:sz w:val="18"/>
          <w:szCs w:val="18"/>
          <w:color w:val="auto"/>
        </w:rPr>
        <w:t>the Noninvolved Party, unless the Involved Party elects to continue to perform all of its obligations under this Agreement or (b) if not delivered under (a) above, upon the rejection of this Agreement by or on behalf of the Involved Party upon</w:t>
      </w:r>
    </w:p>
    <w:p>
      <w:pPr>
        <w:spacing w:after="0" w:line="2" w:lineRule="exact"/>
        <w:rPr>
          <w:sz w:val="20"/>
          <w:szCs w:val="20"/>
          <w:color w:val="auto"/>
        </w:rPr>
      </w:pPr>
    </w:p>
    <w:p>
      <w:pPr>
        <w:ind w:left="1020"/>
        <w:spacing w:after="0" w:line="239" w:lineRule="auto"/>
        <w:rPr>
          <w:sz w:val="20"/>
          <w:szCs w:val="20"/>
          <w:color w:val="auto"/>
        </w:rPr>
      </w:pPr>
      <w:r>
        <w:rPr>
          <w:rFonts w:ascii="Arial" w:cs="Arial" w:eastAsia="Arial" w:hAnsi="Arial"/>
          <w:sz w:val="19"/>
          <w:szCs w:val="19"/>
          <w:color w:val="auto"/>
        </w:rPr>
        <w:t>written request therefor by Noninvolved Party. The foregoing is without prejudice to any rights the Noninvolved Party may have arising under the U.S. Bankruptcy Code or other Applicable Laws and Regulations.</w:t>
      </w:r>
    </w:p>
    <w:p>
      <w:pPr>
        <w:spacing w:after="0" w:line="177"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6"/>
          <w:szCs w:val="16"/>
          <w:b w:val="1"/>
          <w:bCs w:val="1"/>
          <w:color w:val="auto"/>
        </w:rPr>
        <w:t>Assignment; Change of Control</w:t>
      </w:r>
      <w:r>
        <w:rPr>
          <w:rFonts w:ascii="Arial" w:cs="Arial" w:eastAsia="Arial" w:hAnsi="Arial"/>
          <w:sz w:val="16"/>
          <w:szCs w:val="16"/>
          <w:color w:val="auto"/>
        </w:rPr>
        <w:t>.</w:t>
      </w:r>
    </w:p>
    <w:p>
      <w:pPr>
        <w:spacing w:after="0" w:line="235" w:lineRule="exact"/>
        <w:rPr>
          <w:sz w:val="20"/>
          <w:szCs w:val="20"/>
          <w:color w:val="auto"/>
        </w:rPr>
      </w:pPr>
    </w:p>
    <w:p>
      <w:pPr>
        <w:ind w:left="1020" w:right="80" w:firstLine="1301"/>
        <w:spacing w:after="0" w:line="226" w:lineRule="auto"/>
        <w:tabs>
          <w:tab w:leader="none" w:pos="2732"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Neither Party may assign its rights and obligations under this Agreement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Party may assign its rights and obligations under this Agreement, without such consent from the other Party, to its Affiliate or any successor in interest in connection with the sale of all or substantially all of its assets or a sale of all or substantially of the business related to a Program, or a merger, acquisition or other similar transactions. For the avoidance of doubt, the terms and conditions of this Agreement shall be binding on the permitted successors and assignees of each Party.</w:t>
      </w:r>
    </w:p>
    <w:p>
      <w:pPr>
        <w:spacing w:after="0" w:line="196" w:lineRule="exact"/>
        <w:rPr>
          <w:rFonts w:ascii="Arial" w:cs="Arial" w:eastAsia="Arial" w:hAnsi="Arial"/>
          <w:sz w:val="19"/>
          <w:szCs w:val="19"/>
          <w:color w:val="auto"/>
        </w:rPr>
      </w:pPr>
    </w:p>
    <w:p>
      <w:pPr>
        <w:ind w:left="2740" w:hanging="419"/>
        <w:spacing w:after="0"/>
        <w:tabs>
          <w:tab w:leader="none" w:pos="274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If MacroGenics undergoes a Change of Control, then</w:t>
      </w:r>
    </w:p>
    <w:p>
      <w:pPr>
        <w:spacing w:after="0" w:line="229" w:lineRule="exact"/>
        <w:rPr>
          <w:rFonts w:ascii="Arial" w:cs="Arial" w:eastAsia="Arial" w:hAnsi="Arial"/>
          <w:sz w:val="20"/>
          <w:szCs w:val="20"/>
          <w:color w:val="auto"/>
        </w:rPr>
      </w:pPr>
    </w:p>
    <w:p>
      <w:pPr>
        <w:ind w:left="1020" w:right="380" w:firstLine="1949"/>
        <w:spacing w:after="0" w:line="246" w:lineRule="auto"/>
        <w:tabs>
          <w:tab w:leader="none" w:pos="3349" w:val="left"/>
        </w:tabs>
        <w:numPr>
          <w:ilvl w:val="1"/>
          <w:numId w:val="203"/>
        </w:numPr>
        <w:rPr>
          <w:rFonts w:ascii="Arial" w:cs="Arial" w:eastAsia="Arial" w:hAnsi="Arial"/>
          <w:sz w:val="20"/>
          <w:szCs w:val="20"/>
          <w:color w:val="auto"/>
        </w:rPr>
      </w:pPr>
      <w:r>
        <w:rPr>
          <w:rFonts w:ascii="Arial" w:cs="Arial" w:eastAsia="Arial" w:hAnsi="Arial"/>
          <w:sz w:val="20"/>
          <w:szCs w:val="20"/>
          <w:color w:val="auto"/>
        </w:rPr>
        <w:t xml:space="preserve">MacroGenics will notify Gilead thereof within [***] upon the closing of the Change of Control;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public announcement within such period by or through a nationally recognized news organization recognized pharma/biotech industry news organization or forum of such closing shall be sufficient to provide such notification;</w:t>
      </w:r>
    </w:p>
    <w:p>
      <w:pPr>
        <w:spacing w:after="0" w:line="204" w:lineRule="exact"/>
        <w:rPr>
          <w:rFonts w:ascii="Arial" w:cs="Arial" w:eastAsia="Arial" w:hAnsi="Arial"/>
          <w:sz w:val="20"/>
          <w:szCs w:val="20"/>
          <w:color w:val="auto"/>
        </w:rPr>
      </w:pPr>
    </w:p>
    <w:p>
      <w:pPr>
        <w:ind w:left="1020" w:right="280" w:firstLine="1949"/>
        <w:spacing w:after="0" w:line="236" w:lineRule="auto"/>
        <w:tabs>
          <w:tab w:leader="none" w:pos="3404" w:val="left"/>
        </w:tabs>
        <w:numPr>
          <w:ilvl w:val="1"/>
          <w:numId w:val="203"/>
        </w:numPr>
        <w:rPr>
          <w:rFonts w:ascii="Arial" w:cs="Arial" w:eastAsia="Arial" w:hAnsi="Arial"/>
          <w:sz w:val="20"/>
          <w:szCs w:val="20"/>
          <w:color w:val="auto"/>
        </w:rPr>
      </w:pPr>
      <w:r>
        <w:rPr>
          <w:rFonts w:ascii="Arial" w:cs="Arial" w:eastAsia="Arial" w:hAnsi="Arial"/>
          <w:sz w:val="20"/>
          <w:szCs w:val="20"/>
          <w:color w:val="auto"/>
        </w:rPr>
        <w:t>If the MacroGenics Acquirer is Exploiting any Competitive Product, then MacroGenics will comply with the terms of Section 3.10(c) (Business Combinations);</w:t>
      </w:r>
    </w:p>
    <w:p>
      <w:pPr>
        <w:spacing w:after="0" w:line="195" w:lineRule="exact"/>
        <w:rPr>
          <w:rFonts w:ascii="Arial" w:cs="Arial" w:eastAsia="Arial" w:hAnsi="Arial"/>
          <w:sz w:val="20"/>
          <w:szCs w:val="20"/>
          <w:color w:val="auto"/>
        </w:rPr>
      </w:pPr>
    </w:p>
    <w:p>
      <w:pPr>
        <w:ind w:left="1020" w:right="60" w:firstLine="1949"/>
        <w:spacing w:after="0" w:line="235" w:lineRule="auto"/>
        <w:tabs>
          <w:tab w:leader="none" w:pos="345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Gilead will have the right, at its sole discretion, by written notice delivered to MacroGenics (or its successor) at any time within [***] following the written notice contemplated by the foregoing Section 19.4(b)(i) (Assignment; Change of Control), to (1) terminate any or all provisions of this Agreement providing for any delivery by Gilead to MacroGenics of Confidential Information of</w:t>
      </w:r>
    </w:p>
    <w:p>
      <w:pPr>
        <w:ind w:left="1020"/>
        <w:spacing w:after="0" w:line="221" w:lineRule="auto"/>
        <w:rPr>
          <w:sz w:val="20"/>
          <w:szCs w:val="20"/>
          <w:color w:val="auto"/>
        </w:rPr>
      </w:pPr>
      <w:r>
        <w:rPr>
          <w:rFonts w:ascii="Arial" w:cs="Arial" w:eastAsia="Arial" w:hAnsi="Arial"/>
          <w:sz w:val="18"/>
          <w:szCs w:val="18"/>
          <w:color w:val="auto"/>
        </w:rPr>
        <w:t>Gilead relating to activities contemplated by this Agreement, save only for the provisions of Article 10 (Payments), and</w:t>
      </w:r>
    </w:p>
    <w:p>
      <w:pPr>
        <w:ind w:left="1020" w:right="100" w:firstLine="5"/>
        <w:spacing w:after="0" w:line="250" w:lineRule="auto"/>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require MacroGenics and its Acquirer to adopt reasonable procedures, to be agreed upon by the Parties in writing, to prevent disclosure of Confidential Information of Gilead to MacroGenics’ Acquirer. For clarity this clause 19.4(b)(iii) (Assignment; Change of Control) does not limit any reporting obligations of Gilead that are financial in nature; and</w:t>
      </w:r>
    </w:p>
    <w:p>
      <w:pPr>
        <w:spacing w:after="0" w:line="187" w:lineRule="exact"/>
        <w:rPr>
          <w:rFonts w:ascii="Arial" w:cs="Arial" w:eastAsia="Arial" w:hAnsi="Arial"/>
          <w:sz w:val="18"/>
          <w:szCs w:val="18"/>
          <w:color w:val="auto"/>
        </w:rPr>
      </w:pPr>
    </w:p>
    <w:p>
      <w:pPr>
        <w:ind w:left="1020" w:firstLine="1949"/>
        <w:spacing w:after="0" w:line="235" w:lineRule="auto"/>
        <w:tabs>
          <w:tab w:leader="none" w:pos="3448" w:val="left"/>
        </w:tabs>
        <w:numPr>
          <w:ilvl w:val="1"/>
          <w:numId w:val="204"/>
        </w:numPr>
        <w:rPr>
          <w:rFonts w:ascii="Arial" w:cs="Arial" w:eastAsia="Arial" w:hAnsi="Arial"/>
          <w:sz w:val="19"/>
          <w:szCs w:val="19"/>
          <w:color w:val="auto"/>
        </w:rPr>
      </w:pPr>
      <w:r>
        <w:rPr>
          <w:rFonts w:ascii="Arial" w:cs="Arial" w:eastAsia="Arial" w:hAnsi="Arial"/>
          <w:sz w:val="19"/>
          <w:szCs w:val="19"/>
          <w:color w:val="auto"/>
        </w:rPr>
        <w:t>MacroGenics covenants that there will be no material change in the level or nature of efforts or resources expended by MacroGenics and its Affiliates, which material change would reasonably be expected to adversely impact MacroGenics’ ability to perform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620"/>
          </w:cols>
          <w:pgMar w:left="400" w:top="1440" w:right="879" w:bottom="1440" w:gutter="0" w:footer="0" w:header="0"/>
        </w:sectPr>
      </w:pPr>
    </w:p>
    <w:bookmarkStart w:id="211" w:name="page212"/>
    <w:bookmarkEnd w:id="211"/>
    <w:p>
      <w:pPr>
        <w:spacing w:after="0" w:line="189" w:lineRule="exact"/>
        <w:rPr>
          <w:sz w:val="20"/>
          <w:szCs w:val="20"/>
          <w:color w:val="auto"/>
        </w:rPr>
      </w:pPr>
    </w:p>
    <w:p>
      <w:pPr>
        <w:ind w:left="1020" w:right="80" w:firstLine="648"/>
        <w:spacing w:after="0" w:line="247"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color w:val="auto"/>
        </w:rPr>
        <w:t>Severability</w:t>
      </w:r>
      <w:r>
        <w:rPr>
          <w:rFonts w:ascii="Arial" w:cs="Arial" w:eastAsia="Arial" w:hAnsi="Arial"/>
          <w:sz w:val="18"/>
          <w:szCs w:val="18"/>
          <w:color w:val="auto"/>
        </w:rPr>
        <w:t>. If any one or more of the provisions contained in this Agreement is held invalid, illegal or unenforceable in any respect, the validity, legality and enforceability of the remaining provisions contained herein shall</w:t>
      </w:r>
    </w:p>
    <w:p>
      <w:pPr>
        <w:spacing w:after="0" w:line="1" w:lineRule="exact"/>
        <w:rPr>
          <w:sz w:val="20"/>
          <w:szCs w:val="20"/>
          <w:color w:val="auto"/>
        </w:rPr>
      </w:pPr>
    </w:p>
    <w:p>
      <w:pPr>
        <w:ind w:left="1020" w:right="100"/>
        <w:spacing w:after="0" w:line="255" w:lineRule="auto"/>
        <w:rPr>
          <w:sz w:val="20"/>
          <w:szCs w:val="20"/>
          <w:color w:val="auto"/>
        </w:rPr>
      </w:pPr>
      <w:r>
        <w:rPr>
          <w:rFonts w:ascii="Arial" w:cs="Arial" w:eastAsia="Arial" w:hAnsi="Arial"/>
          <w:sz w:val="16"/>
          <w:szCs w:val="16"/>
          <w:color w:val="auto"/>
        </w:rPr>
        <w:t>not in any way be affected or impaired thereby, unless the absence of the invalidated provision(s) adversely affects the substantive rights of the Parties. The Parties shall in such an instance use their best efforts to replace the invalid, illegal</w:t>
      </w:r>
    </w:p>
    <w:p>
      <w:pPr>
        <w:spacing w:after="0" w:line="1" w:lineRule="exact"/>
        <w:rPr>
          <w:sz w:val="20"/>
          <w:szCs w:val="20"/>
          <w:color w:val="auto"/>
        </w:rPr>
      </w:pPr>
    </w:p>
    <w:p>
      <w:pPr>
        <w:ind w:left="1020" w:right="160"/>
        <w:spacing w:after="0" w:line="227" w:lineRule="auto"/>
        <w:rPr>
          <w:sz w:val="20"/>
          <w:szCs w:val="20"/>
          <w:color w:val="auto"/>
        </w:rPr>
      </w:pPr>
      <w:r>
        <w:rPr>
          <w:rFonts w:ascii="Arial" w:cs="Arial" w:eastAsia="Arial" w:hAnsi="Arial"/>
          <w:sz w:val="20"/>
          <w:szCs w:val="20"/>
          <w:color w:val="auto"/>
        </w:rPr>
        <w:t>or unenforceable provision(s) with valid, legal and enforceable provision(s) which, insofar as practical, implement the purposes of this Agreement.</w:t>
      </w:r>
    </w:p>
    <w:p>
      <w:pPr>
        <w:spacing w:after="0" w:line="179"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19.6</w:t>
      </w:r>
      <w:r>
        <w:rPr>
          <w:sz w:val="20"/>
          <w:szCs w:val="20"/>
          <w:color w:val="auto"/>
        </w:rPr>
        <w:tab/>
      </w:r>
      <w:r>
        <w:rPr>
          <w:rFonts w:ascii="Arial" w:cs="Arial" w:eastAsia="Arial" w:hAnsi="Arial"/>
          <w:sz w:val="16"/>
          <w:szCs w:val="16"/>
          <w:b w:val="1"/>
          <w:bCs w:val="1"/>
          <w:color w:val="auto"/>
        </w:rPr>
        <w:t>Notices</w:t>
      </w:r>
      <w:r>
        <w:rPr>
          <w:rFonts w:ascii="Arial" w:cs="Arial" w:eastAsia="Arial" w:hAnsi="Arial"/>
          <w:sz w:val="16"/>
          <w:szCs w:val="16"/>
          <w:color w:val="auto"/>
        </w:rPr>
        <w:t>. All notices which are required or permitted hereunder shall be in a medium that has the</w:t>
      </w:r>
    </w:p>
    <w:p>
      <w:pPr>
        <w:spacing w:after="0" w:line="6" w:lineRule="exact"/>
        <w:rPr>
          <w:sz w:val="20"/>
          <w:szCs w:val="20"/>
          <w:color w:val="auto"/>
        </w:rPr>
      </w:pPr>
    </w:p>
    <w:p>
      <w:pPr>
        <w:ind w:left="1020" w:right="220"/>
        <w:spacing w:after="0" w:line="226" w:lineRule="auto"/>
        <w:rPr>
          <w:sz w:val="20"/>
          <w:szCs w:val="20"/>
          <w:color w:val="auto"/>
        </w:rPr>
      </w:pPr>
      <w:r>
        <w:rPr>
          <w:rFonts w:ascii="Arial" w:cs="Arial" w:eastAsia="Arial" w:hAnsi="Arial"/>
          <w:sz w:val="18"/>
          <w:szCs w:val="18"/>
          <w:color w:val="auto"/>
        </w:rPr>
        <w:t>capability to confirm the exact content, the times of transmission and receipt, and the identities or each sender and recipient of each communication sent through such medium. A communication to an intended recipient Party shall be</w:t>
      </w:r>
    </w:p>
    <w:p>
      <w:pPr>
        <w:ind w:left="1020"/>
        <w:spacing w:after="0" w:line="236" w:lineRule="auto"/>
        <w:rPr>
          <w:sz w:val="20"/>
          <w:szCs w:val="20"/>
          <w:color w:val="auto"/>
        </w:rPr>
      </w:pPr>
      <w:r>
        <w:rPr>
          <w:rFonts w:ascii="Arial" w:cs="Arial" w:eastAsia="Arial" w:hAnsi="Arial"/>
          <w:sz w:val="18"/>
          <w:szCs w:val="18"/>
          <w:color w:val="auto"/>
        </w:rPr>
        <w:t>deemed to be received by the intended recipient Party by the existence of documentation that clearly evidences such</w:t>
      </w:r>
    </w:p>
    <w:p>
      <w:pPr>
        <w:spacing w:after="0" w:line="1" w:lineRule="exact"/>
        <w:rPr>
          <w:sz w:val="20"/>
          <w:szCs w:val="20"/>
          <w:color w:val="auto"/>
        </w:rPr>
      </w:pPr>
    </w:p>
    <w:p>
      <w:pPr>
        <w:ind w:left="1020"/>
        <w:spacing w:after="0" w:line="255" w:lineRule="auto"/>
        <w:rPr>
          <w:sz w:val="20"/>
          <w:szCs w:val="20"/>
          <w:color w:val="auto"/>
        </w:rPr>
      </w:pPr>
      <w:r>
        <w:rPr>
          <w:rFonts w:ascii="Arial" w:cs="Arial" w:eastAsia="Arial" w:hAnsi="Arial"/>
          <w:sz w:val="16"/>
          <w:szCs w:val="16"/>
          <w:color w:val="auto"/>
        </w:rPr>
        <w:t>communication was sent through a medium permitted under this Agreement to an individual who was specifically designated by the recipient Party to receive such communication or, if no such designation was made, an individual who</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has routinely received communications with similar content under this Agreement on behalf of the recipient Party.</w:t>
      </w:r>
    </w:p>
    <w:p>
      <w:pPr>
        <w:spacing w:after="0" w:line="211" w:lineRule="exact"/>
        <w:rPr>
          <w:sz w:val="20"/>
          <w:szCs w:val="20"/>
          <w:color w:val="auto"/>
        </w:rPr>
      </w:pPr>
    </w:p>
    <w:p>
      <w:pPr>
        <w:ind w:left="1020" w:right="40" w:firstLine="1301"/>
        <w:spacing w:after="0" w:line="220" w:lineRule="auto"/>
        <w:tabs>
          <w:tab w:leader="none" w:pos="2732" w:val="left"/>
        </w:tabs>
        <w:numPr>
          <w:ilvl w:val="0"/>
          <w:numId w:val="205"/>
        </w:numPr>
        <w:rPr>
          <w:rFonts w:ascii="Arial" w:cs="Arial" w:eastAsia="Arial" w:hAnsi="Arial"/>
          <w:sz w:val="20"/>
          <w:szCs w:val="20"/>
          <w:color w:val="auto"/>
        </w:rPr>
      </w:pPr>
      <w:r>
        <w:rPr>
          <w:rFonts w:ascii="Arial" w:cs="Arial" w:eastAsia="Arial" w:hAnsi="Arial"/>
          <w:sz w:val="20"/>
          <w:szCs w:val="20"/>
          <w:color w:val="323232"/>
        </w:rPr>
        <w:t xml:space="preserve">For notices to be communicated in writing, such notices shall be </w:t>
      </w:r>
      <w:r>
        <w:rPr>
          <w:rFonts w:ascii="Arial" w:cs="Arial" w:eastAsia="Arial" w:hAnsi="Arial"/>
          <w:sz w:val="20"/>
          <w:szCs w:val="20"/>
          <w:color w:val="000000"/>
        </w:rPr>
        <w:t>delivered personally, sent by</w:t>
      </w:r>
      <w:r>
        <w:rPr>
          <w:rFonts w:ascii="Arial" w:cs="Arial" w:eastAsia="Arial" w:hAnsi="Arial"/>
          <w:sz w:val="20"/>
          <w:szCs w:val="20"/>
          <w:color w:val="323232"/>
        </w:rPr>
        <w:t xml:space="preserve"> </w:t>
      </w:r>
      <w:r>
        <w:rPr>
          <w:rFonts w:ascii="Arial" w:cs="Arial" w:eastAsia="Arial" w:hAnsi="Arial"/>
          <w:sz w:val="20"/>
          <w:szCs w:val="20"/>
          <w:color w:val="000000"/>
        </w:rPr>
        <w:t>facsimile (and promptly confirmed by personal delivery, registered or certified mail or overnight courier), sent by nationally recognized overnight courier or sent by registered or certified mail, postage prepaid, return receipt requested, addressed as follows:</w:t>
      </w:r>
    </w:p>
    <w:p>
      <w:pPr>
        <w:spacing w:after="0" w:line="210" w:lineRule="exact"/>
        <w:rPr>
          <w:sz w:val="20"/>
          <w:szCs w:val="20"/>
          <w:color w:val="auto"/>
        </w:rPr>
      </w:pPr>
    </w:p>
    <w:p>
      <w:pPr>
        <w:jc w:val="right"/>
        <w:ind w:right="4000"/>
        <w:spacing w:after="0"/>
        <w:tabs>
          <w:tab w:leader="none" w:pos="6160" w:val="left"/>
        </w:tabs>
        <w:rPr>
          <w:sz w:val="20"/>
          <w:szCs w:val="20"/>
          <w:color w:val="auto"/>
        </w:rPr>
      </w:pPr>
      <w:r>
        <w:rPr>
          <w:rFonts w:ascii="Arial" w:cs="Arial" w:eastAsia="Arial" w:hAnsi="Arial"/>
          <w:sz w:val="20"/>
          <w:szCs w:val="20"/>
          <w:color w:val="auto"/>
        </w:rPr>
        <w:t>if to MacroGenics, to:</w:t>
      </w:r>
      <w:r>
        <w:rPr>
          <w:sz w:val="20"/>
          <w:szCs w:val="20"/>
          <w:color w:val="auto"/>
        </w:rPr>
        <w:tab/>
      </w:r>
      <w:r>
        <w:rPr>
          <w:rFonts w:ascii="Arial" w:cs="Arial" w:eastAsia="Arial" w:hAnsi="Arial"/>
          <w:sz w:val="18"/>
          <w:szCs w:val="18"/>
          <w:color w:val="auto"/>
        </w:rPr>
        <w:t>9704 Medical Center Drive</w:t>
      </w:r>
    </w:p>
    <w:p>
      <w:pPr>
        <w:spacing w:after="0" w:line="15" w:lineRule="exact"/>
        <w:rPr>
          <w:sz w:val="20"/>
          <w:szCs w:val="20"/>
          <w:color w:val="auto"/>
        </w:rPr>
      </w:pPr>
    </w:p>
    <w:p>
      <w:pPr>
        <w:jc w:val="right"/>
        <w:ind w:right="4040"/>
        <w:spacing w:after="0"/>
        <w:rPr>
          <w:sz w:val="20"/>
          <w:szCs w:val="20"/>
          <w:color w:val="auto"/>
        </w:rPr>
      </w:pPr>
      <w:r>
        <w:rPr>
          <w:rFonts w:ascii="Arial" w:cs="Arial" w:eastAsia="Arial" w:hAnsi="Arial"/>
          <w:sz w:val="20"/>
          <w:szCs w:val="20"/>
          <w:color w:val="auto"/>
        </w:rPr>
        <w:t>Rockville, MD 20850</w:t>
      </w:r>
    </w:p>
    <w:p>
      <w:pPr>
        <w:ind w:left="4760"/>
        <w:spacing w:after="0"/>
        <w:rPr>
          <w:sz w:val="20"/>
          <w:szCs w:val="20"/>
          <w:color w:val="auto"/>
        </w:rPr>
      </w:pPr>
      <w:r>
        <w:rPr>
          <w:rFonts w:ascii="Arial" w:cs="Arial" w:eastAsia="Arial" w:hAnsi="Arial"/>
          <w:sz w:val="20"/>
          <w:szCs w:val="20"/>
          <w:color w:val="auto"/>
        </w:rPr>
        <w:t>Attention: Chief Executive Officer Facsimile: (301) 251-</w:t>
      </w:r>
    </w:p>
    <w:p>
      <w:pPr>
        <w:ind w:left="4760"/>
        <w:spacing w:after="0"/>
        <w:rPr>
          <w:sz w:val="20"/>
          <w:szCs w:val="20"/>
          <w:color w:val="auto"/>
        </w:rPr>
      </w:pPr>
      <w:r>
        <w:rPr>
          <w:rFonts w:ascii="Arial" w:cs="Arial" w:eastAsia="Arial" w:hAnsi="Arial"/>
          <w:sz w:val="20"/>
          <w:szCs w:val="20"/>
          <w:color w:val="auto"/>
        </w:rPr>
        <w:t>5321</w:t>
      </w:r>
    </w:p>
    <w:p>
      <w:pPr>
        <w:spacing w:after="0" w:line="321"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with copy to:</w:t>
      </w:r>
    </w:p>
    <w:p>
      <w:pPr>
        <w:spacing w:after="0" w:line="16"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540"/>
          </w:cols>
          <w:pgMar w:left="400" w:top="1440" w:right="959" w:bottom="1440" w:gutter="0" w:footer="0" w:header="0"/>
        </w:sectPr>
      </w:pPr>
    </w:p>
    <w:bookmarkStart w:id="212" w:name="page213"/>
    <w:bookmarkEnd w:id="212"/>
    <w:p>
      <w:pPr>
        <w:ind w:left="4320"/>
        <w:spacing w:after="0"/>
        <w:tabs>
          <w:tab w:leader="none" w:pos="5660" w:val="left"/>
        </w:tabs>
        <w:rPr>
          <w:sz w:val="20"/>
          <w:szCs w:val="20"/>
          <w:color w:val="auto"/>
        </w:rPr>
      </w:pPr>
      <w:r>
        <w:rPr>
          <w:rFonts w:ascii="Arial" w:cs="Arial" w:eastAsia="Arial" w:hAnsi="Arial"/>
          <w:sz w:val="39"/>
          <w:szCs w:val="39"/>
          <w:color w:val="auto"/>
          <w:vertAlign w:val="subscript"/>
        </w:rPr>
        <w:t>if to Gilead, to:</w:t>
      </w:r>
      <w:r>
        <w:rPr>
          <w:sz w:val="20"/>
          <w:szCs w:val="20"/>
          <w:color w:val="auto"/>
        </w:rPr>
        <w:tab/>
      </w:r>
      <w:r>
        <w:rPr>
          <w:rFonts w:ascii="Arial" w:cs="Arial" w:eastAsia="Arial" w:hAnsi="Arial"/>
          <w:sz w:val="16"/>
          <w:szCs w:val="16"/>
          <w:color w:val="auto"/>
        </w:rPr>
        <w:t>Gilead Sciences, Inc. 333</w:t>
      </w:r>
    </w:p>
    <w:p>
      <w:pPr>
        <w:ind w:left="5680"/>
        <w:spacing w:after="0" w:line="211" w:lineRule="auto"/>
        <w:rPr>
          <w:sz w:val="20"/>
          <w:szCs w:val="20"/>
          <w:color w:val="auto"/>
        </w:rPr>
      </w:pPr>
      <w:r>
        <w:rPr>
          <w:rFonts w:ascii="Arial" w:cs="Arial" w:eastAsia="Arial" w:hAnsi="Arial"/>
          <w:sz w:val="20"/>
          <w:szCs w:val="20"/>
          <w:color w:val="auto"/>
        </w:rPr>
        <w:t>Lakeside Drive Foster</w:t>
      </w:r>
    </w:p>
    <w:p>
      <w:pPr>
        <w:ind w:left="5680"/>
        <w:spacing w:after="0" w:line="197" w:lineRule="auto"/>
        <w:rPr>
          <w:sz w:val="20"/>
          <w:szCs w:val="20"/>
          <w:color w:val="auto"/>
        </w:rPr>
      </w:pPr>
      <w:r>
        <w:rPr>
          <w:rFonts w:ascii="Arial" w:cs="Arial" w:eastAsia="Arial" w:hAnsi="Arial"/>
          <w:sz w:val="20"/>
          <w:szCs w:val="20"/>
          <w:color w:val="auto"/>
        </w:rPr>
        <w:t>City, CA 94404 United</w:t>
      </w:r>
    </w:p>
    <w:p>
      <w:pPr>
        <w:ind w:left="5680"/>
        <w:spacing w:after="0" w:line="211" w:lineRule="auto"/>
        <w:rPr>
          <w:sz w:val="20"/>
          <w:szCs w:val="20"/>
          <w:color w:val="auto"/>
        </w:rPr>
      </w:pPr>
      <w:r>
        <w:rPr>
          <w:rFonts w:ascii="Arial" w:cs="Arial" w:eastAsia="Arial" w:hAnsi="Arial"/>
          <w:sz w:val="20"/>
          <w:szCs w:val="20"/>
          <w:color w:val="auto"/>
        </w:rPr>
        <w:t>States</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Attention: Alliance Manager</w:t>
      </w:r>
    </w:p>
    <w:p>
      <w:pPr>
        <w:spacing w:after="0" w:line="175" w:lineRule="exact"/>
        <w:rPr>
          <w:sz w:val="20"/>
          <w:szCs w:val="20"/>
          <w:color w:val="auto"/>
        </w:rPr>
      </w:pPr>
    </w:p>
    <w:p>
      <w:pPr>
        <w:ind w:left="4320"/>
        <w:spacing w:after="0"/>
        <w:tabs>
          <w:tab w:leader="none" w:pos="566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6"/>
          <w:szCs w:val="16"/>
          <w:color w:val="auto"/>
        </w:rPr>
        <w:t>Gilead Sciences, Inc. 333</w:t>
      </w:r>
    </w:p>
    <w:p>
      <w:pPr>
        <w:ind w:left="5680"/>
        <w:spacing w:after="0" w:line="211" w:lineRule="auto"/>
        <w:rPr>
          <w:sz w:val="20"/>
          <w:szCs w:val="20"/>
          <w:color w:val="auto"/>
        </w:rPr>
      </w:pPr>
      <w:r>
        <w:rPr>
          <w:rFonts w:ascii="Arial" w:cs="Arial" w:eastAsia="Arial" w:hAnsi="Arial"/>
          <w:sz w:val="20"/>
          <w:szCs w:val="20"/>
          <w:color w:val="auto"/>
        </w:rPr>
        <w:t>Lakeside Drive Foster</w:t>
      </w:r>
    </w:p>
    <w:p>
      <w:pPr>
        <w:ind w:left="5680"/>
        <w:spacing w:after="0" w:line="211" w:lineRule="auto"/>
        <w:rPr>
          <w:sz w:val="20"/>
          <w:szCs w:val="20"/>
          <w:color w:val="auto"/>
        </w:rPr>
      </w:pPr>
      <w:r>
        <w:rPr>
          <w:rFonts w:ascii="Arial" w:cs="Arial" w:eastAsia="Arial" w:hAnsi="Arial"/>
          <w:sz w:val="20"/>
          <w:szCs w:val="20"/>
          <w:color w:val="auto"/>
        </w:rPr>
        <w:t>City, CA 94404 United</w:t>
      </w:r>
    </w:p>
    <w:p>
      <w:pPr>
        <w:ind w:left="5680"/>
        <w:spacing w:after="0" w:line="211" w:lineRule="auto"/>
        <w:rPr>
          <w:sz w:val="20"/>
          <w:szCs w:val="20"/>
          <w:color w:val="auto"/>
        </w:rPr>
      </w:pPr>
      <w:r>
        <w:rPr>
          <w:rFonts w:ascii="Arial" w:cs="Arial" w:eastAsia="Arial" w:hAnsi="Arial"/>
          <w:sz w:val="20"/>
          <w:szCs w:val="20"/>
          <w:color w:val="auto"/>
        </w:rPr>
        <w:t>States</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Attention: General Counsel</w:t>
      </w:r>
    </w:p>
    <w:p>
      <w:pPr>
        <w:spacing w:after="0" w:line="281" w:lineRule="exact"/>
        <w:rPr>
          <w:sz w:val="20"/>
          <w:szCs w:val="20"/>
          <w:color w:val="auto"/>
        </w:rPr>
      </w:pPr>
    </w:p>
    <w:p>
      <w:pPr>
        <w:ind w:left="1020" w:firstLine="1296"/>
        <w:spacing w:after="0" w:line="242" w:lineRule="auto"/>
        <w:rPr>
          <w:sz w:val="20"/>
          <w:szCs w:val="20"/>
          <w:color w:val="auto"/>
        </w:rPr>
      </w:pPr>
      <w:r>
        <w:rPr>
          <w:rFonts w:ascii="Arial" w:cs="Arial" w:eastAsia="Arial" w:hAnsi="Arial"/>
          <w:sz w:val="19"/>
          <w:szCs w:val="19"/>
          <w:color w:val="auto"/>
        </w:rPr>
        <w:t>or to such other address as the Party to whom notice is to be given may have furnished to the other Party in writing in accordance herewith. Any such notice shall be deemed to have been given upon receipt.</w:t>
      </w:r>
    </w:p>
    <w:p>
      <w:pPr>
        <w:spacing w:after="0" w:line="176"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color w:val="auto"/>
        </w:rPr>
        <w:t>19.7</w:t>
      </w:r>
      <w:r>
        <w:rPr>
          <w:sz w:val="20"/>
          <w:szCs w:val="20"/>
          <w:color w:val="auto"/>
        </w:rPr>
        <w:tab/>
      </w:r>
      <w:r>
        <w:rPr>
          <w:rFonts w:ascii="Arial" w:cs="Arial" w:eastAsia="Arial" w:hAnsi="Arial"/>
          <w:sz w:val="18"/>
          <w:szCs w:val="18"/>
          <w:b w:val="1"/>
          <w:bCs w:val="1"/>
          <w:color w:val="auto"/>
        </w:rPr>
        <w:t>Applicable Intellectual Property Law/Governing Law</w:t>
      </w:r>
      <w:r>
        <w:rPr>
          <w:rFonts w:ascii="Arial" w:cs="Arial" w:eastAsia="Arial" w:hAnsi="Arial"/>
          <w:sz w:val="18"/>
          <w:szCs w:val="18"/>
          <w:color w:val="auto"/>
        </w:rPr>
        <w:t>. All questions of inventorship shall be</w:t>
      </w:r>
    </w:p>
    <w:p>
      <w:pPr>
        <w:spacing w:after="0" w:line="6" w:lineRule="exact"/>
        <w:rPr>
          <w:sz w:val="20"/>
          <w:szCs w:val="20"/>
          <w:color w:val="auto"/>
        </w:rPr>
      </w:pPr>
    </w:p>
    <w:p>
      <w:pPr>
        <w:ind w:left="1020" w:right="520"/>
        <w:spacing w:after="0" w:line="250" w:lineRule="auto"/>
        <w:rPr>
          <w:sz w:val="20"/>
          <w:szCs w:val="20"/>
          <w:color w:val="auto"/>
        </w:rPr>
      </w:pPr>
      <w:r>
        <w:rPr>
          <w:rFonts w:ascii="Arial" w:cs="Arial" w:eastAsia="Arial" w:hAnsi="Arial"/>
          <w:sz w:val="18"/>
          <w:szCs w:val="18"/>
          <w:color w:val="auto"/>
        </w:rPr>
        <w:t>determined in accordance with U.S. patent laws. In respect to all other Patent issues related to the enforceability or validity of a Patent, the laws of the jurisdiction in which the applicable Patent is filed or granted shall govern.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620"/>
          </w:cols>
          <w:pgMar w:left="400" w:top="446" w:right="879" w:bottom="1440" w:gutter="0" w:footer="0" w:header="0"/>
        </w:sectPr>
      </w:pPr>
    </w:p>
    <w:bookmarkStart w:id="213" w:name="page214"/>
    <w:bookmarkEnd w:id="213"/>
    <w:p>
      <w:pPr>
        <w:ind w:left="1020" w:right="100" w:firstLine="648"/>
        <w:spacing w:after="0" w:line="278" w:lineRule="auto"/>
        <w:rPr>
          <w:sz w:val="20"/>
          <w:szCs w:val="20"/>
          <w:color w:val="auto"/>
        </w:rPr>
      </w:pPr>
      <w:r>
        <w:rPr>
          <w:rFonts w:ascii="Arial" w:cs="Arial" w:eastAsia="Arial" w:hAnsi="Arial"/>
          <w:sz w:val="16"/>
          <w:szCs w:val="16"/>
          <w:color w:val="auto"/>
        </w:rPr>
        <w:t xml:space="preserve">19.8 </w:t>
      </w:r>
      <w:r>
        <w:rPr>
          <w:rFonts w:ascii="Arial" w:cs="Arial" w:eastAsia="Arial" w:hAnsi="Arial"/>
          <w:sz w:val="16"/>
          <w:szCs w:val="16"/>
          <w:b w:val="1"/>
          <w:bCs w:val="1"/>
          <w:color w:val="auto"/>
        </w:rPr>
        <w:t>Entire Agreement; Amendments</w:t>
      </w:r>
      <w:r>
        <w:rPr>
          <w:rFonts w:ascii="Arial" w:cs="Arial" w:eastAsia="Arial" w:hAnsi="Arial"/>
          <w:sz w:val="16"/>
          <w:szCs w:val="16"/>
          <w:color w:val="auto"/>
        </w:rPr>
        <w:t>. The Agreement contains the entire understanding of the Parties with respect to the subject matter hereof, including the Programs and licenses granted hereunder. All express or implied prior</w:t>
      </w:r>
    </w:p>
    <w:p>
      <w:pPr>
        <w:spacing w:after="0" w:line="1" w:lineRule="exact"/>
        <w:rPr>
          <w:sz w:val="20"/>
          <w:szCs w:val="20"/>
          <w:color w:val="auto"/>
        </w:rPr>
      </w:pPr>
    </w:p>
    <w:p>
      <w:pPr>
        <w:ind w:left="1020" w:right="460"/>
        <w:spacing w:after="0" w:line="255" w:lineRule="auto"/>
        <w:rPr>
          <w:sz w:val="20"/>
          <w:szCs w:val="20"/>
          <w:color w:val="auto"/>
        </w:rPr>
      </w:pPr>
      <w:r>
        <w:rPr>
          <w:rFonts w:ascii="Arial" w:cs="Arial" w:eastAsia="Arial" w:hAnsi="Arial"/>
          <w:sz w:val="16"/>
          <w:szCs w:val="16"/>
          <w:color w:val="auto"/>
        </w:rPr>
        <w:t>or contemporaneous agreements and understandings, either oral or written, with regard to the subject matter hereof, including with respect to the Programs and the licenses granted hereunder, are superseded by the terms of this</w:t>
      </w:r>
    </w:p>
    <w:p>
      <w:pPr>
        <w:ind w:left="1020"/>
        <w:spacing w:after="0" w:line="223" w:lineRule="auto"/>
        <w:rPr>
          <w:sz w:val="20"/>
          <w:szCs w:val="20"/>
          <w:color w:val="auto"/>
        </w:rPr>
      </w:pPr>
      <w:r>
        <w:rPr>
          <w:rFonts w:ascii="Arial" w:cs="Arial" w:eastAsia="Arial" w:hAnsi="Arial"/>
          <w:sz w:val="19"/>
          <w:szCs w:val="19"/>
          <w:color w:val="auto"/>
        </w:rPr>
        <w:t>Agreement, including the Existing CDA. The Agreement may be amended, or any term hereof modified, only by a</w:t>
      </w:r>
    </w:p>
    <w:p>
      <w:pPr>
        <w:ind w:left="1020" w:right="120"/>
        <w:spacing w:after="0" w:line="226" w:lineRule="auto"/>
        <w:rPr>
          <w:sz w:val="20"/>
          <w:szCs w:val="20"/>
          <w:color w:val="auto"/>
        </w:rPr>
      </w:pPr>
      <w:r>
        <w:rPr>
          <w:rFonts w:ascii="Arial" w:cs="Arial" w:eastAsia="Arial" w:hAnsi="Arial"/>
          <w:sz w:val="18"/>
          <w:szCs w:val="18"/>
          <w:color w:val="auto"/>
        </w:rPr>
        <w:t>written instrument duly executed by authorized representatives of both Parties hereto. Any confidential information disclosed by the Parties pursuant to the Existing CDA shall be deemed to constitute Confidential Information under this</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ind w:left="1020" w:right="80" w:firstLine="647"/>
        <w:spacing w:after="0" w:line="264" w:lineRule="auto"/>
        <w:rPr>
          <w:sz w:val="20"/>
          <w:szCs w:val="20"/>
          <w:color w:val="auto"/>
        </w:rPr>
      </w:pPr>
      <w:r>
        <w:rPr>
          <w:rFonts w:ascii="Arial" w:cs="Arial" w:eastAsia="Arial" w:hAnsi="Arial"/>
          <w:sz w:val="19"/>
          <w:szCs w:val="19"/>
          <w:color w:val="auto"/>
        </w:rPr>
        <w:t xml:space="preserve">19.9 </w:t>
      </w:r>
      <w:r>
        <w:rPr>
          <w:rFonts w:ascii="Arial" w:cs="Arial" w:eastAsia="Arial" w:hAnsi="Arial"/>
          <w:sz w:val="19"/>
          <w:szCs w:val="19"/>
          <w:b w:val="1"/>
          <w:bCs w:val="1"/>
          <w:color w:val="auto"/>
        </w:rPr>
        <w:t>Headings</w:t>
      </w:r>
      <w:r>
        <w:rPr>
          <w:rFonts w:ascii="Arial" w:cs="Arial" w:eastAsia="Arial" w:hAnsi="Arial"/>
          <w:sz w:val="19"/>
          <w:szCs w:val="19"/>
          <w:color w:val="auto"/>
        </w:rPr>
        <w:t>. The captions to the several Sections hereof are not a part of the Agreement, but are merely for convenience to assist in locating and reading the several Sections and Sections of this Agreement.</w:t>
      </w:r>
    </w:p>
    <w:p>
      <w:pPr>
        <w:spacing w:after="0" w:line="156"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19.10</w:t>
      </w:r>
      <w:r>
        <w:rPr>
          <w:sz w:val="20"/>
          <w:szCs w:val="20"/>
          <w:color w:val="auto"/>
        </w:rPr>
        <w:tab/>
      </w:r>
      <w:r>
        <w:rPr>
          <w:rFonts w:ascii="Arial" w:cs="Arial" w:eastAsia="Arial" w:hAnsi="Arial"/>
          <w:sz w:val="16"/>
          <w:szCs w:val="16"/>
          <w:b w:val="1"/>
          <w:bCs w:val="1"/>
          <w:color w:val="auto"/>
        </w:rPr>
        <w:t>Independent Contractors</w:t>
      </w:r>
      <w:r>
        <w:rPr>
          <w:rFonts w:ascii="Arial" w:cs="Arial" w:eastAsia="Arial" w:hAnsi="Arial"/>
          <w:sz w:val="16"/>
          <w:szCs w:val="16"/>
          <w:color w:val="auto"/>
        </w:rPr>
        <w:t>. It is expressly agreed that MacroGenics and Gilead shall be independent</w:t>
      </w:r>
    </w:p>
    <w:p>
      <w:pPr>
        <w:spacing w:after="0" w:line="6" w:lineRule="exact"/>
        <w:rPr>
          <w:sz w:val="20"/>
          <w:szCs w:val="20"/>
          <w:color w:val="auto"/>
        </w:rPr>
      </w:pPr>
    </w:p>
    <w:p>
      <w:pPr>
        <w:ind w:left="1020"/>
        <w:spacing w:after="0" w:line="255" w:lineRule="auto"/>
        <w:rPr>
          <w:sz w:val="20"/>
          <w:szCs w:val="20"/>
          <w:color w:val="auto"/>
        </w:rPr>
      </w:pPr>
      <w:r>
        <w:rPr>
          <w:rFonts w:ascii="Arial" w:cs="Arial" w:eastAsia="Arial" w:hAnsi="Arial"/>
          <w:sz w:val="16"/>
          <w:szCs w:val="16"/>
          <w:color w:val="auto"/>
        </w:rPr>
        <w:t>contractors and that the relationship between the two Parties shall not constitute a partnership, joint venture or agency. Neither MacroGenics nor Gilead shall have the authority to make any statements, representations or commitments of any</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kind, or to take any action, which shall be binding on the other Party, without the prior written consent of the other Party.</w:t>
      </w:r>
    </w:p>
    <w:p>
      <w:pPr>
        <w:spacing w:after="0" w:line="205" w:lineRule="exact"/>
        <w:rPr>
          <w:sz w:val="20"/>
          <w:szCs w:val="20"/>
          <w:color w:val="auto"/>
        </w:rPr>
      </w:pPr>
    </w:p>
    <w:p>
      <w:pPr>
        <w:ind w:left="1680"/>
        <w:spacing w:after="0"/>
        <w:tabs>
          <w:tab w:leader="none" w:pos="2280" w:val="left"/>
        </w:tabs>
        <w:rPr>
          <w:sz w:val="20"/>
          <w:szCs w:val="20"/>
          <w:color w:val="auto"/>
        </w:rPr>
      </w:pPr>
      <w:r>
        <w:rPr>
          <w:rFonts w:ascii="Arial" w:cs="Arial" w:eastAsia="Arial" w:hAnsi="Arial"/>
          <w:sz w:val="20"/>
          <w:szCs w:val="20"/>
          <w:color w:val="auto"/>
        </w:rPr>
        <w:t>19.11</w:t>
      </w:r>
      <w:r>
        <w:rPr>
          <w:sz w:val="20"/>
          <w:szCs w:val="20"/>
          <w:color w:val="auto"/>
        </w:rPr>
        <w:tab/>
      </w:r>
      <w:r>
        <w:rPr>
          <w:rFonts w:ascii="Arial" w:cs="Arial" w:eastAsia="Arial" w:hAnsi="Arial"/>
          <w:sz w:val="18"/>
          <w:szCs w:val="18"/>
          <w:b w:val="1"/>
          <w:bCs w:val="1"/>
          <w:color w:val="auto"/>
        </w:rPr>
        <w:t>No Third Party Beneficiary Rights</w:t>
      </w:r>
      <w:r>
        <w:rPr>
          <w:rFonts w:ascii="Arial" w:cs="Arial" w:eastAsia="Arial" w:hAnsi="Arial"/>
          <w:sz w:val="18"/>
          <w:szCs w:val="18"/>
          <w:color w:val="auto"/>
        </w:rPr>
        <w:t>. Except as expressly set forth in this Agreement, this Agreement is</w:t>
      </w:r>
    </w:p>
    <w:p>
      <w:pPr>
        <w:spacing w:after="0" w:line="6" w:lineRule="exact"/>
        <w:rPr>
          <w:sz w:val="20"/>
          <w:szCs w:val="20"/>
          <w:color w:val="auto"/>
        </w:rPr>
      </w:pPr>
    </w:p>
    <w:p>
      <w:pPr>
        <w:ind w:left="1020" w:right="280"/>
        <w:spacing w:after="0" w:line="226" w:lineRule="auto"/>
        <w:rPr>
          <w:sz w:val="20"/>
          <w:szCs w:val="20"/>
          <w:color w:val="auto"/>
        </w:rPr>
      </w:pPr>
      <w:r>
        <w:rPr>
          <w:rFonts w:ascii="Arial" w:cs="Arial" w:eastAsia="Arial" w:hAnsi="Arial"/>
          <w:sz w:val="18"/>
          <w:szCs w:val="18"/>
          <w:color w:val="auto"/>
        </w:rPr>
        <w:t>not intended to and will not be construed to give any Third Party any interest or rights (including any Third Party beneficiary rights) with respect to or in connection with any agreement or provision contained herein or contemplated</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hereby.</w:t>
      </w:r>
    </w:p>
    <w:p>
      <w:pPr>
        <w:spacing w:after="0" w:line="182" w:lineRule="exact"/>
        <w:rPr>
          <w:sz w:val="20"/>
          <w:szCs w:val="20"/>
          <w:color w:val="auto"/>
        </w:rPr>
      </w:pPr>
    </w:p>
    <w:p>
      <w:pPr>
        <w:ind w:left="1680"/>
        <w:spacing w:after="0"/>
        <w:tabs>
          <w:tab w:leader="none" w:pos="2300" w:val="left"/>
        </w:tabs>
        <w:rPr>
          <w:sz w:val="20"/>
          <w:szCs w:val="20"/>
          <w:color w:val="auto"/>
        </w:rPr>
      </w:pPr>
      <w:r>
        <w:rPr>
          <w:rFonts w:ascii="Arial" w:cs="Arial" w:eastAsia="Arial" w:hAnsi="Arial"/>
          <w:sz w:val="20"/>
          <w:szCs w:val="20"/>
          <w:color w:val="auto"/>
        </w:rPr>
        <w:t>19.12</w:t>
      </w:r>
      <w:r>
        <w:rPr>
          <w:sz w:val="20"/>
          <w:szCs w:val="20"/>
          <w:color w:val="auto"/>
        </w:rPr>
        <w:tab/>
      </w:r>
      <w:r>
        <w:rPr>
          <w:rFonts w:ascii="Arial" w:cs="Arial" w:eastAsia="Arial" w:hAnsi="Arial"/>
          <w:sz w:val="18"/>
          <w:szCs w:val="18"/>
          <w:b w:val="1"/>
          <w:bCs w:val="1"/>
          <w:color w:val="auto"/>
        </w:rPr>
        <w:t>Performance by Affiliates</w:t>
      </w:r>
      <w:r>
        <w:rPr>
          <w:rFonts w:ascii="Arial" w:cs="Arial" w:eastAsia="Arial" w:hAnsi="Arial"/>
          <w:sz w:val="18"/>
          <w:szCs w:val="18"/>
          <w:color w:val="auto"/>
        </w:rPr>
        <w:t>. Each Party will have the right to perform any or all of its obligations and</w:t>
      </w:r>
    </w:p>
    <w:p>
      <w:pPr>
        <w:spacing w:after="0" w:line="6" w:lineRule="exact"/>
        <w:rPr>
          <w:sz w:val="20"/>
          <w:szCs w:val="20"/>
          <w:color w:val="auto"/>
        </w:rPr>
      </w:pPr>
    </w:p>
    <w:p>
      <w:pPr>
        <w:ind w:left="1020" w:right="340"/>
        <w:spacing w:after="0" w:line="226" w:lineRule="auto"/>
        <w:rPr>
          <w:sz w:val="20"/>
          <w:szCs w:val="20"/>
          <w:color w:val="auto"/>
        </w:rPr>
      </w:pPr>
      <w:r>
        <w:rPr>
          <w:rFonts w:ascii="Arial" w:cs="Arial" w:eastAsia="Arial" w:hAnsi="Arial"/>
          <w:sz w:val="18"/>
          <w:szCs w:val="18"/>
          <w:color w:val="auto"/>
        </w:rPr>
        <w:t>exercise any or all of its rights under this Agreement through any Affiliate. Each Party hereby guarantees the performance by its Affiliates of such Party’s obligations under this Agreement and will cause its Affiliates to comply</w:t>
      </w:r>
    </w:p>
    <w:p>
      <w:pPr>
        <w:ind w:left="1020"/>
        <w:spacing w:after="0" w:line="236" w:lineRule="auto"/>
        <w:rPr>
          <w:sz w:val="20"/>
          <w:szCs w:val="20"/>
          <w:color w:val="auto"/>
        </w:rPr>
      </w:pPr>
      <w:r>
        <w:rPr>
          <w:rFonts w:ascii="Arial" w:cs="Arial" w:eastAsia="Arial" w:hAnsi="Arial"/>
          <w:sz w:val="18"/>
          <w:szCs w:val="18"/>
          <w:color w:val="auto"/>
        </w:rPr>
        <w:t>with the provisions of this Agreement in connection with such performance. Any breach by a Party’s Affiliate of any of</w:t>
      </w:r>
    </w:p>
    <w:p>
      <w:pPr>
        <w:spacing w:after="0" w:line="1" w:lineRule="exact"/>
        <w:rPr>
          <w:sz w:val="20"/>
          <w:szCs w:val="20"/>
          <w:color w:val="auto"/>
        </w:rPr>
      </w:pPr>
    </w:p>
    <w:p>
      <w:pPr>
        <w:ind w:left="1020" w:right="200"/>
        <w:spacing w:after="0" w:line="232" w:lineRule="auto"/>
        <w:rPr>
          <w:sz w:val="20"/>
          <w:szCs w:val="20"/>
          <w:color w:val="auto"/>
        </w:rPr>
      </w:pPr>
      <w:r>
        <w:rPr>
          <w:rFonts w:ascii="Arial" w:cs="Arial" w:eastAsia="Arial" w:hAnsi="Arial"/>
          <w:sz w:val="19"/>
          <w:szCs w:val="19"/>
          <w:color w:val="auto"/>
        </w:rPr>
        <w:t>such Party’s obligations under this Agreement will be deemed a breach by such Party, and the other Party may proceed directly against such Party without any obligation to first proceed against such Party’s Affiliate.</w:t>
      </w:r>
    </w:p>
    <w:p>
      <w:pPr>
        <w:spacing w:after="0" w:line="217" w:lineRule="exact"/>
        <w:rPr>
          <w:sz w:val="20"/>
          <w:szCs w:val="20"/>
          <w:color w:val="auto"/>
        </w:rPr>
      </w:pPr>
    </w:p>
    <w:p>
      <w:pPr>
        <w:ind w:left="1020" w:right="20" w:firstLine="648"/>
        <w:spacing w:after="0" w:line="253" w:lineRule="auto"/>
        <w:rPr>
          <w:sz w:val="20"/>
          <w:szCs w:val="20"/>
          <w:color w:val="auto"/>
        </w:rPr>
      </w:pPr>
      <w:r>
        <w:rPr>
          <w:rFonts w:ascii="Arial" w:cs="Arial" w:eastAsia="Arial" w:hAnsi="Arial"/>
          <w:sz w:val="20"/>
          <w:szCs w:val="20"/>
          <w:color w:val="auto"/>
        </w:rPr>
        <w:t xml:space="preserve">19.13 </w:t>
      </w:r>
      <w:r>
        <w:rPr>
          <w:rFonts w:ascii="Arial" w:cs="Arial" w:eastAsia="Arial" w:hAnsi="Arial"/>
          <w:sz w:val="20"/>
          <w:szCs w:val="20"/>
          <w:b w:val="1"/>
          <w:bCs w:val="1"/>
          <w:color w:val="auto"/>
        </w:rPr>
        <w:t>Waiver</w:t>
      </w:r>
      <w:r>
        <w:rPr>
          <w:rFonts w:ascii="Arial" w:cs="Arial" w:eastAsia="Arial" w:hAnsi="Arial"/>
          <w:sz w:val="20"/>
          <w:szCs w:val="20"/>
          <w:color w:val="auto"/>
        </w:rPr>
        <w:t>. The waiver by either Party of any right hereunder, or the failure of the other Party to perform, or a breach by the other Party, shall not be deemed a waiver of any other right hereunder or of any other breach or failure by such other Party whether of a similar nature or otherwise.</w:t>
      </w:r>
    </w:p>
    <w:p>
      <w:pPr>
        <w:spacing w:after="0" w:line="191" w:lineRule="exact"/>
        <w:rPr>
          <w:sz w:val="20"/>
          <w:szCs w:val="20"/>
          <w:color w:val="auto"/>
        </w:rPr>
      </w:pPr>
    </w:p>
    <w:p>
      <w:pPr>
        <w:jc w:val="both"/>
        <w:ind w:left="1020" w:right="160" w:firstLine="648"/>
        <w:spacing w:after="0" w:line="292" w:lineRule="auto"/>
        <w:rPr>
          <w:sz w:val="20"/>
          <w:szCs w:val="20"/>
          <w:color w:val="auto"/>
        </w:rPr>
      </w:pPr>
      <w:r>
        <w:rPr>
          <w:rFonts w:ascii="Arial" w:cs="Arial" w:eastAsia="Arial" w:hAnsi="Arial"/>
          <w:sz w:val="18"/>
          <w:szCs w:val="18"/>
          <w:color w:val="auto"/>
        </w:rPr>
        <w:t xml:space="preserve">19.14 </w:t>
      </w:r>
      <w:r>
        <w:rPr>
          <w:rFonts w:ascii="Arial" w:cs="Arial" w:eastAsia="Arial" w:hAnsi="Arial"/>
          <w:sz w:val="18"/>
          <w:szCs w:val="18"/>
          <w:b w:val="1"/>
          <w:bCs w:val="1"/>
          <w:color w:val="auto"/>
        </w:rPr>
        <w:t>Cumulative Remedies</w:t>
      </w:r>
      <w:r>
        <w:rPr>
          <w:rFonts w:ascii="Arial" w:cs="Arial" w:eastAsia="Arial" w:hAnsi="Arial"/>
          <w:sz w:val="18"/>
          <w:szCs w:val="18"/>
          <w:color w:val="auto"/>
        </w:rPr>
        <w:t>. No remedy referred to in this Agreement is intended to be exclusive, but each shall be cumulative and in addition to any other remedy referred to in this Agreement or otherwise available under law.</w:t>
      </w:r>
    </w:p>
    <w:p>
      <w:pPr>
        <w:spacing w:after="0" w:line="158" w:lineRule="exact"/>
        <w:rPr>
          <w:sz w:val="20"/>
          <w:szCs w:val="20"/>
          <w:color w:val="auto"/>
        </w:rPr>
      </w:pPr>
    </w:p>
    <w:p>
      <w:pPr>
        <w:ind w:left="1020" w:right="280" w:firstLine="647"/>
        <w:spacing w:after="0" w:line="272" w:lineRule="auto"/>
        <w:rPr>
          <w:sz w:val="20"/>
          <w:szCs w:val="20"/>
          <w:color w:val="auto"/>
        </w:rPr>
      </w:pPr>
      <w:r>
        <w:rPr>
          <w:rFonts w:ascii="Arial" w:cs="Arial" w:eastAsia="Arial" w:hAnsi="Arial"/>
          <w:sz w:val="19"/>
          <w:szCs w:val="19"/>
          <w:color w:val="auto"/>
        </w:rPr>
        <w:t xml:space="preserve">19.15 </w:t>
      </w:r>
      <w:r>
        <w:rPr>
          <w:rFonts w:ascii="Arial" w:cs="Arial" w:eastAsia="Arial" w:hAnsi="Arial"/>
          <w:sz w:val="19"/>
          <w:szCs w:val="19"/>
          <w:b w:val="1"/>
          <w:bCs w:val="1"/>
          <w:color w:val="auto"/>
        </w:rPr>
        <w:t>Waiver of Rule of Construction</w:t>
      </w:r>
      <w:r>
        <w:rPr>
          <w:rFonts w:ascii="Arial" w:cs="Arial" w:eastAsia="Arial" w:hAnsi="Arial"/>
          <w:sz w:val="19"/>
          <w:szCs w:val="19"/>
          <w:color w:val="auto"/>
        </w:rPr>
        <w:t>.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270" w:lineRule="exact"/>
        <w:rPr>
          <w:sz w:val="20"/>
          <w:szCs w:val="20"/>
          <w:color w:val="auto"/>
        </w:rPr>
      </w:pPr>
    </w:p>
    <w:p>
      <w:pPr>
        <w:ind w:left="1020" w:right="340" w:firstLine="648"/>
        <w:spacing w:after="0" w:line="239" w:lineRule="auto"/>
        <w:rPr>
          <w:sz w:val="20"/>
          <w:szCs w:val="20"/>
          <w:color w:val="auto"/>
        </w:rPr>
      </w:pPr>
      <w:r>
        <w:rPr>
          <w:rFonts w:ascii="Arial" w:cs="Arial" w:eastAsia="Arial" w:hAnsi="Arial"/>
          <w:sz w:val="18"/>
          <w:szCs w:val="18"/>
          <w:color w:val="auto"/>
        </w:rPr>
        <w:t xml:space="preserve">19.16 </w:t>
      </w:r>
      <w:r>
        <w:rPr>
          <w:rFonts w:ascii="Arial" w:cs="Arial" w:eastAsia="Arial" w:hAnsi="Arial"/>
          <w:sz w:val="18"/>
          <w:szCs w:val="18"/>
          <w:b w:val="1"/>
          <w:bCs w:val="1"/>
          <w:color w:val="auto"/>
        </w:rPr>
        <w:t>Counterparts</w:t>
      </w:r>
      <w:r>
        <w:rPr>
          <w:rFonts w:ascii="Arial" w:cs="Arial" w:eastAsia="Arial" w:hAnsi="Arial"/>
          <w:sz w:val="18"/>
          <w:szCs w:val="18"/>
          <w:color w:val="auto"/>
        </w:rPr>
        <w:t>. The Agreement may be executed in two or more counterparts, each of which shall be deemed an original, but all of which together shall constitute one and the same instrument. Counterparts may be</w:t>
      </w:r>
    </w:p>
    <w:p>
      <w:pPr>
        <w:ind w:left="1020"/>
        <w:spacing w:after="0" w:line="223" w:lineRule="auto"/>
        <w:rPr>
          <w:sz w:val="20"/>
          <w:szCs w:val="20"/>
          <w:color w:val="auto"/>
        </w:rPr>
      </w:pPr>
      <w:r>
        <w:rPr>
          <w:rFonts w:ascii="Arial" w:cs="Arial" w:eastAsia="Arial" w:hAnsi="Arial"/>
          <w:sz w:val="19"/>
          <w:szCs w:val="19"/>
          <w:color w:val="auto"/>
        </w:rPr>
        <w:t>delivered via electronic mail, including Adobe™ Portable Document Format (PDF) or any electronic signature</w:t>
      </w:r>
    </w:p>
    <w:p>
      <w:pPr>
        <w:spacing w:after="0" w:line="1" w:lineRule="exact"/>
        <w:rPr>
          <w:sz w:val="20"/>
          <w:szCs w:val="20"/>
          <w:color w:val="auto"/>
        </w:rPr>
      </w:pPr>
    </w:p>
    <w:p>
      <w:pPr>
        <w:ind w:left="1020" w:right="340"/>
        <w:spacing w:after="0" w:line="226" w:lineRule="auto"/>
        <w:rPr>
          <w:sz w:val="20"/>
          <w:szCs w:val="20"/>
          <w:color w:val="auto"/>
        </w:rPr>
      </w:pPr>
      <w:r>
        <w:rPr>
          <w:rFonts w:ascii="Arial" w:cs="Arial" w:eastAsia="Arial" w:hAnsi="Arial"/>
          <w:sz w:val="18"/>
          <w:szCs w:val="18"/>
          <w:color w:val="auto"/>
        </w:rPr>
        <w:t>complying with the U.S. Federal ESIGN Act of 2000, and any counterpart so delivered will be deemed to be original signatures, will be valid and binding upon the Parties, and, upon delivery, will constitute due execution of this</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620"/>
          </w:cols>
          <w:pgMar w:left="400" w:top="1386" w:right="879" w:bottom="1440" w:gutter="0" w:footer="0" w:header="0"/>
        </w:sectPr>
      </w:pPr>
    </w:p>
    <w:bookmarkStart w:id="214" w:name="page215"/>
    <w:bookmarkEnd w:id="214"/>
    <w:p>
      <w:pPr>
        <w:spacing w:after="0" w:line="189" w:lineRule="exact"/>
        <w:rPr>
          <w:sz w:val="20"/>
          <w:szCs w:val="20"/>
          <w:color w:val="auto"/>
        </w:rPr>
      </w:pPr>
    </w:p>
    <w:p>
      <w:pPr>
        <w:ind w:left="1020" w:right="80" w:firstLine="648"/>
        <w:spacing w:after="0" w:line="278" w:lineRule="auto"/>
        <w:rPr>
          <w:sz w:val="20"/>
          <w:szCs w:val="20"/>
          <w:color w:val="auto"/>
        </w:rPr>
      </w:pPr>
      <w:r>
        <w:rPr>
          <w:rFonts w:ascii="Arial" w:cs="Arial" w:eastAsia="Arial" w:hAnsi="Arial"/>
          <w:sz w:val="16"/>
          <w:szCs w:val="16"/>
          <w:color w:val="auto"/>
        </w:rPr>
        <w:t xml:space="preserve">19.17 </w:t>
      </w:r>
      <w:r>
        <w:rPr>
          <w:rFonts w:ascii="Arial" w:cs="Arial" w:eastAsia="Arial" w:hAnsi="Arial"/>
          <w:sz w:val="16"/>
          <w:szCs w:val="16"/>
          <w:b w:val="1"/>
          <w:bCs w:val="1"/>
          <w:color w:val="auto"/>
        </w:rPr>
        <w:t>Further Assurances</w:t>
      </w:r>
      <w:r>
        <w:rPr>
          <w:rFonts w:ascii="Arial" w:cs="Arial" w:eastAsia="Arial" w:hAnsi="Arial"/>
          <w:sz w:val="16"/>
          <w:szCs w:val="16"/>
          <w:color w:val="auto"/>
        </w:rPr>
        <w:t>. Each Party shall duly execute and deliver, or cause to be duly executed and delivered, such further instruments and do and cause to be done such further acts and things, including the filing of such</w:t>
      </w:r>
    </w:p>
    <w:p>
      <w:pPr>
        <w:spacing w:after="0" w:line="1" w:lineRule="exact"/>
        <w:rPr>
          <w:sz w:val="20"/>
          <w:szCs w:val="20"/>
          <w:color w:val="auto"/>
        </w:rPr>
      </w:pPr>
    </w:p>
    <w:p>
      <w:pPr>
        <w:ind w:left="1020" w:right="100"/>
        <w:spacing w:after="0" w:line="255" w:lineRule="auto"/>
        <w:rPr>
          <w:sz w:val="20"/>
          <w:szCs w:val="20"/>
          <w:color w:val="auto"/>
        </w:rPr>
      </w:pPr>
      <w:r>
        <w:rPr>
          <w:rFonts w:ascii="Arial" w:cs="Arial" w:eastAsia="Arial" w:hAnsi="Arial"/>
          <w:sz w:val="16"/>
          <w:szCs w:val="16"/>
          <w:color w:val="auto"/>
        </w:rPr>
        <w:t>assignments, agreements, documents and instruments, as may be necessary or as the other Party may reasonably request in connection with this Agreement or to carry out more effectively the provisions and purposes, or to better assure and</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confirm unto such other Party its rights and remedies under this Agreement.</w:t>
      </w:r>
    </w:p>
    <w:p>
      <w:pPr>
        <w:spacing w:after="0" w:line="194" w:lineRule="exact"/>
        <w:rPr>
          <w:sz w:val="20"/>
          <w:szCs w:val="20"/>
          <w:color w:val="auto"/>
        </w:rPr>
      </w:pPr>
    </w:p>
    <w:p>
      <w:pPr>
        <w:ind w:left="1020" w:right="40" w:firstLine="648"/>
        <w:spacing w:after="0" w:line="278" w:lineRule="auto"/>
        <w:rPr>
          <w:sz w:val="20"/>
          <w:szCs w:val="20"/>
          <w:color w:val="auto"/>
        </w:rPr>
      </w:pPr>
      <w:r>
        <w:rPr>
          <w:rFonts w:ascii="Arial" w:cs="Arial" w:eastAsia="Arial" w:hAnsi="Arial"/>
          <w:sz w:val="16"/>
          <w:szCs w:val="16"/>
          <w:color w:val="auto"/>
        </w:rPr>
        <w:t xml:space="preserve">19.18 </w:t>
      </w:r>
      <w:r>
        <w:rPr>
          <w:rFonts w:ascii="Arial" w:cs="Arial" w:eastAsia="Arial" w:hAnsi="Arial"/>
          <w:sz w:val="16"/>
          <w:szCs w:val="16"/>
          <w:b w:val="1"/>
          <w:bCs w:val="1"/>
          <w:color w:val="auto"/>
        </w:rPr>
        <w:t>Construction</w:t>
      </w:r>
      <w:r>
        <w:rPr>
          <w:rFonts w:ascii="Arial" w:cs="Arial" w:eastAsia="Arial" w:hAnsi="Arial"/>
          <w:sz w:val="16"/>
          <w:szCs w:val="16"/>
          <w:color w:val="auto"/>
        </w:rPr>
        <w:t>. Except where the context otherwise requires, wherever used, the singular shall include the plural, the plural the singular, the use of any gender shall be applicable to all genders and the word “or” is used in the</w:t>
      </w:r>
    </w:p>
    <w:p>
      <w:pPr>
        <w:spacing w:after="0" w:line="1" w:lineRule="exact"/>
        <w:rPr>
          <w:sz w:val="20"/>
          <w:szCs w:val="20"/>
          <w:color w:val="auto"/>
        </w:rPr>
      </w:pPr>
    </w:p>
    <w:p>
      <w:pPr>
        <w:ind w:left="1020" w:right="120"/>
        <w:spacing w:after="0" w:line="255" w:lineRule="auto"/>
        <w:rPr>
          <w:sz w:val="20"/>
          <w:szCs w:val="20"/>
          <w:color w:val="auto"/>
        </w:rPr>
      </w:pPr>
      <w:r>
        <w:rPr>
          <w:rFonts w:ascii="Arial" w:cs="Arial" w:eastAsia="Arial" w:hAnsi="Arial"/>
          <w:sz w:val="16"/>
          <w:szCs w:val="16"/>
          <w:color w:val="auto"/>
        </w:rPr>
        <w:t>inclusive sense (and/or). Whenever this Agreement refers to a number of days, unless otherwise specified, such number refers to calendar days. The captions of this Agreement are for convenience of reference only and in no way define,</w:t>
      </w:r>
    </w:p>
    <w:p>
      <w:pPr>
        <w:ind w:left="1020"/>
        <w:spacing w:after="0" w:line="235" w:lineRule="auto"/>
        <w:rPr>
          <w:sz w:val="20"/>
          <w:szCs w:val="20"/>
          <w:color w:val="auto"/>
        </w:rPr>
      </w:pPr>
      <w:r>
        <w:rPr>
          <w:rFonts w:ascii="Arial" w:cs="Arial" w:eastAsia="Arial" w:hAnsi="Arial"/>
          <w:sz w:val="18"/>
          <w:szCs w:val="18"/>
          <w:color w:val="auto"/>
        </w:rPr>
        <w:t>describe, extend or limit the scope or intent of this Agreement or the intent of any provision contained in this Agreement.</w:t>
      </w:r>
    </w:p>
    <w:p>
      <w:pPr>
        <w:ind w:left="1020"/>
        <w:spacing w:after="0" w:line="226" w:lineRule="auto"/>
        <w:rPr>
          <w:sz w:val="20"/>
          <w:szCs w:val="20"/>
          <w:color w:val="auto"/>
        </w:rPr>
      </w:pPr>
      <w:r>
        <w:rPr>
          <w:rFonts w:ascii="Arial" w:cs="Arial" w:eastAsia="Arial" w:hAnsi="Arial"/>
          <w:sz w:val="18"/>
          <w:szCs w:val="18"/>
          <w:color w:val="auto"/>
        </w:rPr>
        <w:t>The words “include”, “includes,” “including” and “such as” shall be deemed to be followed by the phrase “without limitation”. The word “will” will be construed to have the same meaning and effect as the word “shall”. Any reference to</w:t>
      </w:r>
    </w:p>
    <w:p>
      <w:pPr>
        <w:spacing w:after="0" w:line="2" w:lineRule="exact"/>
        <w:rPr>
          <w:sz w:val="20"/>
          <w:szCs w:val="20"/>
          <w:color w:val="auto"/>
        </w:rPr>
      </w:pPr>
    </w:p>
    <w:p>
      <w:pPr>
        <w:ind w:left="1020" w:right="220"/>
        <w:spacing w:after="0" w:line="226" w:lineRule="auto"/>
        <w:rPr>
          <w:sz w:val="20"/>
          <w:szCs w:val="20"/>
          <w:color w:val="auto"/>
        </w:rPr>
      </w:pPr>
      <w:r>
        <w:rPr>
          <w:rFonts w:ascii="Arial" w:cs="Arial" w:eastAsia="Arial" w:hAnsi="Arial"/>
          <w:sz w:val="18"/>
          <w:szCs w:val="18"/>
          <w:color w:val="auto"/>
        </w:rPr>
        <w:t>any person or entity will be construed to include the person’s or entity’s successor and assigns. The words “herein,” “hereof,” and “hereunder”, and words of similar import, will be construed to refer to this Agreement in its entirety and</w:t>
      </w:r>
    </w:p>
    <w:p>
      <w:pPr>
        <w:ind w:left="1020"/>
        <w:spacing w:after="0" w:line="224" w:lineRule="auto"/>
        <w:rPr>
          <w:sz w:val="20"/>
          <w:szCs w:val="20"/>
          <w:color w:val="auto"/>
        </w:rPr>
      </w:pPr>
      <w:r>
        <w:rPr>
          <w:rFonts w:ascii="Arial" w:cs="Arial" w:eastAsia="Arial" w:hAnsi="Arial"/>
          <w:sz w:val="19"/>
          <w:szCs w:val="19"/>
          <w:color w:val="auto"/>
        </w:rPr>
        <w:t>not any particular provision. The word “notice” means notice in writing (whether or not specifically stated) and will</w:t>
      </w:r>
    </w:p>
    <w:p>
      <w:pPr>
        <w:ind w:left="1020" w:right="140"/>
        <w:spacing w:after="0" w:line="255" w:lineRule="auto"/>
        <w:rPr>
          <w:sz w:val="20"/>
          <w:szCs w:val="20"/>
          <w:color w:val="auto"/>
        </w:rPr>
      </w:pPr>
      <w:r>
        <w:rPr>
          <w:rFonts w:ascii="Arial" w:cs="Arial" w:eastAsia="Arial" w:hAnsi="Arial"/>
          <w:sz w:val="16"/>
          <w:szCs w:val="16"/>
          <w:color w:val="auto"/>
        </w:rPr>
        <w:t>include notices, consents, approvals, and other written communications contemplated under this Agreement. Provisions that require that a Party, the Parties, or any committee hereunder “agree,” “consent,” “approve,” or the like will require</w:t>
      </w:r>
    </w:p>
    <w:p>
      <w:pPr>
        <w:ind w:left="1020"/>
        <w:spacing w:after="0" w:line="235" w:lineRule="auto"/>
        <w:rPr>
          <w:sz w:val="20"/>
          <w:szCs w:val="20"/>
          <w:color w:val="auto"/>
        </w:rPr>
      </w:pPr>
      <w:r>
        <w:rPr>
          <w:rFonts w:ascii="Arial" w:cs="Arial" w:eastAsia="Arial" w:hAnsi="Arial"/>
          <w:sz w:val="18"/>
          <w:szCs w:val="18"/>
          <w:color w:val="auto"/>
        </w:rPr>
        <w:t>that such agreement, consent, or approval be specific and in writing, whether by written agreement, letter, approved</w:t>
      </w:r>
    </w:p>
    <w:p>
      <w:pPr>
        <w:ind w:left="1020"/>
        <w:spacing w:after="0" w:line="255" w:lineRule="auto"/>
        <w:rPr>
          <w:sz w:val="20"/>
          <w:szCs w:val="20"/>
          <w:color w:val="auto"/>
        </w:rPr>
      </w:pPr>
      <w:r>
        <w:rPr>
          <w:rFonts w:ascii="Arial" w:cs="Arial" w:eastAsia="Arial" w:hAnsi="Arial"/>
          <w:sz w:val="16"/>
          <w:szCs w:val="16"/>
          <w:color w:val="auto"/>
        </w:rPr>
        <w:t>minutes, or otherwise (but excluding e-mail and instant messaging). References to “Section” or “Sections” are references to the numbered sections of this Agreement, unless expressly stated otherwise. All dollars are United States Dollars.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Unless the context otherwise requires, countries shall include territories. References to any specific law or article, section</w:t>
      </w:r>
    </w:p>
    <w:p>
      <w:pPr>
        <w:spacing w:after="0" w:line="19" w:lineRule="exact"/>
        <w:rPr>
          <w:sz w:val="20"/>
          <w:szCs w:val="20"/>
          <w:color w:val="auto"/>
        </w:rPr>
      </w:pPr>
    </w:p>
    <w:p>
      <w:pPr>
        <w:ind w:left="1020" w:right="520"/>
        <w:spacing w:after="0" w:line="255" w:lineRule="auto"/>
        <w:rPr>
          <w:sz w:val="20"/>
          <w:szCs w:val="20"/>
          <w:color w:val="auto"/>
        </w:rPr>
      </w:pPr>
      <w:r>
        <w:rPr>
          <w:rFonts w:ascii="Arial" w:cs="Arial" w:eastAsia="Arial" w:hAnsi="Arial"/>
          <w:sz w:val="16"/>
          <w:szCs w:val="16"/>
          <w:color w:val="auto"/>
        </w:rPr>
        <w:t>or other division thereof, shall be deemed to include the then-current amendments or any replacement law thereto. Except as otherwise expressly set forth in this Agreement, when applied to Gilead, the phrases “at its own cost and</w:t>
      </w:r>
    </w:p>
    <w:p>
      <w:pPr>
        <w:spacing w:after="0" w:line="1" w:lineRule="exact"/>
        <w:rPr>
          <w:sz w:val="20"/>
          <w:szCs w:val="20"/>
          <w:color w:val="auto"/>
        </w:rPr>
      </w:pPr>
    </w:p>
    <w:p>
      <w:pPr>
        <w:ind w:left="1020" w:right="360"/>
        <w:spacing w:after="0" w:line="239" w:lineRule="auto"/>
        <w:rPr>
          <w:sz w:val="20"/>
          <w:szCs w:val="20"/>
          <w:color w:val="auto"/>
        </w:rPr>
      </w:pPr>
      <w:r>
        <w:rPr>
          <w:rFonts w:ascii="Arial" w:cs="Arial" w:eastAsia="Arial" w:hAnsi="Arial"/>
          <w:sz w:val="19"/>
          <w:szCs w:val="19"/>
          <w:color w:val="auto"/>
        </w:rPr>
        <w:t>expense,” “at its sole cost and expense,” “at its cost and expense,” and similar phrases used in this Agreement do not preclude the possibility that Gilead may share such costs or expenses with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620"/>
          </w:cols>
          <w:pgMar w:left="400" w:top="1440" w:right="879" w:bottom="1440" w:gutter="0" w:footer="0" w:header="0"/>
        </w:sectPr>
      </w:pPr>
    </w:p>
    <w:bookmarkStart w:id="215" w:name="page216"/>
    <w:bookmarkEnd w:id="215"/>
    <w:p>
      <w:pPr>
        <w:ind w:left="1260"/>
        <w:spacing w:after="0" w:line="236" w:lineRule="auto"/>
        <w:rPr>
          <w:sz w:val="20"/>
          <w:szCs w:val="20"/>
          <w:color w:val="auto"/>
        </w:rPr>
      </w:pPr>
      <w:r>
        <w:rPr>
          <w:rFonts w:ascii="Arial" w:cs="Arial" w:eastAsia="Arial" w:hAnsi="Arial"/>
          <w:sz w:val="20"/>
          <w:szCs w:val="20"/>
          <w:color w:val="auto"/>
        </w:rPr>
        <w:t>The Parties have caused this Agreement to be executed by their duly authorized representatives as of the Effective Date.</w:t>
      </w:r>
    </w:p>
    <w:p>
      <w:pPr>
        <w:sectPr>
          <w:pgSz w:w="11900" w:h="16838" w:orient="portrait"/>
          <w:cols w:equalWidth="0" w:num="1">
            <w:col w:w="10300"/>
          </w:cols>
          <w:pgMar w:left="360" w:top="1149" w:right="1239" w:bottom="1440" w:gutter="0" w:footer="0" w:header="0"/>
        </w:sectPr>
      </w:pPr>
    </w:p>
    <w:p>
      <w:pPr>
        <w:spacing w:after="0" w:line="311"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Gilead Sciences, Inc.</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MacroGenics, Inc.</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456" w:lineRule="exact"/>
        <w:rPr>
          <w:sz w:val="20"/>
          <w:szCs w:val="20"/>
          <w:color w:val="auto"/>
        </w:rPr>
      </w:pPr>
    </w:p>
    <w:p>
      <w:pPr>
        <w:sectPr>
          <w:pgSz w:w="11900" w:h="16838" w:orient="portrait"/>
          <w:cols w:equalWidth="0" w:num="2">
            <w:col w:w="4600" w:space="720"/>
            <w:col w:w="4980"/>
          </w:cols>
          <w:pgMar w:left="360" w:top="1149"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to Collaboration Agreement]</w:t>
      </w:r>
    </w:p>
    <w:p>
      <w:pPr>
        <w:sectPr>
          <w:pgSz w:w="11900" w:h="16838" w:orient="portrait"/>
          <w:cols w:equalWidth="0" w:num="1">
            <w:col w:w="10300"/>
          </w:cols>
          <w:pgMar w:left="360" w:top="1149" w:right="1239" w:bottom="1440" w:gutter="0" w:footer="0" w:header="0"/>
          <w:type w:val="continuous"/>
        </w:sectPr>
      </w:pPr>
    </w:p>
    <w:bookmarkStart w:id="216" w:name="page217"/>
    <w:bookmarkEnd w:id="216"/>
    <w:p>
      <w:pPr>
        <w:ind w:left="80"/>
        <w:spacing w:after="0"/>
        <w:rPr>
          <w:sz w:val="20"/>
          <w:szCs w:val="20"/>
          <w:color w:val="auto"/>
        </w:rPr>
      </w:pPr>
      <w:r>
        <w:rPr>
          <w:rFonts w:ascii="Arial" w:cs="Arial" w:eastAsia="Arial" w:hAnsi="Arial"/>
          <w:sz w:val="14"/>
          <w:szCs w:val="14"/>
          <w:color w:val="auto"/>
        </w:rPr>
        <w:t>DocuSign Envelope ID: 1F54EEC9-CC02-4CC7-B458-268EC436A598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60" w:right="119" w:firstLine="646"/>
        <w:spacing w:after="0" w:line="236" w:lineRule="auto"/>
        <w:rPr>
          <w:sz w:val="20"/>
          <w:szCs w:val="20"/>
          <w:color w:val="auto"/>
        </w:rPr>
      </w:pPr>
      <w:r>
        <w:rPr>
          <w:rFonts w:ascii="Arial" w:cs="Arial" w:eastAsia="Arial" w:hAnsi="Arial"/>
          <w:sz w:val="20"/>
          <w:szCs w:val="20"/>
          <w:color w:val="auto"/>
        </w:rPr>
        <w:t>The Parties have caused this Agreement to be executed by their duly authorized representatives as of the Effective Date.</w:t>
      </w:r>
    </w:p>
    <w:p>
      <w:pPr>
        <w:sectPr>
          <w:pgSz w:w="11900" w:h="16838" w:orient="portrait"/>
          <w:cols w:equalWidth="0" w:num="1">
            <w:col w:w="10099"/>
          </w:cols>
          <w:pgMar w:left="360" w:top="684" w:right="1440" w:bottom="1440" w:gutter="0" w:footer="0" w:header="0"/>
        </w:sectPr>
      </w:pPr>
    </w:p>
    <w:p>
      <w:pPr>
        <w:spacing w:after="0" w:line="244"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Gilead Sciences, Inc.</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MacroGenics, Inc.</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600" w:space="720"/>
            <w:col w:w="4779"/>
          </w:cols>
          <w:pgMar w:left="360" w:top="6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to Collaboration Agreement]</w:t>
      </w:r>
    </w:p>
    <w:p>
      <w:pPr>
        <w:sectPr>
          <w:pgSz w:w="11900" w:h="16838" w:orient="portrait"/>
          <w:cols w:equalWidth="0" w:num="1">
            <w:col w:w="10099"/>
          </w:cols>
          <w:pgMar w:left="360" w:top="684" w:right="1440" w:bottom="1440" w:gutter="0" w:footer="0" w:header="0"/>
          <w:type w:val="continuous"/>
        </w:sectPr>
      </w:pPr>
    </w:p>
    <w:bookmarkStart w:id="217" w:name="page218"/>
    <w:bookmarkEnd w:id="217"/>
    <w:p>
      <w:pPr>
        <w:jc w:val="center"/>
        <w:spacing w:after="0"/>
        <w:rPr>
          <w:sz w:val="20"/>
          <w:szCs w:val="20"/>
          <w:color w:val="auto"/>
        </w:rPr>
      </w:pPr>
      <w:r>
        <w:rPr>
          <w:rFonts w:ascii="Arial" w:cs="Arial" w:eastAsia="Arial" w:hAnsi="Arial"/>
          <w:sz w:val="20"/>
          <w:szCs w:val="20"/>
          <w:b w:val="1"/>
          <w:bCs w:val="1"/>
          <w:u w:val="single" w:color="auto"/>
          <w:color w:val="auto"/>
        </w:rPr>
        <w:t>Schedule 1.72</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Knowledge Parties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399" w:right="1440"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20"/>
          <w:szCs w:val="20"/>
          <w:b w:val="1"/>
          <w:bCs w:val="1"/>
          <w:u w:val="single" w:color="auto"/>
          <w:color w:val="auto"/>
        </w:rPr>
        <w:t>Schedule 1.80</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MacroGenics Licensed Patents</w:t>
      </w:r>
    </w:p>
    <w:p>
      <w:pPr>
        <w:spacing w:after="0" w:line="200" w:lineRule="exact"/>
        <w:rPr>
          <w:sz w:val="20"/>
          <w:szCs w:val="20"/>
          <w:color w:val="auto"/>
        </w:rPr>
      </w:pP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1840" w:type="dxa"/>
            <w:vAlign w:val="bottom"/>
            <w:tcBorders>
              <w:top w:val="single" w:sz="8" w:color="auto"/>
              <w:left w:val="single" w:sz="8" w:color="auto"/>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bottom w:val="single" w:sz="8" w:color="auto"/>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3"/>
        </w:trPr>
        <w:tc>
          <w:tcPr>
            <w:tcW w:w="1840" w:type="dxa"/>
            <w:vAlign w:val="bottom"/>
            <w:tcBorders>
              <w:left w:val="single" w:sz="8" w:color="auto"/>
              <w:bottom w:val="single" w:sz="8" w:color="auto"/>
              <w:right w:val="single" w:sz="8" w:color="D8D8D8"/>
            </w:tcBorders>
            <w:shd w:val="clear" w:color="auto" w:fill="D8D8D8"/>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right w:val="single" w:sz="8" w:color="D8D8D8"/>
            </w:tcBorders>
            <w:shd w:val="clear" w:color="auto" w:fill="D8D8D8"/>
          </w:tcPr>
          <w:p>
            <w:pPr>
              <w:spacing w:after="0"/>
              <w:rPr>
                <w:sz w:val="22"/>
                <w:szCs w:val="22"/>
                <w:color w:val="auto"/>
              </w:rPr>
            </w:pPr>
          </w:p>
        </w:tc>
        <w:tc>
          <w:tcPr>
            <w:tcW w:w="2020" w:type="dxa"/>
            <w:vAlign w:val="bottom"/>
            <w:tcBorders>
              <w:bottom w:val="single" w:sz="8" w:color="auto"/>
              <w:right w:val="single" w:sz="8" w:color="D8D8D8"/>
            </w:tcBorders>
            <w:shd w:val="clear" w:color="auto" w:fill="D8D8D8"/>
          </w:tcPr>
          <w:p>
            <w:pPr>
              <w:spacing w:after="0"/>
              <w:rPr>
                <w:sz w:val="22"/>
                <w:szCs w:val="22"/>
                <w:color w:val="auto"/>
              </w:rPr>
            </w:pPr>
          </w:p>
        </w:tc>
        <w:tc>
          <w:tcPr>
            <w:tcW w:w="1560" w:type="dxa"/>
            <w:vAlign w:val="bottom"/>
            <w:tcBorders>
              <w:bottom w:val="single" w:sz="8" w:color="auto"/>
              <w:right w:val="single" w:sz="8" w:color="D8D8D8"/>
            </w:tcBorders>
            <w:shd w:val="clear" w:color="auto" w:fill="D8D8D8"/>
          </w:tcPr>
          <w:p>
            <w:pPr>
              <w:spacing w:after="0"/>
              <w:rPr>
                <w:sz w:val="22"/>
                <w:szCs w:val="22"/>
                <w:color w:val="auto"/>
              </w:rPr>
            </w:pPr>
          </w:p>
        </w:tc>
        <w:tc>
          <w:tcPr>
            <w:tcW w:w="1520" w:type="dxa"/>
            <w:vAlign w:val="bottom"/>
            <w:tcBorders>
              <w:bottom w:val="single" w:sz="8" w:color="auto"/>
              <w:right w:val="single" w:sz="8" w:color="auto"/>
            </w:tcBorders>
            <w:shd w:val="clear" w:color="auto" w:fill="D8D8D8"/>
          </w:tcPr>
          <w:p>
            <w:pPr>
              <w:spacing w:after="0"/>
              <w:rPr>
                <w:sz w:val="22"/>
                <w:szCs w:val="22"/>
                <w:color w:val="auto"/>
              </w:rPr>
            </w:pPr>
          </w:p>
        </w:tc>
      </w:tr>
      <w:tr>
        <w:trPr>
          <w:trHeight w:val="247"/>
        </w:trPr>
        <w:tc>
          <w:tcPr>
            <w:tcW w:w="1840" w:type="dxa"/>
            <w:vAlign w:val="bottom"/>
            <w:tcBorders>
              <w:left w:val="single" w:sz="8" w:color="auto"/>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40" w:type="dxa"/>
            <w:vAlign w:val="bottom"/>
            <w:tcBorders>
              <w:left w:val="single" w:sz="8" w:color="auto"/>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40" w:type="dxa"/>
            <w:vAlign w:val="bottom"/>
            <w:tcBorders>
              <w:left w:val="single" w:sz="8" w:color="auto"/>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40" w:type="dxa"/>
            <w:vAlign w:val="bottom"/>
            <w:tcBorders>
              <w:left w:val="single" w:sz="8" w:color="auto"/>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40" w:type="dxa"/>
            <w:vAlign w:val="bottom"/>
            <w:tcBorders>
              <w:left w:val="single" w:sz="8" w:color="auto"/>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40" w:type="dxa"/>
            <w:vAlign w:val="bottom"/>
            <w:tcBorders>
              <w:left w:val="single" w:sz="8" w:color="auto"/>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40" w:type="dxa"/>
            <w:vAlign w:val="bottom"/>
            <w:tcBorders>
              <w:left w:val="single" w:sz="8" w:color="auto"/>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40" w:type="dxa"/>
            <w:vAlign w:val="bottom"/>
            <w:tcBorders>
              <w:left w:val="single" w:sz="8" w:color="auto"/>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40" w:type="dxa"/>
            <w:vAlign w:val="bottom"/>
            <w:tcBorders>
              <w:left w:val="single" w:sz="8" w:color="auto"/>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9019"/>
          </w:cols>
          <w:pgMar w:left="1440" w:top="1399" w:right="1440" w:bottom="1440" w:gutter="0" w:footer="0" w:header="0"/>
        </w:sectPr>
      </w:pPr>
    </w:p>
    <w:bookmarkStart w:id="219" w:name="page220"/>
    <w:bookmarkEnd w:id="2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b w:val="1"/>
                <w:bCs w:val="1"/>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vMerge w:val="restart"/>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4"/>
        </w:trPr>
        <w:tc>
          <w:tcPr>
            <w:tcW w:w="1820" w:type="dxa"/>
            <w:vAlign w:val="bottom"/>
            <w:tcBorders>
              <w:left w:val="single" w:sz="8" w:color="auto"/>
              <w:right w:val="single" w:sz="8" w:color="auto"/>
            </w:tcBorders>
            <w:vMerge w:val="continue"/>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9019"/>
          </w:cols>
          <w:pgMar w:left="1440" w:top="1402" w:right="1440" w:bottom="1440" w:gutter="0" w:footer="0" w:header="0"/>
        </w:sectPr>
      </w:pPr>
    </w:p>
    <w:bookmarkStart w:id="220" w:name="page221"/>
    <w:bookmarkEnd w:id="2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b w:val="1"/>
                <w:bCs w:val="1"/>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8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3"/>
        </w:trPr>
        <w:tc>
          <w:tcPr>
            <w:tcW w:w="1820" w:type="dxa"/>
            <w:vAlign w:val="bottom"/>
            <w:tcBorders>
              <w:left w:val="single" w:sz="8" w:color="auto"/>
              <w:bottom w:val="single" w:sz="8" w:color="auto"/>
              <w:right w:val="single" w:sz="8" w:color="D8D8D8"/>
            </w:tcBorders>
            <w:shd w:val="clear" w:color="auto" w:fill="D8D8D8"/>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bottom w:val="single" w:sz="8" w:color="auto"/>
              <w:right w:val="single" w:sz="8" w:color="D8D8D8"/>
            </w:tcBorders>
            <w:shd w:val="clear" w:color="auto" w:fill="D8D8D8"/>
          </w:tcPr>
          <w:p>
            <w:pPr>
              <w:spacing w:after="0"/>
              <w:rPr>
                <w:sz w:val="22"/>
                <w:szCs w:val="22"/>
                <w:color w:val="auto"/>
              </w:rPr>
            </w:pPr>
          </w:p>
        </w:tc>
        <w:tc>
          <w:tcPr>
            <w:tcW w:w="2020" w:type="dxa"/>
            <w:vAlign w:val="bottom"/>
            <w:tcBorders>
              <w:bottom w:val="single" w:sz="8" w:color="auto"/>
              <w:right w:val="single" w:sz="8" w:color="D8D8D8"/>
            </w:tcBorders>
            <w:shd w:val="clear" w:color="auto" w:fill="D8D8D8"/>
          </w:tcPr>
          <w:p>
            <w:pPr>
              <w:spacing w:after="0"/>
              <w:rPr>
                <w:sz w:val="22"/>
                <w:szCs w:val="22"/>
                <w:color w:val="auto"/>
              </w:rPr>
            </w:pPr>
          </w:p>
        </w:tc>
        <w:tc>
          <w:tcPr>
            <w:tcW w:w="1540" w:type="dxa"/>
            <w:vAlign w:val="bottom"/>
            <w:tcBorders>
              <w:bottom w:val="single" w:sz="8" w:color="auto"/>
              <w:right w:val="single" w:sz="8" w:color="D8D8D8"/>
            </w:tcBorders>
            <w:shd w:val="clear" w:color="auto" w:fill="D8D8D8"/>
          </w:tcPr>
          <w:p>
            <w:pPr>
              <w:spacing w:after="0"/>
              <w:rPr>
                <w:sz w:val="22"/>
                <w:szCs w:val="22"/>
                <w:color w:val="auto"/>
              </w:rPr>
            </w:pPr>
          </w:p>
        </w:tc>
        <w:tc>
          <w:tcPr>
            <w:tcW w:w="1540" w:type="dxa"/>
            <w:vAlign w:val="bottom"/>
            <w:tcBorders>
              <w:bottom w:val="single" w:sz="8" w:color="auto"/>
              <w:right w:val="single" w:sz="8" w:color="auto"/>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8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8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02" w:right="1440" w:bottom="1440" w:gutter="0" w:footer="0" w:header="0"/>
        </w:sectPr>
      </w:pPr>
    </w:p>
    <w:bookmarkStart w:id="221" w:name="page222"/>
    <w:bookmarkEnd w:id="2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b w:val="1"/>
                <w:bCs w:val="1"/>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vMerge w:val="restart"/>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vMerge w:val="continue"/>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02" w:right="1440" w:bottom="1440" w:gutter="0" w:footer="0" w:header="0"/>
        </w:sectPr>
      </w:pPr>
    </w:p>
    <w:bookmarkStart w:id="222" w:name="page223"/>
    <w:bookmarkEnd w:id="2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b w:val="1"/>
                <w:bCs w:val="1"/>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4"/>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bottom w:val="single" w:sz="8" w:color="auto"/>
              <w:right w:val="single" w:sz="8" w:color="D8D8D8"/>
            </w:tcBorders>
            <w:shd w:val="clear" w:color="auto" w:fill="D8D8D8"/>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bottom w:val="single" w:sz="8" w:color="auto"/>
              <w:right w:val="single" w:sz="8" w:color="D8D8D8"/>
            </w:tcBorders>
            <w:shd w:val="clear" w:color="auto" w:fill="D8D8D8"/>
          </w:tcPr>
          <w:p>
            <w:pPr>
              <w:spacing w:after="0"/>
              <w:rPr>
                <w:sz w:val="23"/>
                <w:szCs w:val="23"/>
                <w:color w:val="auto"/>
              </w:rPr>
            </w:pPr>
          </w:p>
        </w:tc>
        <w:tc>
          <w:tcPr>
            <w:tcW w:w="2020" w:type="dxa"/>
            <w:vAlign w:val="bottom"/>
            <w:tcBorders>
              <w:bottom w:val="single" w:sz="8" w:color="auto"/>
              <w:right w:val="single" w:sz="8" w:color="D8D8D8"/>
            </w:tcBorders>
            <w:shd w:val="clear" w:color="auto" w:fill="D8D8D8"/>
          </w:tcPr>
          <w:p>
            <w:pPr>
              <w:spacing w:after="0"/>
              <w:rPr>
                <w:sz w:val="23"/>
                <w:szCs w:val="23"/>
                <w:color w:val="auto"/>
              </w:rPr>
            </w:pPr>
          </w:p>
        </w:tc>
        <w:tc>
          <w:tcPr>
            <w:tcW w:w="1540" w:type="dxa"/>
            <w:vAlign w:val="bottom"/>
            <w:tcBorders>
              <w:bottom w:val="single" w:sz="8" w:color="auto"/>
              <w:right w:val="single" w:sz="8" w:color="D8D8D8"/>
            </w:tcBorders>
            <w:shd w:val="clear" w:color="auto" w:fill="D8D8D8"/>
          </w:tcPr>
          <w:p>
            <w:pPr>
              <w:spacing w:after="0"/>
              <w:rPr>
                <w:sz w:val="23"/>
                <w:szCs w:val="23"/>
                <w:color w:val="auto"/>
              </w:rPr>
            </w:pPr>
          </w:p>
        </w:tc>
        <w:tc>
          <w:tcPr>
            <w:tcW w:w="1540" w:type="dxa"/>
            <w:vAlign w:val="bottom"/>
            <w:tcBorders>
              <w:bottom w:val="single" w:sz="8" w:color="auto"/>
              <w:right w:val="single" w:sz="8" w:color="auto"/>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820" w:type="dxa"/>
            <w:vAlign w:val="bottom"/>
            <w:tcBorders>
              <w:left w:val="single" w:sz="8" w:color="auto"/>
              <w:bottom w:val="single" w:sz="8" w:color="auto"/>
              <w:right w:val="single" w:sz="8" w:color="auto"/>
            </w:tcBorders>
          </w:tcPr>
          <w:p>
            <w:pPr>
              <w:jc w:val="right"/>
              <w:ind w:right="1161"/>
              <w:spacing w:after="0" w:line="227" w:lineRule="exact"/>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line="227" w:lineRule="exact"/>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line="227" w:lineRule="exact"/>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right"/>
              <w:ind w:right="901"/>
              <w:spacing w:after="0" w:line="22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1820" w:type="dxa"/>
            <w:vAlign w:val="bottom"/>
            <w:tcBorders>
              <w:left w:val="single" w:sz="8" w:color="auto"/>
              <w:bottom w:val="single" w:sz="8" w:color="auto"/>
              <w:right w:val="single" w:sz="8" w:color="D8D8D8"/>
            </w:tcBorders>
            <w:shd w:val="clear" w:color="auto" w:fill="D8D8D8"/>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bottom w:val="single" w:sz="8" w:color="auto"/>
              <w:right w:val="single" w:sz="8" w:color="D8D8D8"/>
            </w:tcBorders>
            <w:shd w:val="clear" w:color="auto" w:fill="D8D8D8"/>
          </w:tcPr>
          <w:p>
            <w:pPr>
              <w:spacing w:after="0"/>
              <w:rPr>
                <w:sz w:val="23"/>
                <w:szCs w:val="23"/>
                <w:color w:val="auto"/>
              </w:rPr>
            </w:pPr>
          </w:p>
        </w:tc>
        <w:tc>
          <w:tcPr>
            <w:tcW w:w="2020" w:type="dxa"/>
            <w:vAlign w:val="bottom"/>
            <w:tcBorders>
              <w:bottom w:val="single" w:sz="8" w:color="auto"/>
              <w:right w:val="single" w:sz="8" w:color="D8D8D8"/>
            </w:tcBorders>
            <w:shd w:val="clear" w:color="auto" w:fill="D8D8D8"/>
          </w:tcPr>
          <w:p>
            <w:pPr>
              <w:spacing w:after="0"/>
              <w:rPr>
                <w:sz w:val="23"/>
                <w:szCs w:val="23"/>
                <w:color w:val="auto"/>
              </w:rPr>
            </w:pPr>
          </w:p>
        </w:tc>
        <w:tc>
          <w:tcPr>
            <w:tcW w:w="1540" w:type="dxa"/>
            <w:vAlign w:val="bottom"/>
            <w:tcBorders>
              <w:bottom w:val="single" w:sz="8" w:color="auto"/>
              <w:right w:val="single" w:sz="8" w:color="auto"/>
            </w:tcBorders>
            <w:shd w:val="clear" w:color="auto" w:fill="D8D8D8"/>
          </w:tcPr>
          <w:p>
            <w:pPr>
              <w:spacing w:after="0"/>
              <w:rPr>
                <w:sz w:val="23"/>
                <w:szCs w:val="23"/>
                <w:color w:val="auto"/>
              </w:rPr>
            </w:pPr>
          </w:p>
        </w:tc>
        <w:tc>
          <w:tcPr>
            <w:tcW w:w="1540" w:type="dxa"/>
            <w:vAlign w:val="bottom"/>
            <w:tcBorders>
              <w:bottom w:val="single" w:sz="8" w:color="auto"/>
              <w:right w:val="single" w:sz="8" w:color="auto"/>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820" w:type="dxa"/>
            <w:vAlign w:val="bottom"/>
            <w:tcBorders>
              <w:left w:val="single" w:sz="8" w:color="auto"/>
              <w:bottom w:val="single" w:sz="8" w:color="auto"/>
              <w:right w:val="single" w:sz="8" w:color="auto"/>
            </w:tcBorders>
          </w:tcPr>
          <w:p>
            <w:pPr>
              <w:jc w:val="right"/>
              <w:ind w:right="1161"/>
              <w:spacing w:after="0" w:line="227" w:lineRule="exact"/>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line="227" w:lineRule="exact"/>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line="227" w:lineRule="exact"/>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right"/>
              <w:ind w:right="901"/>
              <w:spacing w:after="0" w:line="22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02" w:right="1440" w:bottom="1440" w:gutter="0" w:footer="0" w:header="0"/>
        </w:sectPr>
      </w:pPr>
    </w:p>
    <w:bookmarkStart w:id="223" w:name="page224"/>
    <w:bookmarkEnd w:id="2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b w:val="1"/>
                <w:bCs w:val="1"/>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r>
      <w:tr>
        <w:trPr>
          <w:trHeight w:val="247"/>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9019"/>
          </w:cols>
          <w:pgMar w:left="1440" w:top="1402" w:right="1440" w:bottom="1440" w:gutter="0" w:footer="0" w:header="0"/>
        </w:sectPr>
      </w:pPr>
    </w:p>
    <w:bookmarkStart w:id="224" w:name="page225"/>
    <w:bookmarkEnd w:id="2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b w:val="1"/>
                <w:bCs w:val="1"/>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r>
      <w:tr>
        <w:trPr>
          <w:trHeight w:val="247"/>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3"/>
        </w:trPr>
        <w:tc>
          <w:tcPr>
            <w:tcW w:w="1820" w:type="dxa"/>
            <w:vAlign w:val="bottom"/>
            <w:tcBorders>
              <w:left w:val="single" w:sz="8" w:color="auto"/>
              <w:bottom w:val="single" w:sz="8" w:color="auto"/>
              <w:right w:val="single" w:sz="8" w:color="D8D8D8"/>
            </w:tcBorders>
            <w:shd w:val="clear" w:color="auto" w:fill="D8D8D8"/>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bottom w:val="single" w:sz="8" w:color="auto"/>
              <w:right w:val="single" w:sz="8" w:color="D8D8D8"/>
            </w:tcBorders>
            <w:shd w:val="clear" w:color="auto" w:fill="D8D8D8"/>
          </w:tcPr>
          <w:p>
            <w:pPr>
              <w:spacing w:after="0"/>
              <w:rPr>
                <w:sz w:val="22"/>
                <w:szCs w:val="22"/>
                <w:color w:val="auto"/>
              </w:rPr>
            </w:pPr>
          </w:p>
        </w:tc>
        <w:tc>
          <w:tcPr>
            <w:tcW w:w="2020" w:type="dxa"/>
            <w:vAlign w:val="bottom"/>
            <w:tcBorders>
              <w:bottom w:val="single" w:sz="8" w:color="auto"/>
              <w:right w:val="single" w:sz="8" w:color="D8D8D8"/>
            </w:tcBorders>
            <w:shd w:val="clear" w:color="auto" w:fill="D8D8D8"/>
          </w:tcPr>
          <w:p>
            <w:pPr>
              <w:spacing w:after="0"/>
              <w:rPr>
                <w:sz w:val="22"/>
                <w:szCs w:val="22"/>
                <w:color w:val="auto"/>
              </w:rPr>
            </w:pPr>
          </w:p>
        </w:tc>
        <w:tc>
          <w:tcPr>
            <w:tcW w:w="1540" w:type="dxa"/>
            <w:vAlign w:val="bottom"/>
            <w:tcBorders>
              <w:bottom w:val="single" w:sz="8" w:color="auto"/>
              <w:right w:val="single" w:sz="8" w:color="D8D8D8"/>
            </w:tcBorders>
            <w:shd w:val="clear" w:color="auto" w:fill="D8D8D8"/>
          </w:tcPr>
          <w:p>
            <w:pPr>
              <w:spacing w:after="0"/>
              <w:rPr>
                <w:sz w:val="22"/>
                <w:szCs w:val="22"/>
                <w:color w:val="auto"/>
              </w:rPr>
            </w:pPr>
          </w:p>
        </w:tc>
        <w:tc>
          <w:tcPr>
            <w:tcW w:w="1540" w:type="dxa"/>
            <w:vAlign w:val="bottom"/>
            <w:tcBorders>
              <w:bottom w:val="single" w:sz="8" w:color="auto"/>
              <w:right w:val="single" w:sz="8" w:color="auto"/>
            </w:tcBorders>
            <w:shd w:val="clear" w:color="auto" w:fill="D8D8D8"/>
          </w:tcPr>
          <w:p>
            <w:pPr>
              <w:spacing w:after="0"/>
              <w:rPr>
                <w:sz w:val="22"/>
                <w:szCs w:val="22"/>
                <w:color w:val="auto"/>
              </w:rPr>
            </w:pPr>
          </w:p>
        </w:tc>
      </w:tr>
      <w:tr>
        <w:trPr>
          <w:trHeight w:val="247"/>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9019"/>
          </w:cols>
          <w:pgMar w:left="1440" w:top="1402" w:right="1440" w:bottom="1440" w:gutter="0" w:footer="0" w:header="0"/>
        </w:sectPr>
      </w:pPr>
    </w:p>
    <w:bookmarkStart w:id="225" w:name="page226"/>
    <w:bookmarkEnd w:id="2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b w:val="1"/>
                <w:bCs w:val="1"/>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1820" w:type="dxa"/>
            <w:vAlign w:val="bottom"/>
            <w:tcBorders>
              <w:left w:val="single" w:sz="8" w:color="auto"/>
              <w:bottom w:val="single" w:sz="8" w:color="auto"/>
              <w:right w:val="single" w:sz="8" w:color="D8D8D8"/>
            </w:tcBorders>
            <w:shd w:val="clear" w:color="auto" w:fill="D8D8D8"/>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D8D8D8"/>
            </w:tcBorders>
            <w:shd w:val="clear" w:color="auto" w:fill="D8D8D8"/>
          </w:tcPr>
          <w:p>
            <w:pPr>
              <w:spacing w:after="0"/>
              <w:rPr>
                <w:sz w:val="23"/>
                <w:szCs w:val="23"/>
                <w:color w:val="auto"/>
              </w:rPr>
            </w:pPr>
          </w:p>
        </w:tc>
        <w:tc>
          <w:tcPr>
            <w:tcW w:w="2020" w:type="dxa"/>
            <w:vAlign w:val="bottom"/>
            <w:tcBorders>
              <w:bottom w:val="single" w:sz="8" w:color="auto"/>
              <w:right w:val="single" w:sz="8" w:color="D8D8D8"/>
            </w:tcBorders>
            <w:shd w:val="clear" w:color="auto" w:fill="D8D8D8"/>
          </w:tcPr>
          <w:p>
            <w:pPr>
              <w:spacing w:after="0"/>
              <w:rPr>
                <w:sz w:val="23"/>
                <w:szCs w:val="23"/>
                <w:color w:val="auto"/>
              </w:rPr>
            </w:pPr>
          </w:p>
        </w:tc>
        <w:tc>
          <w:tcPr>
            <w:tcW w:w="1540" w:type="dxa"/>
            <w:vAlign w:val="bottom"/>
            <w:tcBorders>
              <w:bottom w:val="single" w:sz="8" w:color="auto"/>
              <w:right w:val="single" w:sz="8" w:color="D8D8D8"/>
            </w:tcBorders>
            <w:shd w:val="clear" w:color="auto" w:fill="D8D8D8"/>
          </w:tcPr>
          <w:p>
            <w:pPr>
              <w:spacing w:after="0"/>
              <w:rPr>
                <w:sz w:val="23"/>
                <w:szCs w:val="23"/>
                <w:color w:val="auto"/>
              </w:rPr>
            </w:pPr>
          </w:p>
        </w:tc>
        <w:tc>
          <w:tcPr>
            <w:tcW w:w="1540" w:type="dxa"/>
            <w:vAlign w:val="bottom"/>
            <w:tcBorders>
              <w:bottom w:val="single" w:sz="8" w:color="auto"/>
              <w:right w:val="single" w:sz="8" w:color="auto"/>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vMerge w:val="restart"/>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182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02" w:right="1440" w:bottom="1440" w:gutter="0" w:footer="0" w:header="0"/>
        </w:sectPr>
      </w:pPr>
    </w:p>
    <w:bookmarkStart w:id="226" w:name="page227"/>
    <w:bookmarkEnd w:id="2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b w:val="1"/>
                <w:bCs w:val="1"/>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r>
      <w:tr>
        <w:trPr>
          <w:trHeight w:val="247"/>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9019"/>
          </w:cols>
          <w:pgMar w:left="1440" w:top="1402" w:right="1440" w:bottom="1440" w:gutter="0" w:footer="0" w:header="0"/>
        </w:sectPr>
      </w:pPr>
    </w:p>
    <w:bookmarkStart w:id="227" w:name="page228"/>
    <w:bookmarkEnd w:id="2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b w:val="1"/>
                <w:bCs w:val="1"/>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r>
      <w:tr>
        <w:trPr>
          <w:trHeight w:val="247"/>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73"/>
        </w:trPr>
        <w:tc>
          <w:tcPr>
            <w:tcW w:w="1820" w:type="dxa"/>
            <w:vAlign w:val="bottom"/>
            <w:tcBorders>
              <w:left w:val="single" w:sz="8" w:color="auto"/>
              <w:bottom w:val="single" w:sz="8" w:color="auto"/>
              <w:right w:val="single" w:sz="8" w:color="D8D8D8"/>
            </w:tcBorders>
            <w:shd w:val="clear" w:color="auto" w:fill="D8D8D8"/>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bottom w:val="single" w:sz="8" w:color="auto"/>
              <w:right w:val="single" w:sz="8" w:color="D8D8D8"/>
            </w:tcBorders>
            <w:shd w:val="clear" w:color="auto" w:fill="D8D8D8"/>
          </w:tcPr>
          <w:p>
            <w:pPr>
              <w:spacing w:after="0"/>
              <w:rPr>
                <w:sz w:val="23"/>
                <w:szCs w:val="23"/>
                <w:color w:val="auto"/>
              </w:rPr>
            </w:pPr>
          </w:p>
        </w:tc>
        <w:tc>
          <w:tcPr>
            <w:tcW w:w="2020" w:type="dxa"/>
            <w:vAlign w:val="bottom"/>
            <w:tcBorders>
              <w:bottom w:val="single" w:sz="8" w:color="auto"/>
              <w:right w:val="single" w:sz="8" w:color="D8D8D8"/>
            </w:tcBorders>
            <w:shd w:val="clear" w:color="auto" w:fill="D8D8D8"/>
          </w:tcPr>
          <w:p>
            <w:pPr>
              <w:spacing w:after="0"/>
              <w:rPr>
                <w:sz w:val="23"/>
                <w:szCs w:val="23"/>
                <w:color w:val="auto"/>
              </w:rPr>
            </w:pPr>
          </w:p>
        </w:tc>
        <w:tc>
          <w:tcPr>
            <w:tcW w:w="1540" w:type="dxa"/>
            <w:vAlign w:val="bottom"/>
            <w:tcBorders>
              <w:bottom w:val="single" w:sz="8" w:color="auto"/>
              <w:right w:val="single" w:sz="8" w:color="D8D8D8"/>
            </w:tcBorders>
            <w:shd w:val="clear" w:color="auto" w:fill="D8D8D8"/>
          </w:tcPr>
          <w:p>
            <w:pPr>
              <w:spacing w:after="0"/>
              <w:rPr>
                <w:sz w:val="23"/>
                <w:szCs w:val="23"/>
                <w:color w:val="auto"/>
              </w:rPr>
            </w:pPr>
          </w:p>
        </w:tc>
        <w:tc>
          <w:tcPr>
            <w:tcW w:w="1540" w:type="dxa"/>
            <w:vAlign w:val="bottom"/>
            <w:tcBorders>
              <w:bottom w:val="single" w:sz="8" w:color="auto"/>
              <w:right w:val="single" w:sz="8" w:color="auto"/>
            </w:tcBorders>
            <w:shd w:val="clear" w:color="auto" w:fill="D8D8D8"/>
          </w:tcPr>
          <w:p>
            <w:pPr>
              <w:spacing w:after="0"/>
              <w:rPr>
                <w:sz w:val="23"/>
                <w:szCs w:val="23"/>
                <w:color w:val="auto"/>
              </w:rPr>
            </w:pPr>
          </w:p>
        </w:tc>
      </w:tr>
      <w:tr>
        <w:trPr>
          <w:trHeight w:val="227"/>
        </w:trPr>
        <w:tc>
          <w:tcPr>
            <w:tcW w:w="1820" w:type="dxa"/>
            <w:vAlign w:val="bottom"/>
            <w:tcBorders>
              <w:left w:val="single" w:sz="8" w:color="auto"/>
              <w:bottom w:val="single" w:sz="8" w:color="auto"/>
              <w:right w:val="single" w:sz="8" w:color="auto"/>
            </w:tcBorders>
          </w:tcPr>
          <w:p>
            <w:pPr>
              <w:jc w:val="right"/>
              <w:ind w:right="1161"/>
              <w:spacing w:after="0" w:line="227" w:lineRule="exact"/>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line="227" w:lineRule="exact"/>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line="227" w:lineRule="exact"/>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right"/>
              <w:ind w:right="901"/>
              <w:spacing w:after="0" w:line="227" w:lineRule="exact"/>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9019"/>
          </w:cols>
          <w:pgMar w:left="1440" w:top="1402" w:right="1440" w:bottom="1440" w:gutter="0" w:footer="0" w:header="0"/>
        </w:sectPr>
      </w:pPr>
    </w:p>
    <w:bookmarkStart w:id="228" w:name="page229"/>
    <w:bookmarkEnd w:id="2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20" w:type="dxa"/>
            <w:vAlign w:val="bottom"/>
            <w:tcBorders>
              <w:top w:val="single" w:sz="8" w:color="auto"/>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w:t>
            </w:r>
          </w:p>
        </w:tc>
        <w:tc>
          <w:tcPr>
            <w:tcW w:w="1860" w:type="dxa"/>
            <w:vAlign w:val="bottom"/>
            <w:tcBorders>
              <w:top w:val="single" w:sz="8" w:color="auto"/>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b w:val="1"/>
                <w:bCs w:val="1"/>
                <w:color w:val="auto"/>
              </w:rPr>
              <w:t>[***]</w:t>
            </w:r>
          </w:p>
        </w:tc>
        <w:tc>
          <w:tcPr>
            <w:tcW w:w="202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auto"/>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w:t>
            </w:r>
          </w:p>
        </w:tc>
      </w:tr>
      <w:tr>
        <w:trPr>
          <w:trHeight w:val="247"/>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r>
        <w:trPr>
          <w:trHeight w:val="250"/>
        </w:trPr>
        <w:tc>
          <w:tcPr>
            <w:tcW w:w="1820" w:type="dxa"/>
            <w:vAlign w:val="bottom"/>
            <w:tcBorders>
              <w:left w:val="single" w:sz="8" w:color="auto"/>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9019"/>
          </w:cols>
          <w:pgMar w:left="1440" w:top="1402" w:right="1440" w:bottom="1440" w:gutter="0" w:footer="0" w:header="0"/>
        </w:sectPr>
      </w:pPr>
    </w:p>
    <w:bookmarkStart w:id="229" w:name="page230"/>
    <w:bookmarkEnd w:id="229"/>
    <w:p>
      <w:pPr>
        <w:jc w:val="center"/>
        <w:spacing w:after="0"/>
        <w:rPr>
          <w:sz w:val="20"/>
          <w:szCs w:val="20"/>
          <w:color w:val="auto"/>
        </w:rPr>
      </w:pPr>
      <w:r>
        <w:rPr>
          <w:rFonts w:ascii="Arial" w:cs="Arial" w:eastAsia="Arial" w:hAnsi="Arial"/>
          <w:sz w:val="20"/>
          <w:szCs w:val="20"/>
          <w:b w:val="1"/>
          <w:bCs w:val="1"/>
          <w:u w:val="single" w:color="auto"/>
          <w:color w:val="auto"/>
        </w:rPr>
        <w:t>Schedule 1.86</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MacroGenics Platform</w:t>
      </w: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399" w:right="1440" w:bottom="1440" w:gutter="0" w:footer="0" w:header="0"/>
        </w:sectPr>
      </w:pPr>
    </w:p>
    <w:bookmarkStart w:id="230" w:name="page231"/>
    <w:bookmarkEnd w:id="230"/>
    <w:p>
      <w:pPr>
        <w:jc w:val="center"/>
        <w:spacing w:after="0"/>
        <w:rPr>
          <w:sz w:val="20"/>
          <w:szCs w:val="20"/>
          <w:color w:val="auto"/>
        </w:rPr>
      </w:pPr>
      <w:r>
        <w:rPr>
          <w:rFonts w:ascii="Arial" w:cs="Arial" w:eastAsia="Arial" w:hAnsi="Arial"/>
          <w:sz w:val="20"/>
          <w:szCs w:val="20"/>
          <w:b w:val="1"/>
          <w:bCs w:val="1"/>
          <w:u w:val="single" w:color="auto"/>
          <w:color w:val="auto"/>
        </w:rPr>
        <w:t>Schedule 1.88</w:t>
      </w:r>
    </w:p>
    <w:p>
      <w:pPr>
        <w:spacing w:after="0" w:line="297" w:lineRule="exact"/>
        <w:rPr>
          <w:sz w:val="20"/>
          <w:szCs w:val="20"/>
          <w:color w:val="auto"/>
        </w:rPr>
      </w:pPr>
    </w:p>
    <w:p>
      <w:pPr>
        <w:jc w:val="right"/>
        <w:ind w:right="3319"/>
        <w:spacing w:after="0"/>
        <w:rPr>
          <w:sz w:val="20"/>
          <w:szCs w:val="20"/>
          <w:color w:val="auto"/>
        </w:rPr>
      </w:pPr>
      <w:r>
        <w:rPr>
          <w:rFonts w:ascii="Arial" w:cs="Arial" w:eastAsia="Arial" w:hAnsi="Arial"/>
          <w:sz w:val="20"/>
          <w:szCs w:val="20"/>
          <w:b w:val="1"/>
          <w:bCs w:val="1"/>
          <w:color w:val="auto"/>
        </w:rPr>
        <w:t>MacroGenics Platform Trademarks</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39"/>
          </w:cols>
          <w:pgMar w:left="1420" w:top="1399" w:right="1440" w:bottom="1440" w:gutter="0" w:footer="0" w:header="0"/>
        </w:sectPr>
      </w:pPr>
    </w:p>
    <w:bookmarkStart w:id="231" w:name="page232"/>
    <w:bookmarkEnd w:id="231"/>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u w:val="single" w:color="auto"/>
          <w:color w:val="auto"/>
        </w:rPr>
        <w:t>Schedule 1.114</w:t>
      </w:r>
    </w:p>
    <w:p>
      <w:pPr>
        <w:spacing w:after="0" w:line="221"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p>
    <w:p>
      <w:pPr>
        <w:spacing w:after="0" w:line="30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440" w:right="1440" w:bottom="1440" w:gutter="0" w:footer="0" w:header="0"/>
        </w:sectPr>
      </w:pPr>
    </w:p>
    <w:bookmarkStart w:id="232" w:name="page233"/>
    <w:bookmarkEnd w:id="232"/>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u w:val="single" w:color="auto"/>
          <w:color w:val="auto"/>
        </w:rPr>
        <w:t>Schedule 1.118</w:t>
      </w:r>
    </w:p>
    <w:p>
      <w:pPr>
        <w:spacing w:after="0" w:line="221"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p>
    <w:p>
      <w:pPr>
        <w:spacing w:after="0" w:line="30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440" w:right="1440"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20"/>
          <w:szCs w:val="20"/>
          <w:b w:val="1"/>
          <w:bCs w:val="1"/>
          <w:u w:val="single" w:color="auto"/>
          <w:color w:val="auto"/>
        </w:rPr>
        <w:t>Schedule 1.151</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Existing Upstream License Agreements</w:t>
      </w:r>
    </w:p>
    <w:p>
      <w:pPr>
        <w:spacing w:after="0" w:line="200" w:lineRule="exact"/>
        <w:rPr>
          <w:sz w:val="20"/>
          <w:szCs w:val="20"/>
          <w:color w:val="auto"/>
        </w:rPr>
      </w:pPr>
    </w:p>
    <w:p>
      <w:pPr>
        <w:spacing w:after="0" w:line="31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399" w:right="1440"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20"/>
          <w:szCs w:val="20"/>
          <w:b w:val="1"/>
          <w:bCs w:val="1"/>
          <w:u w:val="single" w:color="auto"/>
          <w:color w:val="auto"/>
        </w:rPr>
        <w:t>Schedule 3.7</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Existing Upstream License Agreements Amendments</w:t>
      </w:r>
    </w:p>
    <w:p>
      <w:pPr>
        <w:spacing w:after="0" w:line="200" w:lineRule="exact"/>
        <w:rPr>
          <w:sz w:val="20"/>
          <w:szCs w:val="20"/>
          <w:color w:val="auto"/>
        </w:rPr>
      </w:pPr>
    </w:p>
    <w:p>
      <w:pPr>
        <w:spacing w:after="0" w:line="31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399" w:right="1440" w:bottom="1440" w:gutter="0" w:footer="0" w:header="0"/>
        </w:sectPr>
      </w:pPr>
    </w:p>
    <w:bookmarkStart w:id="235" w:name="page236"/>
    <w:bookmarkEnd w:id="235"/>
    <w:p>
      <w:pPr>
        <w:jc w:val="center"/>
        <w:spacing w:after="0"/>
        <w:rPr>
          <w:sz w:val="20"/>
          <w:szCs w:val="20"/>
          <w:color w:val="auto"/>
        </w:rPr>
      </w:pPr>
      <w:r>
        <w:rPr>
          <w:rFonts w:ascii="Arial" w:cs="Arial" w:eastAsia="Arial" w:hAnsi="Arial"/>
          <w:sz w:val="20"/>
          <w:szCs w:val="20"/>
          <w:b w:val="1"/>
          <w:bCs w:val="1"/>
          <w:u w:val="single" w:color="auto"/>
          <w:color w:val="auto"/>
        </w:rPr>
        <w:t>Schedule 4.1(a)</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CD123 Development Plan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386" w:right="1440"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20"/>
          <w:szCs w:val="20"/>
          <w:b w:val="1"/>
          <w:bCs w:val="1"/>
          <w:u w:val="single" w:color="auto"/>
          <w:color w:val="auto"/>
        </w:rPr>
        <w:t>Schedule 4.1(b)</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Clinical Protocol Synopsis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600" w:type="dxa"/>
            <w:vAlign w:val="bottom"/>
            <w:tcBorders>
              <w:top w:val="single" w:sz="8" w:color="auto"/>
              <w:left w:val="single" w:sz="8" w:color="auto"/>
              <w:bottom w:val="single" w:sz="8" w:color="auto"/>
              <w:right w:val="single" w:sz="8" w:color="auto"/>
            </w:tcBorders>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top w:val="single" w:sz="8" w:color="auto"/>
              <w:bottom w:val="single" w:sz="8" w:color="auto"/>
              <w:right w:val="single" w:sz="8" w:color="auto"/>
            </w:tcBorders>
          </w:tcPr>
          <w:p>
            <w:pPr>
              <w:jc w:val="right"/>
              <w:ind w:right="36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bottom w:val="single" w:sz="8" w:color="auto"/>
            </w:tcBorders>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bottom w:val="single" w:sz="8" w:color="auto"/>
            </w:tcBorders>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bottom w:val="single" w:sz="8" w:color="auto"/>
            </w:tcBorders>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bottom w:val="single" w:sz="8" w:color="auto"/>
            </w:tcBorders>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4600" w:type="dxa"/>
            <w:vAlign w:val="bottom"/>
            <w:tcBorders>
              <w:left w:val="single" w:sz="8" w:color="auto"/>
            </w:tcBorders>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600" w:type="dxa"/>
            <w:vAlign w:val="bottom"/>
            <w:tcBorders>
              <w:left w:val="single" w:sz="8" w:color="auto"/>
              <w:bottom w:val="single" w:sz="8" w:color="auto"/>
            </w:tcBorders>
          </w:tcPr>
          <w:p>
            <w:pPr>
              <w:spacing w:after="0"/>
              <w:rPr>
                <w:sz w:val="3"/>
                <w:szCs w:val="3"/>
                <w:color w:val="auto"/>
              </w:rPr>
            </w:pPr>
          </w:p>
        </w:tc>
        <w:tc>
          <w:tcPr>
            <w:tcW w:w="4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4600" w:type="dxa"/>
            <w:vAlign w:val="bottom"/>
            <w:tcBorders>
              <w:left w:val="single" w:sz="8" w:color="auto"/>
              <w:bottom w:val="single" w:sz="8" w:color="auto"/>
              <w:right w:val="single" w:sz="8" w:color="auto"/>
            </w:tcBorders>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bottom w:val="single" w:sz="8" w:color="auto"/>
              <w:right w:val="single" w:sz="8" w:color="auto"/>
            </w:tcBorders>
          </w:tcPr>
          <w:p>
            <w:pPr>
              <w:jc w:val="right"/>
              <w:ind w:right="36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4600" w:type="dxa"/>
            <w:vAlign w:val="bottom"/>
            <w:tcBorders>
              <w:left w:val="single" w:sz="8" w:color="auto"/>
              <w:bottom w:val="single" w:sz="8" w:color="auto"/>
              <w:right w:val="single" w:sz="8" w:color="auto"/>
            </w:tcBorders>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bottom w:val="single" w:sz="8" w:color="auto"/>
              <w:right w:val="single" w:sz="8" w:color="auto"/>
            </w:tcBorders>
          </w:tcPr>
          <w:p>
            <w:pPr>
              <w:jc w:val="right"/>
              <w:ind w:right="35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4600" w:type="dxa"/>
            <w:vAlign w:val="bottom"/>
            <w:tcBorders>
              <w:left w:val="single" w:sz="8" w:color="auto"/>
              <w:bottom w:val="single" w:sz="8" w:color="auto"/>
              <w:right w:val="single" w:sz="8" w:color="auto"/>
            </w:tcBorders>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bottom w:val="single" w:sz="8" w:color="auto"/>
              <w:right w:val="single" w:sz="8" w:color="auto"/>
            </w:tcBorders>
          </w:tcPr>
          <w:p>
            <w:pPr>
              <w:jc w:val="right"/>
              <w:ind w:right="36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4600" w:type="dxa"/>
            <w:vAlign w:val="bottom"/>
            <w:tcBorders>
              <w:left w:val="single" w:sz="8" w:color="auto"/>
              <w:right w:val="single" w:sz="8" w:color="auto"/>
            </w:tcBorders>
            <w:vMerge w:val="restart"/>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right w:val="single" w:sz="8" w:color="auto"/>
            </w:tcBorders>
          </w:tcPr>
          <w:p>
            <w:pPr>
              <w:jc w:val="right"/>
              <w:ind w:right="35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9"/>
        </w:trPr>
        <w:tc>
          <w:tcPr>
            <w:tcW w:w="46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4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4600" w:type="dxa"/>
            <w:vAlign w:val="bottom"/>
            <w:tcBorders>
              <w:left w:val="single" w:sz="8" w:color="auto"/>
              <w:bottom w:val="single" w:sz="8" w:color="auto"/>
              <w:right w:val="single" w:sz="8" w:color="auto"/>
            </w:tcBorders>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bottom w:val="single" w:sz="8" w:color="auto"/>
              <w:right w:val="single" w:sz="8" w:color="auto"/>
            </w:tcBorders>
          </w:tcPr>
          <w:p>
            <w:pPr>
              <w:jc w:val="right"/>
              <w:ind w:right="35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4600" w:type="dxa"/>
            <w:vAlign w:val="bottom"/>
            <w:tcBorders>
              <w:left w:val="single" w:sz="8" w:color="auto"/>
              <w:right w:val="single" w:sz="8" w:color="auto"/>
            </w:tcBorders>
            <w:vMerge w:val="restart"/>
          </w:tcPr>
          <w:p>
            <w:pPr>
              <w:jc w:val="right"/>
              <w:ind w:right="3941"/>
              <w:spacing w:after="0"/>
              <w:rPr>
                <w:sz w:val="20"/>
                <w:szCs w:val="20"/>
                <w:color w:val="auto"/>
              </w:rPr>
            </w:pPr>
            <w:r>
              <w:rPr>
                <w:rFonts w:ascii="Arial" w:cs="Arial" w:eastAsia="Arial" w:hAnsi="Arial"/>
                <w:sz w:val="20"/>
                <w:szCs w:val="20"/>
                <w:color w:val="auto"/>
              </w:rPr>
              <w:t>[***]</w:t>
            </w:r>
          </w:p>
        </w:tc>
        <w:tc>
          <w:tcPr>
            <w:tcW w:w="4300" w:type="dxa"/>
            <w:vAlign w:val="bottom"/>
            <w:tcBorders>
              <w:right w:val="single" w:sz="8" w:color="auto"/>
            </w:tcBorders>
          </w:tcPr>
          <w:p>
            <w:pPr>
              <w:jc w:val="right"/>
              <w:ind w:right="35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6"/>
        </w:trPr>
        <w:tc>
          <w:tcPr>
            <w:tcW w:w="46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86" w:right="1440" w:bottom="1440" w:gutter="0" w:footer="0" w:header="0"/>
        </w:sectPr>
      </w:pPr>
    </w:p>
    <w:bookmarkStart w:id="237" w:name="page238"/>
    <w:bookmarkEnd w:id="2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903605</wp:posOffset>
            </wp:positionV>
            <wp:extent cx="6266180" cy="676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626618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4"/>
        </w:trPr>
        <w:tc>
          <w:tcPr>
            <w:tcW w:w="5080" w:type="dxa"/>
            <w:vAlign w:val="bottom"/>
            <w:tcBorders>
              <w:top w:val="single" w:sz="8" w:color="auto"/>
              <w:right w:val="single" w:sz="8" w:color="auto"/>
            </w:tcBorders>
            <w:vMerge w:val="restart"/>
          </w:tcPr>
          <w:p>
            <w:pPr>
              <w:jc w:val="right"/>
              <w:ind w:right="4421"/>
              <w:spacing w:after="0"/>
              <w:rPr>
                <w:sz w:val="20"/>
                <w:szCs w:val="20"/>
                <w:color w:val="auto"/>
              </w:rPr>
            </w:pPr>
            <w:r>
              <w:rPr>
                <w:rFonts w:ascii="Arial" w:cs="Arial" w:eastAsia="Arial" w:hAnsi="Arial"/>
                <w:sz w:val="20"/>
                <w:szCs w:val="20"/>
                <w:color w:val="auto"/>
              </w:rPr>
              <w:t>[***]</w:t>
            </w:r>
          </w:p>
        </w:tc>
        <w:tc>
          <w:tcPr>
            <w:tcW w:w="4800" w:type="dxa"/>
            <w:vAlign w:val="bottom"/>
            <w:tcBorders>
              <w:top w:val="single" w:sz="8" w:color="auto"/>
            </w:tcBorders>
          </w:tcPr>
          <w:p>
            <w:pPr>
              <w:jc w:val="right"/>
              <w:ind w:right="41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9"/>
        </w:trPr>
        <w:tc>
          <w:tcPr>
            <w:tcW w:w="5080" w:type="dxa"/>
            <w:vAlign w:val="bottom"/>
            <w:tcBorders>
              <w:bottom w:val="single" w:sz="8" w:color="auto"/>
              <w:right w:val="single" w:sz="8" w:color="auto"/>
            </w:tcBorders>
            <w:vMerge w:val="continue"/>
          </w:tcPr>
          <w:p>
            <w:pPr>
              <w:spacing w:after="0"/>
              <w:rPr>
                <w:sz w:val="9"/>
                <w:szCs w:val="9"/>
                <w:color w:val="auto"/>
              </w:rPr>
            </w:pPr>
          </w:p>
        </w:tc>
        <w:tc>
          <w:tcPr>
            <w:tcW w:w="4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139"/>
          </w:cols>
          <w:pgMar w:left="320" w:top="1402" w:right="1440" w:bottom="1440" w:gutter="0" w:footer="0" w:header="0"/>
        </w:sectPr>
      </w:pPr>
    </w:p>
    <w:bookmarkStart w:id="238" w:name="page239"/>
    <w:bookmarkEnd w:id="238"/>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920115</wp:posOffset>
            </wp:positionH>
            <wp:positionV relativeFrom="page">
              <wp:posOffset>903605</wp:posOffset>
            </wp:positionV>
            <wp:extent cx="5640705" cy="1003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5640705" cy="100330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0"/>
          <w:szCs w:val="20"/>
          <w:color w:val="auto"/>
        </w:rPr>
        <w:t>[***]</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440" w:right="1440" w:bottom="1440" w:gutter="0" w:footer="0" w:header="0"/>
        </w:sectPr>
      </w:pPr>
    </w:p>
    <w:bookmarkStart w:id="239" w:name="page240"/>
    <w:bookmarkEnd w:id="239"/>
    <w:p>
      <w:pPr>
        <w:ind w:left="1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920115</wp:posOffset>
            </wp:positionH>
            <wp:positionV relativeFrom="page">
              <wp:posOffset>903605</wp:posOffset>
            </wp:positionV>
            <wp:extent cx="5640705" cy="3511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5640705" cy="351155"/>
                    </a:xfrm>
                    <a:prstGeom prst="rect">
                      <a:avLst/>
                    </a:prstGeom>
                    <a:noFill/>
                  </pic:spPr>
                </pic:pic>
              </a:graphicData>
            </a:graphic>
          </wp:anchor>
        </w:drawing>
        <w:t>[***]</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432" w:right="1440"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9"/>
          <w:szCs w:val="19"/>
          <w:b w:val="1"/>
          <w:bCs w:val="1"/>
          <w:u w:val="single" w:color="auto"/>
          <w:color w:val="auto"/>
        </w:rPr>
        <w:t>Schedule 5.2</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Research Plan</w:t>
      </w:r>
    </w:p>
    <w:p>
      <w:pPr>
        <w:sectPr>
          <w:pgSz w:w="11900" w:h="16838" w:orient="portrait"/>
          <w:cols w:equalWidth="0" w:num="1">
            <w:col w:w="9019"/>
          </w:cols>
          <w:pgMar w:left="1440" w:top="1386" w:right="1440" w:bottom="1440" w:gutter="0" w:footer="0" w:header="0"/>
        </w:sectPr>
      </w:pPr>
    </w:p>
    <w:bookmarkStart w:id="241" w:name="page242"/>
    <w:bookmarkEnd w:id="241"/>
    <w:p>
      <w:pPr>
        <w:jc w:val="center"/>
        <w:spacing w:after="0"/>
        <w:rPr>
          <w:sz w:val="20"/>
          <w:szCs w:val="20"/>
          <w:color w:val="auto"/>
        </w:rPr>
      </w:pPr>
      <w:r>
        <w:rPr>
          <w:rFonts w:ascii="Arial" w:cs="Arial" w:eastAsia="Arial" w:hAnsi="Arial"/>
          <w:sz w:val="20"/>
          <w:szCs w:val="20"/>
          <w:b w:val="1"/>
          <w:bCs w:val="1"/>
          <w:u w:val="single" w:color="auto"/>
          <w:color w:val="auto"/>
        </w:rPr>
        <w:t>Schedule 9.1(a)(i)</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CMO Agreements</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39"/>
          </w:cols>
          <w:pgMar w:left="1420" w:top="1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127837668_29</w:t>
      </w:r>
    </w:p>
    <w:p>
      <w:pPr>
        <w:sectPr>
          <w:pgSz w:w="11900" w:h="16838" w:orient="portrait"/>
          <w:cols w:equalWidth="0" w:num="1">
            <w:col w:w="9039"/>
          </w:cols>
          <w:pgMar w:left="1420" w:top="1386" w:right="1440" w:bottom="1440" w:gutter="0" w:footer="0" w:header="0"/>
          <w:type w:val="continuous"/>
        </w:sectPr>
      </w:pPr>
    </w:p>
    <w:bookmarkStart w:id="242" w:name="page243"/>
    <w:bookmarkEnd w:id="242"/>
    <w:p>
      <w:pPr>
        <w:jc w:val="center"/>
        <w:ind w:right="280"/>
        <w:spacing w:after="0"/>
        <w:rPr>
          <w:sz w:val="20"/>
          <w:szCs w:val="20"/>
          <w:color w:val="auto"/>
        </w:rPr>
      </w:pPr>
      <w:r>
        <w:rPr>
          <w:rFonts w:ascii="Arial" w:cs="Arial" w:eastAsia="Arial" w:hAnsi="Arial"/>
          <w:sz w:val="20"/>
          <w:szCs w:val="20"/>
          <w:b w:val="1"/>
          <w:bCs w:val="1"/>
          <w:u w:val="single" w:color="auto"/>
          <w:color w:val="auto"/>
        </w:rPr>
        <w:t>Schedule 9.1(a)(iii)</w:t>
      </w:r>
    </w:p>
    <w:p>
      <w:pPr>
        <w:spacing w:after="0" w:line="297"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auto"/>
        </w:rPr>
        <w:t>Clinical Supply Agreement Key Terms</w:t>
      </w:r>
    </w:p>
    <w:p>
      <w:pPr>
        <w:spacing w:after="0" w:line="235" w:lineRule="exact"/>
        <w:rPr>
          <w:sz w:val="20"/>
          <w:szCs w:val="20"/>
          <w:color w:val="auto"/>
        </w:rPr>
      </w:pPr>
    </w:p>
    <w:p>
      <w:pPr>
        <w:ind w:left="440"/>
        <w:spacing w:after="0" w:line="236" w:lineRule="auto"/>
        <w:rPr>
          <w:sz w:val="20"/>
          <w:szCs w:val="20"/>
          <w:color w:val="auto"/>
        </w:rPr>
      </w:pPr>
      <w:r>
        <w:rPr>
          <w:rFonts w:ascii="Arial" w:cs="Arial" w:eastAsia="Arial" w:hAnsi="Arial"/>
          <w:sz w:val="18"/>
          <w:szCs w:val="18"/>
          <w:i w:val="1"/>
          <w:iCs w:val="1"/>
          <w:color w:val="auto"/>
        </w:rPr>
        <w:t>This term sheet outlines certain key terms that will be included in the Clinical Supply Agreement (“</w:t>
      </w:r>
      <w:r>
        <w:rPr>
          <w:rFonts w:ascii="Arial" w:cs="Arial" w:eastAsia="Arial" w:hAnsi="Arial"/>
          <w:sz w:val="18"/>
          <w:szCs w:val="18"/>
          <w:b w:val="1"/>
          <w:bCs w:val="1"/>
          <w:i w:val="1"/>
          <w:iCs w:val="1"/>
          <w:color w:val="auto"/>
        </w:rPr>
        <w:t>Clinical Supply</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to be entered into pursuant to Section 9.1(a)(iii) of the Collaboration and License Agreement between</w:t>
      </w:r>
    </w:p>
    <w:p>
      <w:pPr>
        <w:ind w:left="440"/>
        <w:spacing w:after="0" w:line="220" w:lineRule="auto"/>
        <w:rPr>
          <w:sz w:val="20"/>
          <w:szCs w:val="20"/>
          <w:color w:val="auto"/>
        </w:rPr>
      </w:pPr>
      <w:r>
        <w:rPr>
          <w:rFonts w:ascii="Arial" w:cs="Arial" w:eastAsia="Arial" w:hAnsi="Arial"/>
          <w:sz w:val="20"/>
          <w:szCs w:val="20"/>
          <w:i w:val="1"/>
          <w:iCs w:val="1"/>
          <w:color w:val="auto"/>
        </w:rPr>
        <w:t>the Parties (the “</w:t>
      </w:r>
      <w:r>
        <w:rPr>
          <w:rFonts w:ascii="Arial" w:cs="Arial" w:eastAsia="Arial" w:hAnsi="Arial"/>
          <w:sz w:val="20"/>
          <w:szCs w:val="20"/>
          <w:b w:val="1"/>
          <w:bCs w:val="1"/>
          <w:i w:val="1"/>
          <w:iCs w:val="1"/>
          <w:color w:val="auto"/>
        </w:rPr>
        <w:t>Agreement</w:t>
      </w:r>
      <w:r>
        <w:rPr>
          <w:rFonts w:ascii="Arial" w:cs="Arial" w:eastAsia="Arial" w:hAnsi="Arial"/>
          <w:sz w:val="20"/>
          <w:szCs w:val="20"/>
          <w:i w:val="1"/>
          <w:iCs w:val="1"/>
          <w:color w:val="auto"/>
        </w:rPr>
        <w:t>”). Capitalized terms used but not defined in this term sheet will have the meaning attributed to them in the Agreement.</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00" w:type="dxa"/>
            <w:vAlign w:val="bottom"/>
            <w:tcBorders>
              <w:top w:val="single" w:sz="8" w:color="auto"/>
              <w:left w:val="single" w:sz="8" w:color="auto"/>
            </w:tcBorders>
          </w:tcPr>
          <w:p>
            <w:pPr>
              <w:jc w:val="right"/>
              <w:spacing w:after="0" w:line="207" w:lineRule="exact"/>
              <w:rPr>
                <w:sz w:val="20"/>
                <w:szCs w:val="20"/>
                <w:color w:val="auto"/>
              </w:rPr>
            </w:pPr>
            <w:r>
              <w:rPr>
                <w:rFonts w:ascii="Arial" w:cs="Arial" w:eastAsia="Arial" w:hAnsi="Arial"/>
                <w:sz w:val="20"/>
                <w:szCs w:val="20"/>
                <w:color w:val="auto"/>
              </w:rPr>
              <w:t>1.</w:t>
            </w:r>
          </w:p>
        </w:tc>
        <w:tc>
          <w:tcPr>
            <w:tcW w:w="1640" w:type="dxa"/>
            <w:vAlign w:val="bottom"/>
            <w:tcBorders>
              <w:top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b w:val="1"/>
                <w:bCs w:val="1"/>
                <w:color w:val="auto"/>
              </w:rPr>
              <w:t>Purpose and</w:t>
            </w:r>
          </w:p>
        </w:tc>
        <w:tc>
          <w:tcPr>
            <w:tcW w:w="6620" w:type="dxa"/>
            <w:vAlign w:val="bottom"/>
            <w:tcBorders>
              <w:top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3"/>
              </w:rPr>
              <w:t>Pursuant to the Clinical Supply Agreement, MacroGenics will Manufacture and</w:t>
            </w:r>
          </w:p>
        </w:tc>
      </w:tr>
      <w:tr>
        <w:trPr>
          <w:trHeight w:val="208"/>
        </w:trPr>
        <w:tc>
          <w:tcPr>
            <w:tcW w:w="30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tcPr>
          <w:p>
            <w:pPr>
              <w:ind w:left="160"/>
              <w:spacing w:after="0" w:line="208" w:lineRule="exact"/>
              <w:rPr>
                <w:sz w:val="20"/>
                <w:szCs w:val="20"/>
                <w:color w:val="auto"/>
              </w:rPr>
            </w:pPr>
            <w:r>
              <w:rPr>
                <w:rFonts w:ascii="Arial" w:cs="Arial" w:eastAsia="Arial" w:hAnsi="Arial"/>
                <w:sz w:val="20"/>
                <w:szCs w:val="20"/>
                <w:b w:val="1"/>
                <w:bCs w:val="1"/>
                <w:color w:val="auto"/>
              </w:rPr>
              <w:t>Scope</w:t>
            </w:r>
          </w:p>
        </w:tc>
        <w:tc>
          <w:tcPr>
            <w:tcW w:w="6620" w:type="dxa"/>
            <w:vAlign w:val="bottom"/>
            <w:tcBorders>
              <w:right w:val="single" w:sz="8" w:color="auto"/>
            </w:tcBorders>
          </w:tcPr>
          <w:p>
            <w:pPr>
              <w:ind w:left="120"/>
              <w:spacing w:after="0" w:line="208" w:lineRule="exact"/>
              <w:rPr>
                <w:sz w:val="20"/>
                <w:szCs w:val="20"/>
                <w:color w:val="auto"/>
              </w:rPr>
            </w:pPr>
            <w:r>
              <w:rPr>
                <w:rFonts w:ascii="Arial" w:cs="Arial" w:eastAsia="Arial" w:hAnsi="Arial"/>
                <w:sz w:val="20"/>
                <w:szCs w:val="20"/>
                <w:color w:val="auto"/>
                <w:w w:val="95"/>
              </w:rPr>
              <w:t>supply exclusively to Gilead MGD024 Drug Products for use in Clinical Trials</w:t>
            </w:r>
          </w:p>
        </w:tc>
      </w:tr>
      <w:tr>
        <w:trPr>
          <w:trHeight w:val="246"/>
        </w:trPr>
        <w:tc>
          <w:tcPr>
            <w:tcW w:w="300" w:type="dxa"/>
            <w:vAlign w:val="bottom"/>
            <w:tcBorders>
              <w:left w:val="single" w:sz="8" w:color="auto"/>
              <w:bottom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6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to be conducted by Gilead under the Agreement.</w:t>
            </w:r>
          </w:p>
        </w:tc>
      </w:tr>
      <w:tr>
        <w:trPr>
          <w:trHeight w:val="196"/>
        </w:trPr>
        <w:tc>
          <w:tcPr>
            <w:tcW w:w="300" w:type="dxa"/>
            <w:vAlign w:val="bottom"/>
            <w:tcBorders>
              <w:left w:val="single" w:sz="8" w:color="auto"/>
            </w:tcBorders>
          </w:tcPr>
          <w:p>
            <w:pPr>
              <w:jc w:val="right"/>
              <w:spacing w:after="0" w:line="196" w:lineRule="exact"/>
              <w:rPr>
                <w:sz w:val="20"/>
                <w:szCs w:val="20"/>
                <w:color w:val="auto"/>
              </w:rPr>
            </w:pPr>
            <w:r>
              <w:rPr>
                <w:rFonts w:ascii="Arial" w:cs="Arial" w:eastAsia="Arial" w:hAnsi="Arial"/>
                <w:sz w:val="20"/>
                <w:szCs w:val="20"/>
                <w:color w:val="auto"/>
              </w:rPr>
              <w:t>2.</w:t>
            </w:r>
          </w:p>
        </w:tc>
        <w:tc>
          <w:tcPr>
            <w:tcW w:w="16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20"/>
                <w:szCs w:val="20"/>
                <w:b w:val="1"/>
                <w:bCs w:val="1"/>
                <w:color w:val="auto"/>
              </w:rPr>
              <w:t>Products</w:t>
            </w:r>
          </w:p>
        </w:tc>
        <w:tc>
          <w:tcPr>
            <w:tcW w:w="6620" w:type="dxa"/>
            <w:vAlign w:val="bottom"/>
            <w:tcBorders>
              <w:right w:val="single" w:sz="8" w:color="auto"/>
            </w:tcBorders>
          </w:tcPr>
          <w:p>
            <w:pPr>
              <w:ind w:left="120"/>
              <w:spacing w:after="0" w:line="196" w:lineRule="exact"/>
              <w:rPr>
                <w:sz w:val="20"/>
                <w:szCs w:val="20"/>
                <w:color w:val="auto"/>
              </w:rPr>
            </w:pPr>
            <w:r>
              <w:rPr>
                <w:rFonts w:ascii="Arial" w:cs="Arial" w:eastAsia="Arial" w:hAnsi="Arial"/>
                <w:sz w:val="20"/>
                <w:szCs w:val="20"/>
                <w:color w:val="auto"/>
                <w:w w:val="95"/>
              </w:rPr>
              <w:t>MacroGenics will supply the MGD024 Drug Product [***], in accordance with</w:t>
            </w:r>
          </w:p>
        </w:tc>
      </w:tr>
      <w:tr>
        <w:trPr>
          <w:trHeight w:val="199"/>
        </w:trPr>
        <w:tc>
          <w:tcPr>
            <w:tcW w:w="30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120"/>
              <w:spacing w:after="0" w:line="199" w:lineRule="exact"/>
              <w:rPr>
                <w:sz w:val="20"/>
                <w:szCs w:val="20"/>
                <w:color w:val="auto"/>
              </w:rPr>
            </w:pPr>
            <w:r>
              <w:rPr>
                <w:rFonts w:ascii="Arial" w:cs="Arial" w:eastAsia="Arial" w:hAnsi="Arial"/>
                <w:sz w:val="20"/>
                <w:szCs w:val="20"/>
                <w:color w:val="auto"/>
                <w:w w:val="97"/>
              </w:rPr>
              <w:t>the applicable specifications for such MGD024 Drug Product set forth in an</w:t>
            </w:r>
          </w:p>
        </w:tc>
      </w:tr>
      <w:tr>
        <w:trPr>
          <w:trHeight w:val="192"/>
        </w:trPr>
        <w:tc>
          <w:tcPr>
            <w:tcW w:w="30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6620" w:type="dxa"/>
            <w:vAlign w:val="bottom"/>
            <w:tcBorders>
              <w:right w:val="single" w:sz="8" w:color="auto"/>
            </w:tcBorders>
          </w:tcPr>
          <w:p>
            <w:pPr>
              <w:ind w:left="120"/>
              <w:spacing w:after="0" w:line="192" w:lineRule="exact"/>
              <w:rPr>
                <w:sz w:val="20"/>
                <w:szCs w:val="20"/>
                <w:color w:val="auto"/>
              </w:rPr>
            </w:pPr>
            <w:r>
              <w:rPr>
                <w:rFonts w:ascii="Arial" w:cs="Arial" w:eastAsia="Arial" w:hAnsi="Arial"/>
                <w:sz w:val="20"/>
                <w:szCs w:val="20"/>
                <w:color w:val="auto"/>
                <w:w w:val="96"/>
              </w:rPr>
              <w:t>exhibit to the Clinical Supply Agreement, as the same may be updated from</w:t>
            </w:r>
          </w:p>
        </w:tc>
      </w:tr>
      <w:tr>
        <w:trPr>
          <w:trHeight w:val="199"/>
        </w:trPr>
        <w:tc>
          <w:tcPr>
            <w:tcW w:w="30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120"/>
              <w:spacing w:after="0" w:line="199" w:lineRule="exact"/>
              <w:rPr>
                <w:sz w:val="20"/>
                <w:szCs w:val="20"/>
                <w:color w:val="auto"/>
              </w:rPr>
            </w:pPr>
            <w:r>
              <w:rPr>
                <w:rFonts w:ascii="Arial" w:cs="Arial" w:eastAsia="Arial" w:hAnsi="Arial"/>
                <w:sz w:val="20"/>
                <w:szCs w:val="20"/>
                <w:color w:val="auto"/>
              </w:rPr>
              <w:t>time to time by agreement of the Parties (the “</w:t>
            </w:r>
            <w:r>
              <w:rPr>
                <w:rFonts w:ascii="Arial" w:cs="Arial" w:eastAsia="Arial" w:hAnsi="Arial"/>
                <w:sz w:val="20"/>
                <w:szCs w:val="20"/>
                <w:b w:val="1"/>
                <w:bCs w:val="1"/>
                <w:color w:val="auto"/>
              </w:rPr>
              <w:t>Specifications</w:t>
            </w:r>
            <w:r>
              <w:rPr>
                <w:rFonts w:ascii="Arial" w:cs="Arial" w:eastAsia="Arial" w:hAnsi="Arial"/>
                <w:sz w:val="20"/>
                <w:szCs w:val="20"/>
                <w:color w:val="auto"/>
              </w:rPr>
              <w:t>”). Unless</w:t>
            </w:r>
          </w:p>
        </w:tc>
      </w:tr>
      <w:tr>
        <w:trPr>
          <w:trHeight w:val="192"/>
        </w:trPr>
        <w:tc>
          <w:tcPr>
            <w:tcW w:w="30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6620" w:type="dxa"/>
            <w:vAlign w:val="bottom"/>
            <w:tcBorders>
              <w:right w:val="single" w:sz="8" w:color="auto"/>
            </w:tcBorders>
          </w:tcPr>
          <w:p>
            <w:pPr>
              <w:ind w:left="120"/>
              <w:spacing w:after="0" w:line="192" w:lineRule="exact"/>
              <w:rPr>
                <w:sz w:val="20"/>
                <w:szCs w:val="20"/>
                <w:color w:val="auto"/>
              </w:rPr>
            </w:pPr>
            <w:r>
              <w:rPr>
                <w:rFonts w:ascii="Arial" w:cs="Arial" w:eastAsia="Arial" w:hAnsi="Arial"/>
                <w:sz w:val="20"/>
                <w:szCs w:val="20"/>
                <w:color w:val="auto"/>
                <w:w w:val="95"/>
              </w:rPr>
              <w:t>otherwise agreed by the Parties, Gilead will be responsible for [***] MGD024</w:t>
            </w:r>
          </w:p>
        </w:tc>
      </w:tr>
      <w:tr>
        <w:trPr>
          <w:trHeight w:val="253"/>
        </w:trPr>
        <w:tc>
          <w:tcPr>
            <w:tcW w:w="300" w:type="dxa"/>
            <w:vAlign w:val="bottom"/>
            <w:tcBorders>
              <w:left w:val="single" w:sz="8" w:color="auto"/>
              <w:bottom w:val="single" w:sz="8" w:color="auto"/>
            </w:tcBorders>
          </w:tcPr>
          <w:p>
            <w:pPr>
              <w:spacing w:after="0"/>
              <w:rPr>
                <w:sz w:val="22"/>
                <w:szCs w:val="22"/>
                <w:color w:val="auto"/>
              </w:rPr>
            </w:pPr>
          </w:p>
        </w:tc>
        <w:tc>
          <w:tcPr>
            <w:tcW w:w="1640" w:type="dxa"/>
            <w:vAlign w:val="bottom"/>
            <w:tcBorders>
              <w:bottom w:val="single" w:sz="8" w:color="auto"/>
              <w:right w:val="single" w:sz="8" w:color="auto"/>
            </w:tcBorders>
          </w:tcPr>
          <w:p>
            <w:pPr>
              <w:spacing w:after="0"/>
              <w:rPr>
                <w:sz w:val="22"/>
                <w:szCs w:val="22"/>
                <w:color w:val="auto"/>
              </w:rPr>
            </w:pPr>
          </w:p>
        </w:tc>
        <w:tc>
          <w:tcPr>
            <w:tcW w:w="6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Drug Products.</w:t>
            </w:r>
          </w:p>
        </w:tc>
      </w:tr>
      <w:tr>
        <w:trPr>
          <w:trHeight w:val="199"/>
        </w:trPr>
        <w:tc>
          <w:tcPr>
            <w:tcW w:w="300" w:type="dxa"/>
            <w:vAlign w:val="bottom"/>
            <w:tcBorders>
              <w:left w:val="single" w:sz="8" w:color="auto"/>
            </w:tcBorders>
          </w:tcPr>
          <w:p>
            <w:pPr>
              <w:jc w:val="right"/>
              <w:spacing w:after="0" w:line="199" w:lineRule="exact"/>
              <w:rPr>
                <w:sz w:val="20"/>
                <w:szCs w:val="20"/>
                <w:color w:val="auto"/>
              </w:rPr>
            </w:pPr>
            <w:r>
              <w:rPr>
                <w:rFonts w:ascii="Arial" w:cs="Arial" w:eastAsia="Arial" w:hAnsi="Arial"/>
                <w:sz w:val="20"/>
                <w:szCs w:val="20"/>
                <w:color w:val="auto"/>
              </w:rPr>
              <w:t>3.</w:t>
            </w:r>
          </w:p>
        </w:tc>
        <w:tc>
          <w:tcPr>
            <w:tcW w:w="164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20"/>
                <w:szCs w:val="20"/>
                <w:b w:val="1"/>
                <w:bCs w:val="1"/>
                <w:color w:val="auto"/>
              </w:rPr>
              <w:t>Term</w:t>
            </w:r>
          </w:p>
        </w:tc>
        <w:tc>
          <w:tcPr>
            <w:tcW w:w="6620" w:type="dxa"/>
            <w:vAlign w:val="bottom"/>
            <w:tcBorders>
              <w:right w:val="single" w:sz="8" w:color="auto"/>
            </w:tcBorders>
          </w:tcPr>
          <w:p>
            <w:pPr>
              <w:ind w:left="120"/>
              <w:spacing w:after="0" w:line="199" w:lineRule="exact"/>
              <w:rPr>
                <w:sz w:val="20"/>
                <w:szCs w:val="20"/>
                <w:color w:val="auto"/>
              </w:rPr>
            </w:pPr>
            <w:r>
              <w:rPr>
                <w:rFonts w:ascii="Arial" w:cs="Arial" w:eastAsia="Arial" w:hAnsi="Arial"/>
                <w:sz w:val="20"/>
                <w:szCs w:val="20"/>
                <w:color w:val="auto"/>
                <w:w w:val="95"/>
              </w:rPr>
              <w:t>[***], unless otherwise mutually agreed by the Parties in writing or terminated</w:t>
            </w:r>
          </w:p>
        </w:tc>
      </w:tr>
      <w:tr>
        <w:trPr>
          <w:trHeight w:val="243"/>
        </w:trPr>
        <w:tc>
          <w:tcPr>
            <w:tcW w:w="300" w:type="dxa"/>
            <w:vAlign w:val="bottom"/>
            <w:tcBorders>
              <w:left w:val="single" w:sz="8" w:color="auto"/>
              <w:bottom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6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earlier in accordance with its terms (“</w:t>
            </w:r>
            <w:r>
              <w:rPr>
                <w:rFonts w:ascii="Arial" w:cs="Arial" w:eastAsia="Arial" w:hAnsi="Arial"/>
                <w:sz w:val="20"/>
                <w:szCs w:val="20"/>
                <w:b w:val="1"/>
                <w:bCs w:val="1"/>
                <w:color w:val="auto"/>
              </w:rPr>
              <w:t>Supply Term</w:t>
            </w:r>
            <w:r>
              <w:rPr>
                <w:rFonts w:ascii="Arial" w:cs="Arial" w:eastAsia="Arial" w:hAnsi="Arial"/>
                <w:sz w:val="20"/>
                <w:szCs w:val="20"/>
                <w:color w:val="auto"/>
              </w:rPr>
              <w:t>”).</w:t>
            </w:r>
          </w:p>
        </w:tc>
      </w:tr>
      <w:tr>
        <w:trPr>
          <w:trHeight w:val="196"/>
        </w:trPr>
        <w:tc>
          <w:tcPr>
            <w:tcW w:w="300" w:type="dxa"/>
            <w:vAlign w:val="bottom"/>
            <w:tcBorders>
              <w:left w:val="single" w:sz="8" w:color="auto"/>
            </w:tcBorders>
          </w:tcPr>
          <w:p>
            <w:pPr>
              <w:jc w:val="right"/>
              <w:spacing w:after="0" w:line="196" w:lineRule="exact"/>
              <w:rPr>
                <w:sz w:val="20"/>
                <w:szCs w:val="20"/>
                <w:color w:val="auto"/>
              </w:rPr>
            </w:pPr>
            <w:r>
              <w:rPr>
                <w:rFonts w:ascii="Arial" w:cs="Arial" w:eastAsia="Arial" w:hAnsi="Arial"/>
                <w:sz w:val="20"/>
                <w:szCs w:val="20"/>
                <w:color w:val="auto"/>
              </w:rPr>
              <w:t>4.</w:t>
            </w:r>
          </w:p>
        </w:tc>
        <w:tc>
          <w:tcPr>
            <w:tcW w:w="16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20"/>
                <w:szCs w:val="20"/>
                <w:b w:val="1"/>
                <w:bCs w:val="1"/>
                <w:color w:val="auto"/>
              </w:rPr>
              <w:t>Purchase</w:t>
            </w:r>
          </w:p>
        </w:tc>
        <w:tc>
          <w:tcPr>
            <w:tcW w:w="6620" w:type="dxa"/>
            <w:vAlign w:val="bottom"/>
            <w:tcBorders>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 MGD024 Drug Products for use in Clinical Trials as well as to [***]</w:t>
            </w:r>
          </w:p>
        </w:tc>
      </w:tr>
      <w:tr>
        <w:trPr>
          <w:trHeight w:val="216"/>
        </w:trPr>
        <w:tc>
          <w:tcPr>
            <w:tcW w:w="30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0"/>
                <w:szCs w:val="20"/>
                <w:b w:val="1"/>
                <w:bCs w:val="1"/>
                <w:color w:val="auto"/>
              </w:rPr>
              <w:t>Orders</w:t>
            </w:r>
          </w:p>
        </w:tc>
        <w:tc>
          <w:tcPr>
            <w:tcW w:w="662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color w:val="auto"/>
                <w:w w:val="96"/>
              </w:rPr>
              <w:t>(“</w:t>
            </w:r>
            <w:r>
              <w:rPr>
                <w:rFonts w:ascii="Arial" w:cs="Arial" w:eastAsia="Arial" w:hAnsi="Arial"/>
                <w:sz w:val="20"/>
                <w:szCs w:val="20"/>
                <w:b w:val="1"/>
                <w:bCs w:val="1"/>
                <w:color w:val="auto"/>
                <w:w w:val="96"/>
              </w:rPr>
              <w:t>Purchase Orders</w:t>
            </w:r>
            <w:r>
              <w:rPr>
                <w:rFonts w:ascii="Arial" w:cs="Arial" w:eastAsia="Arial" w:hAnsi="Arial"/>
                <w:sz w:val="20"/>
                <w:szCs w:val="20"/>
                <w:color w:val="auto"/>
                <w:w w:val="96"/>
              </w:rPr>
              <w:t>”). Each Purchase Order will specify the quantities of the</w:t>
            </w:r>
          </w:p>
        </w:tc>
      </w:tr>
      <w:tr>
        <w:trPr>
          <w:trHeight w:val="176"/>
        </w:trPr>
        <w:tc>
          <w:tcPr>
            <w:tcW w:w="300" w:type="dxa"/>
            <w:vAlign w:val="bottom"/>
            <w:tcBorders>
              <w:lef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662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20"/>
                <w:szCs w:val="20"/>
                <w:color w:val="auto"/>
                <w:w w:val="99"/>
              </w:rPr>
              <w:t>applicable MGD024 Drug Products being ordered [***] after MacroGenics’</w:t>
            </w:r>
          </w:p>
        </w:tc>
      </w:tr>
      <w:tr>
        <w:trPr>
          <w:trHeight w:val="199"/>
        </w:trPr>
        <w:tc>
          <w:tcPr>
            <w:tcW w:w="30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120"/>
              <w:spacing w:after="0" w:line="199" w:lineRule="exact"/>
              <w:rPr>
                <w:sz w:val="20"/>
                <w:szCs w:val="20"/>
                <w:color w:val="auto"/>
              </w:rPr>
            </w:pPr>
            <w:r>
              <w:rPr>
                <w:rFonts w:ascii="Arial" w:cs="Arial" w:eastAsia="Arial" w:hAnsi="Arial"/>
                <w:sz w:val="20"/>
                <w:szCs w:val="20"/>
                <w:color w:val="auto"/>
                <w:w w:val="94"/>
              </w:rPr>
              <w:t>receipt of a Purchase Order, MacroGenics will confirm the [***] MGD024 Drug</w:t>
            </w:r>
          </w:p>
        </w:tc>
      </w:tr>
      <w:tr>
        <w:trPr>
          <w:trHeight w:val="192"/>
        </w:trPr>
        <w:tc>
          <w:tcPr>
            <w:tcW w:w="30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6620" w:type="dxa"/>
            <w:vAlign w:val="bottom"/>
            <w:tcBorders>
              <w:right w:val="single" w:sz="8" w:color="auto"/>
            </w:tcBorders>
          </w:tcPr>
          <w:p>
            <w:pPr>
              <w:ind w:left="120"/>
              <w:spacing w:after="0" w:line="192" w:lineRule="exact"/>
              <w:rPr>
                <w:sz w:val="20"/>
                <w:szCs w:val="20"/>
                <w:color w:val="auto"/>
              </w:rPr>
            </w:pPr>
            <w:r>
              <w:rPr>
                <w:rFonts w:ascii="Arial" w:cs="Arial" w:eastAsia="Arial" w:hAnsi="Arial"/>
                <w:sz w:val="20"/>
                <w:szCs w:val="20"/>
                <w:color w:val="auto"/>
                <w:w w:val="93"/>
              </w:rPr>
              <w:t>Product ordered under such Purchase Order [***] Purchase Order provided by</w:t>
            </w:r>
          </w:p>
        </w:tc>
      </w:tr>
      <w:tr>
        <w:trPr>
          <w:trHeight w:val="199"/>
        </w:trPr>
        <w:tc>
          <w:tcPr>
            <w:tcW w:w="30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120"/>
              <w:spacing w:after="0" w:line="199" w:lineRule="exact"/>
              <w:rPr>
                <w:sz w:val="20"/>
                <w:szCs w:val="20"/>
                <w:color w:val="auto"/>
              </w:rPr>
            </w:pPr>
            <w:r>
              <w:rPr>
                <w:rFonts w:ascii="Arial" w:cs="Arial" w:eastAsia="Arial" w:hAnsi="Arial"/>
                <w:sz w:val="20"/>
                <w:szCs w:val="20"/>
                <w:color w:val="auto"/>
                <w:w w:val="98"/>
              </w:rPr>
              <w:t xml:space="preserve">Gilead; </w:t>
            </w:r>
            <w:r>
              <w:rPr>
                <w:rFonts w:ascii="Arial" w:cs="Arial" w:eastAsia="Arial" w:hAnsi="Arial"/>
                <w:sz w:val="20"/>
                <w:szCs w:val="20"/>
                <w:i w:val="1"/>
                <w:iCs w:val="1"/>
                <w:color w:val="auto"/>
                <w:w w:val="98"/>
              </w:rPr>
              <w:t>provided</w:t>
            </w:r>
            <w:r>
              <w:rPr>
                <w:rFonts w:ascii="Arial" w:cs="Arial" w:eastAsia="Arial" w:hAnsi="Arial"/>
                <w:sz w:val="20"/>
                <w:szCs w:val="20"/>
                <w:color w:val="auto"/>
                <w:w w:val="98"/>
              </w:rPr>
              <w:t xml:space="preserve"> that the [***]. From time to time, Gilead will discuss at the</w:t>
            </w:r>
          </w:p>
        </w:tc>
      </w:tr>
      <w:tr>
        <w:trPr>
          <w:trHeight w:val="203"/>
        </w:trPr>
        <w:tc>
          <w:tcPr>
            <w:tcW w:w="30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20"/>
                <w:szCs w:val="20"/>
                <w:color w:val="auto"/>
                <w:w w:val="96"/>
              </w:rPr>
              <w:t>JSC its requirements of MGD024 Drug Products for Clinical Trials under the</w:t>
            </w:r>
          </w:p>
        </w:tc>
      </w:tr>
      <w:tr>
        <w:trPr>
          <w:trHeight w:val="246"/>
        </w:trPr>
        <w:tc>
          <w:tcPr>
            <w:tcW w:w="300" w:type="dxa"/>
            <w:vAlign w:val="bottom"/>
            <w:tcBorders>
              <w:left w:val="single" w:sz="8" w:color="auto"/>
              <w:bottom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6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Agreement.</w:t>
            </w:r>
          </w:p>
        </w:tc>
      </w:tr>
      <w:tr>
        <w:trPr>
          <w:trHeight w:val="187"/>
        </w:trPr>
        <w:tc>
          <w:tcPr>
            <w:tcW w:w="300" w:type="dxa"/>
            <w:vAlign w:val="bottom"/>
            <w:tcBorders>
              <w:left w:val="single" w:sz="8" w:color="auto"/>
            </w:tcBorders>
          </w:tcPr>
          <w:p>
            <w:pPr>
              <w:jc w:val="right"/>
              <w:spacing w:after="0" w:line="186" w:lineRule="exact"/>
              <w:rPr>
                <w:sz w:val="20"/>
                <w:szCs w:val="20"/>
                <w:color w:val="auto"/>
              </w:rPr>
            </w:pPr>
            <w:r>
              <w:rPr>
                <w:rFonts w:ascii="Arial" w:cs="Arial" w:eastAsia="Arial" w:hAnsi="Arial"/>
                <w:sz w:val="20"/>
                <w:szCs w:val="20"/>
                <w:color w:val="auto"/>
              </w:rPr>
              <w:t>5.</w:t>
            </w:r>
          </w:p>
        </w:tc>
        <w:tc>
          <w:tcPr>
            <w:tcW w:w="16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20"/>
                <w:szCs w:val="20"/>
                <w:b w:val="1"/>
                <w:bCs w:val="1"/>
                <w:color w:val="auto"/>
              </w:rPr>
              <w:t>Supply Price;</w:t>
            </w:r>
          </w:p>
        </w:tc>
        <w:tc>
          <w:tcPr>
            <w:tcW w:w="662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20"/>
                <w:szCs w:val="20"/>
                <w:color w:val="auto"/>
                <w:w w:val="96"/>
              </w:rPr>
              <w:t>MacroGenics will supply MGD024 Drug Products to Gilead at a supply price</w:t>
            </w:r>
          </w:p>
        </w:tc>
      </w:tr>
      <w:tr>
        <w:trPr>
          <w:trHeight w:val="203"/>
        </w:trPr>
        <w:tc>
          <w:tcPr>
            <w:tcW w:w="30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tcPr>
          <w:p>
            <w:pPr>
              <w:ind w:left="160"/>
              <w:spacing w:after="0" w:line="203" w:lineRule="exact"/>
              <w:rPr>
                <w:sz w:val="20"/>
                <w:szCs w:val="20"/>
                <w:color w:val="auto"/>
              </w:rPr>
            </w:pPr>
            <w:r>
              <w:rPr>
                <w:rFonts w:ascii="Arial" w:cs="Arial" w:eastAsia="Arial" w:hAnsi="Arial"/>
                <w:sz w:val="20"/>
                <w:szCs w:val="20"/>
                <w:b w:val="1"/>
                <w:bCs w:val="1"/>
                <w:color w:val="auto"/>
              </w:rPr>
              <w:t>Invoicing and</w:t>
            </w:r>
          </w:p>
        </w:tc>
        <w:tc>
          <w:tcPr>
            <w:tcW w:w="662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20"/>
                <w:szCs w:val="20"/>
                <w:color w:val="auto"/>
              </w:rPr>
              <w:t>equal to [***] (as defined in the Agreement) incurred by MacroGenics to</w:t>
            </w:r>
          </w:p>
        </w:tc>
      </w:tr>
      <w:tr>
        <w:trPr>
          <w:trHeight w:val="198"/>
        </w:trPr>
        <w:tc>
          <w:tcPr>
            <w:tcW w:w="30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20"/>
                <w:szCs w:val="20"/>
                <w:b w:val="1"/>
                <w:bCs w:val="1"/>
                <w:color w:val="auto"/>
              </w:rPr>
              <w:t>Delivery</w:t>
            </w:r>
          </w:p>
        </w:tc>
        <w:tc>
          <w:tcPr>
            <w:tcW w:w="6620" w:type="dxa"/>
            <w:vAlign w:val="bottom"/>
            <w:tcBorders>
              <w:right w:val="single" w:sz="8" w:color="auto"/>
            </w:tcBorders>
          </w:tcPr>
          <w:p>
            <w:pPr>
              <w:ind w:left="120"/>
              <w:spacing w:after="0" w:line="198" w:lineRule="exact"/>
              <w:rPr>
                <w:sz w:val="20"/>
                <w:szCs w:val="20"/>
                <w:color w:val="auto"/>
              </w:rPr>
            </w:pPr>
            <w:r>
              <w:rPr>
                <w:rFonts w:ascii="Arial" w:cs="Arial" w:eastAsia="Arial" w:hAnsi="Arial"/>
                <w:sz w:val="20"/>
                <w:szCs w:val="20"/>
                <w:color w:val="auto"/>
                <w:w w:val="92"/>
              </w:rPr>
              <w:t>Manufacture a batch of MGD024 Drug Product for clinical supply purposes (the</w:t>
            </w:r>
          </w:p>
        </w:tc>
      </w:tr>
      <w:tr>
        <w:trPr>
          <w:trHeight w:val="256"/>
        </w:trPr>
        <w:tc>
          <w:tcPr>
            <w:tcW w:w="300" w:type="dxa"/>
            <w:vAlign w:val="bottom"/>
            <w:tcBorders>
              <w:left w:val="single" w:sz="8" w:color="auto"/>
              <w:bottom w:val="single" w:sz="8" w:color="auto"/>
            </w:tcBorders>
          </w:tcPr>
          <w:p>
            <w:pPr>
              <w:spacing w:after="0"/>
              <w:rPr>
                <w:sz w:val="22"/>
                <w:szCs w:val="22"/>
                <w:color w:val="auto"/>
              </w:rPr>
            </w:pPr>
          </w:p>
        </w:tc>
        <w:tc>
          <w:tcPr>
            <w:tcW w:w="1640" w:type="dxa"/>
            <w:vAlign w:val="bottom"/>
            <w:tcBorders>
              <w:bottom w:val="single" w:sz="8" w:color="auto"/>
              <w:right w:val="single" w:sz="8" w:color="auto"/>
            </w:tcBorders>
          </w:tcPr>
          <w:p>
            <w:pPr>
              <w:spacing w:after="0"/>
              <w:rPr>
                <w:sz w:val="22"/>
                <w:szCs w:val="22"/>
                <w:color w:val="auto"/>
              </w:rPr>
            </w:pPr>
          </w:p>
        </w:tc>
        <w:tc>
          <w:tcPr>
            <w:tcW w:w="6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MGD024 Transfer Price</w:t>
            </w:r>
            <w:r>
              <w:rPr>
                <w:rFonts w:ascii="Arial" w:cs="Arial" w:eastAsia="Arial" w:hAnsi="Arial"/>
                <w:sz w:val="20"/>
                <w:szCs w:val="20"/>
                <w:color w:val="auto"/>
              </w:rPr>
              <w:t>”).</w:t>
            </w:r>
          </w:p>
        </w:tc>
      </w:tr>
    </w:tbl>
    <w:p>
      <w:pPr>
        <w:sectPr>
          <w:pgSz w:w="11900" w:h="16838" w:orient="portrait"/>
          <w:cols w:equalWidth="0" w:num="1">
            <w:col w:w="9880"/>
          </w:cols>
          <w:pgMar w:left="1140" w:top="1386" w:right="879" w:bottom="1440" w:gutter="0" w:footer="0" w:header="0"/>
        </w:sectPr>
      </w:pPr>
    </w:p>
    <w:bookmarkStart w:id="243" w:name="page244"/>
    <w:bookmarkEnd w:id="243"/>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13"/>
        </w:trPr>
        <w:tc>
          <w:tcPr>
            <w:tcW w:w="1860" w:type="dxa"/>
            <w:vAlign w:val="bottom"/>
            <w:tcBorders>
              <w:top w:val="single" w:sz="8" w:color="auto"/>
              <w:left w:val="single" w:sz="8" w:color="auto"/>
              <w:right w:val="single" w:sz="8" w:color="auto"/>
            </w:tcBorders>
          </w:tcPr>
          <w:p>
            <w:pPr>
              <w:spacing w:after="0"/>
              <w:rPr>
                <w:sz w:val="18"/>
                <w:szCs w:val="18"/>
                <w:color w:val="auto"/>
              </w:rPr>
            </w:pPr>
          </w:p>
        </w:tc>
        <w:tc>
          <w:tcPr>
            <w:tcW w:w="6300" w:type="dxa"/>
            <w:vAlign w:val="bottom"/>
            <w:tcBorders>
              <w:top w:val="single" w:sz="8" w:color="auto"/>
              <w:right w:val="single" w:sz="8" w:color="auto"/>
            </w:tcBorders>
          </w:tcPr>
          <w:p>
            <w:pPr>
              <w:ind w:left="100"/>
              <w:spacing w:after="0" w:line="212" w:lineRule="exact"/>
              <w:rPr>
                <w:sz w:val="20"/>
                <w:szCs w:val="20"/>
                <w:color w:val="auto"/>
              </w:rPr>
            </w:pPr>
            <w:r>
              <w:rPr>
                <w:rFonts w:ascii="Arial" w:cs="Arial" w:eastAsia="Arial" w:hAnsi="Arial"/>
                <w:sz w:val="20"/>
                <w:szCs w:val="20"/>
                <w:color w:val="auto"/>
                <w:w w:val="98"/>
              </w:rPr>
              <w:t>[***] to have an independent public accounting firm audit MacroGenics’</w:t>
            </w:r>
          </w:p>
        </w:tc>
      </w:tr>
      <w:tr>
        <w:trPr>
          <w:trHeight w:val="192"/>
        </w:trPr>
        <w:tc>
          <w:tcPr>
            <w:tcW w:w="1860" w:type="dxa"/>
            <w:vAlign w:val="bottom"/>
            <w:tcBorders>
              <w:left w:val="single" w:sz="8" w:color="auto"/>
              <w:right w:val="single" w:sz="8" w:color="auto"/>
            </w:tcBorders>
          </w:tcPr>
          <w:p>
            <w:pPr>
              <w:spacing w:after="0"/>
              <w:rPr>
                <w:sz w:val="16"/>
                <w:szCs w:val="16"/>
                <w:color w:val="auto"/>
              </w:rPr>
            </w:pPr>
          </w:p>
        </w:tc>
        <w:tc>
          <w:tcPr>
            <w:tcW w:w="630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w w:val="92"/>
              </w:rPr>
              <w:t>books and records to verify the accuracy of the [***]. Any overcharges shall</w:t>
            </w: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be reimbursed to Gilead.</w:t>
            </w:r>
          </w:p>
        </w:tc>
      </w:tr>
      <w:tr>
        <w:trPr>
          <w:trHeight w:val="276"/>
        </w:trPr>
        <w:tc>
          <w:tcPr>
            <w:tcW w:w="1860" w:type="dxa"/>
            <w:vAlign w:val="bottom"/>
            <w:tcBorders>
              <w:left w:val="single" w:sz="8" w:color="auto"/>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MacroGenics will invoice Gilead for [***] MGD024 Transfer Price of</w:t>
            </w:r>
          </w:p>
        </w:tc>
      </w:tr>
      <w:tr>
        <w:trPr>
          <w:trHeight w:val="193"/>
        </w:trPr>
        <w:tc>
          <w:tcPr>
            <w:tcW w:w="1860" w:type="dxa"/>
            <w:vAlign w:val="bottom"/>
            <w:tcBorders>
              <w:left w:val="single" w:sz="8" w:color="auto"/>
              <w:right w:val="single" w:sz="8" w:color="auto"/>
            </w:tcBorders>
          </w:tcPr>
          <w:p>
            <w:pPr>
              <w:spacing w:after="0"/>
              <w:rPr>
                <w:sz w:val="16"/>
                <w:szCs w:val="16"/>
                <w:color w:val="auto"/>
              </w:rPr>
            </w:pPr>
          </w:p>
        </w:tc>
        <w:tc>
          <w:tcPr>
            <w:tcW w:w="630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20"/>
                <w:szCs w:val="20"/>
                <w:color w:val="auto"/>
                <w:w w:val="98"/>
              </w:rPr>
              <w:t>MGD024 Drug Products ordered pursuant to a Purchase Order [***] for</w:t>
            </w:r>
          </w:p>
        </w:tc>
      </w:tr>
      <w:tr>
        <w:trPr>
          <w:trHeight w:val="208"/>
        </w:trPr>
        <w:tc>
          <w:tcPr>
            <w:tcW w:w="186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100"/>
              <w:spacing w:after="0" w:line="208" w:lineRule="exact"/>
              <w:rPr>
                <w:sz w:val="20"/>
                <w:szCs w:val="20"/>
                <w:color w:val="auto"/>
              </w:rPr>
            </w:pPr>
            <w:r>
              <w:rPr>
                <w:rFonts w:ascii="Arial" w:cs="Arial" w:eastAsia="Arial" w:hAnsi="Arial"/>
                <w:sz w:val="20"/>
                <w:szCs w:val="20"/>
                <w:color w:val="auto"/>
                <w:w w:val="99"/>
              </w:rPr>
              <w:t>such MGD024 Drug Products (the “</w:t>
            </w:r>
            <w:r>
              <w:rPr>
                <w:rFonts w:ascii="Arial" w:cs="Arial" w:eastAsia="Arial" w:hAnsi="Arial"/>
                <w:sz w:val="20"/>
                <w:szCs w:val="20"/>
                <w:b w:val="1"/>
                <w:bCs w:val="1"/>
                <w:color w:val="auto"/>
                <w:w w:val="99"/>
              </w:rPr>
              <w:t>Delivery Date</w:t>
            </w:r>
            <w:r>
              <w:rPr>
                <w:rFonts w:ascii="Arial" w:cs="Arial" w:eastAsia="Arial" w:hAnsi="Arial"/>
                <w:sz w:val="20"/>
                <w:szCs w:val="20"/>
                <w:color w:val="auto"/>
                <w:w w:val="99"/>
              </w:rPr>
              <w:t>”). Gilead will pay all</w:t>
            </w: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undisputed invoiced amounts within [***] after the date of the invoice.</w:t>
            </w:r>
          </w:p>
        </w:tc>
      </w:tr>
      <w:tr>
        <w:trPr>
          <w:trHeight w:val="266"/>
        </w:trPr>
        <w:tc>
          <w:tcPr>
            <w:tcW w:w="1860" w:type="dxa"/>
            <w:vAlign w:val="bottom"/>
            <w:tcBorders>
              <w:left w:val="single" w:sz="8" w:color="auto"/>
              <w:right w:val="single" w:sz="8" w:color="auto"/>
            </w:tcBorders>
          </w:tcPr>
          <w:p>
            <w:pPr>
              <w:spacing w:after="0"/>
              <w:rPr>
                <w:sz w:val="23"/>
                <w:szCs w:val="23"/>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All MGD024 Drug Products will be delivered to Gilead [***] to be defined</w:t>
            </w:r>
          </w:p>
        </w:tc>
      </w:tr>
      <w:tr>
        <w:trPr>
          <w:trHeight w:val="253"/>
        </w:trPr>
        <w:tc>
          <w:tcPr>
            <w:tcW w:w="1860" w:type="dxa"/>
            <w:vAlign w:val="bottom"/>
            <w:tcBorders>
              <w:left w:val="single" w:sz="8" w:color="auto"/>
              <w:bottom w:val="single" w:sz="8" w:color="auto"/>
              <w:right w:val="single" w:sz="8" w:color="auto"/>
            </w:tcBorders>
          </w:tcPr>
          <w:p>
            <w:pPr>
              <w:spacing w:after="0"/>
              <w:rPr>
                <w:sz w:val="22"/>
                <w:szCs w:val="22"/>
                <w:color w:val="auto"/>
              </w:rPr>
            </w:pPr>
          </w:p>
        </w:tc>
        <w:tc>
          <w:tcPr>
            <w:tcW w:w="6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 the Clinical Supply Agreement.</w:t>
            </w:r>
          </w:p>
        </w:tc>
      </w:tr>
      <w:tr>
        <w:trPr>
          <w:trHeight w:val="190"/>
        </w:trPr>
        <w:tc>
          <w:tcPr>
            <w:tcW w:w="1860" w:type="dxa"/>
            <w:vAlign w:val="bottom"/>
            <w:tcBorders>
              <w:left w:val="single" w:sz="8" w:color="auto"/>
              <w:right w:val="single" w:sz="8" w:color="auto"/>
            </w:tcBorders>
          </w:tcPr>
          <w:p>
            <w:pPr>
              <w:ind w:left="120"/>
              <w:spacing w:after="0" w:line="190" w:lineRule="exact"/>
              <w:rPr>
                <w:sz w:val="20"/>
                <w:szCs w:val="20"/>
                <w:color w:val="auto"/>
              </w:rPr>
            </w:pPr>
            <w:r>
              <w:rPr>
                <w:rFonts w:ascii="Arial" w:cs="Arial" w:eastAsia="Arial" w:hAnsi="Arial"/>
                <w:sz w:val="20"/>
                <w:szCs w:val="20"/>
                <w:color w:val="auto"/>
              </w:rPr>
              <w:t xml:space="preserve">6. </w:t>
            </w:r>
            <w:r>
              <w:rPr>
                <w:rFonts w:ascii="Arial" w:cs="Arial" w:eastAsia="Arial" w:hAnsi="Arial"/>
                <w:sz w:val="20"/>
                <w:szCs w:val="20"/>
                <w:b w:val="1"/>
                <w:bCs w:val="1"/>
                <w:color w:val="auto"/>
              </w:rPr>
              <w:t>Applicable</w:t>
            </w:r>
          </w:p>
        </w:tc>
        <w:tc>
          <w:tcPr>
            <w:tcW w:w="630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20"/>
                <w:szCs w:val="20"/>
                <w:color w:val="auto"/>
              </w:rPr>
              <w:t>The national, federal, regional, state and provincial laws of the United</w:t>
            </w:r>
          </w:p>
        </w:tc>
      </w:tr>
      <w:tr>
        <w:trPr>
          <w:trHeight w:val="198"/>
        </w:trPr>
        <w:tc>
          <w:tcPr>
            <w:tcW w:w="1860" w:type="dxa"/>
            <w:vAlign w:val="bottom"/>
            <w:tcBorders>
              <w:left w:val="single" w:sz="8" w:color="auto"/>
              <w:right w:val="single" w:sz="8" w:color="auto"/>
            </w:tcBorders>
          </w:tcPr>
          <w:p>
            <w:pPr>
              <w:ind w:left="440"/>
              <w:spacing w:after="0" w:line="198" w:lineRule="exact"/>
              <w:rPr>
                <w:sz w:val="20"/>
                <w:szCs w:val="20"/>
                <w:color w:val="auto"/>
              </w:rPr>
            </w:pPr>
            <w:r>
              <w:rPr>
                <w:rFonts w:ascii="Arial" w:cs="Arial" w:eastAsia="Arial" w:hAnsi="Arial"/>
                <w:sz w:val="20"/>
                <w:szCs w:val="20"/>
                <w:b w:val="1"/>
                <w:bCs w:val="1"/>
                <w:color w:val="auto"/>
              </w:rPr>
              <w:t>Laws and</w:t>
            </w:r>
          </w:p>
        </w:tc>
        <w:tc>
          <w:tcPr>
            <w:tcW w:w="630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20"/>
                <w:szCs w:val="20"/>
                <w:color w:val="auto"/>
                <w:w w:val="94"/>
              </w:rPr>
              <w:t>States, EU and any other jurisdictions the Parties may agree on, including</w:t>
            </w:r>
          </w:p>
        </w:tc>
      </w:tr>
      <w:tr>
        <w:trPr>
          <w:trHeight w:val="256"/>
        </w:trPr>
        <w:tc>
          <w:tcPr>
            <w:tcW w:w="18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Regulations</w:t>
            </w:r>
          </w:p>
        </w:tc>
        <w:tc>
          <w:tcPr>
            <w:tcW w:w="6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cGMP, GCP and GBPS of such jurisdictions.</w:t>
            </w:r>
          </w:p>
        </w:tc>
      </w:tr>
      <w:tr>
        <w:trPr>
          <w:trHeight w:val="196"/>
        </w:trPr>
        <w:tc>
          <w:tcPr>
            <w:tcW w:w="1860" w:type="dxa"/>
            <w:vAlign w:val="bottom"/>
            <w:tcBorders>
              <w:left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 xml:space="preserve">7. </w:t>
            </w:r>
            <w:r>
              <w:rPr>
                <w:rFonts w:ascii="Arial" w:cs="Arial" w:eastAsia="Arial" w:hAnsi="Arial"/>
                <w:sz w:val="20"/>
                <w:szCs w:val="20"/>
                <w:b w:val="1"/>
                <w:bCs w:val="1"/>
                <w:color w:val="auto"/>
              </w:rPr>
              <w:t>Product</w:t>
            </w:r>
          </w:p>
        </w:tc>
        <w:tc>
          <w:tcPr>
            <w:tcW w:w="630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20"/>
                <w:szCs w:val="20"/>
                <w:color w:val="auto"/>
                <w:w w:val="95"/>
              </w:rPr>
              <w:t>MacroGenics shall use Commercially Reasonable Efforts to Manufacture</w:t>
            </w:r>
          </w:p>
        </w:tc>
      </w:tr>
      <w:tr>
        <w:trPr>
          <w:trHeight w:val="229"/>
        </w:trPr>
        <w:tc>
          <w:tcPr>
            <w:tcW w:w="186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Warranty</w:t>
            </w: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and deliver to Gilead MGD024 Drug Products. The MGD024 Drug Product</w:t>
            </w:r>
          </w:p>
        </w:tc>
      </w:tr>
      <w:tr>
        <w:trPr>
          <w:trHeight w:val="159"/>
        </w:trPr>
        <w:tc>
          <w:tcPr>
            <w:tcW w:w="1860" w:type="dxa"/>
            <w:vAlign w:val="bottom"/>
            <w:tcBorders>
              <w:left w:val="single" w:sz="8" w:color="auto"/>
              <w:right w:val="single" w:sz="8" w:color="auto"/>
            </w:tcBorders>
          </w:tcPr>
          <w:p>
            <w:pPr>
              <w:spacing w:after="0"/>
              <w:rPr>
                <w:sz w:val="13"/>
                <w:szCs w:val="13"/>
                <w:color w:val="auto"/>
              </w:rPr>
            </w:pPr>
          </w:p>
        </w:tc>
        <w:tc>
          <w:tcPr>
            <w:tcW w:w="6300" w:type="dxa"/>
            <w:vAlign w:val="bottom"/>
            <w:tcBorders>
              <w:right w:val="single" w:sz="8" w:color="auto"/>
            </w:tcBorders>
          </w:tcPr>
          <w:p>
            <w:pPr>
              <w:ind w:left="100"/>
              <w:spacing w:after="0" w:line="158" w:lineRule="exact"/>
              <w:rPr>
                <w:sz w:val="20"/>
                <w:szCs w:val="20"/>
                <w:color w:val="auto"/>
              </w:rPr>
            </w:pPr>
            <w:r>
              <w:rPr>
                <w:rFonts w:ascii="Arial" w:cs="Arial" w:eastAsia="Arial" w:hAnsi="Arial"/>
                <w:sz w:val="18"/>
                <w:szCs w:val="18"/>
                <w:color w:val="auto"/>
              </w:rPr>
              <w:t>(a) shall be in conformity with the applicable Specifications; (b) shall have</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w w:val="94"/>
              </w:rPr>
              <w:t>been Manufactured in conformance with applicable cGMP and Applicable</w:t>
            </w:r>
          </w:p>
        </w:tc>
      </w:tr>
      <w:tr>
        <w:trPr>
          <w:trHeight w:val="192"/>
        </w:trPr>
        <w:tc>
          <w:tcPr>
            <w:tcW w:w="1860" w:type="dxa"/>
            <w:vAlign w:val="bottom"/>
            <w:tcBorders>
              <w:left w:val="single" w:sz="8" w:color="auto"/>
              <w:right w:val="single" w:sz="8" w:color="auto"/>
            </w:tcBorders>
          </w:tcPr>
          <w:p>
            <w:pPr>
              <w:spacing w:after="0"/>
              <w:rPr>
                <w:sz w:val="16"/>
                <w:szCs w:val="16"/>
                <w:color w:val="auto"/>
              </w:rPr>
            </w:pPr>
          </w:p>
        </w:tc>
        <w:tc>
          <w:tcPr>
            <w:tcW w:w="630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w w:val="93"/>
              </w:rPr>
              <w:t>Laws and Regulations, the Agreement, the Clinical Supply Agreement and</w:t>
            </w:r>
          </w:p>
        </w:tc>
      </w:tr>
      <w:tr>
        <w:trPr>
          <w:trHeight w:val="199"/>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rPr>
              <w:t>the Clinical Quality Agreement; (c) shall have been Manufactured in</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w w:val="92"/>
              </w:rPr>
              <w:t>facilities that are in compliance with Applicable Laws and Regulations at the</w:t>
            </w:r>
          </w:p>
        </w:tc>
      </w:tr>
      <w:tr>
        <w:trPr>
          <w:trHeight w:val="192"/>
        </w:trPr>
        <w:tc>
          <w:tcPr>
            <w:tcW w:w="1860" w:type="dxa"/>
            <w:vAlign w:val="bottom"/>
            <w:tcBorders>
              <w:left w:val="single" w:sz="8" w:color="auto"/>
              <w:right w:val="single" w:sz="8" w:color="auto"/>
            </w:tcBorders>
          </w:tcPr>
          <w:p>
            <w:pPr>
              <w:spacing w:after="0"/>
              <w:rPr>
                <w:sz w:val="16"/>
                <w:szCs w:val="16"/>
                <w:color w:val="auto"/>
              </w:rPr>
            </w:pPr>
          </w:p>
        </w:tc>
        <w:tc>
          <w:tcPr>
            <w:tcW w:w="630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w w:val="94"/>
              </w:rPr>
              <w:t>time of such Manufacture (including applicable inspection requirements of</w:t>
            </w:r>
          </w:p>
        </w:tc>
      </w:tr>
      <w:tr>
        <w:trPr>
          <w:trHeight w:val="199"/>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w w:val="92"/>
              </w:rPr>
              <w:t>the FDA, its EU counterparts and other Regulatory Authorities agreed to by</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w w:val="96"/>
              </w:rPr>
              <w:t>the  Parties);  (d)  shall  not  be  adulterated  under  the  FFDCA,  its  EU</w:t>
            </w:r>
          </w:p>
        </w:tc>
      </w:tr>
      <w:tr>
        <w:trPr>
          <w:trHeight w:val="192"/>
        </w:trPr>
        <w:tc>
          <w:tcPr>
            <w:tcW w:w="1860" w:type="dxa"/>
            <w:vAlign w:val="bottom"/>
            <w:tcBorders>
              <w:left w:val="single" w:sz="8" w:color="auto"/>
              <w:right w:val="single" w:sz="8" w:color="auto"/>
            </w:tcBorders>
          </w:tcPr>
          <w:p>
            <w:pPr>
              <w:spacing w:after="0"/>
              <w:rPr>
                <w:sz w:val="16"/>
                <w:szCs w:val="16"/>
                <w:color w:val="auto"/>
              </w:rPr>
            </w:pPr>
          </w:p>
        </w:tc>
        <w:tc>
          <w:tcPr>
            <w:tcW w:w="630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w w:val="92"/>
              </w:rPr>
              <w:t>counterparts, and similar provisions of the laws of other jurisdictions agreed</w:t>
            </w:r>
          </w:p>
        </w:tc>
      </w:tr>
      <w:tr>
        <w:trPr>
          <w:trHeight w:val="199"/>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w w:val="92"/>
              </w:rPr>
              <w:t>to by the Parties; and (e) shall have a minimum shelf life as agreed upon by</w:t>
            </w:r>
          </w:p>
        </w:tc>
      </w:tr>
      <w:tr>
        <w:trPr>
          <w:trHeight w:val="196"/>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197" w:lineRule="exact"/>
              <w:rPr>
                <w:sz w:val="20"/>
                <w:szCs w:val="20"/>
                <w:color w:val="auto"/>
              </w:rPr>
            </w:pPr>
            <w:r>
              <w:rPr>
                <w:rFonts w:ascii="Arial" w:cs="Arial" w:eastAsia="Arial" w:hAnsi="Arial"/>
                <w:sz w:val="20"/>
                <w:szCs w:val="20"/>
                <w:color w:val="auto"/>
              </w:rPr>
              <w:t>the  Parties  and  incorporated  into  the  Clinical  Supply  Agreement</w:t>
            </w:r>
          </w:p>
        </w:tc>
      </w:tr>
      <w:tr>
        <w:trPr>
          <w:trHeight w:val="198"/>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20"/>
                <w:szCs w:val="20"/>
                <w:color w:val="auto"/>
                <w:w w:val="95"/>
              </w:rPr>
              <w:t>(collectively, the “</w:t>
            </w:r>
            <w:r>
              <w:rPr>
                <w:rFonts w:ascii="Arial" w:cs="Arial" w:eastAsia="Arial" w:hAnsi="Arial"/>
                <w:sz w:val="20"/>
                <w:szCs w:val="20"/>
                <w:b w:val="1"/>
                <w:bCs w:val="1"/>
                <w:color w:val="auto"/>
                <w:w w:val="95"/>
              </w:rPr>
              <w:t>Product Warranty</w:t>
            </w:r>
            <w:r>
              <w:rPr>
                <w:rFonts w:ascii="Arial" w:cs="Arial" w:eastAsia="Arial" w:hAnsi="Arial"/>
                <w:sz w:val="20"/>
                <w:szCs w:val="20"/>
                <w:color w:val="auto"/>
                <w:w w:val="95"/>
              </w:rPr>
              <w:t>”). MacroGenics shall be responsible</w:t>
            </w:r>
          </w:p>
        </w:tc>
      </w:tr>
      <w:tr>
        <w:trPr>
          <w:trHeight w:val="199"/>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rPr>
              <w:t>for  maintaining  all  regulatory  approvals  and  compliance  of  the</w:t>
            </w: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Manufacturing Facility with cGMP requirements and applicable law.</w:t>
            </w:r>
          </w:p>
        </w:tc>
      </w:tr>
      <w:tr>
        <w:trPr>
          <w:trHeight w:val="425"/>
        </w:trPr>
        <w:tc>
          <w:tcPr>
            <w:tcW w:w="1860" w:type="dxa"/>
            <w:vAlign w:val="bottom"/>
            <w:tcBorders>
              <w:left w:val="single" w:sz="8" w:color="auto"/>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Prior to shipment of any MGD024 Drug Product to Gilead, MacroGenics</w:t>
            </w:r>
          </w:p>
        </w:tc>
      </w:tr>
      <w:tr>
        <w:trPr>
          <w:trHeight w:val="230"/>
        </w:trPr>
        <w:tc>
          <w:tcPr>
            <w:tcW w:w="186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will conduct all QC and QA activities necessary to ensure that such</w:t>
            </w: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MGD024 Drug Product meets the Product Warranty, including all activities</w:t>
            </w:r>
          </w:p>
        </w:tc>
      </w:tr>
      <w:tr>
        <w:trPr>
          <w:trHeight w:val="230"/>
        </w:trPr>
        <w:tc>
          <w:tcPr>
            <w:tcW w:w="186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set forth under the Clinical Quality Agreement, and will release such</w:t>
            </w: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MGD024 Drug Product in compliance with the Product Warranty and</w:t>
            </w: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Clinical Quality Agreement.</w:t>
            </w:r>
          </w:p>
        </w:tc>
      </w:tr>
      <w:tr>
        <w:trPr>
          <w:trHeight w:val="23"/>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r>
      <w:tr>
        <w:trPr>
          <w:trHeight w:val="196"/>
        </w:trPr>
        <w:tc>
          <w:tcPr>
            <w:tcW w:w="1860" w:type="dxa"/>
            <w:vAlign w:val="bottom"/>
            <w:tcBorders>
              <w:left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 xml:space="preserve">8. </w:t>
            </w:r>
            <w:r>
              <w:rPr>
                <w:rFonts w:ascii="Arial" w:cs="Arial" w:eastAsia="Arial" w:hAnsi="Arial"/>
                <w:sz w:val="20"/>
                <w:szCs w:val="20"/>
                <w:b w:val="1"/>
                <w:bCs w:val="1"/>
                <w:color w:val="auto"/>
              </w:rPr>
              <w:t>Product</w:t>
            </w:r>
          </w:p>
        </w:tc>
        <w:tc>
          <w:tcPr>
            <w:tcW w:w="630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20"/>
                <w:szCs w:val="20"/>
                <w:color w:val="auto"/>
                <w:w w:val="95"/>
              </w:rPr>
              <w:t>Gilead will have [***] after delivery to inspect any MGD024 Drug Products</w:t>
            </w:r>
          </w:p>
        </w:tc>
      </w:tr>
      <w:tr>
        <w:trPr>
          <w:trHeight w:val="216"/>
        </w:trPr>
        <w:tc>
          <w:tcPr>
            <w:tcW w:w="1860" w:type="dxa"/>
            <w:vAlign w:val="bottom"/>
            <w:tcBorders>
              <w:left w:val="single" w:sz="8" w:color="auto"/>
              <w:right w:val="single" w:sz="8" w:color="auto"/>
            </w:tcBorders>
          </w:tcPr>
          <w:p>
            <w:pPr>
              <w:ind w:left="440"/>
              <w:spacing w:after="0" w:line="216" w:lineRule="exact"/>
              <w:rPr>
                <w:sz w:val="20"/>
                <w:szCs w:val="20"/>
                <w:color w:val="auto"/>
              </w:rPr>
            </w:pPr>
            <w:r>
              <w:rPr>
                <w:rFonts w:ascii="Arial" w:cs="Arial" w:eastAsia="Arial" w:hAnsi="Arial"/>
                <w:sz w:val="20"/>
                <w:szCs w:val="20"/>
                <w:b w:val="1"/>
                <w:bCs w:val="1"/>
                <w:color w:val="auto"/>
              </w:rPr>
              <w:t>Inspection /</w:t>
            </w:r>
          </w:p>
        </w:tc>
        <w:tc>
          <w:tcPr>
            <w:tcW w:w="63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w w:val="98"/>
              </w:rPr>
              <w:t>and during such [***], Gilead may reject those lots that do not meet the</w:t>
            </w:r>
          </w:p>
        </w:tc>
      </w:tr>
      <w:tr>
        <w:trPr>
          <w:trHeight w:val="189"/>
        </w:trPr>
        <w:tc>
          <w:tcPr>
            <w:tcW w:w="1860" w:type="dxa"/>
            <w:vAlign w:val="bottom"/>
            <w:tcBorders>
              <w:left w:val="single" w:sz="8" w:color="auto"/>
              <w:right w:val="single" w:sz="8" w:color="auto"/>
            </w:tcBorders>
          </w:tcPr>
          <w:p>
            <w:pPr>
              <w:ind w:left="440"/>
              <w:spacing w:after="0" w:line="189" w:lineRule="exact"/>
              <w:rPr>
                <w:sz w:val="20"/>
                <w:szCs w:val="20"/>
                <w:color w:val="auto"/>
              </w:rPr>
            </w:pPr>
            <w:r>
              <w:rPr>
                <w:rFonts w:ascii="Arial" w:cs="Arial" w:eastAsia="Arial" w:hAnsi="Arial"/>
                <w:sz w:val="20"/>
                <w:szCs w:val="20"/>
                <w:b w:val="1"/>
                <w:bCs w:val="1"/>
                <w:color w:val="auto"/>
                <w:w w:val="92"/>
              </w:rPr>
              <w:t>Replacement of</w:t>
            </w:r>
          </w:p>
        </w:tc>
        <w:tc>
          <w:tcPr>
            <w:tcW w:w="63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0"/>
                <w:szCs w:val="20"/>
                <w:color w:val="auto"/>
                <w:w w:val="94"/>
              </w:rPr>
              <w:t>Specifications. If Gilead identifies any MGD024 Drug Product during such</w:t>
            </w:r>
          </w:p>
        </w:tc>
      </w:tr>
      <w:tr>
        <w:trPr>
          <w:trHeight w:val="203"/>
        </w:trPr>
        <w:tc>
          <w:tcPr>
            <w:tcW w:w="1860" w:type="dxa"/>
            <w:vAlign w:val="bottom"/>
            <w:tcBorders>
              <w:left w:val="single" w:sz="8" w:color="auto"/>
              <w:right w:val="single" w:sz="8" w:color="auto"/>
            </w:tcBorders>
          </w:tcPr>
          <w:p>
            <w:pPr>
              <w:ind w:left="440"/>
              <w:spacing w:after="0" w:line="203" w:lineRule="exact"/>
              <w:rPr>
                <w:sz w:val="20"/>
                <w:szCs w:val="20"/>
                <w:color w:val="auto"/>
              </w:rPr>
            </w:pPr>
            <w:r>
              <w:rPr>
                <w:rFonts w:ascii="Arial" w:cs="Arial" w:eastAsia="Arial" w:hAnsi="Arial"/>
                <w:sz w:val="20"/>
                <w:szCs w:val="20"/>
                <w:b w:val="1"/>
                <w:bCs w:val="1"/>
                <w:color w:val="auto"/>
                <w:w w:val="97"/>
              </w:rPr>
              <w:t>Failed Batches</w:t>
            </w:r>
          </w:p>
        </w:tc>
        <w:tc>
          <w:tcPr>
            <w:tcW w:w="63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rPr>
              <w:t>[***] that do not meet Specification or subsequently identifies a latent</w:t>
            </w:r>
          </w:p>
        </w:tc>
      </w:tr>
      <w:tr>
        <w:trPr>
          <w:trHeight w:val="175"/>
        </w:trPr>
        <w:tc>
          <w:tcPr>
            <w:tcW w:w="1860" w:type="dxa"/>
            <w:vAlign w:val="bottom"/>
            <w:tcBorders>
              <w:left w:val="single" w:sz="8" w:color="auto"/>
              <w:right w:val="single" w:sz="8" w:color="auto"/>
            </w:tcBorders>
          </w:tcPr>
          <w:p>
            <w:pPr>
              <w:spacing w:after="0"/>
              <w:rPr>
                <w:sz w:val="15"/>
                <w:szCs w:val="15"/>
                <w:color w:val="auto"/>
              </w:rPr>
            </w:pPr>
          </w:p>
        </w:tc>
        <w:tc>
          <w:tcPr>
            <w:tcW w:w="630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20"/>
                <w:szCs w:val="20"/>
                <w:color w:val="auto"/>
              </w:rPr>
              <w:t>defect of the MGD024 Drug Product that causes such MGD024 Drug</w:t>
            </w:r>
          </w:p>
        </w:tc>
      </w:tr>
      <w:tr>
        <w:trPr>
          <w:trHeight w:val="199"/>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w w:val="97"/>
              </w:rPr>
              <w:t>Product to not meet Specifications, MacroGenics will use Commercially</w:t>
            </w: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63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Reasonable Efforts to replace such</w:t>
            </w:r>
          </w:p>
        </w:tc>
      </w:tr>
      <w:tr>
        <w:trPr>
          <w:trHeight w:val="230"/>
        </w:trPr>
        <w:tc>
          <w:tcPr>
            <w:tcW w:w="186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MGD024 Drug Product as soon as reasonably practicable</w:t>
            </w:r>
            <w:r>
              <w:rPr>
                <w:rFonts w:ascii="Arial" w:cs="Arial" w:eastAsia="Arial" w:hAnsi="Arial"/>
                <w:sz w:val="17"/>
                <w:szCs w:val="17"/>
                <w:color w:val="auto"/>
                <w:w w:val="92"/>
              </w:rPr>
              <w:t>,</w:t>
            </w:r>
            <w:r>
              <w:rPr>
                <w:rFonts w:ascii="Arial" w:cs="Arial" w:eastAsia="Arial" w:hAnsi="Arial"/>
                <w:sz w:val="20"/>
                <w:szCs w:val="20"/>
                <w:color w:val="auto"/>
                <w:w w:val="92"/>
              </w:rPr>
              <w:t xml:space="preserve"> at MacroGenics’</w:t>
            </w: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sole cost and expense, or if MacroGenics is unable to replace such MGD024</w:t>
            </w:r>
          </w:p>
        </w:tc>
      </w:tr>
      <w:tr>
        <w:trPr>
          <w:trHeight w:val="36"/>
        </w:trPr>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630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9019"/>
          </w:cols>
          <w:pgMar w:left="1440" w:top="1402" w:right="1440" w:bottom="1440" w:gutter="0" w:footer="0" w:header="0"/>
        </w:sectPr>
      </w:pPr>
    </w:p>
    <w:bookmarkStart w:id="244" w:name="page245"/>
    <w:bookmarkEnd w:id="244"/>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53"/>
        </w:trPr>
        <w:tc>
          <w:tcPr>
            <w:tcW w:w="1860" w:type="dxa"/>
            <w:vAlign w:val="bottom"/>
            <w:tcBorders>
              <w:top w:val="single" w:sz="8" w:color="auto"/>
              <w:left w:val="single" w:sz="8" w:color="auto"/>
              <w:right w:val="single" w:sz="8" w:color="auto"/>
            </w:tcBorders>
          </w:tcPr>
          <w:p>
            <w:pPr>
              <w:spacing w:after="0"/>
              <w:rPr>
                <w:sz w:val="22"/>
                <w:szCs w:val="22"/>
                <w:color w:val="auto"/>
              </w:rPr>
            </w:pPr>
          </w:p>
        </w:tc>
        <w:tc>
          <w:tcPr>
            <w:tcW w:w="6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7"/>
              </w:rPr>
              <w:t>Drug Product, then refund Gilead for the amounts paid for such rejected</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MGD024 Product.</w:t>
            </w:r>
          </w:p>
        </w:tc>
        <w:tc>
          <w:tcPr>
            <w:tcW w:w="0" w:type="dxa"/>
            <w:vAlign w:val="bottom"/>
          </w:tcPr>
          <w:p>
            <w:pPr>
              <w:spacing w:after="0"/>
              <w:rPr>
                <w:sz w:val="1"/>
                <w:szCs w:val="1"/>
                <w:color w:val="auto"/>
              </w:rPr>
            </w:pPr>
          </w:p>
        </w:tc>
      </w:tr>
      <w:tr>
        <w:trPr>
          <w:trHeight w:val="290"/>
        </w:trPr>
        <w:tc>
          <w:tcPr>
            <w:tcW w:w="1860" w:type="dxa"/>
            <w:vAlign w:val="bottom"/>
            <w:tcBorders>
              <w:left w:val="single" w:sz="8" w:color="auto"/>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If the Parties disagree as to whether there is a latent defect, then such</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w w:val="96"/>
              </w:rPr>
              <w:t>dispute  will  be  resolved  by  a  root  cause  analysis  conducted  by  an</w:t>
            </w:r>
          </w:p>
        </w:tc>
        <w:tc>
          <w:tcPr>
            <w:tcW w:w="0" w:type="dxa"/>
            <w:vAlign w:val="bottom"/>
          </w:tcPr>
          <w:p>
            <w:pPr>
              <w:spacing w:after="0"/>
              <w:rPr>
                <w:sz w:val="1"/>
                <w:szCs w:val="1"/>
                <w:color w:val="auto"/>
              </w:rPr>
            </w:pPr>
          </w:p>
        </w:tc>
      </w:tr>
      <w:tr>
        <w:trPr>
          <w:trHeight w:val="192"/>
        </w:trPr>
        <w:tc>
          <w:tcPr>
            <w:tcW w:w="1860" w:type="dxa"/>
            <w:vAlign w:val="bottom"/>
            <w:tcBorders>
              <w:left w:val="single" w:sz="8" w:color="auto"/>
              <w:right w:val="single" w:sz="8" w:color="auto"/>
            </w:tcBorders>
          </w:tcPr>
          <w:p>
            <w:pPr>
              <w:spacing w:after="0"/>
              <w:rPr>
                <w:sz w:val="16"/>
                <w:szCs w:val="16"/>
                <w:color w:val="auto"/>
              </w:rPr>
            </w:pPr>
          </w:p>
        </w:tc>
        <w:tc>
          <w:tcPr>
            <w:tcW w:w="630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w w:val="98"/>
              </w:rPr>
              <w:t>independent laboratory (with such process to be further specified in the</w:t>
            </w:r>
          </w:p>
        </w:tc>
        <w:tc>
          <w:tcPr>
            <w:tcW w:w="0" w:type="dxa"/>
            <w:vAlign w:val="bottom"/>
          </w:tcPr>
          <w:p>
            <w:pPr>
              <w:spacing w:after="0"/>
              <w:rPr>
                <w:sz w:val="1"/>
                <w:szCs w:val="1"/>
                <w:color w:val="auto"/>
              </w:rPr>
            </w:pPr>
          </w:p>
        </w:tc>
      </w:tr>
      <w:tr>
        <w:trPr>
          <w:trHeight w:val="253"/>
        </w:trPr>
        <w:tc>
          <w:tcPr>
            <w:tcW w:w="1860" w:type="dxa"/>
            <w:vAlign w:val="bottom"/>
            <w:tcBorders>
              <w:left w:val="single" w:sz="8" w:color="auto"/>
              <w:bottom w:val="single" w:sz="8" w:color="auto"/>
              <w:right w:val="single" w:sz="8" w:color="auto"/>
            </w:tcBorders>
          </w:tcPr>
          <w:p>
            <w:pPr>
              <w:spacing w:after="0"/>
              <w:rPr>
                <w:sz w:val="22"/>
                <w:szCs w:val="22"/>
                <w:color w:val="auto"/>
              </w:rPr>
            </w:pPr>
          </w:p>
        </w:tc>
        <w:tc>
          <w:tcPr>
            <w:tcW w:w="6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Clinical Supply Agreement).</w:t>
            </w:r>
          </w:p>
        </w:tc>
        <w:tc>
          <w:tcPr>
            <w:tcW w:w="0" w:type="dxa"/>
            <w:vAlign w:val="bottom"/>
          </w:tcPr>
          <w:p>
            <w:pPr>
              <w:spacing w:after="0"/>
              <w:rPr>
                <w:sz w:val="1"/>
                <w:szCs w:val="1"/>
                <w:color w:val="auto"/>
              </w:rPr>
            </w:pPr>
          </w:p>
        </w:tc>
      </w:tr>
      <w:tr>
        <w:trPr>
          <w:trHeight w:val="199"/>
        </w:trPr>
        <w:tc>
          <w:tcPr>
            <w:tcW w:w="1860" w:type="dxa"/>
            <w:vAlign w:val="bottom"/>
            <w:tcBorders>
              <w:left w:val="single" w:sz="8" w:color="auto"/>
              <w:right w:val="single" w:sz="8" w:color="auto"/>
            </w:tcBorders>
          </w:tcPr>
          <w:p>
            <w:pPr>
              <w:ind w:left="120"/>
              <w:spacing w:after="0" w:line="199" w:lineRule="exact"/>
              <w:rPr>
                <w:sz w:val="20"/>
                <w:szCs w:val="20"/>
                <w:color w:val="auto"/>
              </w:rPr>
            </w:pPr>
            <w:r>
              <w:rPr>
                <w:rFonts w:ascii="Arial" w:cs="Arial" w:eastAsia="Arial" w:hAnsi="Arial"/>
                <w:sz w:val="20"/>
                <w:szCs w:val="20"/>
                <w:color w:val="auto"/>
              </w:rPr>
              <w:t xml:space="preserve">9. </w:t>
            </w:r>
            <w:r>
              <w:rPr>
                <w:rFonts w:ascii="Arial" w:cs="Arial" w:eastAsia="Arial" w:hAnsi="Arial"/>
                <w:sz w:val="20"/>
                <w:szCs w:val="20"/>
                <w:b w:val="1"/>
                <w:bCs w:val="1"/>
                <w:color w:val="auto"/>
              </w:rPr>
              <w:t>Subcontracting</w:t>
            </w:r>
          </w:p>
        </w:tc>
        <w:tc>
          <w:tcPr>
            <w:tcW w:w="63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w w:val="95"/>
              </w:rPr>
              <w:t>MacroGenics may only subcontract fill and finishing of the MGD024 Drug</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63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0"/>
                <w:szCs w:val="20"/>
                <w:color w:val="auto"/>
              </w:rPr>
              <w:t>Product [***] other fill and finishing subcontractors agreed to by the</w:t>
            </w:r>
          </w:p>
        </w:tc>
        <w:tc>
          <w:tcPr>
            <w:tcW w:w="0" w:type="dxa"/>
            <w:vAlign w:val="bottom"/>
          </w:tcPr>
          <w:p>
            <w:pPr>
              <w:spacing w:after="0"/>
              <w:rPr>
                <w:sz w:val="1"/>
                <w:szCs w:val="1"/>
                <w:color w:val="auto"/>
              </w:rPr>
            </w:pPr>
          </w:p>
        </w:tc>
      </w:tr>
      <w:tr>
        <w:trPr>
          <w:trHeight w:val="199"/>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w w:val="95"/>
              </w:rPr>
              <w:t>Parties. Additionally, MacroGenics may subcontract with testing labs and</w:t>
            </w:r>
          </w:p>
        </w:tc>
        <w:tc>
          <w:tcPr>
            <w:tcW w:w="0" w:type="dxa"/>
            <w:vAlign w:val="bottom"/>
          </w:tcPr>
          <w:p>
            <w:pPr>
              <w:spacing w:after="0"/>
              <w:rPr>
                <w:sz w:val="1"/>
                <w:szCs w:val="1"/>
                <w:color w:val="auto"/>
              </w:rPr>
            </w:pPr>
          </w:p>
        </w:tc>
      </w:tr>
      <w:tr>
        <w:trPr>
          <w:trHeight w:val="255"/>
        </w:trPr>
        <w:tc>
          <w:tcPr>
            <w:tcW w:w="1860" w:type="dxa"/>
            <w:vAlign w:val="bottom"/>
            <w:tcBorders>
              <w:left w:val="single" w:sz="8" w:color="auto"/>
              <w:bottom w:val="single" w:sz="8" w:color="auto"/>
              <w:right w:val="single" w:sz="8" w:color="auto"/>
            </w:tcBorders>
          </w:tcPr>
          <w:p>
            <w:pPr>
              <w:spacing w:after="0"/>
              <w:rPr>
                <w:sz w:val="22"/>
                <w:szCs w:val="22"/>
                <w:color w:val="auto"/>
              </w:rPr>
            </w:pPr>
          </w:p>
        </w:tc>
        <w:tc>
          <w:tcPr>
            <w:tcW w:w="6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storage facilities.</w:t>
            </w:r>
          </w:p>
        </w:tc>
        <w:tc>
          <w:tcPr>
            <w:tcW w:w="0" w:type="dxa"/>
            <w:vAlign w:val="bottom"/>
          </w:tcPr>
          <w:p>
            <w:pPr>
              <w:spacing w:after="0"/>
              <w:rPr>
                <w:sz w:val="1"/>
                <w:szCs w:val="1"/>
                <w:color w:val="auto"/>
              </w:rPr>
            </w:pPr>
          </w:p>
        </w:tc>
      </w:tr>
      <w:tr>
        <w:trPr>
          <w:trHeight w:val="191"/>
        </w:trPr>
        <w:tc>
          <w:tcPr>
            <w:tcW w:w="186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20"/>
                <w:szCs w:val="20"/>
                <w:color w:val="auto"/>
              </w:rPr>
              <w:t xml:space="preserve">10. </w:t>
            </w:r>
            <w:r>
              <w:rPr>
                <w:rFonts w:ascii="Arial" w:cs="Arial" w:eastAsia="Arial" w:hAnsi="Arial"/>
                <w:sz w:val="20"/>
                <w:szCs w:val="20"/>
                <w:b w:val="1"/>
                <w:bCs w:val="1"/>
                <w:color w:val="auto"/>
              </w:rPr>
              <w:t>Ownership of</w:t>
            </w:r>
          </w:p>
        </w:tc>
        <w:tc>
          <w:tcPr>
            <w:tcW w:w="630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20"/>
                <w:szCs w:val="20"/>
                <w:color w:val="auto"/>
                <w:w w:val="91"/>
              </w:rPr>
              <w:t>Ownership of all Intellectual Property developed by the Parties in the course</w:t>
            </w: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ind w:left="440"/>
              <w:spacing w:after="0" w:line="198" w:lineRule="exact"/>
              <w:rPr>
                <w:sz w:val="20"/>
                <w:szCs w:val="20"/>
                <w:color w:val="auto"/>
              </w:rPr>
            </w:pPr>
            <w:r>
              <w:rPr>
                <w:rFonts w:ascii="Arial" w:cs="Arial" w:eastAsia="Arial" w:hAnsi="Arial"/>
                <w:sz w:val="20"/>
                <w:szCs w:val="20"/>
                <w:b w:val="1"/>
                <w:bCs w:val="1"/>
                <w:color w:val="auto"/>
              </w:rPr>
              <w:t>Intellectual</w:t>
            </w:r>
          </w:p>
        </w:tc>
        <w:tc>
          <w:tcPr>
            <w:tcW w:w="630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20"/>
                <w:szCs w:val="20"/>
                <w:color w:val="auto"/>
                <w:w w:val="96"/>
              </w:rPr>
              <w:t>of the performance of the Clinical Supply Agreement will be governed by</w:t>
            </w:r>
          </w:p>
        </w:tc>
        <w:tc>
          <w:tcPr>
            <w:tcW w:w="0" w:type="dxa"/>
            <w:vAlign w:val="bottom"/>
          </w:tcPr>
          <w:p>
            <w:pPr>
              <w:spacing w:after="0"/>
              <w:rPr>
                <w:sz w:val="1"/>
                <w:szCs w:val="1"/>
                <w:color w:val="auto"/>
              </w:rPr>
            </w:pPr>
          </w:p>
        </w:tc>
      </w:tr>
      <w:tr>
        <w:trPr>
          <w:trHeight w:val="256"/>
        </w:trPr>
        <w:tc>
          <w:tcPr>
            <w:tcW w:w="18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Property</w:t>
            </w:r>
          </w:p>
        </w:tc>
        <w:tc>
          <w:tcPr>
            <w:tcW w:w="6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the Agreement.</w:t>
            </w:r>
          </w:p>
        </w:tc>
        <w:tc>
          <w:tcPr>
            <w:tcW w:w="0" w:type="dxa"/>
            <w:vAlign w:val="bottom"/>
          </w:tcPr>
          <w:p>
            <w:pPr>
              <w:spacing w:after="0"/>
              <w:rPr>
                <w:sz w:val="1"/>
                <w:szCs w:val="1"/>
                <w:color w:val="auto"/>
              </w:rPr>
            </w:pPr>
          </w:p>
        </w:tc>
      </w:tr>
      <w:tr>
        <w:trPr>
          <w:trHeight w:val="196"/>
        </w:trPr>
        <w:tc>
          <w:tcPr>
            <w:tcW w:w="1860" w:type="dxa"/>
            <w:vAlign w:val="bottom"/>
            <w:tcBorders>
              <w:left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w w:val="93"/>
              </w:rPr>
              <w:t xml:space="preserve">11. </w:t>
            </w:r>
            <w:r>
              <w:rPr>
                <w:rFonts w:ascii="Arial" w:cs="Arial" w:eastAsia="Arial" w:hAnsi="Arial"/>
                <w:sz w:val="20"/>
                <w:szCs w:val="20"/>
                <w:b w:val="1"/>
                <w:bCs w:val="1"/>
                <w:color w:val="auto"/>
                <w:w w:val="93"/>
              </w:rPr>
              <w:t>Indemnification</w:t>
            </w:r>
          </w:p>
        </w:tc>
        <w:tc>
          <w:tcPr>
            <w:tcW w:w="630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The indemnification obligations and limitations on liability set forth in</w:t>
            </w: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bottom w:val="single" w:sz="8" w:color="auto"/>
              <w:right w:val="single" w:sz="8" w:color="auto"/>
            </w:tcBorders>
          </w:tcPr>
          <w:p>
            <w:pPr>
              <w:spacing w:after="0"/>
              <w:rPr>
                <w:sz w:val="21"/>
                <w:szCs w:val="21"/>
                <w:color w:val="auto"/>
              </w:rPr>
            </w:pPr>
          </w:p>
        </w:tc>
        <w:tc>
          <w:tcPr>
            <w:tcW w:w="6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 xml:space="preserve">Article 15 of the Agreement will apply,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1860" w:type="dxa"/>
            <w:vAlign w:val="bottom"/>
            <w:tcBorders>
              <w:left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Quality</w:t>
            </w:r>
          </w:p>
        </w:tc>
        <w:tc>
          <w:tcPr>
            <w:tcW w:w="630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20"/>
                <w:szCs w:val="20"/>
                <w:color w:val="auto"/>
                <w:w w:val="97"/>
              </w:rPr>
              <w:t>In conjunction with the Clinical Supply Agreement, the Parties will enter</w:t>
            </w: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Agreement</w:t>
            </w: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into a customary clinical quality agreement governing issues related to the</w:t>
            </w: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right w:val="single" w:sz="8" w:color="auto"/>
            </w:tcBorders>
          </w:tcPr>
          <w:p>
            <w:pPr>
              <w:spacing w:after="0"/>
              <w:rPr>
                <w:sz w:val="13"/>
                <w:szCs w:val="13"/>
                <w:color w:val="auto"/>
              </w:rPr>
            </w:pPr>
          </w:p>
        </w:tc>
        <w:tc>
          <w:tcPr>
            <w:tcW w:w="6300" w:type="dxa"/>
            <w:vAlign w:val="bottom"/>
            <w:tcBorders>
              <w:right w:val="single" w:sz="8" w:color="auto"/>
            </w:tcBorders>
          </w:tcPr>
          <w:p>
            <w:pPr>
              <w:ind w:left="100"/>
              <w:spacing w:after="0" w:line="153" w:lineRule="exact"/>
              <w:rPr>
                <w:sz w:val="20"/>
                <w:szCs w:val="20"/>
                <w:color w:val="auto"/>
              </w:rPr>
            </w:pPr>
            <w:r>
              <w:rPr>
                <w:rFonts w:ascii="Arial" w:cs="Arial" w:eastAsia="Arial" w:hAnsi="Arial"/>
                <w:sz w:val="16"/>
                <w:szCs w:val="16"/>
                <w:color w:val="auto"/>
              </w:rPr>
              <w:t>quality of the MGD024 Drug Products to be supplied by MacroGenics</w:t>
            </w:r>
          </w:p>
        </w:tc>
        <w:tc>
          <w:tcPr>
            <w:tcW w:w="0" w:type="dxa"/>
            <w:vAlign w:val="bottom"/>
          </w:tcPr>
          <w:p>
            <w:pPr>
              <w:spacing w:after="0"/>
              <w:rPr>
                <w:sz w:val="1"/>
                <w:szCs w:val="1"/>
                <w:color w:val="auto"/>
              </w:rPr>
            </w:pPr>
          </w:p>
        </w:tc>
      </w:tr>
      <w:tr>
        <w:trPr>
          <w:trHeight w:val="256"/>
        </w:trPr>
        <w:tc>
          <w:tcPr>
            <w:tcW w:w="1860" w:type="dxa"/>
            <w:vAlign w:val="bottom"/>
            <w:tcBorders>
              <w:left w:val="single" w:sz="8" w:color="auto"/>
              <w:right w:val="single" w:sz="8" w:color="auto"/>
            </w:tcBorders>
          </w:tcPr>
          <w:p>
            <w:pPr>
              <w:spacing w:after="0"/>
              <w:rPr>
                <w:sz w:val="22"/>
                <w:szCs w:val="22"/>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under the Clinical Supply Agreement (the “</w:t>
            </w:r>
            <w:r>
              <w:rPr>
                <w:rFonts w:ascii="Arial" w:cs="Arial" w:eastAsia="Arial" w:hAnsi="Arial"/>
                <w:sz w:val="20"/>
                <w:szCs w:val="20"/>
                <w:b w:val="1"/>
                <w:bCs w:val="1"/>
                <w:color w:val="auto"/>
              </w:rPr>
              <w:t>Quality Agreement</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MacroGenics will be responsible for the manufacturer release of a cGMP</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rPr>
              <w:t>batch  of  the  MGD024  Drug  Product  to  Gilead  according  to  the</w:t>
            </w:r>
          </w:p>
        </w:tc>
        <w:tc>
          <w:tcPr>
            <w:tcW w:w="0" w:type="dxa"/>
            <w:vAlign w:val="bottom"/>
          </w:tcPr>
          <w:p>
            <w:pPr>
              <w:spacing w:after="0"/>
              <w:rPr>
                <w:sz w:val="1"/>
                <w:szCs w:val="1"/>
                <w:color w:val="auto"/>
              </w:rPr>
            </w:pPr>
          </w:p>
        </w:tc>
      </w:tr>
      <w:tr>
        <w:trPr>
          <w:trHeight w:val="192"/>
        </w:trPr>
        <w:tc>
          <w:tcPr>
            <w:tcW w:w="1860" w:type="dxa"/>
            <w:vAlign w:val="bottom"/>
            <w:tcBorders>
              <w:left w:val="single" w:sz="8" w:color="auto"/>
              <w:right w:val="single" w:sz="8" w:color="auto"/>
            </w:tcBorders>
          </w:tcPr>
          <w:p>
            <w:pPr>
              <w:spacing w:after="0"/>
              <w:rPr>
                <w:sz w:val="16"/>
                <w:szCs w:val="16"/>
                <w:color w:val="auto"/>
              </w:rPr>
            </w:pPr>
          </w:p>
        </w:tc>
        <w:tc>
          <w:tcPr>
            <w:tcW w:w="630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w w:val="94"/>
              </w:rPr>
              <w:t>Specifications and cGMP requirements, including providing a certificate of</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analysis and a certificate of compliance.</w:t>
            </w:r>
          </w:p>
        </w:tc>
        <w:tc>
          <w:tcPr>
            <w:tcW w:w="0" w:type="dxa"/>
            <w:vAlign w:val="bottom"/>
          </w:tcPr>
          <w:p>
            <w:pPr>
              <w:spacing w:after="0"/>
              <w:rPr>
                <w:sz w:val="1"/>
                <w:szCs w:val="1"/>
                <w:color w:val="auto"/>
              </w:rPr>
            </w:pPr>
          </w:p>
        </w:tc>
      </w:tr>
      <w:tr>
        <w:trPr>
          <w:trHeight w:val="273"/>
        </w:trPr>
        <w:tc>
          <w:tcPr>
            <w:tcW w:w="1860" w:type="dxa"/>
            <w:vAlign w:val="bottom"/>
            <w:tcBorders>
              <w:left w:val="single" w:sz="8" w:color="auto"/>
              <w:right w:val="single" w:sz="8" w:color="auto"/>
            </w:tcBorders>
          </w:tcPr>
          <w:p>
            <w:pPr>
              <w:spacing w:after="0"/>
              <w:rPr>
                <w:sz w:val="23"/>
                <w:szCs w:val="23"/>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Either the Clinical Supply Agreement or the Clinical Quality Agreement</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will provide that [***] MGD024 Drug Products [***].</w:t>
            </w: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Gilead will have the right to audit MacroGenics’ Facility with up to [***]</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rPr>
              <w:t>participating in any on-site visits and to the extent permitted by the</w:t>
            </w:r>
          </w:p>
        </w:tc>
        <w:tc>
          <w:tcPr>
            <w:tcW w:w="0" w:type="dxa"/>
            <w:vAlign w:val="bottom"/>
          </w:tcPr>
          <w:p>
            <w:pPr>
              <w:spacing w:after="0"/>
              <w:rPr>
                <w:sz w:val="1"/>
                <w:szCs w:val="1"/>
                <w:color w:val="auto"/>
              </w:rPr>
            </w:pPr>
          </w:p>
        </w:tc>
      </w:tr>
      <w:tr>
        <w:trPr>
          <w:trHeight w:val="192"/>
        </w:trPr>
        <w:tc>
          <w:tcPr>
            <w:tcW w:w="1860" w:type="dxa"/>
            <w:vAlign w:val="bottom"/>
            <w:tcBorders>
              <w:left w:val="single" w:sz="8" w:color="auto"/>
              <w:right w:val="single" w:sz="8" w:color="auto"/>
            </w:tcBorders>
          </w:tcPr>
          <w:p>
            <w:pPr>
              <w:spacing w:after="0"/>
              <w:rPr>
                <w:sz w:val="16"/>
                <w:szCs w:val="16"/>
                <w:color w:val="auto"/>
              </w:rPr>
            </w:pPr>
          </w:p>
        </w:tc>
        <w:tc>
          <w:tcPr>
            <w:tcW w:w="630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w w:val="96"/>
              </w:rPr>
              <w:t>applicable  agreement,  to  the  facilities  of  MacroGenics’  vendors  and</w:t>
            </w:r>
          </w:p>
        </w:tc>
        <w:tc>
          <w:tcPr>
            <w:tcW w:w="0" w:type="dxa"/>
            <w:vAlign w:val="bottom"/>
          </w:tcPr>
          <w:p>
            <w:pPr>
              <w:spacing w:after="0"/>
              <w:rPr>
                <w:sz w:val="1"/>
                <w:szCs w:val="1"/>
                <w:color w:val="auto"/>
              </w:rPr>
            </w:pPr>
          </w:p>
        </w:tc>
      </w:tr>
      <w:tr>
        <w:trPr>
          <w:trHeight w:val="199"/>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rPr>
              <w:t>subcontractors no more than [***] for quality and regulatory purposes</w:t>
            </w:r>
          </w:p>
        </w:tc>
        <w:tc>
          <w:tcPr>
            <w:tcW w:w="0" w:type="dxa"/>
            <w:vAlign w:val="bottom"/>
          </w:tcPr>
          <w:p>
            <w:pPr>
              <w:spacing w:after="0"/>
              <w:rPr>
                <w:sz w:val="1"/>
                <w:szCs w:val="1"/>
                <w:color w:val="auto"/>
              </w:rPr>
            </w:pPr>
          </w:p>
        </w:tc>
      </w:tr>
      <w:tr>
        <w:trPr>
          <w:trHeight w:val="246"/>
        </w:trPr>
        <w:tc>
          <w:tcPr>
            <w:tcW w:w="1860" w:type="dxa"/>
            <w:vAlign w:val="bottom"/>
            <w:tcBorders>
              <w:left w:val="single" w:sz="8" w:color="auto"/>
              <w:bottom w:val="single" w:sz="8" w:color="auto"/>
              <w:right w:val="single" w:sz="8" w:color="auto"/>
            </w:tcBorders>
          </w:tcPr>
          <w:p>
            <w:pPr>
              <w:spacing w:after="0"/>
              <w:rPr>
                <w:sz w:val="21"/>
                <w:szCs w:val="21"/>
                <w:color w:val="auto"/>
              </w:rPr>
            </w:pPr>
          </w:p>
        </w:tc>
        <w:tc>
          <w:tcPr>
            <w:tcW w:w="6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unless for cause, as set forth in the Clinical Quality Agreement.</w:t>
            </w:r>
          </w:p>
        </w:tc>
        <w:tc>
          <w:tcPr>
            <w:tcW w:w="0" w:type="dxa"/>
            <w:vAlign w:val="bottom"/>
          </w:tcPr>
          <w:p>
            <w:pPr>
              <w:spacing w:after="0"/>
              <w:rPr>
                <w:sz w:val="1"/>
                <w:szCs w:val="1"/>
                <w:color w:val="auto"/>
              </w:rPr>
            </w:pPr>
          </w:p>
        </w:tc>
      </w:tr>
      <w:tr>
        <w:trPr>
          <w:trHeight w:val="196"/>
        </w:trPr>
        <w:tc>
          <w:tcPr>
            <w:tcW w:w="1860" w:type="dxa"/>
            <w:vAlign w:val="bottom"/>
            <w:tcBorders>
              <w:left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color w:val="auto"/>
              </w:rPr>
              <w:t>Termination;</w:t>
            </w:r>
          </w:p>
        </w:tc>
        <w:tc>
          <w:tcPr>
            <w:tcW w:w="630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20"/>
                <w:szCs w:val="20"/>
                <w:color w:val="auto"/>
                <w:w w:val="95"/>
              </w:rPr>
              <w:t>The Clinical Supply Agreement may be terminated by either Party for the</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Supply</w:t>
            </w: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other Party’s uncured material breach, insolvency or by Gilead due to a</w:t>
            </w: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Failure</w:t>
            </w:r>
          </w:p>
        </w:tc>
        <w:tc>
          <w:tcPr>
            <w:tcW w:w="6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Supply Failure which is not cured by MacroGenics.</w:t>
            </w:r>
          </w:p>
        </w:tc>
        <w:tc>
          <w:tcPr>
            <w:tcW w:w="0" w:type="dxa"/>
            <w:vAlign w:val="bottom"/>
          </w:tcPr>
          <w:p>
            <w:pPr>
              <w:spacing w:after="0"/>
              <w:rPr>
                <w:sz w:val="1"/>
                <w:szCs w:val="1"/>
                <w:color w:val="auto"/>
              </w:rPr>
            </w:pPr>
          </w:p>
        </w:tc>
      </w:tr>
      <w:tr>
        <w:trPr>
          <w:trHeight w:val="58"/>
        </w:trPr>
        <w:tc>
          <w:tcPr>
            <w:tcW w:w="1860" w:type="dxa"/>
            <w:vAlign w:val="bottom"/>
            <w:tcBorders>
              <w:left w:val="single" w:sz="8" w:color="auto"/>
              <w:right w:val="single" w:sz="8" w:color="auto"/>
            </w:tcBorders>
          </w:tcPr>
          <w:p>
            <w:pPr>
              <w:spacing w:after="0"/>
              <w:rPr>
                <w:sz w:val="5"/>
                <w:szCs w:val="5"/>
                <w:color w:val="auto"/>
              </w:rPr>
            </w:pPr>
          </w:p>
        </w:tc>
        <w:tc>
          <w:tcPr>
            <w:tcW w:w="63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860" w:type="dxa"/>
            <w:vAlign w:val="bottom"/>
            <w:tcBorders>
              <w:left w:val="single" w:sz="8" w:color="auto"/>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If, (a) in any given [***] of the [***] of MGD024 Drug Product ordered by</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w w:val="96"/>
              </w:rPr>
              <w:t>Gilead for delivery with respect to such period is [***], then in either such</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63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rPr>
              <w:t>case,</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19"/>
                <w:szCs w:val="19"/>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Gilead will have the right to terminate the Clinical Supply Agreement after</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6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providing written notice to MacroGenics of such failure to supply.</w:t>
            </w:r>
          </w:p>
        </w:tc>
        <w:tc>
          <w:tcPr>
            <w:tcW w:w="0" w:type="dxa"/>
            <w:vAlign w:val="bottom"/>
          </w:tcPr>
          <w:p>
            <w:pPr>
              <w:spacing w:after="0"/>
              <w:rPr>
                <w:sz w:val="1"/>
                <w:szCs w:val="1"/>
                <w:color w:val="auto"/>
              </w:rPr>
            </w:pPr>
          </w:p>
        </w:tc>
      </w:tr>
      <w:tr>
        <w:trPr>
          <w:trHeight w:val="23"/>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02" w:right="1440" w:bottom="1440" w:gutter="0" w:footer="0" w:header="0"/>
        </w:sectPr>
      </w:pPr>
    </w:p>
    <w:bookmarkStart w:id="245" w:name="page246"/>
    <w:bookmarkEnd w:id="245"/>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67"/>
        </w:trPr>
        <w:tc>
          <w:tcPr>
            <w:tcW w:w="380" w:type="dxa"/>
            <w:vAlign w:val="bottom"/>
            <w:tcBorders>
              <w:top w:val="single" w:sz="8" w:color="auto"/>
              <w:left w:val="single" w:sz="8" w:color="auto"/>
              <w:bottom w:val="single" w:sz="8" w:color="auto"/>
            </w:tcBorders>
          </w:tcPr>
          <w:p>
            <w:pPr>
              <w:spacing w:after="0"/>
              <w:rPr>
                <w:sz w:val="23"/>
                <w:szCs w:val="23"/>
                <w:color w:val="auto"/>
              </w:rPr>
            </w:pPr>
          </w:p>
        </w:tc>
        <w:tc>
          <w:tcPr>
            <w:tcW w:w="1580" w:type="dxa"/>
            <w:vAlign w:val="bottom"/>
            <w:tcBorders>
              <w:top w:val="single" w:sz="8" w:color="auto"/>
              <w:bottom w:val="single" w:sz="8" w:color="auto"/>
              <w:right w:val="single" w:sz="8" w:color="auto"/>
            </w:tcBorders>
          </w:tcPr>
          <w:p>
            <w:pPr>
              <w:spacing w:after="0"/>
              <w:rPr>
                <w:sz w:val="23"/>
                <w:szCs w:val="23"/>
                <w:color w:val="auto"/>
              </w:rPr>
            </w:pPr>
          </w:p>
        </w:tc>
        <w:tc>
          <w:tcPr>
            <w:tcW w:w="62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36"/>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Assignment</w:t>
            </w:r>
          </w:p>
        </w:tc>
        <w:tc>
          <w:tcPr>
            <w:tcW w:w="62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The Clinical Supply Agreement may be assigned by either Party in</w:t>
            </w:r>
          </w:p>
        </w:tc>
      </w:tr>
      <w:tr>
        <w:trPr>
          <w:trHeight w:val="229"/>
        </w:trPr>
        <w:tc>
          <w:tcPr>
            <w:tcW w:w="380" w:type="dxa"/>
            <w:vAlign w:val="bottom"/>
            <w:tcBorders>
              <w:lef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62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connection with a permitted assignment of the Agreement by such Party in</w:t>
            </w:r>
          </w:p>
        </w:tc>
      </w:tr>
      <w:tr>
        <w:trPr>
          <w:trHeight w:val="250"/>
        </w:trPr>
        <w:tc>
          <w:tcPr>
            <w:tcW w:w="380" w:type="dxa"/>
            <w:vAlign w:val="bottom"/>
            <w:tcBorders>
              <w:lef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62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accordance with Section 19.4 of the Agreement.</w:t>
            </w:r>
          </w:p>
        </w:tc>
      </w:tr>
      <w:tr>
        <w:trPr>
          <w:trHeight w:val="23"/>
        </w:trPr>
        <w:tc>
          <w:tcPr>
            <w:tcW w:w="38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right w:val="single" w:sz="8" w:color="auto"/>
            </w:tcBorders>
          </w:tcPr>
          <w:p>
            <w:pPr>
              <w:spacing w:after="0"/>
              <w:rPr>
                <w:sz w:val="2"/>
                <w:szCs w:val="2"/>
                <w:color w:val="auto"/>
              </w:rPr>
            </w:pPr>
          </w:p>
        </w:tc>
      </w:tr>
      <w:tr>
        <w:trPr>
          <w:trHeight w:val="220"/>
        </w:trPr>
        <w:tc>
          <w:tcPr>
            <w:tcW w:w="380" w:type="dxa"/>
            <w:vAlign w:val="bottom"/>
            <w:tcBorders>
              <w:left w:val="single" w:sz="8" w:color="auto"/>
            </w:tcBorders>
          </w:tcPr>
          <w:p>
            <w:pPr>
              <w:jc w:val="right"/>
              <w:spacing w:after="0" w:line="220" w:lineRule="exact"/>
              <w:rPr>
                <w:sz w:val="20"/>
                <w:szCs w:val="20"/>
                <w:color w:val="auto"/>
              </w:rPr>
            </w:pPr>
            <w:r>
              <w:rPr>
                <w:rFonts w:ascii="Arial" w:cs="Arial" w:eastAsia="Arial" w:hAnsi="Arial"/>
                <w:sz w:val="20"/>
                <w:szCs w:val="20"/>
                <w:color w:val="auto"/>
              </w:rPr>
              <w:t>15.</w:t>
            </w:r>
          </w:p>
        </w:tc>
        <w:tc>
          <w:tcPr>
            <w:tcW w:w="1580" w:type="dxa"/>
            <w:vAlign w:val="bottom"/>
            <w:tcBorders>
              <w:right w:val="single" w:sz="8" w:color="auto"/>
            </w:tcBorders>
          </w:tcPr>
          <w:p>
            <w:pPr>
              <w:ind w:left="40"/>
              <w:spacing w:after="0" w:line="220" w:lineRule="exact"/>
              <w:rPr>
                <w:sz w:val="20"/>
                <w:szCs w:val="20"/>
                <w:color w:val="auto"/>
              </w:rPr>
            </w:pPr>
            <w:r>
              <w:rPr>
                <w:rFonts w:ascii="Arial" w:cs="Arial" w:eastAsia="Arial" w:hAnsi="Arial"/>
                <w:sz w:val="20"/>
                <w:szCs w:val="20"/>
                <w:b w:val="1"/>
                <w:bCs w:val="1"/>
                <w:color w:val="auto"/>
              </w:rPr>
              <w:t>Applicable</w:t>
            </w:r>
          </w:p>
        </w:tc>
        <w:tc>
          <w:tcPr>
            <w:tcW w:w="6200" w:type="dxa"/>
            <w:vAlign w:val="bottom"/>
            <w:tcBorders>
              <w:right w:val="single" w:sz="8" w:color="auto"/>
            </w:tcBorders>
          </w:tcPr>
          <w:p>
            <w:pPr>
              <w:ind w:left="120"/>
              <w:spacing w:after="0" w:line="220" w:lineRule="exact"/>
              <w:rPr>
                <w:sz w:val="20"/>
                <w:szCs w:val="20"/>
                <w:color w:val="auto"/>
              </w:rPr>
            </w:pPr>
            <w:r>
              <w:rPr>
                <w:rFonts w:ascii="Arial" w:cs="Arial" w:eastAsia="Arial" w:hAnsi="Arial"/>
                <w:sz w:val="20"/>
                <w:szCs w:val="20"/>
                <w:color w:val="auto"/>
                <w:w w:val="95"/>
              </w:rPr>
              <w:t>Article 17 of the Agreement will apply to the Clinical Supply Agreement,</w:t>
            </w:r>
          </w:p>
        </w:tc>
      </w:tr>
      <w:tr>
        <w:trPr>
          <w:trHeight w:val="237"/>
        </w:trPr>
        <w:tc>
          <w:tcPr>
            <w:tcW w:w="38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rPr>
              <w:t>Law, Dispute</w:t>
            </w:r>
          </w:p>
        </w:tc>
        <w:tc>
          <w:tcPr>
            <w:tcW w:w="6200" w:type="dxa"/>
            <w:vAlign w:val="bottom"/>
            <w:tcBorders>
              <w:right w:val="single" w:sz="8" w:color="auto"/>
            </w:tcBorders>
          </w:tcPr>
          <w:p>
            <w:pPr>
              <w:ind w:left="120"/>
              <w:spacing w:after="0"/>
              <w:rPr>
                <w:sz w:val="20"/>
                <w:szCs w:val="20"/>
                <w:color w:val="auto"/>
              </w:rPr>
            </w:pPr>
            <w:r>
              <w:rPr>
                <w:rFonts w:ascii="Arial" w:cs="Arial" w:eastAsia="Arial" w:hAnsi="Arial"/>
                <w:sz w:val="20"/>
                <w:szCs w:val="20"/>
                <w:i w:val="1"/>
                <w:iCs w:val="1"/>
                <w:color w:val="auto"/>
              </w:rPr>
              <w:t>mutatis mutandis</w:t>
            </w:r>
            <w:r>
              <w:rPr>
                <w:rFonts w:ascii="Arial" w:cs="Arial" w:eastAsia="Arial" w:hAnsi="Arial"/>
                <w:sz w:val="20"/>
                <w:szCs w:val="20"/>
                <w:color w:val="auto"/>
              </w:rPr>
              <w:t>.</w:t>
            </w:r>
          </w:p>
        </w:tc>
      </w:tr>
      <w:tr>
        <w:trPr>
          <w:trHeight w:val="261"/>
        </w:trPr>
        <w:tc>
          <w:tcPr>
            <w:tcW w:w="380" w:type="dxa"/>
            <w:vAlign w:val="bottom"/>
            <w:tcBorders>
              <w:left w:val="single" w:sz="8" w:color="auto"/>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Resolution</w:t>
            </w:r>
          </w:p>
        </w:tc>
        <w:tc>
          <w:tcPr>
            <w:tcW w:w="6200" w:type="dxa"/>
            <w:vAlign w:val="bottom"/>
            <w:tcBorders>
              <w:bottom w:val="single" w:sz="8" w:color="auto"/>
              <w:right w:val="single" w:sz="8" w:color="auto"/>
            </w:tcBorders>
          </w:tcPr>
          <w:p>
            <w:pPr>
              <w:spacing w:after="0"/>
              <w:rPr>
                <w:sz w:val="22"/>
                <w:szCs w:val="22"/>
                <w:color w:val="auto"/>
              </w:rPr>
            </w:pPr>
          </w:p>
        </w:tc>
      </w:tr>
      <w:tr>
        <w:trPr>
          <w:trHeight w:val="201"/>
        </w:trPr>
        <w:tc>
          <w:tcPr>
            <w:tcW w:w="38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20"/>
                <w:szCs w:val="20"/>
                <w:color w:val="auto"/>
              </w:rPr>
              <w:t>16.</w:t>
            </w:r>
          </w:p>
        </w:tc>
        <w:tc>
          <w:tcPr>
            <w:tcW w:w="158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20"/>
                <w:szCs w:val="20"/>
                <w:b w:val="1"/>
                <w:bCs w:val="1"/>
                <w:color w:val="auto"/>
              </w:rPr>
              <w:t>Additional</w:t>
            </w:r>
          </w:p>
        </w:tc>
        <w:tc>
          <w:tcPr>
            <w:tcW w:w="620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20"/>
                <w:szCs w:val="20"/>
                <w:color w:val="auto"/>
                <w:w w:val="99"/>
              </w:rPr>
              <w:t>The  Clinical  Supply  Agreement  will  include  additional  terms  and</w:t>
            </w:r>
          </w:p>
        </w:tc>
      </w:tr>
      <w:tr>
        <w:trPr>
          <w:trHeight w:val="267"/>
        </w:trPr>
        <w:tc>
          <w:tcPr>
            <w:tcW w:w="380" w:type="dxa"/>
            <w:vAlign w:val="bottom"/>
            <w:tcBorders>
              <w:left w:val="single" w:sz="8" w:color="auto"/>
            </w:tcBorders>
          </w:tcPr>
          <w:p>
            <w:pPr>
              <w:spacing w:after="0"/>
              <w:rPr>
                <w:sz w:val="23"/>
                <w:szCs w:val="23"/>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rPr>
              <w:t>Terms</w:t>
            </w:r>
          </w:p>
        </w:tc>
        <w:tc>
          <w:tcPr>
            <w:tcW w:w="62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5"/>
              </w:rPr>
              <w:t>conditions relating to clinical supply that are customary in clinical supply</w:t>
            </w:r>
          </w:p>
        </w:tc>
      </w:tr>
      <w:tr>
        <w:trPr>
          <w:trHeight w:val="250"/>
        </w:trPr>
        <w:tc>
          <w:tcPr>
            <w:tcW w:w="380" w:type="dxa"/>
            <w:vAlign w:val="bottom"/>
            <w:tcBorders>
              <w:lef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62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agreements for biologic products.</w:t>
            </w:r>
          </w:p>
        </w:tc>
      </w:tr>
      <w:tr>
        <w:trPr>
          <w:trHeight w:val="23"/>
        </w:trPr>
        <w:tc>
          <w:tcPr>
            <w:tcW w:w="38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019"/>
          </w:cols>
          <w:pgMar w:left="1440" w:top="1402" w:right="1440" w:bottom="1440" w:gutter="0" w:footer="0" w:header="0"/>
        </w:sectPr>
      </w:pPr>
    </w:p>
    <w:bookmarkStart w:id="246" w:name="page247"/>
    <w:bookmarkEnd w:id="246"/>
    <w:p>
      <w:pPr>
        <w:ind w:left="3660"/>
        <w:spacing w:after="0"/>
        <w:rPr>
          <w:sz w:val="20"/>
          <w:szCs w:val="20"/>
          <w:color w:val="auto"/>
        </w:rPr>
      </w:pPr>
      <w:r>
        <w:rPr>
          <w:rFonts w:ascii="Arial" w:cs="Arial" w:eastAsia="Arial" w:hAnsi="Arial"/>
          <w:sz w:val="20"/>
          <w:szCs w:val="20"/>
          <w:b w:val="1"/>
          <w:bCs w:val="1"/>
          <w:u w:val="single" w:color="auto"/>
          <w:color w:val="auto"/>
        </w:rPr>
        <w:t>Schedule 10.4(c)(iii)</w:t>
      </w:r>
    </w:p>
    <w:p>
      <w:pPr>
        <w:spacing w:after="0" w:line="297"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Special Offset and Indemnification</w:t>
      </w:r>
    </w:p>
    <w:p>
      <w:pPr>
        <w:spacing w:after="0" w:line="210" w:lineRule="exact"/>
        <w:rPr>
          <w:sz w:val="20"/>
          <w:szCs w:val="20"/>
          <w:color w:val="auto"/>
        </w:rPr>
      </w:pPr>
    </w:p>
    <w:p>
      <w:pPr>
        <w:ind w:left="560" w:hanging="331"/>
        <w:spacing w:after="0"/>
        <w:tabs>
          <w:tab w:leader="none" w:pos="560"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 of Rights to the Identified Patent</w:t>
      </w:r>
      <w:r>
        <w:rPr>
          <w:rFonts w:ascii="Arial" w:cs="Arial" w:eastAsia="Arial" w:hAnsi="Arial"/>
          <w:sz w:val="20"/>
          <w:szCs w:val="20"/>
          <w:color w:val="auto"/>
        </w:rPr>
        <w:t>.</w:t>
      </w:r>
    </w:p>
    <w:p>
      <w:pPr>
        <w:ind w:left="960" w:hanging="327"/>
        <w:spacing w:after="0" w:line="234" w:lineRule="auto"/>
        <w:tabs>
          <w:tab w:leader="none" w:pos="960" w:val="left"/>
        </w:tabs>
        <w:numPr>
          <w:ilvl w:val="1"/>
          <w:numId w:val="206"/>
        </w:numPr>
        <w:rPr>
          <w:rFonts w:ascii="Arial" w:cs="Arial" w:eastAsia="Arial" w:hAnsi="Arial"/>
          <w:sz w:val="18"/>
          <w:szCs w:val="18"/>
          <w:color w:val="auto"/>
        </w:rPr>
      </w:pPr>
      <w:r>
        <w:rPr>
          <w:rFonts w:ascii="Arial" w:cs="Arial" w:eastAsia="Arial" w:hAnsi="Arial"/>
          <w:sz w:val="18"/>
          <w:szCs w:val="18"/>
          <w:b w:val="1"/>
          <w:bCs w:val="1"/>
          <w:color w:val="auto"/>
        </w:rPr>
        <w:t>During the CD123 Development Term</w:t>
      </w:r>
      <w:r>
        <w:rPr>
          <w:rFonts w:ascii="Arial" w:cs="Arial" w:eastAsia="Arial" w:hAnsi="Arial"/>
          <w:sz w:val="18"/>
          <w:szCs w:val="18"/>
          <w:color w:val="auto"/>
        </w:rPr>
        <w:t>. During the CD123 Development Term, MacroGenics will have the</w:t>
      </w:r>
    </w:p>
    <w:p>
      <w:pPr>
        <w:ind w:left="960" w:right="20" w:hanging="3"/>
        <w:spacing w:after="0" w:line="257" w:lineRule="auto"/>
        <w:tabs>
          <w:tab w:leader="none" w:pos="1438" w:val="left"/>
        </w:tabs>
        <w:numPr>
          <w:ilvl w:val="3"/>
          <w:numId w:val="206"/>
        </w:numPr>
        <w:rPr>
          <w:rFonts w:ascii="Arial" w:cs="Arial" w:eastAsia="Arial" w:hAnsi="Arial"/>
          <w:sz w:val="16"/>
          <w:szCs w:val="16"/>
          <w:color w:val="auto"/>
        </w:rPr>
      </w:pPr>
      <w:r>
        <w:rPr>
          <w:rFonts w:ascii="Arial" w:cs="Arial" w:eastAsia="Arial" w:hAnsi="Arial"/>
          <w:sz w:val="16"/>
          <w:szCs w:val="16"/>
          <w:color w:val="auto"/>
        </w:rPr>
        <w:t>Exploit the Licensed Molecules or Licensed Products in the Territory (“</w:t>
      </w:r>
      <w:r>
        <w:rPr>
          <w:rFonts w:ascii="Arial" w:cs="Arial" w:eastAsia="Arial" w:hAnsi="Arial"/>
          <w:sz w:val="16"/>
          <w:szCs w:val="16"/>
          <w:b w:val="1"/>
          <w:bCs w:val="1"/>
          <w:color w:val="auto"/>
        </w:rPr>
        <w:t>Identified Patent Rights</w:t>
      </w:r>
      <w:r>
        <w:rPr>
          <w:rFonts w:ascii="Arial" w:cs="Arial" w:eastAsia="Arial" w:hAnsi="Arial"/>
          <w:sz w:val="16"/>
          <w:szCs w:val="16"/>
          <w:color w:val="auto"/>
        </w:rPr>
        <w:t>” and such agreement, an “</w:t>
      </w:r>
      <w:r>
        <w:rPr>
          <w:rFonts w:ascii="Arial" w:cs="Arial" w:eastAsia="Arial" w:hAnsi="Arial"/>
          <w:sz w:val="16"/>
          <w:szCs w:val="16"/>
          <w:b w:val="1"/>
          <w:bCs w:val="1"/>
          <w:color w:val="auto"/>
        </w:rPr>
        <w:t>Identified Patent Upstream License</w:t>
      </w:r>
      <w:r>
        <w:rPr>
          <w:rFonts w:ascii="Arial" w:cs="Arial" w:eastAsia="Arial" w:hAnsi="Arial"/>
          <w:sz w:val="16"/>
          <w:szCs w:val="16"/>
          <w:color w:val="auto"/>
        </w:rPr>
        <w:t>”) and notwithstanding Section 3.8(d) (Responsibility for Payments under Upstream License Agreements), MacroGenics will be [***] Identified Patent Upstream License. MacroGenics will ensure that the terms of any Identified Patent Upstream License that also grants right for any other molecule or product being Exploited by MacroGenics or a sublicensee of MacroGenics [***] the Licensed Molecules or Licensed Products. Prior [***] Identified Patent Upstream License, MacroGenics will [***] with respect to such agreement, and [***] the Identified Patent such that MacroGenics or its Affiliate [***]. MacroGenics may request, [***] Identified Patent Upstream License</w:t>
      </w:r>
    </w:p>
    <w:p>
      <w:pPr>
        <w:spacing w:after="0" w:line="3" w:lineRule="exact"/>
        <w:rPr>
          <w:rFonts w:ascii="Arial" w:cs="Arial" w:eastAsia="Arial" w:hAnsi="Arial"/>
          <w:sz w:val="16"/>
          <w:szCs w:val="16"/>
          <w:color w:val="auto"/>
        </w:rPr>
      </w:pPr>
    </w:p>
    <w:p>
      <w:pPr>
        <w:ind w:left="1440" w:hanging="483"/>
        <w:spacing w:after="0" w:line="234" w:lineRule="auto"/>
        <w:tabs>
          <w:tab w:leader="none" w:pos="1440" w:val="left"/>
        </w:tabs>
        <w:numPr>
          <w:ilvl w:val="3"/>
          <w:numId w:val="206"/>
        </w:numPr>
        <w:rPr>
          <w:rFonts w:ascii="Arial" w:cs="Arial" w:eastAsia="Arial" w:hAnsi="Arial"/>
          <w:sz w:val="18"/>
          <w:szCs w:val="18"/>
          <w:color w:val="auto"/>
        </w:rPr>
      </w:pPr>
      <w:r>
        <w:rPr>
          <w:rFonts w:ascii="Arial" w:cs="Arial" w:eastAsia="Arial" w:hAnsi="Arial"/>
          <w:sz w:val="18"/>
          <w:szCs w:val="18"/>
          <w:color w:val="auto"/>
        </w:rPr>
        <w:t xml:space="preserve">Identified Patent Upstream License, and Gilead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MacroGenics</w:t>
      </w:r>
    </w:p>
    <w:p>
      <w:pPr>
        <w:ind w:left="960"/>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74" w:lineRule="exact"/>
        <w:rPr>
          <w:rFonts w:ascii="Arial" w:cs="Arial" w:eastAsia="Arial" w:hAnsi="Arial"/>
          <w:sz w:val="18"/>
          <w:szCs w:val="18"/>
          <w:color w:val="auto"/>
        </w:rPr>
      </w:pPr>
    </w:p>
    <w:p>
      <w:pPr>
        <w:ind w:left="960" w:right="40" w:hanging="327"/>
        <w:spacing w:after="0" w:line="213" w:lineRule="auto"/>
        <w:tabs>
          <w:tab w:leader="none" w:pos="982" w:val="left"/>
        </w:tabs>
        <w:numPr>
          <w:ilvl w:val="1"/>
          <w:numId w:val="206"/>
        </w:numPr>
        <w:rPr>
          <w:rFonts w:ascii="Arial" w:cs="Arial" w:eastAsia="Arial" w:hAnsi="Arial"/>
          <w:sz w:val="20"/>
          <w:szCs w:val="20"/>
          <w:color w:val="auto"/>
        </w:rPr>
      </w:pPr>
      <w:r>
        <w:rPr>
          <w:rFonts w:ascii="Arial" w:cs="Arial" w:eastAsia="Arial" w:hAnsi="Arial"/>
          <w:sz w:val="20"/>
          <w:szCs w:val="20"/>
          <w:b w:val="1"/>
          <w:bCs w:val="1"/>
          <w:color w:val="auto"/>
        </w:rPr>
        <w:t>After the CD123 Option Effective Date</w:t>
      </w:r>
      <w:r>
        <w:rPr>
          <w:rFonts w:ascii="Arial" w:cs="Arial" w:eastAsia="Arial" w:hAnsi="Arial"/>
          <w:sz w:val="20"/>
          <w:szCs w:val="20"/>
          <w:color w:val="auto"/>
        </w:rPr>
        <w:t>. From and after the CD123 Option Effective Date, Gilead will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have the [***] Exploitation of Licensed Molecules or Licensed Products under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prior to the [***]. Notwithstanding Section 10.4(c)(iii) [***] if Gilead or its Affiliates [***] Gilead or its Affiliate is subject to a [***] Exploitation of any Licensed Molecule or Licensed Product in one or more countries in the Territory under this Agreement, then, in each case ((a) and (b)), Gilead will [***] MacroGenics upon or after Initiation of a Pivotal Clinical Trial for a Licensed Product under this Agreement (including, for clarity, [***]</w:t>
      </w:r>
    </w:p>
    <w:p>
      <w:pPr>
        <w:spacing w:after="0" w:line="200" w:lineRule="exact"/>
        <w:rPr>
          <w:rFonts w:ascii="Arial" w:cs="Arial" w:eastAsia="Arial" w:hAnsi="Arial"/>
          <w:sz w:val="20"/>
          <w:szCs w:val="20"/>
          <w:color w:val="auto"/>
        </w:rPr>
      </w:pPr>
    </w:p>
    <w:p>
      <w:pPr>
        <w:spacing w:after="0" w:line="315" w:lineRule="exact"/>
        <w:rPr>
          <w:rFonts w:ascii="Arial" w:cs="Arial" w:eastAsia="Arial" w:hAnsi="Arial"/>
          <w:sz w:val="20"/>
          <w:szCs w:val="20"/>
          <w:color w:val="auto"/>
        </w:rPr>
      </w:pPr>
    </w:p>
    <w:p>
      <w:pPr>
        <w:jc w:val="right"/>
        <w:ind w:left="680" w:hanging="460"/>
        <w:spacing w:after="0" w:line="237" w:lineRule="auto"/>
        <w:tabs>
          <w:tab w:leader="none" w:pos="603"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 In no event will [***], collectively with the other [***] MacroGenics for a given Calendar Quarter [***]</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amount otherwise payable under Section 10.2 (Development and Regulatory Milestone Payments), 10.3 (Commercial Milestone Payments) or 10.4 (Royalties on Net Sales), as applicable, with respect to an applicable Licensed Product. Gilead may [***] and this </w:t>
      </w:r>
      <w:r>
        <w:rPr>
          <w:rFonts w:ascii="Arial" w:cs="Arial" w:eastAsia="Arial" w:hAnsi="Arial"/>
          <w:sz w:val="18"/>
          <w:szCs w:val="18"/>
          <w:b w:val="1"/>
          <w:bCs w:val="1"/>
          <w:color w:val="auto"/>
        </w:rPr>
        <w:t>Schedule 10.4(c)(iii)</w:t>
      </w:r>
      <w:r>
        <w:rPr>
          <w:rFonts w:ascii="Arial" w:cs="Arial" w:eastAsia="Arial" w:hAnsi="Arial"/>
          <w:sz w:val="18"/>
          <w:szCs w:val="18"/>
          <w:color w:val="auto"/>
        </w:rPr>
        <w:t xml:space="preserve"> (Special Offset and Indemnification) that are</w:t>
      </w:r>
    </w:p>
    <w:p>
      <w:pPr>
        <w:ind w:left="680" w:hanging="10"/>
        <w:spacing w:after="0" w:line="227" w:lineRule="auto"/>
        <w:tabs>
          <w:tab w:leader="none" w:pos="1200" w:val="left"/>
        </w:tabs>
        <w:numPr>
          <w:ilvl w:val="2"/>
          <w:numId w:val="206"/>
        </w:numPr>
        <w:rPr>
          <w:rFonts w:ascii="Arial" w:cs="Arial" w:eastAsia="Arial" w:hAnsi="Arial"/>
          <w:sz w:val="20"/>
          <w:szCs w:val="20"/>
          <w:color w:val="auto"/>
        </w:rPr>
      </w:pPr>
      <w:r>
        <w:rPr>
          <w:rFonts w:ascii="Arial" w:cs="Arial" w:eastAsia="Arial" w:hAnsi="Arial"/>
          <w:sz w:val="20"/>
          <w:szCs w:val="20"/>
          <w:color w:val="auto"/>
        </w:rPr>
        <w:t>Calendar Quarter but are not [***] MacroGenics in such Calendar Quarter as a result of the [***] MacroGenics in any subsequent Calendar Quarter [***].</w:t>
      </w:r>
    </w:p>
    <w:p>
      <w:pPr>
        <w:spacing w:after="0" w:line="258" w:lineRule="exact"/>
        <w:rPr>
          <w:rFonts w:ascii="Arial" w:cs="Arial" w:eastAsia="Arial" w:hAnsi="Arial"/>
          <w:sz w:val="20"/>
          <w:szCs w:val="20"/>
          <w:color w:val="auto"/>
        </w:rPr>
      </w:pPr>
    </w:p>
    <w:p>
      <w:pPr>
        <w:ind w:left="680" w:hanging="460"/>
        <w:spacing w:after="0" w:line="226" w:lineRule="auto"/>
        <w:tabs>
          <w:tab w:leader="none" w:pos="598" w:val="left"/>
        </w:tabs>
        <w:numPr>
          <w:ilvl w:val="0"/>
          <w:numId w:val="206"/>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 Obligations</w:t>
      </w:r>
      <w:r>
        <w:rPr>
          <w:rFonts w:ascii="Arial" w:cs="Arial" w:eastAsia="Arial" w:hAnsi="Arial"/>
          <w:sz w:val="19"/>
          <w:szCs w:val="19"/>
          <w:color w:val="auto"/>
        </w:rPr>
        <w:t>. In addition to Section 15.2 (By MacroGenics), MacroGenics agrees to indemnify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hold harmless the Gilead Indemnitee(s) from and against all Losses incurred in connection with any Third Party Claims [***] (a) to the extent [***] Identified Patent Upstream License (by either MacroGenics with Gilead as a sublicensee thereunder or Gilead) or (b) [***] Identified Patent Upstream License, and except in all cases, to the extent such Third Party Claims arise from any action for which Gilead has an indemnification obligation to a MacroGenics Indemnitee under Section 15.1 (By Gilead), subject to the procedures set forth in Section 15.3 (Indemnification Procedures),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ectPr>
          <w:pgSz w:w="11900" w:h="16838" w:orient="portrait"/>
          <w:cols w:equalWidth="0" w:num="1">
            <w:col w:w="9580"/>
          </w:cols>
          <w:pgMar w:left="1440" w:top="1386" w:right="879" w:bottom="1440" w:gutter="0" w:footer="0" w:header="0"/>
        </w:sectPr>
      </w:pPr>
    </w:p>
    <w:bookmarkStart w:id="247" w:name="page248"/>
    <w:bookmarkEnd w:id="247"/>
    <w:p>
      <w:pPr>
        <w:ind w:left="3840"/>
        <w:spacing w:after="0"/>
        <w:rPr>
          <w:sz w:val="20"/>
          <w:szCs w:val="20"/>
          <w:color w:val="auto"/>
        </w:rPr>
      </w:pPr>
      <w:r>
        <w:rPr>
          <w:rFonts w:ascii="Arial" w:cs="Arial" w:eastAsia="Arial" w:hAnsi="Arial"/>
          <w:sz w:val="20"/>
          <w:szCs w:val="20"/>
          <w:b w:val="1"/>
          <w:bCs w:val="1"/>
          <w:u w:val="single" w:color="auto"/>
          <w:color w:val="auto"/>
        </w:rPr>
        <w:t>Schedule 12.1(f)</w:t>
      </w:r>
    </w:p>
    <w:p>
      <w:pPr>
        <w:spacing w:after="0" w:line="297"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Third Party Confidential Information</w:t>
      </w:r>
    </w:p>
    <w:p>
      <w:pPr>
        <w:spacing w:after="0" w:line="235"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Notwithstanding any provision to the contrary in Section 12.1 (Nondisclosure Obligation), the following obligations will apply, and to the extent there is any conflict with the obligations in Section 12.1 (Nondisclosure Obligation) will</w:t>
      </w:r>
    </w:p>
    <w:p>
      <w:pPr>
        <w:spacing w:after="0"/>
        <w:rPr>
          <w:sz w:val="20"/>
          <w:szCs w:val="20"/>
          <w:color w:val="auto"/>
        </w:rPr>
      </w:pPr>
      <w:r>
        <w:rPr>
          <w:rFonts w:ascii="Arial" w:cs="Arial" w:eastAsia="Arial" w:hAnsi="Arial"/>
          <w:sz w:val="20"/>
          <w:szCs w:val="20"/>
          <w:color w:val="auto"/>
        </w:rPr>
        <w:t>supersede, solely with respect to any [***] that is clearly marked as [***]:</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confidentiality and non-use obligations will remain in place until the later of (a) [***].</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right="180" w:hanging="132"/>
        <w:spacing w:after="0" w:line="228" w:lineRule="auto"/>
        <w:tabs>
          <w:tab w:leader="none" w:pos="101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(a) its directors, officers, consultants and employees (i) with a need to know such [***] and (ii) who are bound by written confidentiality obligations at least as stringent as those set forth in this Agreement (including this Schedule) and (b) regulatory or governmental agencies for the purpose of regulatory compliance and for review for registration and use of the Licensed Molecules and Licensed Products.</w:t>
      </w:r>
    </w:p>
    <w:p>
      <w:pPr>
        <w:spacing w:after="0" w:line="209" w:lineRule="exact"/>
        <w:rPr>
          <w:sz w:val="20"/>
          <w:szCs w:val="20"/>
          <w:color w:val="auto"/>
        </w:rPr>
      </w:pPr>
    </w:p>
    <w:p>
      <w:pPr>
        <w:jc w:val="right"/>
        <w:ind w:left="520" w:right="220"/>
        <w:spacing w:after="0" w:line="236" w:lineRule="auto"/>
        <w:rPr>
          <w:sz w:val="20"/>
          <w:szCs w:val="20"/>
          <w:color w:val="auto"/>
        </w:rPr>
      </w:pPr>
      <w:r>
        <w:rPr>
          <w:rFonts w:ascii="Arial" w:cs="Arial" w:eastAsia="Arial" w:hAnsi="Arial"/>
          <w:sz w:val="18"/>
          <w:szCs w:val="18"/>
          <w:color w:val="auto"/>
        </w:rPr>
        <w:t>The Receiving Party may provide [***] to its Affiliates and its Representatives who have a need to know or are directly concerned with the Receiving Party’s obligations or exercise of rights [***]. The Receiving Party will</w:t>
      </w:r>
    </w:p>
    <w:p>
      <w:pPr>
        <w:ind w:left="660"/>
        <w:spacing w:after="0" w:line="222" w:lineRule="auto"/>
        <w:rPr>
          <w:sz w:val="20"/>
          <w:szCs w:val="20"/>
          <w:color w:val="auto"/>
        </w:rPr>
      </w:pPr>
      <w:r>
        <w:rPr>
          <w:rFonts w:ascii="Arial" w:cs="Arial" w:eastAsia="Arial" w:hAnsi="Arial"/>
          <w:sz w:val="19"/>
          <w:szCs w:val="19"/>
          <w:color w:val="auto"/>
        </w:rPr>
        <w:t>advise its Representatives receiving [***] of its proprietary nature and have in place a written agreement</w:t>
      </w:r>
    </w:p>
    <w:p>
      <w:pPr>
        <w:spacing w:after="0" w:line="1" w:lineRule="exact"/>
        <w:rPr>
          <w:sz w:val="20"/>
          <w:szCs w:val="20"/>
          <w:color w:val="auto"/>
        </w:rPr>
      </w:pPr>
    </w:p>
    <w:p>
      <w:pPr>
        <w:ind w:left="660" w:right="800"/>
        <w:spacing w:after="0" w:line="220" w:lineRule="auto"/>
        <w:rPr>
          <w:sz w:val="20"/>
          <w:szCs w:val="20"/>
          <w:color w:val="auto"/>
        </w:rPr>
      </w:pPr>
      <w:r>
        <w:rPr>
          <w:rFonts w:ascii="Arial" w:cs="Arial" w:eastAsia="Arial" w:hAnsi="Arial"/>
          <w:sz w:val="20"/>
          <w:szCs w:val="20"/>
          <w:color w:val="auto"/>
        </w:rPr>
        <w:t>covering these confidentiality obligations, and use reasonable safeguards to prevent its Representatives unauthorized use or disclosure of [***].</w:t>
      </w:r>
    </w:p>
    <w:p>
      <w:pPr>
        <w:spacing w:after="0" w:line="272"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For purposes of this Schedule, “</w:t>
      </w:r>
      <w:r>
        <w:rPr>
          <w:rFonts w:ascii="Arial" w:cs="Arial" w:eastAsia="Arial" w:hAnsi="Arial"/>
          <w:sz w:val="19"/>
          <w:szCs w:val="19"/>
          <w:b w:val="1"/>
          <w:bCs w:val="1"/>
          <w:color w:val="auto"/>
        </w:rPr>
        <w:t>Representatives</w:t>
      </w:r>
      <w:r>
        <w:rPr>
          <w:rFonts w:ascii="Arial" w:cs="Arial" w:eastAsia="Arial" w:hAnsi="Arial"/>
          <w:sz w:val="19"/>
          <w:szCs w:val="19"/>
          <w:color w:val="auto"/>
        </w:rPr>
        <w:t>” means any officers, representatives, agents, subcontractors, employees, service providers, sublicensee or other Third Party under control or direction of the Receiving Party.</w:t>
      </w:r>
    </w:p>
    <w:p>
      <w:pPr>
        <w:sectPr>
          <w:pgSz w:w="11900" w:h="16838" w:orient="portrait"/>
          <w:cols w:equalWidth="0" w:num="1">
            <w:col w:w="9600"/>
          </w:cols>
          <w:pgMar w:left="1420" w:top="1386" w:right="879" w:bottom="1440" w:gutter="0" w:footer="0" w:header="0"/>
        </w:sectPr>
      </w:pPr>
    </w:p>
    <w:bookmarkStart w:id="248" w:name="page249"/>
    <w:bookmarkEnd w:id="248"/>
    <w:p>
      <w:pPr>
        <w:jc w:val="center"/>
        <w:ind w:right="560"/>
        <w:spacing w:after="0"/>
        <w:rPr>
          <w:sz w:val="20"/>
          <w:szCs w:val="20"/>
          <w:color w:val="auto"/>
        </w:rPr>
      </w:pPr>
      <w:r>
        <w:rPr>
          <w:rFonts w:ascii="Arial" w:cs="Arial" w:eastAsia="Arial" w:hAnsi="Arial"/>
          <w:sz w:val="20"/>
          <w:szCs w:val="20"/>
          <w:b w:val="1"/>
          <w:bCs w:val="1"/>
          <w:u w:val="single" w:color="auto"/>
          <w:color w:val="auto"/>
        </w:rPr>
        <w:t>Schedule 12.3(a)</w:t>
      </w:r>
    </w:p>
    <w:p>
      <w:pPr>
        <w:spacing w:after="0" w:line="297"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236855</wp:posOffset>
            </wp:positionV>
            <wp:extent cx="1405890" cy="402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1405890" cy="40259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5715</wp:posOffset>
            </wp:positionV>
            <wp:extent cx="1139825" cy="6343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11398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Gilead Contacts:</w:t>
      </w:r>
      <w:r>
        <w:rPr>
          <w:sz w:val="20"/>
          <w:szCs w:val="20"/>
          <w:color w:val="auto"/>
        </w:rPr>
        <w:tab/>
      </w:r>
      <w:r>
        <w:rPr>
          <w:rFonts w:ascii="Arial" w:cs="Arial" w:eastAsia="Arial" w:hAnsi="Arial"/>
          <w:sz w:val="18"/>
          <w:szCs w:val="18"/>
          <w:b w:val="1"/>
          <w:bCs w:val="1"/>
          <w:color w:val="auto"/>
        </w:rPr>
        <w:t>MacroGenics Contact:</w:t>
      </w:r>
    </w:p>
    <w:p>
      <w:pPr>
        <w:spacing w:after="0" w:line="235" w:lineRule="exact"/>
        <w:rPr>
          <w:sz w:val="20"/>
          <w:szCs w:val="20"/>
          <w:color w:val="auto"/>
        </w:rPr>
      </w:pPr>
    </w:p>
    <w:p>
      <w:pPr>
        <w:ind w:right="4340"/>
        <w:spacing w:after="0" w:line="287" w:lineRule="auto"/>
        <w:rPr>
          <w:sz w:val="20"/>
          <w:szCs w:val="20"/>
          <w:color w:val="auto"/>
        </w:rPr>
      </w:pPr>
      <w:r>
        <w:rPr>
          <w:rFonts w:ascii="Arial" w:cs="Arial" w:eastAsia="Arial" w:hAnsi="Arial"/>
          <w:sz w:val="19"/>
          <w:szCs w:val="19"/>
          <w:color w:val="auto"/>
        </w:rPr>
        <w:t>Jacquie Ross, Investors Jim Karrels, Senior Vice President, CFO investor_relations@gilead.com info@macrogenics.com</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Marian Cutler, Media Marian.Cutler1@gilead.com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FF0000"/>
        </w:rPr>
        <w:t>Confidential Draft –Not for Distribution</w:t>
      </w:r>
    </w:p>
    <w:p>
      <w:pPr>
        <w:spacing w:after="0" w:line="277" w:lineRule="exact"/>
        <w:rPr>
          <w:sz w:val="20"/>
          <w:szCs w:val="20"/>
          <w:color w:val="auto"/>
        </w:rPr>
      </w:pPr>
    </w:p>
    <w:p>
      <w:pPr>
        <w:jc w:val="center"/>
        <w:ind w:right="560"/>
        <w:spacing w:after="0" w:line="239" w:lineRule="auto"/>
        <w:rPr>
          <w:sz w:val="20"/>
          <w:szCs w:val="20"/>
          <w:color w:val="auto"/>
        </w:rPr>
      </w:pPr>
      <w:r>
        <w:rPr>
          <w:rFonts w:ascii="Arial" w:cs="Arial" w:eastAsia="Arial" w:hAnsi="Arial"/>
          <w:sz w:val="20"/>
          <w:szCs w:val="20"/>
          <w:b w:val="1"/>
          <w:bCs w:val="1"/>
          <w:color w:val="auto"/>
        </w:rPr>
        <w:t>GILEAD AND MACROGENICS ANNOUNCE ONCOLOGY COLLABORATION TO DEVELOP BISPECIFIC ANTIBODIES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Gilead Granted Exclusive Option to License MGD024, a Phase 1 CD123×CD3 DART</w:t>
      </w:r>
      <w:r>
        <w:rPr>
          <w:rFonts w:ascii="Arial" w:cs="Arial" w:eastAsia="Arial" w:hAnsi="Arial"/>
          <w:sz w:val="24"/>
          <w:szCs w:val="24"/>
          <w:b w:val="1"/>
          <w:bCs w:val="1"/>
          <w:i w:val="1"/>
          <w:iCs w:val="1"/>
          <w:color w:val="auto"/>
          <w:vertAlign w:val="superscript"/>
        </w:rPr>
        <w: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Molecule with</w:t>
      </w:r>
    </w:p>
    <w:p>
      <w:pPr>
        <w:ind w:left="2280"/>
        <w:spacing w:after="0"/>
        <w:rPr>
          <w:sz w:val="20"/>
          <w:szCs w:val="20"/>
          <w:color w:val="auto"/>
        </w:rPr>
      </w:pPr>
      <w:r>
        <w:rPr>
          <w:rFonts w:ascii="Arial" w:cs="Arial" w:eastAsia="Arial" w:hAnsi="Arial"/>
          <w:sz w:val="20"/>
          <w:szCs w:val="20"/>
          <w:b w:val="1"/>
          <w:bCs w:val="1"/>
          <w:i w:val="1"/>
          <w:iCs w:val="1"/>
          <w:color w:val="auto"/>
        </w:rPr>
        <w:t xml:space="preserve">Potential to Treat Various Hematologic Malignancies </w:t>
      </w:r>
      <w:r>
        <w:rPr>
          <w:rFonts w:ascii="Arial" w:cs="Arial" w:eastAsia="Arial" w:hAnsi="Arial"/>
          <w:sz w:val="20"/>
          <w:szCs w:val="20"/>
          <w:b w:val="1"/>
          <w:bCs w:val="1"/>
          <w:color w:val="auto"/>
        </w:rPr>
        <w:t>–</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Potential for Companies to Collaborate on Two Additional Future Research Programs</w:t>
      </w:r>
      <w:r>
        <w:rPr>
          <w:rFonts w:ascii="Arial" w:cs="Arial" w:eastAsia="Arial" w:hAnsi="Arial"/>
          <w:sz w:val="20"/>
          <w:szCs w:val="20"/>
          <w:b w:val="1"/>
          <w:bCs w:val="1"/>
          <w:color w:val="auto"/>
        </w:rPr>
        <w:t xml:space="preserve"> –</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Foster City, Calif., and Rockville, Md. October 17, 2022 – </w:t>
      </w:r>
      <w:r>
        <w:rPr>
          <w:rFonts w:ascii="Arial" w:cs="Arial" w:eastAsia="Arial" w:hAnsi="Arial"/>
          <w:sz w:val="18"/>
          <w:szCs w:val="18"/>
          <w:color w:val="auto"/>
        </w:rPr>
        <w:t>Gilead Sciences, Inc. (Nasdaq: GILD) and MacroGenics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(NASDAQ: MGNX) today announced an exclusive option and collaboration agreement to develop MGD024, an investigational, bispecific antibody that binds CD123 and CD3 using MacroGenics’ DART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platform, and two additional bispecific research programs. The collaboration agreement grants Gilead the option to license MGD024, a potential treatment for certain blood cancers, including acute myeloid leukemia (AML) and myelodysplastic syndromes (MDS).</w:t>
      </w:r>
    </w:p>
    <w:p>
      <w:pPr>
        <w:spacing w:after="0" w:line="24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A leader in the bispecific antibody space, MacroGenics has extensive experience applying its proprietary DART platform to develop novel therapeutics. MGD024 is a next-generation, bispecific that incorporates a CD3 component that is designed to minimize cytokine-release syndrome (CRS), a potentially life- threatening toxicity, while increasing the magnitude of antitumor activity with a longer half-life to permit intermittent dosing.</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“MacroGenics’ bispecific expertise naturally complements Gilead’s portfolio strengths in immuno- oncology and our growing hematology franchise,” said Bill Grossman, MD, PhD, Senior Vice President, Oncology Clinical Development, Gilead Sciences. “We believe MGD024, with its potential to reduce CRS and permit intermittent dosing through a longer half-life, could translate to more patient-friendly dosing and enhanced clinical outcomes for people living with AML and MDS. This partnership is the latest in our efforts to develop and advance transformative new cancer therapies as we deepen our portfolio across oncology indications.”</w:t>
      </w:r>
    </w:p>
    <w:p>
      <w:pPr>
        <w:sectPr>
          <w:pgSz w:w="11900" w:h="16838" w:orient="portrait"/>
          <w:cols w:equalWidth="0" w:num="1">
            <w:col w:w="9600"/>
          </w:cols>
          <w:pgMar w:left="1420" w:top="1386" w:right="879" w:bottom="1440" w:gutter="0" w:footer="0" w:header="0"/>
        </w:sectPr>
      </w:pPr>
    </w:p>
    <w:bookmarkStart w:id="249" w:name="page250"/>
    <w:bookmarkEnd w:id="249"/>
    <w:p>
      <w:pPr>
        <w:spacing w:after="0" w:line="24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Scott Koenig, MD, PhD, President, and CEO, MacroGenics said, “Rapid advances over the last decade have made CD123 a very promising target in oncology research. Advancing our bispecific DART molecule, MGD024, through a strategic collaboration with the team at Gilead will accelerate our ability to drive further development of MGD024 to the potential benefit of people living with blood cancers.”</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MacroGenics will be responsible for the ongoing Phase 1 study for MGD024 during which Gilead may elect to exercise its option to license the program at predefined decision points. The Phase 1 study will include a dose escalation segment and an expansion segment that is intended to evaluate MGD024 as monotherapy and in combination with other therapies across multiple indications.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Considerations</w:t>
      </w:r>
    </w:p>
    <w:p>
      <w:pPr>
        <w:spacing w:after="0" w:line="3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As part of the agreement, Gilead will pay MacroGenics an upfront payment of $60 million and MacroGenics will be eligible to receive up to $1.7 billion in target nomination, option fees, and development, regulatory and commercial milestones. MacroGenics will also be eligible to receive tiered, double-digit royalties on worldwide net sales of MGD024 and a flat royalty on worldwide net sales of products under the two research programs.</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Beginning in the first quarter of 2022, consistent with recent industry communications from the U.S. Securities and Exchange Commission (SEC), Gilead no longer excludes acquired IPR&amp;D expenses from its non-GAAP financial measures and expects the transaction with MacroGenics to reduce Gilead’s GAAP and non-GAAP 2022 EPS by approximately $0.04.</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MacroGenics, Inc.</w:t>
      </w:r>
    </w:p>
    <w:p>
      <w:pPr>
        <w:spacing w:after="0" w:line="33"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MacroGenics is a biopharmaceutical company focused on developing and commercializing innovative monoclonal antibody-based therapeutics for the treatment of cancer. The company generates its pipeline of product candidates primarily from its proprietary suite of next-generation antibody-based technology platforms, which have applicability across broad therapeutic domains. The combination of MacroGenics' technology platforms and protein engineering expertise has allowed the company to generate promising product candidates and enter into several strategic collaborations with global pharmaceutical and biotechnology companies. For more information, please see the company's website at www.macrogenics.com. MacroGenics, the MacroGenics logo, and DART are trademarks or registered trademarks of MacroGenics, Inc.</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Gilead Sciences</w:t>
      </w:r>
    </w:p>
    <w:p>
      <w:pPr>
        <w:spacing w:after="0" w:line="3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Gilead Sciences, Inc. is a biopharmaceutical company that has pursued and achieved breakthroughs in medicine for more than three decades, with the goal of creating a healthier world for all people. The company is committed to advancing innovative medicines to prevent and treat life-threatening diseases, including HIV, viral hepatitis, and cancer. Gilead operates in more than 35 countries worldwide, with headquarters in Foster City, California.</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Gilead Forward-Looking Statements</w:t>
      </w:r>
    </w:p>
    <w:p>
      <w:pPr>
        <w:spacing w:after="0" w:line="33"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This press release includes forward-looking statements within the meaning of the Private Securities Litigation Reform Act of 1995 that are subject to risks, uncertainties, and other factors, including the ability</w:t>
      </w:r>
    </w:p>
    <w:p>
      <w:pPr>
        <w:sectPr>
          <w:pgSz w:w="11900" w:h="16838" w:orient="portrait"/>
          <w:cols w:equalWidth="0" w:num="1">
            <w:col w:w="9600"/>
          </w:cols>
          <w:pgMar w:left="1420" w:top="1440" w:right="879" w:bottom="1440" w:gutter="0" w:footer="0" w:header="0"/>
        </w:sectPr>
      </w:pPr>
    </w:p>
    <w:bookmarkStart w:id="250" w:name="page251"/>
    <w:bookmarkEnd w:id="250"/>
    <w:p>
      <w:pPr>
        <w:jc w:val="both"/>
        <w:spacing w:after="0" w:line="308" w:lineRule="auto"/>
        <w:rPr>
          <w:sz w:val="20"/>
          <w:szCs w:val="20"/>
          <w:color w:val="auto"/>
        </w:rPr>
      </w:pPr>
      <w:r>
        <w:rPr>
          <w:rFonts w:ascii="Arial" w:cs="Arial" w:eastAsia="Arial" w:hAnsi="Arial"/>
          <w:sz w:val="18"/>
          <w:szCs w:val="18"/>
          <w:color w:val="auto"/>
        </w:rPr>
        <w:t>of the parties to complete the transaction in a timely manner or at all; the possibility that various closing conditions for the transaction may not be satisfied or waived, including the possibility that a governmental entity may prohibit, delay or refuse to grant approval for the consummation of the transaction; the risk that Gilead may not realize the potential benefits of this collaboration with MacroGenics or its other investments in oncology; difficulties or unanticipated expenses in connection with the collaboration and the potential effects on Gilead’s revenues and earnings; Gilead’s ability to achieve its anticipated full year 2022 financial results; the ability of the parties to initiate, progress or complete clinical trials within currently anticipated timelines or at all, and the possibility of unfavorable results from ongoing or additional trials, including those involving MGD024 or future research programs; the ability of the parties to file applications for regulatory approval or receive regulatory approvals in a timely manner or at all, including those involving MGD024 or future research programs, and the risk that any such approvals may be subject to significant limitations on use; the possibility that the parties may make a strategic decision to terminate the collaborations, including the development of MGD024 or future research programs, at any time; and any assumptions underlying any of the foregoing. These and other risks, uncertainties and other factors are described in detail in Gilead’s Quarterly Report on Form 10-Q for the quarter ended June 30, 2022, as filed with the U.S. Securities and Exchange Commission. These risks, uncertainties and other factors could cause actual results to differ materially from those referred to in the forward-looking statements. All statements other than statements of historical fact are statements that could be deemed forward-looking statements. The reader is cautioned that any such forward-looking statements are not guarantees of future performance and involve risks and uncertainties and is cautioned not to place undue reliance on these forward-looking statements. All forward-looking statements are based on information currently available to Gilead, and Gilead assumes no obligation and disclaims any intent to update any such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MacroGenics Forward-Looking Statements</w:t>
      </w:r>
    </w:p>
    <w:p>
      <w:pPr>
        <w:spacing w:after="0" w:line="3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Any statements in this press release about future expectations, plans and prospects for MacroGenics, including statements about the MacroGenics’ strategy, future operations, clinical development of MGD024, including initiation and enrollment in clinical trials for MGD024, the consummation of the transactions discussed in this press release, milestone or option payments from Gilead and other statements containing the words “subject to”, "believe", “anticipate”, “plan”, “expect”, “intend”, “estimate”, “potential,” “project”, “may”, “will”, “should”, “would”, “could”, “can”, the negatives thereof, variations thereon and similar expressions constitute forward-looking statements within the meaning of the Private Securities Litigation Reform Act of 1995. Actual results may differ materially from those indicated by such forward- looking statements as a result of various important factors, including: risks that MGD024 may not provide a significant clinical benefit to patients with certain blood cancers; the uncertainties inherent in the initiation and enrollment of clinical trials; the availability of financing to fund the development of MGD024 and MacroGenics’ other product candidates; availability and timing of data from ongoing clinical trials; expectations for developing further programs under the collaboration agreement with Gilead; the possibility that the parties may make a strategic decision to terminate the collaborations, including the development of MGD024 or future research programs, at any time; expectations for the timing and steps required in the regulatory review process for MGD024; expectations for regulatory approvals; expectations of milestone payments; the impact of competitive products; economic or political disruptions due to catastrophes or other events, including natural disasters, terrorist attacks, civil unrest and actual or threatened armed conflict; public health crises such as the COVID-19 pandemic; and other risks described in the MacroGenics’ filings with the Securities and Exchange Commission. In addition, the forward-looking statements included in this</w:t>
      </w:r>
    </w:p>
    <w:p>
      <w:pPr>
        <w:sectPr>
          <w:pgSz w:w="11900" w:h="16838" w:orient="portrait"/>
          <w:cols w:equalWidth="0" w:num="1">
            <w:col w:w="9600"/>
          </w:cols>
          <w:pgMar w:left="1420" w:top="1432" w:right="879" w:bottom="1440" w:gutter="0" w:footer="0" w:header="0"/>
        </w:sectPr>
      </w:pPr>
    </w:p>
    <w:bookmarkStart w:id="251" w:name="page252"/>
    <w:bookmarkEnd w:id="251"/>
    <w:p>
      <w:pPr>
        <w:jc w:val="both"/>
        <w:ind w:left="80"/>
        <w:spacing w:after="0" w:line="297" w:lineRule="auto"/>
        <w:rPr>
          <w:sz w:val="20"/>
          <w:szCs w:val="20"/>
          <w:color w:val="auto"/>
        </w:rPr>
      </w:pPr>
      <w:r>
        <w:rPr>
          <w:rFonts w:ascii="Arial" w:cs="Arial" w:eastAsia="Arial" w:hAnsi="Arial"/>
          <w:sz w:val="19"/>
          <w:szCs w:val="19"/>
          <w:color w:val="auto"/>
        </w:rPr>
        <w:t>press release represent MacroGenics’ views only as of the date hereof. MacroGenics anticipates that subsequent events and developments will cause MacroGenics’ views to change. However, while MacroGenics may elect to update these forward-looking statements at some point in the future, MacroGenics specifically disclaims any obligation to do so, except as may be required by law. These forward-looking statements should not be relied upon as representing MacroGenics’ views as of any date subsequent to the date hereof.</w:t>
      </w:r>
    </w:p>
    <w:p>
      <w:pPr>
        <w:spacing w:after="0" w:line="187"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center"/>
        <w:ind w:right="480"/>
        <w:spacing w:after="0"/>
        <w:rPr>
          <w:sz w:val="20"/>
          <w:szCs w:val="20"/>
          <w:color w:val="auto"/>
        </w:rPr>
      </w:pPr>
      <w:r>
        <w:rPr>
          <w:rFonts w:ascii="Arial" w:cs="Arial" w:eastAsia="Arial" w:hAnsi="Arial"/>
          <w:sz w:val="20"/>
          <w:szCs w:val="20"/>
          <w:i w:val="1"/>
          <w:iCs w:val="1"/>
          <w:color w:val="auto"/>
        </w:rPr>
        <w:t>Gilead and the Gilead logo are trademarks of Gilead Sciences, Inc., or its related companies.</w:t>
      </w:r>
    </w:p>
    <w:p>
      <w:pPr>
        <w:spacing w:after="0" w:line="243" w:lineRule="exact"/>
        <w:rPr>
          <w:sz w:val="20"/>
          <w:szCs w:val="20"/>
          <w:color w:val="auto"/>
        </w:rPr>
      </w:pPr>
    </w:p>
    <w:p>
      <w:pPr>
        <w:jc w:val="center"/>
        <w:ind w:right="480"/>
        <w:spacing w:after="0" w:line="331" w:lineRule="auto"/>
        <w:rPr>
          <w:sz w:val="20"/>
          <w:szCs w:val="20"/>
          <w:color w:val="auto"/>
        </w:rPr>
      </w:pPr>
      <w:r>
        <w:rPr>
          <w:rFonts w:ascii="Arial" w:cs="Arial" w:eastAsia="Arial" w:hAnsi="Arial"/>
          <w:sz w:val="19"/>
          <w:szCs w:val="19"/>
          <w:i w:val="1"/>
          <w:iCs w:val="1"/>
          <w:color w:val="auto"/>
        </w:rPr>
        <w:t>For more information about Gilead, please visit the company’s website at www.gilead.com, follow Gilead on Twitter (@GileadSciences) or call Gilead Public Affairs at 1-800-GILEAD-5 or 1-650-574-3000.</w:t>
      </w:r>
    </w:p>
    <w:p>
      <w:pPr>
        <w:sectPr>
          <w:pgSz w:w="11900" w:h="16838" w:orient="portrait"/>
          <w:cols w:equalWidth="0" w:num="1">
            <w:col w:w="9680"/>
          </w:cols>
          <w:pgMar w:left="1340" w:top="1432" w:right="879" w:bottom="1440" w:gutter="0" w:footer="0" w:header="0"/>
        </w:sectPr>
      </w:pPr>
    </w:p>
    <w:bookmarkStart w:id="252" w:name="page253"/>
    <w:bookmarkEnd w:id="252"/>
    <w:p>
      <w:pPr>
        <w:jc w:val="center"/>
        <w:ind w:right="-20"/>
        <w:spacing w:after="0"/>
        <w:rPr>
          <w:sz w:val="20"/>
          <w:szCs w:val="20"/>
          <w:color w:val="auto"/>
        </w:rPr>
      </w:pPr>
      <w:r>
        <w:rPr>
          <w:rFonts w:ascii="Arial" w:cs="Arial" w:eastAsia="Arial" w:hAnsi="Arial"/>
          <w:sz w:val="20"/>
          <w:szCs w:val="20"/>
          <w:b w:val="1"/>
          <w:bCs w:val="1"/>
          <w:u w:val="single" w:color="auto"/>
          <w:color w:val="auto"/>
        </w:rPr>
        <w:t>Schedule 14.1</w:t>
      </w:r>
    </w:p>
    <w:p>
      <w:pPr>
        <w:spacing w:after="0" w:line="297" w:lineRule="exact"/>
        <w:rPr>
          <w:sz w:val="20"/>
          <w:szCs w:val="20"/>
          <w:color w:val="auto"/>
        </w:rPr>
      </w:pPr>
    </w:p>
    <w:p>
      <w:pPr>
        <w:jc w:val="right"/>
        <w:ind w:right="2019"/>
        <w:spacing w:after="0"/>
        <w:rPr>
          <w:sz w:val="20"/>
          <w:szCs w:val="20"/>
          <w:color w:val="auto"/>
        </w:rPr>
      </w:pPr>
      <w:r>
        <w:rPr>
          <w:rFonts w:ascii="Arial" w:cs="Arial" w:eastAsia="Arial" w:hAnsi="Arial"/>
          <w:sz w:val="20"/>
          <w:szCs w:val="20"/>
          <w:b w:val="1"/>
          <w:bCs w:val="1"/>
          <w:color w:val="auto"/>
        </w:rPr>
        <w:t>Exceptions to the Representations and Warranties of MacroGenics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Section 14.1(r) </w:t>
      </w:r>
      <w:r>
        <w:rPr>
          <w:rFonts w:ascii="Arial" w:cs="Arial" w:eastAsia="Arial" w:hAnsi="Arial"/>
          <w:sz w:val="20"/>
          <w:szCs w:val="20"/>
          <w:color w:val="auto"/>
        </w:rPr>
        <w:t>(Representations and Warranties of MacroGenics): [***].</w:t>
      </w: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39"/>
          </w:cols>
          <w:pgMar w:left="1420" w:top="1386" w:right="1440" w:bottom="1440" w:gutter="0" w:footer="0" w:header="0"/>
        </w:sectPr>
      </w:pPr>
    </w:p>
    <w:bookmarkStart w:id="253" w:name="page254"/>
    <w:bookmarkEnd w:id="253"/>
    <w:p>
      <w:pPr>
        <w:ind w:left="8440"/>
        <w:spacing w:after="0"/>
        <w:rPr>
          <w:sz w:val="20"/>
          <w:szCs w:val="20"/>
          <w:color w:val="auto"/>
        </w:rPr>
      </w:pPr>
      <w:r>
        <w:rPr>
          <w:rFonts w:ascii="Arial" w:cs="Arial" w:eastAsia="Arial" w:hAnsi="Arial"/>
          <w:sz w:val="20"/>
          <w:szCs w:val="20"/>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360" w:right="300"/>
        <w:spacing w:after="0" w:line="287" w:lineRule="auto"/>
        <w:rPr>
          <w:sz w:val="20"/>
          <w:szCs w:val="20"/>
          <w:color w:val="auto"/>
        </w:rPr>
      </w:pPr>
      <w:r>
        <w:rPr>
          <w:rFonts w:ascii="Arial" w:cs="Arial" w:eastAsia="Arial" w:hAnsi="Arial"/>
          <w:sz w:val="16"/>
          <w:szCs w:val="16"/>
          <w:color w:val="auto"/>
        </w:rPr>
        <w:t>CONFIDENTIAL TREATMENT REQUESTED: Certain portions of this document have been omitted pursuant to a request for confidential treatment and, where applicable, have been marked with an asterisk (“[*****]”) to denote where omissions have been made. The confidential material has been filed separately with the Securities and Exchange Commission.</w:t>
      </w:r>
    </w:p>
    <w:p>
      <w:pPr>
        <w:spacing w:after="0" w:line="200" w:lineRule="exact"/>
        <w:rPr>
          <w:sz w:val="20"/>
          <w:szCs w:val="20"/>
          <w:color w:val="auto"/>
        </w:rPr>
      </w:pPr>
    </w:p>
    <w:p>
      <w:pPr>
        <w:spacing w:after="0" w:line="22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ASSET PURCHASE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Asset Purchase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the 7</w:t>
      </w:r>
      <w:r>
        <w:rPr>
          <w:rFonts w:ascii="Arial" w:cs="Arial" w:eastAsia="Arial" w:hAnsi="Arial"/>
          <w:sz w:val="35"/>
          <w:szCs w:val="35"/>
          <w:color w:val="auto"/>
          <w:vertAlign w:val="superscript"/>
        </w:rPr>
        <w:t>th</w:t>
      </w:r>
      <w:r>
        <w:rPr>
          <w:rFonts w:ascii="Arial" w:cs="Arial" w:eastAsia="Arial" w:hAnsi="Arial"/>
          <w:sz w:val="16"/>
          <w:szCs w:val="16"/>
          <w:color w:val="auto"/>
        </w:rPr>
        <w:t xml:space="preserve"> day of May 2018 (the </w:t>
      </w:r>
      <w:r>
        <w:rPr>
          <w:rFonts w:ascii="Arial" w:cs="Arial" w:eastAsia="Arial" w:hAnsi="Arial"/>
          <w:sz w:val="16"/>
          <w:szCs w:val="16"/>
          <w:b w:val="1"/>
          <w:bCs w:val="1"/>
          <w:color w:val="auto"/>
        </w:rPr>
        <w:t>“Closing Date”</w:t>
      </w:r>
      <w:r>
        <w:rPr>
          <w:rFonts w:ascii="Arial" w:cs="Arial" w:eastAsia="Arial" w:hAnsi="Arial"/>
          <w:sz w:val="16"/>
          <w:szCs w:val="16"/>
          <w:color w:val="auto"/>
        </w:rPr>
        <w:t>), by and between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PROVENTION BIO, INC.</w:t>
      </w:r>
      <w:r>
        <w:rPr>
          <w:rFonts w:ascii="Arial" w:cs="Arial" w:eastAsia="Arial" w:hAnsi="Arial"/>
          <w:sz w:val="16"/>
          <w:szCs w:val="16"/>
          <w:color w:val="auto"/>
        </w:rPr>
        <w:t>, a Delaware corporation, the principal place of business of which is at United States of America (</w:t>
      </w:r>
      <w:r>
        <w:rPr>
          <w:rFonts w:ascii="Arial" w:cs="Arial" w:eastAsia="Arial" w:hAnsi="Arial"/>
          <w:sz w:val="16"/>
          <w:szCs w:val="16"/>
          <w:b w:val="1"/>
          <w:bCs w:val="1"/>
          <w:color w:val="auto"/>
        </w:rPr>
        <w:t>“Buyer”</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244" w:lineRule="exact"/>
        <w:rPr>
          <w:sz w:val="20"/>
          <w:szCs w:val="20"/>
          <w:color w:val="auto"/>
        </w:rPr>
      </w:pPr>
    </w:p>
    <w:p>
      <w:pPr>
        <w:ind w:right="520"/>
        <w:spacing w:after="0" w:line="333" w:lineRule="auto"/>
        <w:rPr>
          <w:sz w:val="20"/>
          <w:szCs w:val="20"/>
          <w:color w:val="auto"/>
        </w:rPr>
      </w:pPr>
      <w:r>
        <w:rPr>
          <w:rFonts w:ascii="Arial" w:cs="Arial" w:eastAsia="Arial" w:hAnsi="Arial"/>
          <w:sz w:val="16"/>
          <w:szCs w:val="16"/>
          <w:b w:val="1"/>
          <w:bCs w:val="1"/>
          <w:color w:val="auto"/>
        </w:rPr>
        <w:t>MACROGENICS, INC.</w:t>
      </w:r>
      <w:r>
        <w:rPr>
          <w:rFonts w:ascii="Arial" w:cs="Arial" w:eastAsia="Arial" w:hAnsi="Arial"/>
          <w:sz w:val="16"/>
          <w:szCs w:val="16"/>
          <w:color w:val="auto"/>
        </w:rPr>
        <w:t>, a Delaware corporation, the principal place of business of which is at 9704 Medical Centre Drive, Rockville, MD 20850, United States of</w:t>
      </w:r>
      <w:r>
        <w:rPr>
          <w:rFonts w:ascii="Arial" w:cs="Arial" w:eastAsia="Arial" w:hAnsi="Arial"/>
          <w:sz w:val="16"/>
          <w:szCs w:val="16"/>
          <w:b w:val="1"/>
          <w:bCs w:val="1"/>
          <w:color w:val="auto"/>
        </w:rPr>
        <w:t xml:space="preserve"> </w:t>
      </w:r>
      <w:r>
        <w:rPr>
          <w:rFonts w:ascii="Arial" w:cs="Arial" w:eastAsia="Arial" w:hAnsi="Arial"/>
          <w:sz w:val="16"/>
          <w:szCs w:val="16"/>
          <w:color w:val="auto"/>
        </w:rPr>
        <w:t>America (</w:t>
      </w:r>
      <w:r>
        <w:rPr>
          <w:rFonts w:ascii="Arial" w:cs="Arial" w:eastAsia="Arial" w:hAnsi="Arial"/>
          <w:sz w:val="16"/>
          <w:szCs w:val="16"/>
          <w:b w:val="1"/>
          <w:bCs w:val="1"/>
          <w:color w:val="auto"/>
        </w:rPr>
        <w:t>“Seller”</w:t>
      </w:r>
      <w:r>
        <w:rPr>
          <w:rFonts w:ascii="Arial" w:cs="Arial" w:eastAsia="Arial" w:hAnsi="Arial"/>
          <w:sz w:val="16"/>
          <w:szCs w:val="16"/>
          <w:color w:val="auto"/>
        </w:rPr>
        <w: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RECITALS</w:t>
      </w:r>
    </w:p>
    <w:p>
      <w:pPr>
        <w:spacing w:after="0" w:line="248" w:lineRule="exact"/>
        <w:rPr>
          <w:sz w:val="20"/>
          <w:szCs w:val="20"/>
          <w:color w:val="auto"/>
        </w:rPr>
      </w:pPr>
    </w:p>
    <w:p>
      <w:pPr>
        <w:ind w:right="120"/>
        <w:spacing w:after="0" w:line="33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Buyer is a clinical stage biopharmaceutical company that possesses expertise in the research and development of pharmaceutical products which prevent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intercept immune-mediated diseases;</w:t>
      </w:r>
    </w:p>
    <w:p>
      <w:pPr>
        <w:spacing w:after="0" w:line="178" w:lineRule="exact"/>
        <w:rPr>
          <w:sz w:val="20"/>
          <w:szCs w:val="20"/>
          <w:color w:val="auto"/>
        </w:rPr>
      </w:pPr>
    </w:p>
    <w:p>
      <w:pPr>
        <w:ind w:right="60"/>
        <w:spacing w:after="0" w:line="33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Seller is a biopharmaceutical company that discovers and develops novel biologics for the treatment of cancer, autoimmune disorders and infectious diseases,</w:t>
      </w:r>
      <w:r>
        <w:rPr>
          <w:rFonts w:ascii="Arial" w:cs="Arial" w:eastAsia="Arial" w:hAnsi="Arial"/>
          <w:sz w:val="16"/>
          <w:szCs w:val="16"/>
          <w:b w:val="1"/>
          <w:bCs w:val="1"/>
          <w:color w:val="auto"/>
        </w:rPr>
        <w:t xml:space="preserve"> </w:t>
      </w:r>
      <w:r>
        <w:rPr>
          <w:rFonts w:ascii="Arial" w:cs="Arial" w:eastAsia="Arial" w:hAnsi="Arial"/>
          <w:sz w:val="16"/>
          <w:szCs w:val="16"/>
          <w:color w:val="auto"/>
        </w:rPr>
        <w:t>and Seller has developed a novel cluster of differentiation 3 (“</w:t>
      </w:r>
      <w:r>
        <w:rPr>
          <w:rFonts w:ascii="Arial" w:cs="Arial" w:eastAsia="Arial" w:hAnsi="Arial"/>
          <w:sz w:val="16"/>
          <w:szCs w:val="16"/>
          <w:b w:val="1"/>
          <w:bCs w:val="1"/>
          <w:color w:val="auto"/>
        </w:rPr>
        <w:t>CD3</w:t>
      </w:r>
      <w:r>
        <w:rPr>
          <w:rFonts w:ascii="Arial" w:cs="Arial" w:eastAsia="Arial" w:hAnsi="Arial"/>
          <w:sz w:val="16"/>
          <w:szCs w:val="16"/>
          <w:color w:val="auto"/>
        </w:rPr>
        <w:t>”) partial agonist known as “</w:t>
      </w:r>
      <w:r>
        <w:rPr>
          <w:rFonts w:ascii="Arial" w:cs="Arial" w:eastAsia="Arial" w:hAnsi="Arial"/>
          <w:sz w:val="16"/>
          <w:szCs w:val="16"/>
          <w:i w:val="1"/>
          <w:iCs w:val="1"/>
          <w:color w:val="auto"/>
        </w:rPr>
        <w:t>Teplizumab</w:t>
      </w:r>
      <w:r>
        <w:rPr>
          <w:rFonts w:ascii="Arial" w:cs="Arial" w:eastAsia="Arial" w:hAnsi="Arial"/>
          <w:sz w:val="16"/>
          <w:szCs w:val="16"/>
          <w:color w:val="auto"/>
        </w:rPr>
        <w:t>”;</w:t>
      </w:r>
    </w:p>
    <w:p>
      <w:pPr>
        <w:spacing w:after="0" w:line="178" w:lineRule="exact"/>
        <w:rPr>
          <w:sz w:val="20"/>
          <w:szCs w:val="20"/>
          <w:color w:val="auto"/>
        </w:rPr>
      </w:pPr>
    </w:p>
    <w:p>
      <w:pPr>
        <w:ind w:right="280"/>
        <w:spacing w:after="0" w:line="33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Seller wishes to sell and transfer to Buyer all right, title and interest in and to certain assets related to “</w:t>
      </w:r>
      <w:r>
        <w:rPr>
          <w:rFonts w:ascii="Arial" w:cs="Arial" w:eastAsia="Arial" w:hAnsi="Arial"/>
          <w:sz w:val="16"/>
          <w:szCs w:val="16"/>
          <w:i w:val="1"/>
          <w:iCs w:val="1"/>
          <w:color w:val="auto"/>
        </w:rPr>
        <w:t>Teplizumab</w:t>
      </w:r>
      <w:r>
        <w:rPr>
          <w:rFonts w:ascii="Arial" w:cs="Arial" w:eastAsia="Arial" w:hAnsi="Arial"/>
          <w:sz w:val="16"/>
          <w:szCs w:val="16"/>
          <w:color w:val="auto"/>
        </w:rPr>
        <w:t>” pursuant to and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of this Agreement;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Buyer wishes to purchase from Seller such assets related to “</w:t>
      </w:r>
      <w:r>
        <w:rPr>
          <w:rFonts w:ascii="Arial" w:cs="Arial" w:eastAsia="Arial" w:hAnsi="Arial"/>
          <w:sz w:val="16"/>
          <w:szCs w:val="16"/>
          <w:i w:val="1"/>
          <w:iCs w:val="1"/>
          <w:color w:val="auto"/>
        </w:rPr>
        <w:t>Teplizumab</w:t>
      </w:r>
      <w:r>
        <w:rPr>
          <w:rFonts w:ascii="Arial" w:cs="Arial" w:eastAsia="Arial" w:hAnsi="Arial"/>
          <w:sz w:val="16"/>
          <w:szCs w:val="16"/>
          <w:color w:val="auto"/>
        </w:rPr>
        <w:t>”;</w:t>
      </w:r>
    </w:p>
    <w:p>
      <w:pPr>
        <w:spacing w:after="0" w:line="248" w:lineRule="exact"/>
        <w:rPr>
          <w:sz w:val="20"/>
          <w:szCs w:val="20"/>
          <w:color w:val="auto"/>
        </w:rPr>
      </w:pPr>
    </w:p>
    <w:p>
      <w:pPr>
        <w:spacing w:after="0" w:line="333"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and promises contained in this Agreement, and for other good and 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receipt and sufficiency of which are hereby acknowledged, the Parties agree as follows:</w:t>
      </w:r>
    </w:p>
    <w:p>
      <w:pPr>
        <w:spacing w:after="0" w:line="164" w:lineRule="exact"/>
        <w:rPr>
          <w:sz w:val="20"/>
          <w:szCs w:val="20"/>
          <w:color w:val="auto"/>
        </w:rPr>
      </w:pPr>
    </w:p>
    <w:p>
      <w:pPr>
        <w:ind w:left="600" w:hanging="585"/>
        <w:spacing w:after="0"/>
        <w:tabs>
          <w:tab w:leader="none" w:pos="600"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39"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3"/>
          <w:szCs w:val="13"/>
          <w:color w:val="auto"/>
        </w:rPr>
        <w:t>As used in this Agreement, the following defined terms shall have the meanings provided below:</w:t>
      </w:r>
    </w:p>
    <w:p>
      <w:pPr>
        <w:sectPr>
          <w:pgSz w:w="11900" w:h="16838" w:orient="portrait"/>
          <w:cols w:equalWidth="0" w:num="1">
            <w:col w:w="11200"/>
          </w:cols>
          <w:pgMar w:left="320" w:top="838" w:right="379" w:bottom="1440" w:gutter="0" w:footer="0" w:header="0"/>
        </w:sectPr>
      </w:pPr>
    </w:p>
    <w:p>
      <w:pPr>
        <w:spacing w:after="0" w:line="27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“Accounting</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1480"/>
        <w:spacing w:after="0"/>
        <w:rPr>
          <w:sz w:val="20"/>
          <w:szCs w:val="20"/>
          <w:color w:val="auto"/>
        </w:rPr>
      </w:pPr>
      <w:r>
        <w:rPr>
          <w:rFonts w:ascii="Arial" w:cs="Arial" w:eastAsia="Arial" w:hAnsi="Arial"/>
          <w:sz w:val="14"/>
          <w:szCs w:val="14"/>
          <w:color w:val="auto"/>
        </w:rPr>
        <w:t>means the United States Generally Accepted Accounting Principles (U.S. GAAP) as consistently applied.</w:t>
      </w:r>
    </w:p>
    <w:p>
      <w:pPr>
        <w:spacing w:after="0" w:line="51" w:lineRule="exact"/>
        <w:rPr>
          <w:sz w:val="20"/>
          <w:szCs w:val="20"/>
          <w:color w:val="auto"/>
        </w:rPr>
      </w:pPr>
    </w:p>
    <w:p>
      <w:pPr>
        <w:sectPr>
          <w:pgSz w:w="11900" w:h="16838" w:orient="portrait"/>
          <w:cols w:equalWidth="0" w:num="2">
            <w:col w:w="2160" w:space="720"/>
            <w:col w:w="8320"/>
          </w:cols>
          <w:pgMar w:left="320" w:top="838" w:right="379" w:bottom="1440" w:gutter="0" w:footer="0" w:header="0"/>
          <w:type w:val="continuous"/>
        </w:sectPr>
      </w:pPr>
    </w:p>
    <w:p>
      <w:pPr>
        <w:ind w:left="620"/>
        <w:spacing w:after="0"/>
        <w:rPr>
          <w:sz w:val="20"/>
          <w:szCs w:val="20"/>
          <w:color w:val="auto"/>
        </w:rPr>
      </w:pPr>
      <w:r>
        <w:rPr>
          <w:rFonts w:ascii="Arial" w:cs="Arial" w:eastAsia="Arial" w:hAnsi="Arial"/>
          <w:sz w:val="14"/>
          <w:szCs w:val="14"/>
          <w:b w:val="1"/>
          <w:bCs w:val="1"/>
          <w:color w:val="auto"/>
        </w:rPr>
        <w:t>Standards”</w:t>
      </w:r>
      <w:r>
        <w:rPr>
          <w:rFonts w:ascii="Arial" w:cs="Arial" w:eastAsia="Arial" w:hAnsi="Arial"/>
          <w:sz w:val="14"/>
          <w:szCs w:val="14"/>
          <w:color w:val="auto"/>
        </w:rPr>
        <w:t>:</w:t>
      </w:r>
    </w:p>
    <w:p>
      <w:pPr>
        <w:sectPr>
          <w:pgSz w:w="11900" w:h="16838" w:orient="portrait"/>
          <w:cols w:equalWidth="0" w:num="1">
            <w:col w:w="11200"/>
          </w:cols>
          <w:pgMar w:left="320" w:top="838" w:right="379" w:bottom="1440" w:gutter="0" w:footer="0" w:header="0"/>
          <w:type w:val="continuous"/>
        </w:sectPr>
      </w:pPr>
    </w:p>
    <w:p>
      <w:pPr>
        <w:spacing w:after="0" w:line="5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“Accounts Receivable”</w:t>
      </w:r>
      <w:r>
        <w:rPr>
          <w:rFonts w:ascii="Arial" w:cs="Arial" w:eastAsia="Arial" w:hAnsi="Arial"/>
          <w:sz w:val="14"/>
          <w:szCs w:val="14"/>
          <w:color w:val="auto"/>
        </w:rPr>
        <w:t>:</w:t>
      </w:r>
    </w:p>
    <w:p>
      <w:pPr>
        <w:spacing w:after="0" w:line="27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“Action or Proceeding”</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means all trade accounts and notes receivable and other miscellaneous receivables, including those that are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evidenced by instruments or invoices, existing as of the Closing Date.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means any claim, action, suit, litigation, proceeding, arbitration, order, inquiry, hearing, assessment, audit, contest,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prosecution, enforcement action, examination or investigation (whether civil, criminal, administrative, investigative,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appellate or informal) threatened, commenced, brought, conducted, pending or heard by or before, or otherwise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involving, any Governmental Authority or any arbitrator or arbitration panel; provided that the foregoing shall</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exclude patent or trademark prosecution and examination before any relevant patent and/or trademark office in any</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applicable country or jurisdiction.</w:t>
      </w:r>
    </w:p>
    <w:p>
      <w:pPr>
        <w:sectPr>
          <w:pgSz w:w="11900" w:h="16838" w:orient="portrait"/>
          <w:cols w:equalWidth="0" w:num="2">
            <w:col w:w="2300" w:space="580"/>
            <w:col w:w="8320"/>
          </w:cols>
          <w:pgMar w:left="320" w:top="838" w:right="379" w:bottom="1440" w:gutter="0" w:footer="0" w:header="0"/>
          <w:type w:val="continuous"/>
        </w:sectPr>
      </w:pPr>
    </w:p>
    <w:bookmarkStart w:id="254" w:name="page255"/>
    <w:bookmarkEnd w:id="254"/>
    <w:p>
      <w:pPr>
        <w:ind w:left="7820"/>
        <w:spacing w:after="0"/>
        <w:rPr>
          <w:sz w:val="20"/>
          <w:szCs w:val="20"/>
          <w:color w:val="auto"/>
        </w:rPr>
      </w:pPr>
      <w:r>
        <w:rPr>
          <w:rFonts w:ascii="Arial" w:cs="Arial" w:eastAsia="Arial" w:hAnsi="Arial"/>
          <w:sz w:val="18"/>
          <w:szCs w:val="18"/>
          <w:color w:val="auto"/>
        </w:rPr>
        <w:t>Exhibit 10.23</w:t>
      </w:r>
    </w:p>
    <w:p>
      <w:pPr>
        <w:sectPr>
          <w:pgSz w:w="11900" w:h="16838" w:orient="portrait"/>
          <w:cols w:equalWidth="0" w:num="1">
            <w:col w:w="9880"/>
          </w:cols>
          <w:pgMar w:left="940" w:top="838" w:right="107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“Affiliate”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“API”</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“Applicable Laws”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“Assumed Contracts”</w:t>
      </w:r>
      <w:r>
        <w:rPr>
          <w:rFonts w:ascii="Arial" w:cs="Arial" w:eastAsia="Arial" w:hAnsi="Arial"/>
          <w:sz w:val="14"/>
          <w:szCs w:val="14"/>
          <w:color w:val="auto"/>
        </w:rPr>
        <w: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“Assumed Liabilities”: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means any corporation or other legal entity controlled by, controlling, or under common control with Buyer or Seller.</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For the purpose of this definition, the term “control” means direct or indirect beneficial ownership of at least fifty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percent (50%) of the voting stock of a corporation or other legal entity, or to hold the effective power to appoint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dismiss members of the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means this Asset Purchase Agreement, including the Exhibits.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means an active pharmaceutical ingredient, whether produced from a living organism or through synthetic process,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i.e., any substance intended to be used in the manufacture of a drug product and that is intended to furnish</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pharmacological activity or other direct effect in the diagnosis, cure, mitigation, treatment or prevention of disease or</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to affect the structure or any function of the body of man or other animals, including peptides, antibodies, hybrid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molecules, fusion proteins, cytokines or other cellular elements.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means any and all of the applicable federal, provincial, regional, state or local law, statute or ordinance, rules and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regulations, including any rules, regulations, guidelines, administrative guidance, or other requirements of any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Governmental Authorities that may be in effect from time to time in any country or jurisdiction, including, without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limitation, the FFDCA, current Good Manufacturing Practices (“</w:t>
      </w:r>
      <w:r>
        <w:rPr>
          <w:rFonts w:ascii="Arial" w:cs="Arial" w:eastAsia="Arial" w:hAnsi="Arial"/>
          <w:sz w:val="16"/>
          <w:szCs w:val="16"/>
          <w:b w:val="1"/>
          <w:bCs w:val="1"/>
          <w:color w:val="auto"/>
        </w:rPr>
        <w:t>cGMP</w:t>
      </w:r>
      <w:r>
        <w:rPr>
          <w:rFonts w:ascii="Arial" w:cs="Arial" w:eastAsia="Arial" w:hAnsi="Arial"/>
          <w:sz w:val="16"/>
          <w:szCs w:val="16"/>
          <w:color w:val="auto"/>
        </w:rPr>
        <w:t>”) and current Good Clinical Practices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cGCP</w:t>
      </w:r>
      <w:r>
        <w:rPr>
          <w:rFonts w:ascii="Arial" w:cs="Arial" w:eastAsia="Arial" w:hAnsi="Arial"/>
          <w:sz w:val="16"/>
          <w:szCs w:val="16"/>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means the agreements listed in Exhibit 3 under the heading “Assumed Contracts.” For the avoidance of doubt,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“Assumed Contracts” shall not include any agreements or contracts of Seller that are not explicitly scheduled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Exhibit 3 hereto under the heading “Assumed Contracts.”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means, collectively, all of the following liabilities, in each case to the extent related to and solely accruing during the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period beginning immediately after the Closing Date in connection with the ownership of the Purchased Assets or the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manufacturing, Development or Commercialization of a Product by Buyer, its Affiliates or its Licensees, but in all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cases excluding the Retained Liabilities and the other obligations retained by Seller pursuant to Section 2.8 or any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other Transaction Documents: (i) subject to Section 3.11, all liabilities to the extent arising out of or relating to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Assumed Contracts; (ii) all liabilities in respect of any lawsuits, claims, actions or proceedings to the extent arising</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out of or relating to the manufacture, Development or Commercialization of Products or the ownership, sale, lease or</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use of any of the Purchased Assets; (iii) all liabilities for warranty claims and product liability or similar claims,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including all suits, actions or proceedings relating to any such liabilities, to the extent arising out of or relating to any</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and all Products; (iv) all liabilities for taxes to the extent arising out of or relating to or in respect of any Product or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any Purchased Asset after the Closing Date; and (v) all other liabilities and obligations of whatever kind and nature,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primary, secondary, direct or indirect, absolute or contingent, known or unknown, whether or not accrued, to the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extent arising out of or relating to the Product or Purchased Assets. For the avoidance of doubt, Assumed Liabilities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shall not include Excluded Taxes.</w:t>
      </w:r>
    </w:p>
    <w:p>
      <w:pPr>
        <w:sectPr>
          <w:pgSz w:w="11900" w:h="16838" w:orient="portrait"/>
          <w:cols w:equalWidth="0" w:num="2">
            <w:col w:w="1580" w:space="680"/>
            <w:col w:w="7620"/>
          </w:cols>
          <w:pgMar w:left="940" w:top="838" w:right="1079" w:bottom="1440" w:gutter="0" w:footer="0" w:header="0"/>
          <w:type w:val="continuous"/>
        </w:sectPr>
      </w:pPr>
    </w:p>
    <w:bookmarkStart w:id="255" w:name="page256"/>
    <w:bookmarkEnd w:id="255"/>
    <w:p>
      <w:pPr>
        <w:ind w:left="7820"/>
        <w:spacing w:after="0"/>
        <w:rPr>
          <w:sz w:val="20"/>
          <w:szCs w:val="20"/>
          <w:color w:val="auto"/>
        </w:rPr>
      </w:pPr>
      <w:r>
        <w:rPr>
          <w:rFonts w:ascii="Arial" w:cs="Arial" w:eastAsia="Arial" w:hAnsi="Arial"/>
          <w:sz w:val="18"/>
          <w:szCs w:val="18"/>
          <w:color w:val="auto"/>
        </w:rPr>
        <w:t>Exhibit 10.23</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“Bill of Sale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ectPr>
          <w:pgSz w:w="11900" w:h="16838" w:orient="portrait"/>
          <w:cols w:equalWidth="0" w:num="1">
            <w:col w:w="10220"/>
          </w:cols>
          <w:pgMar w:left="940" w:top="838" w:right="7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Assignment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has the meaning set forth in Section 4.2(i).</w:t>
      </w:r>
    </w:p>
    <w:p>
      <w:pPr>
        <w:spacing w:after="0" w:line="51" w:lineRule="exact"/>
        <w:rPr>
          <w:sz w:val="20"/>
          <w:szCs w:val="20"/>
          <w:color w:val="auto"/>
        </w:rPr>
      </w:pPr>
    </w:p>
    <w:p>
      <w:pPr>
        <w:sectPr>
          <w:pgSz w:w="11900" w:h="16838" w:orient="portrait"/>
          <w:cols w:equalWidth="0" w:num="2">
            <w:col w:w="1480" w:space="720"/>
            <w:col w:w="8020"/>
          </w:cols>
          <w:pgMar w:left="940" w:top="838" w:right="7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Agreement”</w:t>
      </w:r>
      <w:r>
        <w:rPr>
          <w:rFonts w:ascii="Arial" w:cs="Arial" w:eastAsia="Arial" w:hAnsi="Arial"/>
          <w:sz w:val="14"/>
          <w:szCs w:val="14"/>
          <w:color w:val="auto"/>
        </w:rPr>
        <w:t>:</w:t>
      </w:r>
    </w:p>
    <w:p>
      <w:pPr>
        <w:sectPr>
          <w:pgSz w:w="11900" w:h="16838" w:orient="portrait"/>
          <w:cols w:equalWidth="0" w:num="1">
            <w:col w:w="10220"/>
          </w:cols>
          <w:pgMar w:left="940" w:top="838" w:right="7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“BLA Approval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has the meaning set forth in Section 3.2.</w:t>
      </w:r>
    </w:p>
    <w:p>
      <w:pPr>
        <w:spacing w:after="0" w:line="51" w:lineRule="exact"/>
        <w:rPr>
          <w:sz w:val="20"/>
          <w:szCs w:val="20"/>
          <w:color w:val="auto"/>
        </w:rPr>
      </w:pPr>
    </w:p>
    <w:p>
      <w:pPr>
        <w:sectPr>
          <w:pgSz w:w="11900" w:h="16838" w:orient="portrait"/>
          <w:cols w:equalWidth="0" w:num="2">
            <w:col w:w="1480" w:space="720"/>
            <w:col w:w="8020"/>
          </w:cols>
          <w:pgMar w:left="940" w:top="838" w:right="7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Milestone”</w:t>
      </w:r>
    </w:p>
    <w:p>
      <w:pPr>
        <w:sectPr>
          <w:pgSz w:w="11900" w:h="16838" w:orient="portrait"/>
          <w:cols w:equalWidth="0" w:num="1">
            <w:col w:w="10220"/>
          </w:cols>
          <w:pgMar w:left="940" w:top="838" w:right="739" w:bottom="1440" w:gutter="0" w:footer="0" w:header="0"/>
          <w:type w:val="continuous"/>
        </w:sectPr>
      </w:pPr>
    </w:p>
    <w:p>
      <w:pPr>
        <w:spacing w:after="0" w:line="55" w:lineRule="exact"/>
        <w:rPr>
          <w:sz w:val="20"/>
          <w:szCs w:val="20"/>
          <w:color w:val="auto"/>
        </w:rPr>
      </w:pPr>
    </w:p>
    <w:p>
      <w:pPr>
        <w:ind w:right="360"/>
        <w:spacing w:after="0" w:line="360" w:lineRule="auto"/>
        <w:rPr>
          <w:sz w:val="20"/>
          <w:szCs w:val="20"/>
          <w:color w:val="auto"/>
        </w:rPr>
      </w:pPr>
      <w:r>
        <w:rPr>
          <w:rFonts w:ascii="Arial" w:cs="Arial" w:eastAsia="Arial" w:hAnsi="Arial"/>
          <w:sz w:val="15"/>
          <w:szCs w:val="15"/>
          <w:b w:val="1"/>
          <w:bCs w:val="1"/>
          <w:color w:val="auto"/>
        </w:rPr>
        <w:t>“Business Day”</w:t>
      </w:r>
      <w:r>
        <w:rPr>
          <w:rFonts w:ascii="Arial" w:cs="Arial" w:eastAsia="Arial" w:hAnsi="Arial"/>
          <w:sz w:val="15"/>
          <w:szCs w:val="15"/>
          <w:color w:val="auto"/>
        </w:rPr>
        <w:t>:</w:t>
      </w:r>
      <w:r>
        <w:rPr>
          <w:rFonts w:ascii="Arial" w:cs="Arial" w:eastAsia="Arial" w:hAnsi="Arial"/>
          <w:sz w:val="15"/>
          <w:szCs w:val="15"/>
          <w:b w:val="1"/>
          <w:bCs w:val="1"/>
          <w:color w:val="auto"/>
        </w:rPr>
        <w:t xml:space="preserve"> “Buyer”</w:t>
      </w:r>
      <w:r>
        <w:rPr>
          <w:rFonts w:ascii="Arial" w:cs="Arial" w:eastAsia="Arial" w:hAnsi="Arial"/>
          <w:sz w:val="15"/>
          <w:szCs w:val="15"/>
          <w:color w:val="auto"/>
        </w:rPr>
        <w:t>:</w:t>
      </w:r>
      <w:r>
        <w:rPr>
          <w:rFonts w:ascii="Arial" w:cs="Arial" w:eastAsia="Arial" w:hAnsi="Arial"/>
          <w:sz w:val="15"/>
          <w:szCs w:val="15"/>
          <w:b w:val="1"/>
          <w:bCs w:val="1"/>
          <w:color w:val="auto"/>
        </w:rPr>
        <w:t xml:space="preserve"> “Closing”</w:t>
      </w:r>
      <w:r>
        <w:rPr>
          <w:rFonts w:ascii="Arial" w:cs="Arial" w:eastAsia="Arial" w:hAnsi="Arial"/>
          <w:sz w:val="15"/>
          <w:szCs w:val="15"/>
          <w:color w:val="auto"/>
        </w:rPr>
        <w:t>:</w:t>
      </w:r>
      <w:r>
        <w:rPr>
          <w:rFonts w:ascii="Arial" w:cs="Arial" w:eastAsia="Arial" w:hAnsi="Arial"/>
          <w:sz w:val="15"/>
          <w:szCs w:val="15"/>
          <w:b w:val="1"/>
          <w:bCs w:val="1"/>
          <w:color w:val="auto"/>
        </w:rPr>
        <w:t xml:space="preserve"> “Closing Date”</w:t>
      </w:r>
      <w:r>
        <w:rPr>
          <w:rFonts w:ascii="Arial" w:cs="Arial" w:eastAsia="Arial" w:hAnsi="Arial"/>
          <w:sz w:val="15"/>
          <w:szCs w:val="15"/>
          <w:color w:val="auto"/>
        </w:rPr>
        <w:t>:</w:t>
      </w:r>
      <w:r>
        <w:rPr>
          <w:rFonts w:ascii="Arial" w:cs="Arial" w:eastAsia="Arial" w:hAnsi="Arial"/>
          <w:sz w:val="15"/>
          <w:szCs w:val="15"/>
          <w:b w:val="1"/>
          <w:bCs w:val="1"/>
          <w:color w:val="auto"/>
        </w:rPr>
        <w:t xml:space="preserve"> “Commercial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means any day other than (i) a Saturday, a Sunday, or (ii) a day on which commercial banks located in Lebanon, New</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Jersey, and/or Rockville, Maryland, are authorized or required under Applicable Laws to remain closed.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forth at the beginning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forth in Section 4.1.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means the effective date of this Agreement shown at the beginning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forth in Section 3.4.</w:t>
      </w:r>
    </w:p>
    <w:p>
      <w:pPr>
        <w:spacing w:after="0" w:line="27" w:lineRule="exact"/>
        <w:rPr>
          <w:sz w:val="20"/>
          <w:szCs w:val="20"/>
          <w:color w:val="auto"/>
        </w:rPr>
      </w:pPr>
    </w:p>
    <w:p>
      <w:pPr>
        <w:sectPr>
          <w:pgSz w:w="11900" w:h="16838" w:orient="portrait"/>
          <w:cols w:equalWidth="0" w:num="2">
            <w:col w:w="1480" w:space="720"/>
            <w:col w:w="8020"/>
          </w:cols>
          <w:pgMar w:left="940" w:top="838"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Milestone”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“Commercialization”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ectPr>
          <w:pgSz w:w="11900" w:h="16838" w:orient="portrait"/>
          <w:cols w:equalWidth="0" w:num="1">
            <w:col w:w="10220"/>
          </w:cols>
          <w:pgMar w:left="940" w:top="838" w:right="7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“Commercialize”</w:t>
      </w:r>
      <w:r>
        <w:rPr>
          <w:rFonts w:ascii="Arial" w:cs="Arial" w:eastAsia="Arial" w:hAnsi="Arial"/>
          <w:sz w:val="14"/>
          <w:szCs w:val="14"/>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“Combination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means the commercial manufacture, marketing, promotion, sale, offering for sale, distribution, and/or commercial</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importation or exportation of a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means a Product combining Teplizumab together with another API.</w:t>
      </w:r>
    </w:p>
    <w:p>
      <w:pPr>
        <w:spacing w:after="0" w:line="28" w:lineRule="exact"/>
        <w:rPr>
          <w:sz w:val="20"/>
          <w:szCs w:val="20"/>
          <w:color w:val="auto"/>
        </w:rPr>
      </w:pPr>
    </w:p>
    <w:p>
      <w:pPr>
        <w:sectPr>
          <w:pgSz w:w="11900" w:h="16838" w:orient="portrait"/>
          <w:cols w:equalWidth="0" w:num="2">
            <w:col w:w="1480" w:space="720"/>
            <w:col w:w="8020"/>
          </w:cols>
          <w:pgMar w:left="940" w:top="838" w:right="7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Product”</w:t>
      </w:r>
      <w:r>
        <w:rPr>
          <w:rFonts w:ascii="Arial" w:cs="Arial" w:eastAsia="Arial" w:hAnsi="Arial"/>
          <w:sz w:val="14"/>
          <w:szCs w:val="14"/>
          <w:color w:val="auto"/>
        </w:rPr>
        <w:t>:</w:t>
      </w:r>
    </w:p>
    <w:p>
      <w:pPr>
        <w:sectPr>
          <w:pgSz w:w="11900" w:h="16838" w:orient="portrait"/>
          <w:cols w:equalWidth="0" w:num="1">
            <w:col w:w="10220"/>
          </w:cols>
          <w:pgMar w:left="940" w:top="838" w:right="739" w:bottom="1440" w:gutter="0" w:footer="0" w:header="0"/>
          <w:type w:val="continuous"/>
        </w:sectPr>
      </w:pPr>
    </w:p>
    <w:p>
      <w:pPr>
        <w:spacing w:after="0" w:line="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“Completion”</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color w:val="auto"/>
        </w:rPr>
        <w:t>means, for a clinical trial, the date upon which all patients have completed protocol-defined drug administration and [****].</w:t>
      </w:r>
    </w:p>
    <w:p>
      <w:pPr>
        <w:spacing w:after="0" w:line="200" w:lineRule="exact"/>
        <w:rPr>
          <w:sz w:val="20"/>
          <w:szCs w:val="20"/>
          <w:color w:val="auto"/>
        </w:rPr>
      </w:pPr>
    </w:p>
    <w:p>
      <w:pPr>
        <w:sectPr>
          <w:pgSz w:w="11900" w:h="16838" w:orient="portrait"/>
          <w:cols w:equalWidth="0" w:num="2">
            <w:col w:w="1480" w:space="720"/>
            <w:col w:w="8020"/>
          </w:cols>
          <w:pgMar w:left="940" w:top="838" w:right="73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means any information of a confidential or proprietary nature disclosed by a Party or its Affiliates (the </w:t>
      </w:r>
      <w:r>
        <w:rPr>
          <w:rFonts w:ascii="Arial" w:cs="Arial" w:eastAsia="Arial" w:hAnsi="Arial"/>
          <w:sz w:val="15"/>
          <w:szCs w:val="15"/>
          <w:b w:val="1"/>
          <w:bCs w:val="1"/>
          <w:color w:val="auto"/>
        </w:rPr>
        <w:t>“Disclosing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Party”</w:t>
      </w:r>
      <w:r>
        <w:rPr>
          <w:rFonts w:ascii="Arial" w:cs="Arial" w:eastAsia="Arial" w:hAnsi="Arial"/>
          <w:sz w:val="15"/>
          <w:szCs w:val="15"/>
          <w:color w:val="auto"/>
        </w:rPr>
        <w:t>) to the other Party or its Affiliates (the</w:t>
      </w:r>
      <w:r>
        <w:rPr>
          <w:rFonts w:ascii="Arial" w:cs="Arial" w:eastAsia="Arial" w:hAnsi="Arial"/>
          <w:sz w:val="15"/>
          <w:szCs w:val="15"/>
          <w:b w:val="1"/>
          <w:bCs w:val="1"/>
          <w:color w:val="auto"/>
        </w:rPr>
        <w:t xml:space="preserve"> “Receiving Party”</w:t>
      </w:r>
      <w:r>
        <w:rPr>
          <w:rFonts w:ascii="Arial" w:cs="Arial" w:eastAsia="Arial" w:hAnsi="Arial"/>
          <w:sz w:val="15"/>
          <w:szCs w:val="15"/>
          <w:color w:val="auto"/>
        </w:rPr>
        <w:t>), including each Party’s or its Affiliates’ invention</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disclosures, proprietary materials, data, including any Data, know-how, including any Know-How, technologies,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trade secrets, and/or manufacturing, marketing, personnel and other business information and plans, whether in oral,</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written, graphic or electronic form. Confidential Information (as defined in the Prior Confidentiality Agreement)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disclosed under the Prior Confidentiality Agreement shall be deemed Confidential Information hereunder.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Information shall not be deemed “Confidential Information” hereunder, and the Receiving Party shall have no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obligation with respect to any information if it 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 known by the Receiving Party prior to disclosure by the Disclosing Party, as evidenced by internal records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documentation of the Receiving Party;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(ii) information which is in the public domain or subsequently enters the public domain through no fault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Receiving Party;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(iii) information that is received by the Receiving Party from an independent Third Party with the lawful right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disclose 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(iv) information that was independently developed by the Receiving Party (or its Affiliates’) employees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contractors without the use of or reference to Confidential Information of the Disclosing Party as evidenced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internal records or documentation of the Receiving Party.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the foregoing, any combination of features or disclosures shall not be deemed to fall within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foregoing exclusions merely because individual features are published or available to the general public or in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rightful possession of the Receiving Party unless the combination itself and principle of operation are published 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available to the general public or in the rightful possession of the Receiving Party. Confidential Information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extent solely and specifically related to the Purchased Assets and/or the Product shall be deemed to be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Confidential Information of the Buyer, notwithstanding the fact that it was initially disclosed to the Buyer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Seller.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means the [****] Consent, [****] Waiver, [****] Novation and Consent and [****] Comfort Letter.</w:t>
      </w:r>
    </w:p>
    <w:p>
      <w:pPr>
        <w:spacing w:after="0" w:line="28" w:lineRule="exact"/>
        <w:rPr>
          <w:sz w:val="20"/>
          <w:szCs w:val="20"/>
          <w:color w:val="auto"/>
        </w:rPr>
      </w:pPr>
    </w:p>
    <w:p>
      <w:pPr>
        <w:sectPr>
          <w:pgSz w:w="11900" w:h="16838" w:orient="portrait"/>
          <w:cols w:equalWidth="0" w:num="2">
            <w:col w:w="1340" w:space="720"/>
            <w:col w:w="8160"/>
          </w:cols>
          <w:pgMar w:left="940" w:top="838" w:right="7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Waivers”</w:t>
      </w:r>
      <w:r>
        <w:rPr>
          <w:rFonts w:ascii="Arial" w:cs="Arial" w:eastAsia="Arial" w:hAnsi="Arial"/>
          <w:sz w:val="15"/>
          <w:szCs w:val="15"/>
          <w:color w:val="auto"/>
        </w:rPr>
        <w:t>:</w:t>
      </w:r>
    </w:p>
    <w:p>
      <w:pPr>
        <w:sectPr>
          <w:pgSz w:w="11900" w:h="16838" w:orient="portrait"/>
          <w:cols w:equalWidth="0" w:num="1">
            <w:col w:w="10220"/>
          </w:cols>
          <w:pgMar w:left="940" w:top="838" w:right="7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“Control” </w:t>
      </w:r>
      <w:r>
        <w:rPr>
          <w:rFonts w:ascii="Arial" w:cs="Arial" w:eastAsia="Arial" w:hAnsi="Arial"/>
          <w:sz w:val="16"/>
          <w:szCs w:val="16"/>
          <w:color w:val="auto"/>
        </w:rPr>
        <w:t>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“Controlled”</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389" w:lineRule="auto"/>
        <w:rPr>
          <w:sz w:val="20"/>
          <w:szCs w:val="20"/>
          <w:color w:val="auto"/>
        </w:rPr>
      </w:pPr>
      <w:r>
        <w:rPr>
          <w:rFonts w:ascii="Arial" w:cs="Arial" w:eastAsia="Arial" w:hAnsi="Arial"/>
          <w:sz w:val="14"/>
          <w:szCs w:val="14"/>
          <w:color w:val="auto"/>
        </w:rPr>
        <w:t>means, the possession by a Party of the ability to assign, transfer or license rights or assets as contemplated by this Agreement with respect to (i) the Purchased Assets; and (ii) other intellectual property and assets of any kind, unless, with respect to</w:t>
      </w:r>
    </w:p>
    <w:p>
      <w:pPr>
        <w:sectPr>
          <w:pgSz w:w="11900" w:h="16838" w:orient="portrait"/>
          <w:cols w:equalWidth="0" w:num="2">
            <w:col w:w="1340" w:space="720"/>
            <w:col w:w="8160"/>
          </w:cols>
          <w:pgMar w:left="940" w:top="838" w:right="739" w:bottom="1440" w:gutter="0" w:footer="0" w:header="0"/>
          <w:type w:val="continuous"/>
        </w:sectPr>
      </w:pPr>
    </w:p>
    <w:bookmarkStart w:id="256" w:name="page257"/>
    <w:bookmarkEnd w:id="256"/>
    <w:tbl>
      <w:tblPr>
        <w:tblLayout w:type="fixed"/>
        <w:tblInd w:w="0" w:type="dxa"/>
        <w:tblCellMar>
          <w:top w:w="0" w:type="dxa"/>
          <w:left w:w="0" w:type="dxa"/>
          <w:bottom w:w="0" w:type="dxa"/>
          <w:right w:w="0" w:type="dxa"/>
        </w:tblCellMar>
      </w:tblPr>
      <w:tr>
        <w:trPr>
          <w:trHeight w:val="250"/>
        </w:trPr>
        <w:tc>
          <w:tcPr>
            <w:tcW w:w="1540" w:type="dxa"/>
            <w:vAlign w:val="bottom"/>
          </w:tcPr>
          <w:p>
            <w:pPr>
              <w:spacing w:after="0"/>
              <w:rPr>
                <w:sz w:val="21"/>
                <w:szCs w:val="21"/>
                <w:color w:val="auto"/>
              </w:rPr>
            </w:pPr>
          </w:p>
        </w:tc>
        <w:tc>
          <w:tcPr>
            <w:tcW w:w="9000" w:type="dxa"/>
            <w:vAlign w:val="bottom"/>
          </w:tcPr>
          <w:p>
            <w:pPr>
              <w:ind w:left="6220"/>
              <w:spacing w:after="0"/>
              <w:rPr>
                <w:sz w:val="20"/>
                <w:szCs w:val="20"/>
                <w:color w:val="auto"/>
              </w:rPr>
            </w:pPr>
            <w:r>
              <w:rPr>
                <w:rFonts w:ascii="Arial" w:cs="Arial" w:eastAsia="Arial" w:hAnsi="Arial"/>
                <w:sz w:val="20"/>
                <w:szCs w:val="20"/>
                <w:color w:val="auto"/>
              </w:rPr>
              <w:t>Exhibit 10.23</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9000" w:type="dxa"/>
            <w:vAlign w:val="bottom"/>
          </w:tcPr>
          <w:p>
            <w:pPr>
              <w:ind w:left="460"/>
              <w:spacing w:after="0" w:line="175" w:lineRule="exact"/>
              <w:rPr>
                <w:sz w:val="20"/>
                <w:szCs w:val="20"/>
                <w:color w:val="auto"/>
              </w:rPr>
            </w:pPr>
            <w:r>
              <w:rPr>
                <w:rFonts w:ascii="Arial" w:cs="Arial" w:eastAsia="Arial" w:hAnsi="Arial"/>
                <w:sz w:val="16"/>
                <w:szCs w:val="16"/>
                <w:color w:val="auto"/>
                <w:w w:val="93"/>
              </w:rPr>
              <w:t>intellectual property and/or assets other than the Purchased Assets, such assignment transfer or license of rights or assets would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000" w:type="dxa"/>
            <w:vAlign w:val="bottom"/>
          </w:tcPr>
          <w:p>
            <w:pPr>
              <w:ind w:left="460"/>
              <w:spacing w:after="0" w:line="162" w:lineRule="exact"/>
              <w:rPr>
                <w:sz w:val="20"/>
                <w:szCs w:val="20"/>
                <w:color w:val="auto"/>
              </w:rPr>
            </w:pPr>
            <w:r>
              <w:rPr>
                <w:rFonts w:ascii="Arial" w:cs="Arial" w:eastAsia="Arial" w:hAnsi="Arial"/>
                <w:sz w:val="16"/>
                <w:szCs w:val="16"/>
                <w:color w:val="auto"/>
                <w:w w:val="91"/>
              </w:rPr>
              <w:t>violate the terms of any agreement or other arrangement with any Third Party existing at the time such Party would be first required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000" w:type="dxa"/>
            <w:vAlign w:val="bottom"/>
          </w:tcPr>
          <w:p>
            <w:pPr>
              <w:ind w:left="460"/>
              <w:spacing w:after="0" w:line="162" w:lineRule="exact"/>
              <w:rPr>
                <w:sz w:val="20"/>
                <w:szCs w:val="20"/>
                <w:color w:val="auto"/>
              </w:rPr>
            </w:pPr>
            <w:r>
              <w:rPr>
                <w:rFonts w:ascii="Arial" w:cs="Arial" w:eastAsia="Arial" w:hAnsi="Arial"/>
                <w:sz w:val="16"/>
                <w:szCs w:val="16"/>
                <w:color w:val="auto"/>
                <w:w w:val="93"/>
              </w:rPr>
              <w:t>to assign, transfer or license such rights or assets; provided however that if such agreement or other arrangement with any Third</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000" w:type="dxa"/>
            <w:vAlign w:val="bottom"/>
          </w:tcPr>
          <w:p>
            <w:pPr>
              <w:ind w:left="460"/>
              <w:spacing w:after="0" w:line="162" w:lineRule="exact"/>
              <w:rPr>
                <w:sz w:val="20"/>
                <w:szCs w:val="20"/>
                <w:color w:val="auto"/>
              </w:rPr>
            </w:pPr>
            <w:r>
              <w:rPr>
                <w:rFonts w:ascii="Arial" w:cs="Arial" w:eastAsia="Arial" w:hAnsi="Arial"/>
                <w:sz w:val="16"/>
                <w:szCs w:val="16"/>
                <w:color w:val="auto"/>
                <w:w w:val="91"/>
              </w:rPr>
              <w:t>Party later terminates, or would no longer be violated, then such intellectual property or other assets shall be deemed Controlled by</w:t>
            </w:r>
          </w:p>
        </w:tc>
        <w:tc>
          <w:tcPr>
            <w:tcW w:w="0" w:type="dxa"/>
            <w:vAlign w:val="bottom"/>
          </w:tcPr>
          <w:p>
            <w:pPr>
              <w:spacing w:after="0"/>
              <w:rPr>
                <w:sz w:val="1"/>
                <w:szCs w:val="1"/>
                <w:color w:val="auto"/>
              </w:rPr>
            </w:pPr>
          </w:p>
        </w:tc>
      </w:tr>
      <w:tr>
        <w:trPr>
          <w:trHeight w:val="206"/>
        </w:trPr>
        <w:tc>
          <w:tcPr>
            <w:tcW w:w="1540" w:type="dxa"/>
            <w:vAlign w:val="bottom"/>
          </w:tcPr>
          <w:p>
            <w:pPr>
              <w:spacing w:after="0"/>
              <w:rPr>
                <w:sz w:val="17"/>
                <w:szCs w:val="17"/>
                <w:color w:val="auto"/>
              </w:rPr>
            </w:pPr>
          </w:p>
        </w:tc>
        <w:tc>
          <w:tcPr>
            <w:tcW w:w="9000" w:type="dxa"/>
            <w:vAlign w:val="bottom"/>
          </w:tcPr>
          <w:p>
            <w:pPr>
              <w:ind w:left="460"/>
              <w:spacing w:after="0"/>
              <w:rPr>
                <w:sz w:val="20"/>
                <w:szCs w:val="20"/>
                <w:color w:val="auto"/>
              </w:rPr>
            </w:pPr>
            <w:r>
              <w:rPr>
                <w:rFonts w:ascii="Arial" w:cs="Arial" w:eastAsia="Arial" w:hAnsi="Arial"/>
                <w:sz w:val="16"/>
                <w:szCs w:val="16"/>
                <w:color w:val="auto"/>
              </w:rPr>
              <w:t>such Party</w:t>
            </w:r>
          </w:p>
        </w:tc>
        <w:tc>
          <w:tcPr>
            <w:tcW w:w="0" w:type="dxa"/>
            <w:vAlign w:val="bottom"/>
          </w:tcPr>
          <w:p>
            <w:pPr>
              <w:spacing w:after="0"/>
              <w:rPr>
                <w:sz w:val="1"/>
                <w:szCs w:val="1"/>
                <w:color w:val="auto"/>
              </w:rPr>
            </w:pPr>
          </w:p>
        </w:tc>
      </w:tr>
      <w:tr>
        <w:trPr>
          <w:trHeight w:val="249"/>
        </w:trPr>
        <w:tc>
          <w:tcPr>
            <w:tcW w:w="1540" w:type="dxa"/>
            <w:vAlign w:val="bottom"/>
          </w:tcPr>
          <w:p>
            <w:pPr>
              <w:spacing w:after="0"/>
              <w:rPr>
                <w:sz w:val="20"/>
                <w:szCs w:val="20"/>
                <w:color w:val="auto"/>
              </w:rPr>
            </w:pPr>
            <w:r>
              <w:rPr>
                <w:rFonts w:ascii="Arial" w:cs="Arial" w:eastAsia="Arial" w:hAnsi="Arial"/>
                <w:sz w:val="16"/>
                <w:szCs w:val="16"/>
                <w:b w:val="1"/>
                <w:bCs w:val="1"/>
                <w:color w:val="auto"/>
              </w:rPr>
              <w:t>“Core</w:t>
            </w:r>
          </w:p>
        </w:tc>
        <w:tc>
          <w:tcPr>
            <w:tcW w:w="9000" w:type="dxa"/>
            <w:vAlign w:val="bottom"/>
            <w:vMerge w:val="restart"/>
          </w:tcPr>
          <w:p>
            <w:pPr>
              <w:ind w:left="460"/>
              <w:spacing w:after="0"/>
              <w:rPr>
                <w:sz w:val="20"/>
                <w:szCs w:val="20"/>
                <w:color w:val="auto"/>
              </w:rPr>
            </w:pPr>
            <w:r>
              <w:rPr>
                <w:rFonts w:ascii="Arial" w:cs="Arial" w:eastAsia="Arial" w:hAnsi="Arial"/>
                <w:sz w:val="15"/>
                <w:szCs w:val="15"/>
                <w:color w:val="auto"/>
              </w:rPr>
              <w:t>has the meaning set forth in Section 9.1(ii)</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20"/>
                <w:szCs w:val="20"/>
                <w:color w:val="auto"/>
              </w:rPr>
            </w:pPr>
            <w:r>
              <w:rPr>
                <w:rFonts w:ascii="Arial" w:cs="Arial" w:eastAsia="Arial" w:hAnsi="Arial"/>
                <w:sz w:val="15"/>
                <w:szCs w:val="15"/>
                <w:b w:val="1"/>
                <w:bCs w:val="1"/>
                <w:color w:val="auto"/>
              </w:rPr>
              <w:t>Representation”</w:t>
            </w:r>
            <w:r>
              <w:rPr>
                <w:rFonts w:ascii="Arial" w:cs="Arial" w:eastAsia="Arial" w:hAnsi="Arial"/>
                <w:sz w:val="15"/>
                <w:szCs w:val="15"/>
                <w:color w:val="auto"/>
              </w:rPr>
              <w:t>:</w:t>
            </w:r>
          </w:p>
        </w:tc>
        <w:tc>
          <w:tcPr>
            <w:tcW w:w="9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40" w:type="dxa"/>
            <w:vAlign w:val="bottom"/>
            <w:vMerge w:val="restart"/>
          </w:tcPr>
          <w:p>
            <w:pPr>
              <w:spacing w:after="0"/>
              <w:rPr>
                <w:sz w:val="20"/>
                <w:szCs w:val="20"/>
                <w:color w:val="auto"/>
              </w:rPr>
            </w:pPr>
            <w:r>
              <w:rPr>
                <w:rFonts w:ascii="Arial" w:cs="Arial" w:eastAsia="Arial" w:hAnsi="Arial"/>
                <w:sz w:val="16"/>
                <w:szCs w:val="16"/>
                <w:b w:val="1"/>
                <w:bCs w:val="1"/>
                <w:color w:val="auto"/>
              </w:rPr>
              <w:t>“Damages”</w:t>
            </w:r>
            <w:r>
              <w:rPr>
                <w:rFonts w:ascii="Arial" w:cs="Arial" w:eastAsia="Arial" w:hAnsi="Arial"/>
                <w:sz w:val="16"/>
                <w:szCs w:val="16"/>
                <w:color w:val="auto"/>
              </w:rPr>
              <w:t>:</w:t>
            </w:r>
          </w:p>
        </w:tc>
        <w:tc>
          <w:tcPr>
            <w:tcW w:w="9000" w:type="dxa"/>
            <w:vAlign w:val="bottom"/>
          </w:tcPr>
          <w:p>
            <w:pPr>
              <w:ind w:left="460"/>
              <w:spacing w:after="0" w:line="170" w:lineRule="exact"/>
              <w:rPr>
                <w:sz w:val="20"/>
                <w:szCs w:val="20"/>
                <w:color w:val="auto"/>
              </w:rPr>
            </w:pPr>
            <w:r>
              <w:rPr>
                <w:rFonts w:ascii="Arial" w:cs="Arial" w:eastAsia="Arial" w:hAnsi="Arial"/>
                <w:sz w:val="16"/>
                <w:szCs w:val="16"/>
                <w:color w:val="auto"/>
                <w:w w:val="93"/>
              </w:rPr>
              <w:t>means any loss, damage, injury, liability, settlement, judgment, obligation, award, fine, penalty, tax, fee (including any reasonable</w:t>
            </w:r>
          </w:p>
        </w:tc>
        <w:tc>
          <w:tcPr>
            <w:tcW w:w="0" w:type="dxa"/>
            <w:vAlign w:val="bottom"/>
          </w:tcPr>
          <w:p>
            <w:pPr>
              <w:spacing w:after="0"/>
              <w:rPr>
                <w:sz w:val="1"/>
                <w:szCs w:val="1"/>
                <w:color w:val="auto"/>
              </w:rPr>
            </w:pPr>
          </w:p>
        </w:tc>
      </w:tr>
      <w:tr>
        <w:trPr>
          <w:trHeight w:val="206"/>
        </w:trPr>
        <w:tc>
          <w:tcPr>
            <w:tcW w:w="1540" w:type="dxa"/>
            <w:vAlign w:val="bottom"/>
            <w:vMerge w:val="continue"/>
          </w:tcPr>
          <w:p>
            <w:pPr>
              <w:spacing w:after="0"/>
              <w:rPr>
                <w:sz w:val="17"/>
                <w:szCs w:val="17"/>
                <w:color w:val="auto"/>
              </w:rPr>
            </w:pPr>
          </w:p>
        </w:tc>
        <w:tc>
          <w:tcPr>
            <w:tcW w:w="9000" w:type="dxa"/>
            <w:vAlign w:val="bottom"/>
          </w:tcPr>
          <w:p>
            <w:pPr>
              <w:ind w:left="460"/>
              <w:spacing w:after="0"/>
              <w:rPr>
                <w:sz w:val="20"/>
                <w:szCs w:val="20"/>
                <w:color w:val="auto"/>
              </w:rPr>
            </w:pPr>
            <w:r>
              <w:rPr>
                <w:rFonts w:ascii="Arial" w:cs="Arial" w:eastAsia="Arial" w:hAnsi="Arial"/>
                <w:sz w:val="16"/>
                <w:szCs w:val="16"/>
                <w:color w:val="auto"/>
                <w:w w:val="96"/>
              </w:rPr>
              <w:t>legal fee, accounting fee, expert fee or advisory fee), charge, cost (including any reasonable cost of investigation) or expense</w:t>
            </w: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9000" w:type="dxa"/>
            <w:vAlign w:val="bottom"/>
          </w:tcPr>
          <w:p>
            <w:pPr>
              <w:ind w:left="460"/>
              <w:spacing w:after="0" w:line="171" w:lineRule="exact"/>
              <w:rPr>
                <w:sz w:val="20"/>
                <w:szCs w:val="20"/>
                <w:color w:val="auto"/>
              </w:rPr>
            </w:pPr>
            <w:r>
              <w:rPr>
                <w:rFonts w:ascii="Arial" w:cs="Arial" w:eastAsia="Arial" w:hAnsi="Arial"/>
                <w:sz w:val="16"/>
                <w:szCs w:val="16"/>
                <w:color w:val="auto"/>
                <w:w w:val="92"/>
              </w:rPr>
              <w:t>means any and all research data, technical data, test and development data, pre-clinical and clinical data, formulations, processes,</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000" w:type="dxa"/>
            <w:vAlign w:val="bottom"/>
          </w:tcPr>
          <w:p>
            <w:pPr>
              <w:ind w:left="460"/>
              <w:spacing w:after="0" w:line="162" w:lineRule="exact"/>
              <w:rPr>
                <w:sz w:val="20"/>
                <w:szCs w:val="20"/>
                <w:color w:val="auto"/>
              </w:rPr>
            </w:pPr>
            <w:r>
              <w:rPr>
                <w:rFonts w:ascii="Arial" w:cs="Arial" w:eastAsia="Arial" w:hAnsi="Arial"/>
                <w:sz w:val="16"/>
                <w:szCs w:val="16"/>
                <w:color w:val="auto"/>
                <w:w w:val="98"/>
              </w:rPr>
              <w:t>protocols, regulatory files and the like which are developed by Seller, its Affiliates, licensees and/or Third Party providers of</w:t>
            </w:r>
          </w:p>
        </w:tc>
        <w:tc>
          <w:tcPr>
            <w:tcW w:w="0" w:type="dxa"/>
            <w:vAlign w:val="bottom"/>
          </w:tcPr>
          <w:p>
            <w:pPr>
              <w:spacing w:after="0"/>
              <w:rPr>
                <w:sz w:val="1"/>
                <w:szCs w:val="1"/>
                <w:color w:val="auto"/>
              </w:rPr>
            </w:pPr>
          </w:p>
        </w:tc>
      </w:tr>
      <w:tr>
        <w:trPr>
          <w:trHeight w:val="162"/>
        </w:trPr>
        <w:tc>
          <w:tcPr>
            <w:tcW w:w="1540" w:type="dxa"/>
            <w:vAlign w:val="bottom"/>
            <w:vMerge w:val="restart"/>
          </w:tcPr>
          <w:p>
            <w:pPr>
              <w:spacing w:after="0"/>
              <w:rPr>
                <w:sz w:val="20"/>
                <w:szCs w:val="20"/>
                <w:color w:val="auto"/>
              </w:rPr>
            </w:pPr>
            <w:r>
              <w:rPr>
                <w:rFonts w:ascii="Arial" w:cs="Arial" w:eastAsia="Arial" w:hAnsi="Arial"/>
                <w:sz w:val="16"/>
                <w:szCs w:val="16"/>
                <w:b w:val="1"/>
                <w:bCs w:val="1"/>
                <w:color w:val="auto"/>
              </w:rPr>
              <w:t>“Data”</w:t>
            </w:r>
            <w:r>
              <w:rPr>
                <w:rFonts w:ascii="Arial" w:cs="Arial" w:eastAsia="Arial" w:hAnsi="Arial"/>
                <w:sz w:val="16"/>
                <w:szCs w:val="16"/>
                <w:color w:val="auto"/>
              </w:rPr>
              <w:t>:</w:t>
            </w:r>
          </w:p>
        </w:tc>
        <w:tc>
          <w:tcPr>
            <w:tcW w:w="9000" w:type="dxa"/>
            <w:vAlign w:val="bottom"/>
          </w:tcPr>
          <w:p>
            <w:pPr>
              <w:ind w:left="460"/>
              <w:spacing w:after="0" w:line="162" w:lineRule="exact"/>
              <w:rPr>
                <w:sz w:val="20"/>
                <w:szCs w:val="20"/>
                <w:color w:val="auto"/>
              </w:rPr>
            </w:pPr>
            <w:r>
              <w:rPr>
                <w:rFonts w:ascii="Arial" w:cs="Arial" w:eastAsia="Arial" w:hAnsi="Arial"/>
                <w:sz w:val="16"/>
                <w:szCs w:val="16"/>
                <w:color w:val="auto"/>
                <w:w w:val="95"/>
              </w:rPr>
              <w:t>services, in each case including their respective predecessors in interest, and Controlled by Seller, prior to the Closing Date or</w:t>
            </w:r>
          </w:p>
        </w:tc>
        <w:tc>
          <w:tcPr>
            <w:tcW w:w="0" w:type="dxa"/>
            <w:vAlign w:val="bottom"/>
          </w:tcPr>
          <w:p>
            <w:pPr>
              <w:spacing w:after="0"/>
              <w:rPr>
                <w:sz w:val="1"/>
                <w:szCs w:val="1"/>
                <w:color w:val="auto"/>
              </w:rPr>
            </w:pPr>
          </w:p>
        </w:tc>
      </w:tr>
      <w:tr>
        <w:trPr>
          <w:trHeight w:val="206"/>
        </w:trPr>
        <w:tc>
          <w:tcPr>
            <w:tcW w:w="1540" w:type="dxa"/>
            <w:vAlign w:val="bottom"/>
            <w:vMerge w:val="continue"/>
          </w:tcPr>
          <w:p>
            <w:pPr>
              <w:spacing w:after="0"/>
              <w:rPr>
                <w:sz w:val="17"/>
                <w:szCs w:val="17"/>
                <w:color w:val="auto"/>
              </w:rPr>
            </w:pPr>
          </w:p>
        </w:tc>
        <w:tc>
          <w:tcPr>
            <w:tcW w:w="9000" w:type="dxa"/>
            <w:vAlign w:val="bottom"/>
          </w:tcPr>
          <w:p>
            <w:pPr>
              <w:ind w:left="460"/>
              <w:spacing w:after="0"/>
              <w:rPr>
                <w:sz w:val="20"/>
                <w:szCs w:val="20"/>
                <w:color w:val="auto"/>
              </w:rPr>
            </w:pPr>
            <w:r>
              <w:rPr>
                <w:rFonts w:ascii="Arial" w:cs="Arial" w:eastAsia="Arial" w:hAnsi="Arial"/>
                <w:sz w:val="16"/>
                <w:szCs w:val="16"/>
                <w:color w:val="auto"/>
              </w:rPr>
              <w:t>generated in the performance of the Technology Transition Plan.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6"/>
                <w:szCs w:val="16"/>
                <w:b w:val="1"/>
                <w:bCs w:val="1"/>
                <w:color w:val="auto"/>
              </w:rPr>
              <w:t>“Data Room”:</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means that certain electronic data room populated by the Seller on ShareVault.com relating to the Product and the Purchased Assets</w:t>
      </w:r>
    </w:p>
    <w:p>
      <w:pPr>
        <w:spacing w:after="0" w:line="55" w:lineRule="exact"/>
        <w:rPr>
          <w:sz w:val="20"/>
          <w:szCs w:val="20"/>
          <w:color w:val="auto"/>
        </w:rPr>
      </w:pPr>
    </w:p>
    <w:p>
      <w:pPr>
        <w:ind w:left="2000" w:right="80"/>
        <w:spacing w:after="0" w:line="236" w:lineRule="auto"/>
        <w:rPr>
          <w:sz w:val="20"/>
          <w:szCs w:val="20"/>
          <w:color w:val="auto"/>
        </w:rPr>
      </w:pPr>
      <w:r>
        <w:rPr>
          <w:rFonts w:ascii="Arial" w:cs="Arial" w:eastAsia="Arial" w:hAnsi="Arial"/>
          <w:sz w:val="14"/>
          <w:szCs w:val="14"/>
          <w:color w:val="auto"/>
        </w:rPr>
        <w:t>means to discover, research or otherwise develop a product, including conducting any pre-clinical, non-clinical or clinical research and any drug development activity, including discovery, research, toxicology, pharmacology and other similar activities, test method development and stability testing, manufacturing process development, formulation development, delivery system development, quality assurance and quality control development, statistical analysis, clinical studies (including pre- and post-approval studies), diagnostic assays in connection with clinical studies, and all activities directed to obtaining any Regulatory Approval, including any marketing, pricing or reimbursement approval. For the sake of clarity, Development shall not include any</w:t>
      </w:r>
    </w:p>
    <w:p>
      <w:pPr>
        <w:spacing w:after="0" w:line="231" w:lineRule="auto"/>
        <w:rPr>
          <w:sz w:val="20"/>
          <w:szCs w:val="20"/>
          <w:color w:val="auto"/>
        </w:rPr>
      </w:pPr>
      <w:r>
        <w:rPr>
          <w:rFonts w:ascii="Arial" w:cs="Arial" w:eastAsia="Arial" w:hAnsi="Arial"/>
          <w:sz w:val="30"/>
          <w:szCs w:val="30"/>
          <w:b w:val="1"/>
          <w:bCs w:val="1"/>
          <w:color w:val="auto"/>
          <w:vertAlign w:val="superscript"/>
        </w:rPr>
        <w:t>“Development”</w:t>
      </w:r>
      <w:r>
        <w:rPr>
          <w:rFonts w:ascii="Arial" w:cs="Arial" w:eastAsia="Arial" w:hAnsi="Arial"/>
          <w:sz w:val="16"/>
          <w:szCs w:val="16"/>
          <w:color w:val="auto"/>
        </w:rPr>
        <w:t xml:space="preserve"> </w:t>
      </w:r>
      <w:r>
        <w:rPr>
          <w:rFonts w:ascii="Arial" w:cs="Arial" w:eastAsia="Arial" w:hAnsi="Arial"/>
          <w:sz w:val="30"/>
          <w:szCs w:val="30"/>
          <w:color w:val="auto"/>
          <w:vertAlign w:val="superscript"/>
        </w:rPr>
        <w:t>or</w:t>
      </w:r>
      <w:r>
        <w:rPr>
          <w:rFonts w:ascii="Arial" w:cs="Arial" w:eastAsia="Arial" w:hAnsi="Arial"/>
          <w:sz w:val="16"/>
          <w:szCs w:val="16"/>
          <w:color w:val="auto"/>
        </w:rPr>
        <w:t xml:space="preserve"> </w:t>
      </w:r>
      <w:r>
        <w:rPr>
          <w:rFonts w:ascii="Arial" w:cs="Arial" w:eastAsia="Arial" w:hAnsi="Arial"/>
          <w:sz w:val="30"/>
          <w:szCs w:val="30"/>
          <w:b w:val="1"/>
          <w:bCs w:val="1"/>
          <w:color w:val="auto"/>
          <w:vertAlign w:val="superscript"/>
        </w:rPr>
        <w:t>“Develop”</w:t>
      </w:r>
      <w:r>
        <w:rPr>
          <w:rFonts w:ascii="Arial" w:cs="Arial" w:eastAsia="Arial" w:hAnsi="Arial"/>
          <w:sz w:val="30"/>
          <w:szCs w:val="30"/>
          <w:color w:val="auto"/>
          <w:vertAlign w:val="superscript"/>
        </w:rPr>
        <w:t>:</w:t>
      </w:r>
      <w:r>
        <w:rPr>
          <w:rFonts w:ascii="Arial" w:cs="Arial" w:eastAsia="Arial" w:hAnsi="Arial"/>
          <w:sz w:val="16"/>
          <w:szCs w:val="16"/>
          <w:color w:val="auto"/>
        </w:rPr>
        <w:t xml:space="preserve"> activities related to Commercialization.</w:t>
      </w:r>
    </w:p>
    <w:tbl>
      <w:tblPr>
        <w:tblLayout w:type="fixed"/>
        <w:tblInd w:w="0" w:type="dxa"/>
        <w:tblCellMar>
          <w:top w:w="0" w:type="dxa"/>
          <w:left w:w="0" w:type="dxa"/>
          <w:bottom w:w="0" w:type="dxa"/>
          <w:right w:w="0" w:type="dxa"/>
        </w:tblCellMar>
      </w:tblPr>
      <w:tr>
        <w:trPr>
          <w:trHeight w:val="145"/>
        </w:trPr>
        <w:tc>
          <w:tcPr>
            <w:tcW w:w="1820" w:type="dxa"/>
            <w:vAlign w:val="bottom"/>
          </w:tcPr>
          <w:p>
            <w:pPr>
              <w:spacing w:after="0" w:line="145" w:lineRule="exact"/>
              <w:rPr>
                <w:sz w:val="20"/>
                <w:szCs w:val="20"/>
                <w:color w:val="auto"/>
              </w:rPr>
            </w:pPr>
            <w:r>
              <w:rPr>
                <w:rFonts w:ascii="Arial" w:cs="Arial" w:eastAsia="Arial" w:hAnsi="Arial"/>
                <w:sz w:val="16"/>
                <w:szCs w:val="16"/>
                <w:b w:val="1"/>
                <w:bCs w:val="1"/>
                <w:color w:val="auto"/>
              </w:rPr>
              <w:t>“Development and</w:t>
            </w:r>
          </w:p>
        </w:tc>
        <w:tc>
          <w:tcPr>
            <w:tcW w:w="8560" w:type="dxa"/>
            <w:vAlign w:val="bottom"/>
            <w:vMerge w:val="restart"/>
          </w:tcPr>
          <w:p>
            <w:pPr>
              <w:ind w:left="180"/>
              <w:spacing w:after="0"/>
              <w:rPr>
                <w:sz w:val="20"/>
                <w:szCs w:val="20"/>
                <w:color w:val="auto"/>
              </w:rPr>
            </w:pPr>
            <w:r>
              <w:rPr>
                <w:rFonts w:ascii="Arial" w:cs="Arial" w:eastAsia="Arial" w:hAnsi="Arial"/>
                <w:sz w:val="16"/>
                <w:szCs w:val="16"/>
                <w:color w:val="auto"/>
              </w:rPr>
              <w:t>has the meaning set forth in Section 3.2.</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Arial" w:cs="Arial" w:eastAsia="Arial" w:hAnsi="Arial"/>
                <w:sz w:val="16"/>
                <w:szCs w:val="16"/>
                <w:b w:val="1"/>
                <w:bCs w:val="1"/>
                <w:color w:val="auto"/>
              </w:rPr>
              <w:t>Regulatory Milestone”</w:t>
            </w:r>
            <w:r>
              <w:rPr>
                <w:rFonts w:ascii="Arial" w:cs="Arial" w:eastAsia="Arial" w:hAnsi="Arial"/>
                <w:sz w:val="16"/>
                <w:szCs w:val="16"/>
                <w:color w:val="auto"/>
              </w:rPr>
              <w:t>:</w:t>
            </w:r>
          </w:p>
        </w:tc>
        <w:tc>
          <w:tcPr>
            <w:tcW w:w="8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“Development Plan”</w:t>
            </w:r>
            <w:r>
              <w:rPr>
                <w:rFonts w:ascii="Arial" w:cs="Arial" w:eastAsia="Arial" w:hAnsi="Arial"/>
                <w:sz w:val="16"/>
                <w:szCs w:val="16"/>
                <w:color w:val="auto"/>
              </w:rPr>
              <w:t>:</w:t>
            </w:r>
          </w:p>
        </w:tc>
        <w:tc>
          <w:tcPr>
            <w:tcW w:w="8560" w:type="dxa"/>
            <w:vAlign w:val="bottom"/>
          </w:tcPr>
          <w:p>
            <w:pPr>
              <w:ind w:left="180"/>
              <w:spacing w:after="0" w:line="171" w:lineRule="exact"/>
              <w:rPr>
                <w:sz w:val="20"/>
                <w:szCs w:val="20"/>
                <w:color w:val="auto"/>
              </w:rPr>
            </w:pPr>
            <w:r>
              <w:rPr>
                <w:rFonts w:ascii="Arial" w:cs="Arial" w:eastAsia="Arial" w:hAnsi="Arial"/>
                <w:sz w:val="16"/>
                <w:szCs w:val="16"/>
                <w:color w:val="auto"/>
                <w:w w:val="92"/>
              </w:rPr>
              <w:t>means plans for the Development of the Product as outlined in Exhibit 4 and as may be modified by the Buyer from time to time</w:t>
            </w:r>
          </w:p>
        </w:tc>
        <w:tc>
          <w:tcPr>
            <w:tcW w:w="0" w:type="dxa"/>
            <w:vAlign w:val="bottom"/>
          </w:tcPr>
          <w:p>
            <w:pPr>
              <w:spacing w:after="0"/>
              <w:rPr>
                <w:sz w:val="1"/>
                <w:szCs w:val="1"/>
                <w:color w:val="auto"/>
              </w:rPr>
            </w:pPr>
          </w:p>
        </w:tc>
      </w:tr>
      <w:tr>
        <w:trPr>
          <w:trHeight w:val="206"/>
        </w:trPr>
        <w:tc>
          <w:tcPr>
            <w:tcW w:w="1820" w:type="dxa"/>
            <w:vAlign w:val="bottom"/>
            <w:vMerge w:val="continue"/>
          </w:tcPr>
          <w:p>
            <w:pPr>
              <w:spacing w:after="0"/>
              <w:rPr>
                <w:sz w:val="17"/>
                <w:szCs w:val="17"/>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rPr>
              <w:t>during the Term.</w:t>
            </w:r>
          </w:p>
        </w:tc>
        <w:tc>
          <w:tcPr>
            <w:tcW w:w="0" w:type="dxa"/>
            <w:vAlign w:val="bottom"/>
          </w:tcPr>
          <w:p>
            <w:pPr>
              <w:spacing w:after="0"/>
              <w:rPr>
                <w:sz w:val="1"/>
                <w:szCs w:val="1"/>
                <w:color w:val="auto"/>
              </w:rPr>
            </w:pPr>
          </w:p>
        </w:tc>
      </w:tr>
      <w:tr>
        <w:trPr>
          <w:trHeight w:val="172"/>
        </w:trPr>
        <w:tc>
          <w:tcPr>
            <w:tcW w:w="1820" w:type="dxa"/>
            <w:vAlign w:val="bottom"/>
          </w:tcPr>
          <w:p>
            <w:pPr>
              <w:spacing w:after="0"/>
              <w:rPr>
                <w:sz w:val="14"/>
                <w:szCs w:val="14"/>
                <w:color w:val="auto"/>
              </w:rPr>
            </w:pPr>
          </w:p>
        </w:tc>
        <w:tc>
          <w:tcPr>
            <w:tcW w:w="8560" w:type="dxa"/>
            <w:vAlign w:val="bottom"/>
          </w:tcPr>
          <w:p>
            <w:pPr>
              <w:ind w:left="180"/>
              <w:spacing w:after="0" w:line="171" w:lineRule="exact"/>
              <w:rPr>
                <w:sz w:val="20"/>
                <w:szCs w:val="20"/>
                <w:color w:val="auto"/>
              </w:rPr>
            </w:pPr>
            <w:r>
              <w:rPr>
                <w:rFonts w:ascii="Arial" w:cs="Arial" w:eastAsia="Arial" w:hAnsi="Arial"/>
                <w:sz w:val="16"/>
                <w:szCs w:val="16"/>
                <w:color w:val="auto"/>
                <w:w w:val="93"/>
              </w:rPr>
              <w:t>means any medical device, instrument, apparatus, implant, or similar or related device that is used to diagnose, prevent and/or</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5"/>
              </w:rPr>
              <w:t>treat a disease or other condition, such as a drug delivery system (including a single use disposable injection device), that is</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4"/>
              </w:rPr>
              <w:t>distributed, marketed and/or sold by Buyer, its Affiliates and/or Licensees to Third Parties, including hospitals, clinics, medical</w:t>
            </w:r>
          </w:p>
        </w:tc>
        <w:tc>
          <w:tcPr>
            <w:tcW w:w="0" w:type="dxa"/>
            <w:vAlign w:val="bottom"/>
          </w:tcPr>
          <w:p>
            <w:pPr>
              <w:spacing w:after="0"/>
              <w:rPr>
                <w:sz w:val="1"/>
                <w:szCs w:val="1"/>
                <w:color w:val="auto"/>
              </w:rPr>
            </w:pPr>
          </w:p>
        </w:tc>
      </w:tr>
      <w:tr>
        <w:trPr>
          <w:trHeight w:val="162"/>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“Device”</w:t>
            </w:r>
            <w:r>
              <w:rPr>
                <w:rFonts w:ascii="Arial" w:cs="Arial" w:eastAsia="Arial" w:hAnsi="Arial"/>
                <w:sz w:val="16"/>
                <w:szCs w:val="16"/>
                <w:color w:val="auto"/>
              </w:rPr>
              <w:t>:</w:t>
            </w: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0"/>
              </w:rPr>
              <w:t>practitioners, pharmacists, and patients, either in the secondary packaging of the Product or separately, the use of which is related</w:t>
            </w:r>
          </w:p>
        </w:tc>
        <w:tc>
          <w:tcPr>
            <w:tcW w:w="0" w:type="dxa"/>
            <w:vAlign w:val="bottom"/>
          </w:tcPr>
          <w:p>
            <w:pPr>
              <w:spacing w:after="0"/>
              <w:rPr>
                <w:sz w:val="1"/>
                <w:szCs w:val="1"/>
                <w:color w:val="auto"/>
              </w:rPr>
            </w:pPr>
          </w:p>
        </w:tc>
      </w:tr>
      <w:tr>
        <w:trPr>
          <w:trHeight w:val="206"/>
        </w:trPr>
        <w:tc>
          <w:tcPr>
            <w:tcW w:w="1820" w:type="dxa"/>
            <w:vAlign w:val="bottom"/>
            <w:vMerge w:val="continue"/>
          </w:tcPr>
          <w:p>
            <w:pPr>
              <w:spacing w:after="0"/>
              <w:rPr>
                <w:sz w:val="17"/>
                <w:szCs w:val="17"/>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rPr>
              <w:t>to the use of the Product.</w:t>
            </w:r>
          </w:p>
        </w:tc>
        <w:tc>
          <w:tcPr>
            <w:tcW w:w="0" w:type="dxa"/>
            <w:vAlign w:val="bottom"/>
          </w:tcPr>
          <w:p>
            <w:pPr>
              <w:spacing w:after="0"/>
              <w:rPr>
                <w:sz w:val="1"/>
                <w:szCs w:val="1"/>
                <w:color w:val="auto"/>
              </w:rPr>
            </w:pPr>
          </w:p>
        </w:tc>
      </w:tr>
      <w:tr>
        <w:trPr>
          <w:trHeight w:val="172"/>
        </w:trPr>
        <w:tc>
          <w:tcPr>
            <w:tcW w:w="1820" w:type="dxa"/>
            <w:vAlign w:val="bottom"/>
          </w:tcPr>
          <w:p>
            <w:pPr>
              <w:spacing w:after="0"/>
              <w:rPr>
                <w:sz w:val="14"/>
                <w:szCs w:val="14"/>
                <w:color w:val="auto"/>
              </w:rPr>
            </w:pPr>
          </w:p>
        </w:tc>
        <w:tc>
          <w:tcPr>
            <w:tcW w:w="8560" w:type="dxa"/>
            <w:vAlign w:val="bottom"/>
          </w:tcPr>
          <w:p>
            <w:pPr>
              <w:ind w:left="180"/>
              <w:spacing w:after="0" w:line="171" w:lineRule="exact"/>
              <w:rPr>
                <w:sz w:val="20"/>
                <w:szCs w:val="20"/>
                <w:color w:val="auto"/>
              </w:rPr>
            </w:pPr>
            <w:r>
              <w:rPr>
                <w:rFonts w:ascii="Arial" w:cs="Arial" w:eastAsia="Arial" w:hAnsi="Arial"/>
                <w:sz w:val="16"/>
                <w:szCs w:val="16"/>
                <w:color w:val="auto"/>
                <w:w w:val="93"/>
              </w:rPr>
              <w:t>means any companion and/or diagnostic assay developed and used to (i) identify patients who are most likely to benefit from a</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4"/>
              </w:rPr>
              <w:t>Product, (ii) identify patients likely to be at increased risk for serious adverse reactions as a result of treatment with a Product,</w:t>
            </w:r>
          </w:p>
        </w:tc>
        <w:tc>
          <w:tcPr>
            <w:tcW w:w="0" w:type="dxa"/>
            <w:vAlign w:val="bottom"/>
          </w:tcPr>
          <w:p>
            <w:pPr>
              <w:spacing w:after="0"/>
              <w:rPr>
                <w:sz w:val="1"/>
                <w:szCs w:val="1"/>
                <w:color w:val="auto"/>
              </w:rPr>
            </w:pPr>
          </w:p>
        </w:tc>
      </w:tr>
      <w:tr>
        <w:trPr>
          <w:trHeight w:val="162"/>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“Diagnostic Tool”</w:t>
            </w:r>
            <w:r>
              <w:rPr>
                <w:rFonts w:ascii="Arial" w:cs="Arial" w:eastAsia="Arial" w:hAnsi="Arial"/>
                <w:sz w:val="16"/>
                <w:szCs w:val="16"/>
                <w:color w:val="auto"/>
              </w:rPr>
              <w:t>:</w:t>
            </w: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1"/>
              </w:rPr>
              <w:t>and/or (iii) monitor a patient’s response to a Product for the purpose of adjusting treatment (</w:t>
            </w:r>
            <w:r>
              <w:rPr>
                <w:rFonts w:ascii="Arial" w:cs="Arial" w:eastAsia="Arial" w:hAnsi="Arial"/>
                <w:sz w:val="16"/>
                <w:szCs w:val="16"/>
                <w:i w:val="1"/>
                <w:iCs w:val="1"/>
                <w:color w:val="auto"/>
                <w:w w:val="91"/>
              </w:rPr>
              <w:t>e.g.</w:t>
            </w:r>
            <w:r>
              <w:rPr>
                <w:rFonts w:ascii="Arial" w:cs="Arial" w:eastAsia="Arial" w:hAnsi="Arial"/>
                <w:sz w:val="16"/>
                <w:szCs w:val="16"/>
                <w:color w:val="auto"/>
                <w:w w:val="91"/>
              </w:rPr>
              <w:t>, schedule, dose, discontinuation)</w:t>
            </w:r>
          </w:p>
        </w:tc>
        <w:tc>
          <w:tcPr>
            <w:tcW w:w="0" w:type="dxa"/>
            <w:vAlign w:val="bottom"/>
          </w:tcPr>
          <w:p>
            <w:pPr>
              <w:spacing w:after="0"/>
              <w:rPr>
                <w:sz w:val="1"/>
                <w:szCs w:val="1"/>
                <w:color w:val="auto"/>
              </w:rPr>
            </w:pPr>
          </w:p>
        </w:tc>
      </w:tr>
      <w:tr>
        <w:trPr>
          <w:trHeight w:val="206"/>
        </w:trPr>
        <w:tc>
          <w:tcPr>
            <w:tcW w:w="1820" w:type="dxa"/>
            <w:vAlign w:val="bottom"/>
            <w:vMerge w:val="continue"/>
          </w:tcPr>
          <w:p>
            <w:pPr>
              <w:spacing w:after="0"/>
              <w:rPr>
                <w:sz w:val="17"/>
                <w:szCs w:val="17"/>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rPr>
              <w:t>to achieve improved safety or effectiveness.</w:t>
            </w:r>
          </w:p>
        </w:tc>
        <w:tc>
          <w:tcPr>
            <w:tcW w:w="0" w:type="dxa"/>
            <w:vAlign w:val="bottom"/>
          </w:tcPr>
          <w:p>
            <w:pPr>
              <w:spacing w:after="0"/>
              <w:rPr>
                <w:sz w:val="1"/>
                <w:szCs w:val="1"/>
                <w:color w:val="auto"/>
              </w:rPr>
            </w:pPr>
          </w:p>
        </w:tc>
      </w:tr>
      <w:tr>
        <w:trPr>
          <w:trHeight w:val="459"/>
        </w:trPr>
        <w:tc>
          <w:tcPr>
            <w:tcW w:w="1820" w:type="dxa"/>
            <w:vAlign w:val="bottom"/>
          </w:tcPr>
          <w:p>
            <w:pPr>
              <w:spacing w:after="0"/>
              <w:rPr>
                <w:sz w:val="20"/>
                <w:szCs w:val="20"/>
                <w:color w:val="auto"/>
              </w:rPr>
            </w:pPr>
            <w:r>
              <w:rPr>
                <w:rFonts w:ascii="Arial" w:cs="Arial" w:eastAsia="Arial" w:hAnsi="Arial"/>
                <w:sz w:val="16"/>
                <w:szCs w:val="16"/>
                <w:b w:val="1"/>
                <w:bCs w:val="1"/>
                <w:color w:val="auto"/>
              </w:rPr>
              <w:t>“Disclosing Party”</w:t>
            </w:r>
            <w:r>
              <w:rPr>
                <w:rFonts w:ascii="Arial" w:cs="Arial" w:eastAsia="Arial" w:hAnsi="Arial"/>
                <w:sz w:val="16"/>
                <w:szCs w:val="16"/>
                <w:color w:val="auto"/>
              </w:rPr>
              <w:t>:</w:t>
            </w:r>
          </w:p>
        </w:tc>
        <w:tc>
          <w:tcPr>
            <w:tcW w:w="8560" w:type="dxa"/>
            <w:vAlign w:val="bottom"/>
          </w:tcPr>
          <w:p>
            <w:pPr>
              <w:ind w:left="180"/>
              <w:spacing w:after="0"/>
              <w:rPr>
                <w:sz w:val="20"/>
                <w:szCs w:val="20"/>
                <w:color w:val="auto"/>
              </w:rPr>
            </w:pPr>
            <w:r>
              <w:rPr>
                <w:rFonts w:ascii="Arial" w:cs="Arial" w:eastAsia="Arial" w:hAnsi="Arial"/>
                <w:sz w:val="15"/>
                <w:szCs w:val="15"/>
                <w:color w:val="auto"/>
              </w:rPr>
              <w:t>shall have the meaning provided in the definition of “Confidential Information.”</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6"/>
                <w:szCs w:val="16"/>
                <w:b w:val="1"/>
                <w:bCs w:val="1"/>
                <w:color w:val="auto"/>
                <w:w w:val="96"/>
              </w:rPr>
              <w:t>“Disclosure Schedules”</w:t>
            </w:r>
            <w:r>
              <w:rPr>
                <w:rFonts w:ascii="Arial" w:cs="Arial" w:eastAsia="Arial" w:hAnsi="Arial"/>
                <w:sz w:val="16"/>
                <w:szCs w:val="16"/>
                <w:color w:val="auto"/>
                <w:w w:val="96"/>
              </w:rPr>
              <w:t>:</w:t>
            </w:r>
          </w:p>
        </w:tc>
        <w:tc>
          <w:tcPr>
            <w:tcW w:w="8560" w:type="dxa"/>
            <w:vAlign w:val="bottom"/>
          </w:tcPr>
          <w:p>
            <w:pPr>
              <w:ind w:left="180"/>
              <w:spacing w:after="0"/>
              <w:rPr>
                <w:sz w:val="20"/>
                <w:szCs w:val="20"/>
                <w:color w:val="auto"/>
              </w:rPr>
            </w:pPr>
            <w:r>
              <w:rPr>
                <w:rFonts w:ascii="Arial" w:cs="Arial" w:eastAsia="Arial" w:hAnsi="Arial"/>
                <w:sz w:val="16"/>
                <w:szCs w:val="16"/>
                <w:color w:val="auto"/>
              </w:rPr>
              <w:t>means the Disclosure Schedules set forth in Exhibit 5.</w:t>
            </w:r>
          </w:p>
        </w:tc>
        <w:tc>
          <w:tcPr>
            <w:tcW w:w="0" w:type="dxa"/>
            <w:vAlign w:val="bottom"/>
          </w:tcPr>
          <w:p>
            <w:pPr>
              <w:spacing w:after="0"/>
              <w:rPr>
                <w:sz w:val="1"/>
                <w:szCs w:val="1"/>
                <w:color w:val="auto"/>
              </w:rPr>
            </w:pPr>
          </w:p>
        </w:tc>
      </w:tr>
      <w:tr>
        <w:trPr>
          <w:trHeight w:val="172"/>
        </w:trPr>
        <w:tc>
          <w:tcPr>
            <w:tcW w:w="1820" w:type="dxa"/>
            <w:vAlign w:val="bottom"/>
          </w:tcPr>
          <w:p>
            <w:pPr>
              <w:spacing w:after="0"/>
              <w:rPr>
                <w:sz w:val="14"/>
                <w:szCs w:val="14"/>
                <w:color w:val="auto"/>
              </w:rPr>
            </w:pPr>
          </w:p>
        </w:tc>
        <w:tc>
          <w:tcPr>
            <w:tcW w:w="8560" w:type="dxa"/>
            <w:vAlign w:val="bottom"/>
          </w:tcPr>
          <w:p>
            <w:pPr>
              <w:ind w:left="180"/>
              <w:spacing w:after="0" w:line="171" w:lineRule="exact"/>
              <w:rPr>
                <w:sz w:val="20"/>
                <w:szCs w:val="20"/>
                <w:color w:val="auto"/>
              </w:rPr>
            </w:pPr>
            <w:r>
              <w:rPr>
                <w:rFonts w:ascii="Arial" w:cs="Arial" w:eastAsia="Arial" w:hAnsi="Arial"/>
                <w:sz w:val="16"/>
                <w:szCs w:val="16"/>
                <w:color w:val="auto"/>
                <w:w w:val="92"/>
              </w:rPr>
              <w:t>means, on a Product-by-Product, and country-by-country basis, the period commencing upon the First Commercial Sale of such</w:t>
            </w:r>
          </w:p>
        </w:tc>
        <w:tc>
          <w:tcPr>
            <w:tcW w:w="0" w:type="dxa"/>
            <w:vAlign w:val="bottom"/>
          </w:tcPr>
          <w:p>
            <w:pPr>
              <w:spacing w:after="0"/>
              <w:rPr>
                <w:sz w:val="1"/>
                <w:szCs w:val="1"/>
                <w:color w:val="auto"/>
              </w:rPr>
            </w:pPr>
          </w:p>
        </w:tc>
      </w:tr>
      <w:tr>
        <w:trPr>
          <w:trHeight w:val="162"/>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“Earn-Out Term”</w:t>
            </w:r>
            <w:r>
              <w:rPr>
                <w:rFonts w:ascii="Arial" w:cs="Arial" w:eastAsia="Arial" w:hAnsi="Arial"/>
                <w:sz w:val="16"/>
                <w:szCs w:val="16"/>
                <w:color w:val="auto"/>
              </w:rPr>
              <w:t>:</w:t>
            </w: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2"/>
              </w:rPr>
              <w:t>Product in such country and expiring upon the later of: (i) the last-to-expire Valid Claim in a Product Patent in a given country, or</w:t>
            </w:r>
          </w:p>
        </w:tc>
        <w:tc>
          <w:tcPr>
            <w:tcW w:w="0" w:type="dxa"/>
            <w:vAlign w:val="bottom"/>
          </w:tcPr>
          <w:p>
            <w:pPr>
              <w:spacing w:after="0"/>
              <w:rPr>
                <w:sz w:val="1"/>
                <w:szCs w:val="1"/>
                <w:color w:val="auto"/>
              </w:rPr>
            </w:pPr>
          </w:p>
        </w:tc>
      </w:tr>
      <w:tr>
        <w:trPr>
          <w:trHeight w:val="206"/>
        </w:trPr>
        <w:tc>
          <w:tcPr>
            <w:tcW w:w="1820" w:type="dxa"/>
            <w:vAlign w:val="bottom"/>
            <w:vMerge w:val="continue"/>
          </w:tcPr>
          <w:p>
            <w:pPr>
              <w:spacing w:after="0"/>
              <w:rPr>
                <w:sz w:val="17"/>
                <w:szCs w:val="17"/>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rPr>
              <w:t>(ii) [****] years after the date of First Commercial Sale of such Product in such country.</w:t>
            </w:r>
          </w:p>
        </w:tc>
        <w:tc>
          <w:tcPr>
            <w:tcW w:w="0" w:type="dxa"/>
            <w:vAlign w:val="bottom"/>
          </w:tcPr>
          <w:p>
            <w:pPr>
              <w:spacing w:after="0"/>
              <w:rPr>
                <w:sz w:val="1"/>
                <w:szCs w:val="1"/>
                <w:color w:val="auto"/>
              </w:rPr>
            </w:pPr>
          </w:p>
        </w:tc>
      </w:tr>
      <w:tr>
        <w:trPr>
          <w:trHeight w:val="415"/>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Agreement”</w:t>
            </w:r>
            <w:r>
              <w:rPr>
                <w:rFonts w:ascii="Arial" w:cs="Arial" w:eastAsia="Arial" w:hAnsi="Arial"/>
                <w:sz w:val="16"/>
                <w:szCs w:val="16"/>
                <w:color w:val="auto"/>
              </w:rPr>
              <w:t>:</w:t>
            </w:r>
          </w:p>
        </w:tc>
        <w:tc>
          <w:tcPr>
            <w:tcW w:w="8560" w:type="dxa"/>
            <w:vAlign w:val="bottom"/>
          </w:tcPr>
          <w:p>
            <w:pPr>
              <w:ind w:left="180"/>
              <w:spacing w:after="0"/>
              <w:rPr>
                <w:sz w:val="20"/>
                <w:szCs w:val="20"/>
                <w:color w:val="auto"/>
              </w:rPr>
            </w:pPr>
            <w:r>
              <w:rPr>
                <w:rFonts w:ascii="Arial" w:cs="Arial" w:eastAsia="Arial" w:hAnsi="Arial"/>
                <w:sz w:val="16"/>
                <w:szCs w:val="16"/>
                <w:color w:val="auto"/>
                <w:w w:val="97"/>
              </w:rPr>
              <w:t xml:space="preserve">means the “[****] </w:t>
            </w:r>
            <w:r>
              <w:rPr>
                <w:rFonts w:ascii="Arial" w:cs="Arial" w:eastAsia="Arial" w:hAnsi="Arial"/>
                <w:sz w:val="16"/>
                <w:szCs w:val="16"/>
                <w:i w:val="1"/>
                <w:iCs w:val="1"/>
                <w:color w:val="auto"/>
                <w:w w:val="97"/>
              </w:rPr>
              <w:t>Agreement</w:t>
            </w:r>
            <w:r>
              <w:rPr>
                <w:rFonts w:ascii="Arial" w:cs="Arial" w:eastAsia="Arial" w:hAnsi="Arial"/>
                <w:sz w:val="16"/>
                <w:szCs w:val="16"/>
                <w:color w:val="auto"/>
                <w:w w:val="97"/>
              </w:rPr>
              <w:t>” entered into by and between Seller and [****], as subsequently amended on [****] and [****],</w:t>
            </w:r>
          </w:p>
        </w:tc>
        <w:tc>
          <w:tcPr>
            <w:tcW w:w="0" w:type="dxa"/>
            <w:vAlign w:val="bottom"/>
          </w:tcPr>
          <w:p>
            <w:pPr>
              <w:spacing w:after="0"/>
              <w:rPr>
                <w:sz w:val="1"/>
                <w:szCs w:val="1"/>
                <w:color w:val="auto"/>
              </w:rPr>
            </w:pPr>
          </w:p>
        </w:tc>
      </w:tr>
      <w:tr>
        <w:trPr>
          <w:trHeight w:val="206"/>
        </w:trPr>
        <w:tc>
          <w:tcPr>
            <w:tcW w:w="1820" w:type="dxa"/>
            <w:vAlign w:val="bottom"/>
            <w:vMerge w:val="continue"/>
          </w:tcPr>
          <w:p>
            <w:pPr>
              <w:spacing w:after="0"/>
              <w:rPr>
                <w:sz w:val="17"/>
                <w:szCs w:val="17"/>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rPr>
              <w:t>which has [****].</w:t>
            </w:r>
          </w:p>
        </w:tc>
        <w:tc>
          <w:tcPr>
            <w:tcW w:w="0" w:type="dxa"/>
            <w:vAlign w:val="bottom"/>
          </w:tcPr>
          <w:p>
            <w:pPr>
              <w:spacing w:after="0"/>
              <w:rPr>
                <w:sz w:val="1"/>
                <w:szCs w:val="1"/>
                <w:color w:val="auto"/>
              </w:rPr>
            </w:pPr>
          </w:p>
        </w:tc>
      </w:tr>
      <w:tr>
        <w:trPr>
          <w:trHeight w:val="459"/>
        </w:trPr>
        <w:tc>
          <w:tcPr>
            <w:tcW w:w="1820" w:type="dxa"/>
            <w:vAlign w:val="bottom"/>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Consent”</w:t>
            </w:r>
            <w:r>
              <w:rPr>
                <w:rFonts w:ascii="Arial" w:cs="Arial" w:eastAsia="Arial" w:hAnsi="Arial"/>
                <w:sz w:val="16"/>
                <w:szCs w:val="16"/>
                <w:color w:val="auto"/>
              </w:rPr>
              <w:t>:</w:t>
            </w:r>
          </w:p>
        </w:tc>
        <w:tc>
          <w:tcPr>
            <w:tcW w:w="8560" w:type="dxa"/>
            <w:vAlign w:val="bottom"/>
          </w:tcPr>
          <w:p>
            <w:pPr>
              <w:ind w:left="180"/>
              <w:spacing w:after="0"/>
              <w:rPr>
                <w:sz w:val="20"/>
                <w:szCs w:val="20"/>
                <w:color w:val="auto"/>
              </w:rPr>
            </w:pPr>
            <w:r>
              <w:rPr>
                <w:rFonts w:ascii="Arial" w:cs="Arial" w:eastAsia="Arial" w:hAnsi="Arial"/>
                <w:sz w:val="15"/>
                <w:szCs w:val="15"/>
                <w:color w:val="auto"/>
              </w:rPr>
              <w:t>means that certain [****] and Seller, dated as of [****].</w:t>
            </w:r>
          </w:p>
        </w:tc>
        <w:tc>
          <w:tcPr>
            <w:tcW w:w="0" w:type="dxa"/>
            <w:vAlign w:val="bottom"/>
          </w:tcPr>
          <w:p>
            <w:pPr>
              <w:spacing w:after="0"/>
              <w:rPr>
                <w:sz w:val="1"/>
                <w:szCs w:val="1"/>
                <w:color w:val="auto"/>
              </w:rPr>
            </w:pPr>
          </w:p>
        </w:tc>
      </w:tr>
      <w:tr>
        <w:trPr>
          <w:trHeight w:val="172"/>
        </w:trPr>
        <w:tc>
          <w:tcPr>
            <w:tcW w:w="1820" w:type="dxa"/>
            <w:vAlign w:val="bottom"/>
          </w:tcPr>
          <w:p>
            <w:pPr>
              <w:spacing w:after="0"/>
              <w:rPr>
                <w:sz w:val="14"/>
                <w:szCs w:val="14"/>
                <w:color w:val="auto"/>
              </w:rPr>
            </w:pPr>
          </w:p>
        </w:tc>
        <w:tc>
          <w:tcPr>
            <w:tcW w:w="8560" w:type="dxa"/>
            <w:vAlign w:val="bottom"/>
          </w:tcPr>
          <w:p>
            <w:pPr>
              <w:ind w:left="180"/>
              <w:spacing w:after="0" w:line="171" w:lineRule="exact"/>
              <w:rPr>
                <w:sz w:val="20"/>
                <w:szCs w:val="20"/>
                <w:color w:val="auto"/>
              </w:rPr>
            </w:pPr>
            <w:r>
              <w:rPr>
                <w:rFonts w:ascii="Arial" w:cs="Arial" w:eastAsia="Arial" w:hAnsi="Arial"/>
                <w:sz w:val="16"/>
                <w:szCs w:val="16"/>
                <w:color w:val="auto"/>
                <w:w w:val="92"/>
              </w:rPr>
              <w:t>means any lien, pledge, charge, mortgage, security interest, lease, license, option, right of first refusal, preemptive right, put, call</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2"/>
              </w:rPr>
              <w:t>or other restriction on transfer (other than express provisions of Assumed Contracts), defect or imperfection of title, assessment,</w:t>
            </w:r>
          </w:p>
        </w:tc>
        <w:tc>
          <w:tcPr>
            <w:tcW w:w="0" w:type="dxa"/>
            <w:vAlign w:val="bottom"/>
          </w:tcPr>
          <w:p>
            <w:pPr>
              <w:spacing w:after="0"/>
              <w:rPr>
                <w:sz w:val="1"/>
                <w:szCs w:val="1"/>
                <w:color w:val="auto"/>
              </w:rPr>
            </w:pPr>
          </w:p>
        </w:tc>
      </w:tr>
      <w:tr>
        <w:trPr>
          <w:trHeight w:val="162"/>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“Encumbrance”</w:t>
            </w:r>
            <w:r>
              <w:rPr>
                <w:rFonts w:ascii="Arial" w:cs="Arial" w:eastAsia="Arial" w:hAnsi="Arial"/>
                <w:sz w:val="16"/>
                <w:szCs w:val="16"/>
                <w:color w:val="auto"/>
              </w:rPr>
              <w:t>:</w:t>
            </w: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3"/>
              </w:rPr>
              <w:t>deed of trust, levy, or other encumbrance of any kind, or any conditional sale or title retention agreement or other agreement to</w:t>
            </w:r>
          </w:p>
        </w:tc>
        <w:tc>
          <w:tcPr>
            <w:tcW w:w="0" w:type="dxa"/>
            <w:vAlign w:val="bottom"/>
          </w:tcPr>
          <w:p>
            <w:pPr>
              <w:spacing w:after="0"/>
              <w:rPr>
                <w:sz w:val="1"/>
                <w:szCs w:val="1"/>
                <w:color w:val="auto"/>
              </w:rPr>
            </w:pPr>
          </w:p>
        </w:tc>
      </w:tr>
      <w:tr>
        <w:trPr>
          <w:trHeight w:val="206"/>
        </w:trPr>
        <w:tc>
          <w:tcPr>
            <w:tcW w:w="1820" w:type="dxa"/>
            <w:vAlign w:val="bottom"/>
            <w:vMerge w:val="continue"/>
          </w:tcPr>
          <w:p>
            <w:pPr>
              <w:spacing w:after="0"/>
              <w:rPr>
                <w:sz w:val="17"/>
                <w:szCs w:val="17"/>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rPr>
              <w:t>give any of the foregoing in the future.</w:t>
            </w:r>
          </w:p>
        </w:tc>
        <w:tc>
          <w:tcPr>
            <w:tcW w:w="0" w:type="dxa"/>
            <w:vAlign w:val="bottom"/>
          </w:tcPr>
          <w:p>
            <w:pPr>
              <w:spacing w:after="0"/>
              <w:rPr>
                <w:sz w:val="1"/>
                <w:szCs w:val="1"/>
                <w:color w:val="auto"/>
              </w:rPr>
            </w:pPr>
          </w:p>
        </w:tc>
      </w:tr>
      <w:tr>
        <w:trPr>
          <w:trHeight w:val="415"/>
        </w:trPr>
        <w:tc>
          <w:tcPr>
            <w:tcW w:w="1820" w:type="dxa"/>
            <w:vAlign w:val="bottom"/>
          </w:tcPr>
          <w:p>
            <w:pPr>
              <w:spacing w:after="0"/>
              <w:rPr>
                <w:sz w:val="24"/>
                <w:szCs w:val="24"/>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w w:val="96"/>
              </w:rPr>
              <w:t>means (i) all Taxes of or relating to Seller, or for which Seller is liable, for any taxable period, including (A) all Taxes of any</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3"/>
              </w:rPr>
              <w:t>member of an affiliated group of which Seller (or any predecessor) is or was a member on a prior to the Closing Date, including</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1"/>
              </w:rPr>
              <w:t>pursuant to Treasury Regulation Section 1.1502-6 or any analogous or similar state, local or foreign law; (B) any and all Taxes of</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1"/>
              </w:rPr>
              <w:t>any person imposed on Buyer as a transferee or successor, by contract or pursuant to any Applicable Law, which Taxes relate to</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8"/>
              </w:rPr>
              <w:t>an event or transaction occurring before the Closing Date, and (C) payments under any Tax allocation, sharing or similar</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9"/>
              </w:rPr>
              <w:t>agreement (whether oral or written); (ii) all Taxes relating to the “Retained Rights” described in Section 2.3 or Retained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8"/>
              </w:rPr>
              <w:t>Liabilities for any taxable period; (iii) all Taxes attributable to ownership or use of any Purchased Assets or the Assumed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3"/>
              </w:rPr>
              <w:t>Liabilities for any taxable period ending on or prior to the Closing Date and, with respect to any taxable period beginning before</w:t>
            </w:r>
          </w:p>
        </w:tc>
        <w:tc>
          <w:tcPr>
            <w:tcW w:w="0" w:type="dxa"/>
            <w:vAlign w:val="bottom"/>
          </w:tcPr>
          <w:p>
            <w:pPr>
              <w:spacing w:after="0"/>
              <w:rPr>
                <w:sz w:val="1"/>
                <w:szCs w:val="1"/>
                <w:color w:val="auto"/>
              </w:rPr>
            </w:pPr>
          </w:p>
        </w:tc>
      </w:tr>
      <w:tr>
        <w:trPr>
          <w:trHeight w:val="162"/>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“Excluded Taxes”</w:t>
            </w:r>
            <w:r>
              <w:rPr>
                <w:rFonts w:ascii="Arial" w:cs="Arial" w:eastAsia="Arial" w:hAnsi="Arial"/>
                <w:sz w:val="16"/>
                <w:szCs w:val="16"/>
                <w:color w:val="auto"/>
              </w:rPr>
              <w:t>:</w:t>
            </w: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3"/>
              </w:rPr>
              <w:t>and ending after the Closing Date, for the portion of such taxable period ending on the Closing Date; and (iv) Seller’s portion of</w:t>
            </w:r>
          </w:p>
        </w:tc>
        <w:tc>
          <w:tcPr>
            <w:tcW w:w="0" w:type="dxa"/>
            <w:vAlign w:val="bottom"/>
          </w:tcPr>
          <w:p>
            <w:pPr>
              <w:spacing w:after="0"/>
              <w:rPr>
                <w:sz w:val="1"/>
                <w:szCs w:val="1"/>
                <w:color w:val="auto"/>
              </w:rPr>
            </w:pPr>
          </w:p>
        </w:tc>
      </w:tr>
      <w:tr>
        <w:trPr>
          <w:trHeight w:val="206"/>
        </w:trPr>
        <w:tc>
          <w:tcPr>
            <w:tcW w:w="1820" w:type="dxa"/>
            <w:vAlign w:val="bottom"/>
            <w:vMerge w:val="continue"/>
          </w:tcPr>
          <w:p>
            <w:pPr>
              <w:spacing w:after="0"/>
              <w:rPr>
                <w:sz w:val="17"/>
                <w:szCs w:val="17"/>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rPr>
              <w:t>transfer taxes (as provided in Section 3.9).</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5"/>
                <w:szCs w:val="15"/>
                <w:b w:val="1"/>
                <w:bCs w:val="1"/>
                <w:color w:val="auto"/>
              </w:rPr>
              <w:t>“Exhibit”</w:t>
            </w:r>
            <w:r>
              <w:rPr>
                <w:rFonts w:ascii="Arial" w:cs="Arial" w:eastAsia="Arial" w:hAnsi="Arial"/>
                <w:sz w:val="15"/>
                <w:szCs w:val="15"/>
                <w:color w:val="auto"/>
              </w:rPr>
              <w:t>:</w:t>
            </w:r>
          </w:p>
        </w:tc>
        <w:tc>
          <w:tcPr>
            <w:tcW w:w="8560" w:type="dxa"/>
            <w:vAlign w:val="bottom"/>
          </w:tcPr>
          <w:p>
            <w:pPr>
              <w:ind w:left="180"/>
              <w:spacing w:after="0"/>
              <w:rPr>
                <w:sz w:val="20"/>
                <w:szCs w:val="20"/>
                <w:color w:val="auto"/>
              </w:rPr>
            </w:pPr>
            <w:r>
              <w:rPr>
                <w:rFonts w:ascii="Arial" w:cs="Arial" w:eastAsia="Arial" w:hAnsi="Arial"/>
                <w:sz w:val="16"/>
                <w:szCs w:val="16"/>
                <w:color w:val="auto"/>
              </w:rPr>
              <w:t>means any or all of the exhibits attached to this Agreement.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5"/>
                <w:szCs w:val="15"/>
                <w:b w:val="1"/>
                <w:bCs w:val="1"/>
                <w:color w:val="auto"/>
              </w:rPr>
              <w:t>“FFDCA”:</w:t>
            </w:r>
          </w:p>
        </w:tc>
        <w:tc>
          <w:tcPr>
            <w:tcW w:w="8560" w:type="dxa"/>
            <w:vAlign w:val="bottom"/>
          </w:tcPr>
          <w:p>
            <w:pPr>
              <w:ind w:left="180"/>
              <w:spacing w:after="0"/>
              <w:rPr>
                <w:sz w:val="20"/>
                <w:szCs w:val="20"/>
                <w:color w:val="auto"/>
              </w:rPr>
            </w:pPr>
            <w:r>
              <w:rPr>
                <w:rFonts w:ascii="Arial" w:cs="Arial" w:eastAsia="Arial" w:hAnsi="Arial"/>
                <w:sz w:val="16"/>
                <w:szCs w:val="16"/>
                <w:color w:val="auto"/>
              </w:rPr>
              <w:t>means the Federal Food, Drug, and Cosmetic Act.</w:t>
            </w:r>
          </w:p>
        </w:tc>
        <w:tc>
          <w:tcPr>
            <w:tcW w:w="0" w:type="dxa"/>
            <w:vAlign w:val="bottom"/>
          </w:tcPr>
          <w:p>
            <w:pPr>
              <w:spacing w:after="0"/>
              <w:rPr>
                <w:sz w:val="1"/>
                <w:szCs w:val="1"/>
                <w:color w:val="auto"/>
              </w:rPr>
            </w:pPr>
          </w:p>
        </w:tc>
      </w:tr>
    </w:tbl>
    <w:p>
      <w:pPr>
        <w:sectPr>
          <w:pgSz w:w="11900" w:h="16838" w:orient="portrait"/>
          <w:cols w:equalWidth="0" w:num="1">
            <w:col w:w="10540"/>
          </w:cols>
          <w:pgMar w:left="1000" w:top="838" w:right="359" w:bottom="1440" w:gutter="0" w:footer="0" w:header="0"/>
        </w:sectPr>
      </w:pPr>
    </w:p>
    <w:bookmarkStart w:id="257" w:name="page258"/>
    <w:bookmarkEnd w:id="2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20" w:type="dxa"/>
            <w:vAlign w:val="bottom"/>
          </w:tcPr>
          <w:p>
            <w:pPr>
              <w:spacing w:after="0"/>
              <w:rPr>
                <w:sz w:val="21"/>
                <w:szCs w:val="21"/>
                <w:color w:val="auto"/>
              </w:rPr>
            </w:pPr>
          </w:p>
        </w:tc>
        <w:tc>
          <w:tcPr>
            <w:tcW w:w="8560" w:type="dxa"/>
            <w:vAlign w:val="bottom"/>
          </w:tcPr>
          <w:p>
            <w:pPr>
              <w:ind w:left="5940"/>
              <w:spacing w:after="0"/>
              <w:rPr>
                <w:sz w:val="20"/>
                <w:szCs w:val="20"/>
                <w:color w:val="auto"/>
              </w:rPr>
            </w:pPr>
            <w:r>
              <w:rPr>
                <w:rFonts w:ascii="Arial" w:cs="Arial" w:eastAsia="Arial" w:hAnsi="Arial"/>
                <w:sz w:val="20"/>
                <w:szCs w:val="20"/>
                <w:color w:val="auto"/>
              </w:rPr>
              <w:t>Exhibit 10.23</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w w:val="93"/>
              </w:rPr>
              <w:t>means, with respect to a Product in a given country, the first commercial sale or disposition for value of such Product to a Third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2"/>
              </w:rPr>
              <w:t>Party (other than a Related Party) for end use or consumption of such Product in such country, excluding, however, transfers or</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8"/>
              </w:rPr>
              <w:t>dispositions of without consideration: (i) in connection with patient assistance programs; (ii) for charitable or promotional</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3"/>
              </w:rPr>
              <w:t>purposes; (iii) for preclinical, clinical, regulatory or governmental purposes or under so-called “named patient”, “compassionate</w:t>
            </w:r>
          </w:p>
        </w:tc>
        <w:tc>
          <w:tcPr>
            <w:tcW w:w="0" w:type="dxa"/>
            <w:vAlign w:val="bottom"/>
          </w:tcPr>
          <w:p>
            <w:pPr>
              <w:spacing w:after="0"/>
              <w:rPr>
                <w:sz w:val="1"/>
                <w:szCs w:val="1"/>
                <w:color w:val="auto"/>
              </w:rPr>
            </w:pPr>
          </w:p>
        </w:tc>
      </w:tr>
      <w:tr>
        <w:trPr>
          <w:trHeight w:val="172"/>
        </w:trPr>
        <w:tc>
          <w:tcPr>
            <w:tcW w:w="1820" w:type="dxa"/>
            <w:vAlign w:val="bottom"/>
          </w:tcPr>
          <w:p>
            <w:pPr>
              <w:spacing w:after="0"/>
              <w:rPr>
                <w:sz w:val="20"/>
                <w:szCs w:val="20"/>
                <w:color w:val="auto"/>
              </w:rPr>
            </w:pPr>
            <w:r>
              <w:rPr>
                <w:rFonts w:ascii="Arial" w:cs="Arial" w:eastAsia="Arial" w:hAnsi="Arial"/>
                <w:sz w:val="15"/>
                <w:szCs w:val="15"/>
                <w:b w:val="1"/>
                <w:bCs w:val="1"/>
                <w:color w:val="auto"/>
              </w:rPr>
              <w:t>“First</w:t>
            </w:r>
          </w:p>
        </w:tc>
        <w:tc>
          <w:tcPr>
            <w:tcW w:w="8560" w:type="dxa"/>
            <w:vAlign w:val="bottom"/>
          </w:tcPr>
          <w:p>
            <w:pPr>
              <w:ind w:left="180"/>
              <w:spacing w:after="0" w:line="172" w:lineRule="exact"/>
              <w:rPr>
                <w:sz w:val="20"/>
                <w:szCs w:val="20"/>
                <w:color w:val="auto"/>
              </w:rPr>
            </w:pPr>
            <w:r>
              <w:rPr>
                <w:rFonts w:ascii="Arial" w:cs="Arial" w:eastAsia="Arial" w:hAnsi="Arial"/>
                <w:sz w:val="16"/>
                <w:szCs w:val="16"/>
                <w:color w:val="auto"/>
                <w:w w:val="95"/>
              </w:rPr>
              <w:t>use” or other limited access programs; or (iv) for use in any tests or studies reasonably necessary to comply with Applicable</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Arial" w:cs="Arial" w:eastAsia="Arial" w:hAnsi="Arial"/>
                <w:sz w:val="15"/>
                <w:szCs w:val="15"/>
                <w:b w:val="1"/>
                <w:bCs w:val="1"/>
                <w:color w:val="auto"/>
              </w:rPr>
              <w:t>Commercial</w:t>
            </w:r>
          </w:p>
        </w:tc>
        <w:tc>
          <w:tcPr>
            <w:tcW w:w="8560" w:type="dxa"/>
            <w:vAlign w:val="bottom"/>
          </w:tcPr>
          <w:p>
            <w:pPr>
              <w:ind w:left="180"/>
              <w:spacing w:after="0" w:line="148" w:lineRule="exact"/>
              <w:rPr>
                <w:sz w:val="20"/>
                <w:szCs w:val="20"/>
                <w:color w:val="auto"/>
              </w:rPr>
            </w:pPr>
            <w:r>
              <w:rPr>
                <w:rFonts w:ascii="Arial" w:cs="Arial" w:eastAsia="Arial" w:hAnsi="Arial"/>
                <w:sz w:val="16"/>
                <w:szCs w:val="16"/>
                <w:color w:val="auto"/>
                <w:w w:val="94"/>
              </w:rPr>
              <w:t>Laws, regulation or request by a Governmental Authority. For clarity, First Commercial Sale shall be determined on a country-</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Arial" w:cs="Arial" w:eastAsia="Arial" w:hAnsi="Arial"/>
                <w:sz w:val="15"/>
                <w:szCs w:val="15"/>
                <w:b w:val="1"/>
                <w:bCs w:val="1"/>
                <w:color w:val="auto"/>
              </w:rPr>
              <w:t>Sale”:</w:t>
            </w:r>
          </w:p>
        </w:tc>
        <w:tc>
          <w:tcPr>
            <w:tcW w:w="8560" w:type="dxa"/>
            <w:vAlign w:val="bottom"/>
          </w:tcPr>
          <w:p>
            <w:pPr>
              <w:ind w:left="180"/>
              <w:spacing w:after="0"/>
              <w:rPr>
                <w:sz w:val="20"/>
                <w:szCs w:val="20"/>
                <w:color w:val="auto"/>
              </w:rPr>
            </w:pPr>
            <w:r>
              <w:rPr>
                <w:rFonts w:ascii="Arial" w:cs="Arial" w:eastAsia="Arial" w:hAnsi="Arial"/>
                <w:sz w:val="16"/>
                <w:szCs w:val="16"/>
                <w:color w:val="auto"/>
              </w:rPr>
              <w:t>by-country basis.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5"/>
                <w:szCs w:val="15"/>
                <w:b w:val="1"/>
                <w:bCs w:val="1"/>
                <w:color w:val="auto"/>
              </w:rPr>
              <w:t>“First</w:t>
            </w:r>
          </w:p>
        </w:tc>
        <w:tc>
          <w:tcPr>
            <w:tcW w:w="8560" w:type="dxa"/>
            <w:vAlign w:val="bottom"/>
          </w:tcPr>
          <w:p>
            <w:pPr>
              <w:ind w:left="180"/>
              <w:spacing w:after="0"/>
              <w:rPr>
                <w:sz w:val="20"/>
                <w:szCs w:val="20"/>
                <w:color w:val="auto"/>
              </w:rPr>
            </w:pPr>
            <w:r>
              <w:rPr>
                <w:rFonts w:ascii="Arial" w:cs="Arial" w:eastAsia="Arial" w:hAnsi="Arial"/>
                <w:sz w:val="16"/>
                <w:szCs w:val="16"/>
                <w:color w:val="auto"/>
              </w:rPr>
              <w:t>means a first indication for which a Product receives approval.</w:t>
            </w:r>
          </w:p>
        </w:tc>
        <w:tc>
          <w:tcPr>
            <w:tcW w:w="0" w:type="dxa"/>
            <w:vAlign w:val="bottom"/>
          </w:tcPr>
          <w:p>
            <w:pPr>
              <w:spacing w:after="0"/>
              <w:rPr>
                <w:sz w:val="1"/>
                <w:szCs w:val="1"/>
                <w:color w:val="auto"/>
              </w:rPr>
            </w:pPr>
          </w:p>
        </w:tc>
      </w:tr>
      <w:tr>
        <w:trPr>
          <w:trHeight w:val="376"/>
        </w:trPr>
        <w:tc>
          <w:tcPr>
            <w:tcW w:w="1820" w:type="dxa"/>
            <w:vAlign w:val="bottom"/>
          </w:tcPr>
          <w:p>
            <w:pPr>
              <w:spacing w:after="0"/>
              <w:rPr>
                <w:sz w:val="20"/>
                <w:szCs w:val="20"/>
                <w:color w:val="auto"/>
              </w:rPr>
            </w:pPr>
            <w:r>
              <w:rPr>
                <w:rFonts w:ascii="Arial" w:cs="Arial" w:eastAsia="Arial" w:hAnsi="Arial"/>
                <w:sz w:val="15"/>
                <w:szCs w:val="15"/>
                <w:b w:val="1"/>
                <w:bCs w:val="1"/>
                <w:color w:val="auto"/>
              </w:rPr>
              <w:t>Indication”:</w:t>
            </w:r>
          </w:p>
        </w:tc>
        <w:tc>
          <w:tcPr>
            <w:tcW w:w="8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20"/>
                <w:szCs w:val="20"/>
                <w:color w:val="auto"/>
              </w:rPr>
            </w:pPr>
            <w:r>
              <w:rPr>
                <w:rFonts w:ascii="Arial" w:cs="Arial" w:eastAsia="Arial" w:hAnsi="Arial"/>
                <w:sz w:val="15"/>
                <w:szCs w:val="15"/>
                <w:b w:val="1"/>
                <w:bCs w:val="1"/>
                <w:color w:val="auto"/>
              </w:rPr>
              <w:t>“FTE”:</w:t>
            </w:r>
          </w:p>
        </w:tc>
        <w:tc>
          <w:tcPr>
            <w:tcW w:w="8560" w:type="dxa"/>
            <w:vAlign w:val="bottom"/>
          </w:tcPr>
          <w:p>
            <w:pPr>
              <w:ind w:left="180"/>
              <w:spacing w:after="0"/>
              <w:rPr>
                <w:sz w:val="20"/>
                <w:szCs w:val="20"/>
                <w:color w:val="auto"/>
              </w:rPr>
            </w:pPr>
            <w:r>
              <w:rPr>
                <w:rFonts w:ascii="Arial" w:cs="Arial" w:eastAsia="Arial" w:hAnsi="Arial"/>
                <w:sz w:val="16"/>
                <w:szCs w:val="16"/>
                <w:color w:val="auto"/>
                <w:w w:val="95"/>
              </w:rPr>
              <w:t>means a full time equivalent person by year consisting of [****] days per year of work, corresponding to [****] hours per year</w:t>
            </w:r>
          </w:p>
        </w:tc>
        <w:tc>
          <w:tcPr>
            <w:tcW w:w="0" w:type="dxa"/>
            <w:vAlign w:val="bottom"/>
          </w:tcPr>
          <w:p>
            <w:pPr>
              <w:spacing w:after="0"/>
              <w:rPr>
                <w:sz w:val="1"/>
                <w:szCs w:val="1"/>
                <w:color w:val="auto"/>
              </w:rPr>
            </w:pPr>
          </w:p>
        </w:tc>
      </w:tr>
      <w:tr>
        <w:trPr>
          <w:trHeight w:val="206"/>
        </w:trPr>
        <w:tc>
          <w:tcPr>
            <w:tcW w:w="1820" w:type="dxa"/>
            <w:vAlign w:val="bottom"/>
          </w:tcPr>
          <w:p>
            <w:pPr>
              <w:spacing w:after="0"/>
              <w:rPr>
                <w:sz w:val="17"/>
                <w:szCs w:val="17"/>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rPr>
              <w:t>of work.</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5"/>
                <w:szCs w:val="15"/>
                <w:b w:val="1"/>
                <w:bCs w:val="1"/>
                <w:color w:val="auto"/>
              </w:rPr>
              <w:t>“FTE Rate”:</w:t>
            </w:r>
          </w:p>
        </w:tc>
        <w:tc>
          <w:tcPr>
            <w:tcW w:w="8560" w:type="dxa"/>
            <w:vAlign w:val="bottom"/>
          </w:tcPr>
          <w:p>
            <w:pPr>
              <w:ind w:left="180"/>
              <w:spacing w:after="0"/>
              <w:rPr>
                <w:sz w:val="20"/>
                <w:szCs w:val="20"/>
                <w:color w:val="auto"/>
              </w:rPr>
            </w:pPr>
            <w:r>
              <w:rPr>
                <w:rFonts w:ascii="Arial" w:cs="Arial" w:eastAsia="Arial" w:hAnsi="Arial"/>
                <w:sz w:val="16"/>
                <w:szCs w:val="16"/>
                <w:color w:val="auto"/>
              </w:rPr>
              <w:t>means [****] United States Dollars (US$[****]) per FTE.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5"/>
                <w:szCs w:val="15"/>
                <w:b w:val="1"/>
                <w:bCs w:val="1"/>
                <w:color w:val="auto"/>
              </w:rPr>
              <w:t>“Fundamental</w:t>
            </w:r>
          </w:p>
        </w:tc>
        <w:tc>
          <w:tcPr>
            <w:tcW w:w="8560" w:type="dxa"/>
            <w:vAlign w:val="bottom"/>
          </w:tcPr>
          <w:p>
            <w:pPr>
              <w:ind w:left="180"/>
              <w:spacing w:after="0"/>
              <w:rPr>
                <w:sz w:val="20"/>
                <w:szCs w:val="20"/>
                <w:color w:val="auto"/>
              </w:rPr>
            </w:pPr>
            <w:r>
              <w:rPr>
                <w:rFonts w:ascii="Arial" w:cs="Arial" w:eastAsia="Arial" w:hAnsi="Arial"/>
                <w:sz w:val="16"/>
                <w:szCs w:val="16"/>
                <w:color w:val="auto"/>
              </w:rPr>
              <w:t>has the meaning set forth in Section 9.1(i).</w:t>
            </w:r>
          </w:p>
        </w:tc>
        <w:tc>
          <w:tcPr>
            <w:tcW w:w="0" w:type="dxa"/>
            <w:vAlign w:val="bottom"/>
          </w:tcPr>
          <w:p>
            <w:pPr>
              <w:spacing w:after="0"/>
              <w:rPr>
                <w:sz w:val="1"/>
                <w:szCs w:val="1"/>
                <w:color w:val="auto"/>
              </w:rPr>
            </w:pPr>
          </w:p>
        </w:tc>
      </w:tr>
      <w:tr>
        <w:trPr>
          <w:trHeight w:val="376"/>
        </w:trPr>
        <w:tc>
          <w:tcPr>
            <w:tcW w:w="1820" w:type="dxa"/>
            <w:vAlign w:val="bottom"/>
          </w:tcPr>
          <w:p>
            <w:pPr>
              <w:spacing w:after="0"/>
              <w:rPr>
                <w:sz w:val="20"/>
                <w:szCs w:val="20"/>
                <w:color w:val="auto"/>
              </w:rPr>
            </w:pPr>
            <w:r>
              <w:rPr>
                <w:rFonts w:ascii="Arial" w:cs="Arial" w:eastAsia="Arial" w:hAnsi="Arial"/>
                <w:sz w:val="15"/>
                <w:szCs w:val="15"/>
                <w:b w:val="1"/>
                <w:bCs w:val="1"/>
                <w:color w:val="auto"/>
              </w:rPr>
              <w:t>Representation”:</w:t>
            </w:r>
          </w:p>
        </w:tc>
        <w:tc>
          <w:tcPr>
            <w:tcW w:w="8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w w:val="93"/>
              </w:rPr>
              <w:t>means, with respect to a Product in any country in a given calendar quarter, that, during such calendar quarter, (i) one or more</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4"/>
              </w:rPr>
              <w:t>Generic Products are commercially available in such country, and (ii) aggregate Net Sales of such Product in such country in</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4"/>
              </w:rPr>
              <w:t>such calendar quarter equal less than [****] percent ([****]%) of the average aggregate Net Sales of the Product over the four</w:t>
            </w:r>
          </w:p>
        </w:tc>
        <w:tc>
          <w:tcPr>
            <w:tcW w:w="0" w:type="dxa"/>
            <w:vAlign w:val="bottom"/>
          </w:tcPr>
          <w:p>
            <w:pPr>
              <w:spacing w:after="0"/>
              <w:rPr>
                <w:sz w:val="1"/>
                <w:szCs w:val="1"/>
                <w:color w:val="auto"/>
              </w:rPr>
            </w:pPr>
          </w:p>
        </w:tc>
      </w:tr>
      <w:tr>
        <w:trPr>
          <w:trHeight w:val="162"/>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auto"/>
              </w:rPr>
              <w:t>“Generic Competition”</w:t>
            </w:r>
            <w:r>
              <w:rPr>
                <w:rFonts w:ascii="Arial" w:cs="Arial" w:eastAsia="Arial" w:hAnsi="Arial"/>
                <w:sz w:val="16"/>
                <w:szCs w:val="16"/>
                <w:color w:val="auto"/>
              </w:rPr>
              <w:t>:</w:t>
            </w:r>
          </w:p>
        </w:tc>
        <w:tc>
          <w:tcPr>
            <w:tcW w:w="8560" w:type="dxa"/>
            <w:vAlign w:val="bottom"/>
          </w:tcPr>
          <w:p>
            <w:pPr>
              <w:ind w:left="180"/>
              <w:spacing w:after="0" w:line="162" w:lineRule="exact"/>
              <w:rPr>
                <w:sz w:val="20"/>
                <w:szCs w:val="20"/>
                <w:color w:val="auto"/>
              </w:rPr>
            </w:pPr>
            <w:r>
              <w:rPr>
                <w:rFonts w:ascii="Arial" w:cs="Arial" w:eastAsia="Arial" w:hAnsi="Arial"/>
                <w:sz w:val="16"/>
                <w:szCs w:val="16"/>
                <w:color w:val="auto"/>
                <w:w w:val="91"/>
              </w:rPr>
              <w:t>(4) calendar quarters immediately prior to the calendar quarter in which one or more Generic Products first became commercially</w:t>
            </w:r>
          </w:p>
        </w:tc>
        <w:tc>
          <w:tcPr>
            <w:tcW w:w="0" w:type="dxa"/>
            <w:vAlign w:val="bottom"/>
          </w:tcPr>
          <w:p>
            <w:pPr>
              <w:spacing w:after="0"/>
              <w:rPr>
                <w:sz w:val="1"/>
                <w:szCs w:val="1"/>
                <w:color w:val="auto"/>
              </w:rPr>
            </w:pPr>
          </w:p>
        </w:tc>
      </w:tr>
      <w:tr>
        <w:trPr>
          <w:trHeight w:val="206"/>
        </w:trPr>
        <w:tc>
          <w:tcPr>
            <w:tcW w:w="1820" w:type="dxa"/>
            <w:vAlign w:val="bottom"/>
            <w:vMerge w:val="continue"/>
          </w:tcPr>
          <w:p>
            <w:pPr>
              <w:spacing w:after="0"/>
              <w:rPr>
                <w:sz w:val="17"/>
                <w:szCs w:val="17"/>
                <w:color w:val="auto"/>
              </w:rPr>
            </w:pPr>
          </w:p>
        </w:tc>
        <w:tc>
          <w:tcPr>
            <w:tcW w:w="8560" w:type="dxa"/>
            <w:vAlign w:val="bottom"/>
          </w:tcPr>
          <w:p>
            <w:pPr>
              <w:ind w:left="180"/>
              <w:spacing w:after="0"/>
              <w:rPr>
                <w:sz w:val="20"/>
                <w:szCs w:val="20"/>
                <w:color w:val="auto"/>
              </w:rPr>
            </w:pPr>
            <w:r>
              <w:rPr>
                <w:rFonts w:ascii="Arial" w:cs="Arial" w:eastAsia="Arial" w:hAnsi="Arial"/>
                <w:sz w:val="16"/>
                <w:szCs w:val="16"/>
                <w:color w:val="auto"/>
              </w:rPr>
              <w:t>available in such country.</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2000" w:right="240"/>
        <w:spacing w:after="0" w:line="248" w:lineRule="auto"/>
        <w:rPr>
          <w:sz w:val="20"/>
          <w:szCs w:val="20"/>
          <w:color w:val="auto"/>
        </w:rPr>
      </w:pPr>
      <w:r>
        <w:rPr>
          <w:rFonts w:ascii="Arial" w:cs="Arial" w:eastAsia="Arial" w:hAnsi="Arial"/>
          <w:sz w:val="14"/>
          <w:szCs w:val="14"/>
          <w:color w:val="auto"/>
        </w:rPr>
        <w:t>for a given country means a pharmaceutical product that (i) is sold by a Person that is not a Related Party under a Regulatory Approval granted by a Government Authority to a Third Party, (ii) contains the same active ingredient(s) as are contained in a Product, and (iii) is approved by the Government Authority pursuant to an abbreviated approval process that relies in part on</w:t>
      </w:r>
    </w:p>
    <w:p>
      <w:pPr>
        <w:spacing w:after="0" w:line="1"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auto"/>
        </w:rPr>
        <w:t>“Generic Product”</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such Government Authority’s previous grant of marketing authorization to a Product.</w:t>
      </w:r>
    </w:p>
    <w:p>
      <w:pPr>
        <w:spacing w:after="0" w:line="14" w:lineRule="exact"/>
        <w:rPr>
          <w:sz w:val="20"/>
          <w:szCs w:val="20"/>
          <w:color w:val="auto"/>
        </w:rPr>
      </w:pPr>
    </w:p>
    <w:p>
      <w:pPr>
        <w:ind w:left="2000" w:right="160" w:hanging="1997"/>
        <w:spacing w:after="0" w:line="236" w:lineRule="auto"/>
        <w:rPr>
          <w:sz w:val="20"/>
          <w:szCs w:val="20"/>
          <w:color w:val="auto"/>
        </w:rPr>
      </w:pPr>
      <w:r>
        <w:rPr>
          <w:rFonts w:ascii="Arial" w:cs="Arial" w:eastAsia="Arial" w:hAnsi="Arial"/>
          <w:sz w:val="15"/>
          <w:szCs w:val="15"/>
          <w:b w:val="1"/>
          <w:bCs w:val="1"/>
          <w:color w:val="auto"/>
        </w:rPr>
        <w:t xml:space="preserve">“Governmental Authority”: </w:t>
      </w:r>
      <w:r>
        <w:rPr>
          <w:rFonts w:ascii="Arial" w:cs="Arial" w:eastAsia="Arial" w:hAnsi="Arial"/>
          <w:sz w:val="15"/>
          <w:szCs w:val="15"/>
          <w:color w:val="auto"/>
        </w:rPr>
        <w:t>means any court, tribunal, arbitrator, authority, agency, commission, official or other instrumentality of the United States of</w:t>
      </w:r>
      <w:r>
        <w:rPr>
          <w:rFonts w:ascii="Arial" w:cs="Arial" w:eastAsia="Arial" w:hAnsi="Arial"/>
          <w:sz w:val="15"/>
          <w:szCs w:val="15"/>
          <w:b w:val="1"/>
          <w:bCs w:val="1"/>
          <w:color w:val="auto"/>
        </w:rPr>
        <w:t xml:space="preserve"> </w:t>
      </w:r>
      <w:r>
        <w:rPr>
          <w:rFonts w:ascii="Arial" w:cs="Arial" w:eastAsia="Arial" w:hAnsi="Arial"/>
          <w:sz w:val="15"/>
          <w:szCs w:val="15"/>
          <w:color w:val="auto"/>
        </w:rPr>
        <w:t>America or other country, including without limitation any regulatory authority involved in granting approval to initiate or conduct clinical testing in humans, for regulatory approval to market a pharmaceutical/biologic product and/or, to the extent required in such country or jurisdiction, for pricing or reimbursement approval for a pharmaceutical product in such country or jurisdiction, including (i) the Food and Drug Administration of the United States of America (“FDA”), (ii) the European Medicines Agency of the European Union (“EMA”), and (iii) the European Commission.</w:t>
      </w:r>
    </w:p>
    <w:p>
      <w:pPr>
        <w:sectPr>
          <w:pgSz w:w="11900" w:h="16838" w:orient="portrait"/>
          <w:cols w:equalWidth="0" w:num="1">
            <w:col w:w="10380"/>
          </w:cols>
          <w:pgMar w:left="1000" w:top="838" w:right="51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“Inbound Licenses”: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has the meaning set forth in Section 5.7(v).</w:t>
      </w:r>
    </w:p>
    <w:p>
      <w:pPr>
        <w:spacing w:after="0" w:line="51" w:lineRule="exact"/>
        <w:rPr>
          <w:sz w:val="20"/>
          <w:szCs w:val="20"/>
          <w:color w:val="auto"/>
        </w:rPr>
      </w:pPr>
    </w:p>
    <w:p>
      <w:pPr>
        <w:sectPr>
          <w:pgSz w:w="11900" w:h="16838" w:orient="portrait"/>
          <w:cols w:equalWidth="0" w:num="2">
            <w:col w:w="1420" w:space="580"/>
            <w:col w:w="8380"/>
          </w:cols>
          <w:pgMar w:left="1000" w:top="838" w:right="5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“Indemnitee”: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has the meaning set forth in Section 9.4.</w:t>
      </w:r>
    </w:p>
    <w:p>
      <w:pPr>
        <w:spacing w:after="0" w:line="51" w:lineRule="exact"/>
        <w:rPr>
          <w:sz w:val="20"/>
          <w:szCs w:val="20"/>
          <w:color w:val="auto"/>
        </w:rPr>
      </w:pPr>
    </w:p>
    <w:p>
      <w:pPr>
        <w:sectPr>
          <w:pgSz w:w="11900" w:h="16838" w:orient="portrait"/>
          <w:cols w:equalWidth="0" w:num="2">
            <w:col w:w="1280" w:space="720"/>
            <w:col w:w="8380"/>
          </w:cols>
          <w:pgMar w:left="1000" w:top="838" w:right="5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“Indemnitor”: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has the meaning set forth in Section 9.4.</w:t>
      </w:r>
    </w:p>
    <w:p>
      <w:pPr>
        <w:spacing w:after="0" w:line="51" w:lineRule="exact"/>
        <w:rPr>
          <w:sz w:val="20"/>
          <w:szCs w:val="20"/>
          <w:color w:val="auto"/>
        </w:rPr>
      </w:pPr>
    </w:p>
    <w:p>
      <w:pPr>
        <w:sectPr>
          <w:pgSz w:w="11900" w:h="16838" w:orient="portrait"/>
          <w:cols w:equalWidth="0" w:num="2">
            <w:col w:w="1280" w:space="720"/>
            <w:col w:w="8380"/>
          </w:cols>
          <w:pgMar w:left="1000" w:top="838" w:right="5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“INDs and CTAs”:</w:t>
      </w:r>
    </w:p>
    <w:p>
      <w:pPr>
        <w:spacing w:after="0" w:line="20" w:lineRule="exact"/>
        <w:rPr>
          <w:sz w:val="20"/>
          <w:szCs w:val="20"/>
          <w:color w:val="auto"/>
        </w:rPr>
      </w:pPr>
      <w:r>
        <w:rPr>
          <w:sz w:val="20"/>
          <w:szCs w:val="20"/>
          <w:color w:val="auto"/>
        </w:rPr>
        <w:br w:type="column"/>
      </w:r>
    </w:p>
    <w:p>
      <w:pPr>
        <w:ind w:right="320"/>
        <w:spacing w:after="0"/>
        <w:rPr>
          <w:sz w:val="20"/>
          <w:szCs w:val="20"/>
          <w:color w:val="auto"/>
        </w:rPr>
      </w:pPr>
      <w:r>
        <w:rPr>
          <w:rFonts w:ascii="Arial" w:cs="Arial" w:eastAsia="Arial" w:hAnsi="Arial"/>
          <w:sz w:val="16"/>
          <w:szCs w:val="16"/>
          <w:color w:val="auto"/>
        </w:rPr>
        <w:t>means any and all investigational new drug applications and clinical trial applications with respect to the Product as listed in Exhibit 8.</w:t>
      </w:r>
    </w:p>
    <w:p>
      <w:pPr>
        <w:spacing w:after="0" w:line="6" w:lineRule="exact"/>
        <w:rPr>
          <w:sz w:val="20"/>
          <w:szCs w:val="20"/>
          <w:color w:val="auto"/>
        </w:rPr>
      </w:pPr>
    </w:p>
    <w:p>
      <w:pPr>
        <w:sectPr>
          <w:pgSz w:w="11900" w:h="16838" w:orient="portrait"/>
          <w:cols w:equalWidth="0" w:num="2">
            <w:col w:w="1300" w:space="700"/>
            <w:col w:w="8380"/>
          </w:cols>
          <w:pgMar w:left="1000" w:top="838" w:right="5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that certain [****] Agreement between Seller, [****] and [****], dated [****].</w:t>
      </w:r>
    </w:p>
    <w:p>
      <w:pPr>
        <w:spacing w:after="0" w:line="40" w:lineRule="exact"/>
        <w:rPr>
          <w:sz w:val="20"/>
          <w:szCs w:val="20"/>
          <w:color w:val="auto"/>
        </w:rPr>
      </w:pPr>
    </w:p>
    <w:p>
      <w:pPr>
        <w:sectPr>
          <w:pgSz w:w="11900" w:h="16838" w:orient="portrait"/>
          <w:cols w:equalWidth="0" w:num="2">
            <w:col w:w="1440" w:space="560"/>
            <w:col w:w="8380"/>
          </w:cols>
          <w:pgMar w:left="1000" w:top="838"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means any payment due pursuant to Section 7.1.1(b) of the [****] Agreement.</w:t>
      </w:r>
    </w:p>
    <w:p>
      <w:pPr>
        <w:spacing w:after="0" w:line="50" w:lineRule="exact"/>
        <w:rPr>
          <w:sz w:val="20"/>
          <w:szCs w:val="20"/>
          <w:color w:val="auto"/>
        </w:rPr>
      </w:pPr>
    </w:p>
    <w:p>
      <w:pPr>
        <w:sectPr>
          <w:pgSz w:w="11900" w:h="16838" w:orient="portrait"/>
          <w:cols w:equalWidth="0" w:num="2">
            <w:col w:w="1300" w:space="700"/>
            <w:col w:w="8380"/>
          </w:cols>
          <w:pgMar w:left="1000" w:top="838"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Supply”: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supply of [****].</w:t>
      </w:r>
    </w:p>
    <w:p>
      <w:pPr>
        <w:spacing w:after="0" w:line="39" w:lineRule="exact"/>
        <w:rPr>
          <w:sz w:val="20"/>
          <w:szCs w:val="20"/>
          <w:color w:val="auto"/>
        </w:rPr>
      </w:pPr>
    </w:p>
    <w:p>
      <w:pPr>
        <w:sectPr>
          <w:pgSz w:w="11900" w:h="16838" w:orient="portrait"/>
          <w:cols w:equalWidth="0" w:num="2">
            <w:col w:w="1280" w:space="720"/>
            <w:col w:w="8380"/>
          </w:cols>
          <w:pgMar w:left="1000" w:top="838"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Waiver”: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that certain [****] Agreement, between [****],[****] and Seller, dated as of [****].</w:t>
      </w:r>
    </w:p>
    <w:p>
      <w:pPr>
        <w:spacing w:after="0" w:line="39" w:lineRule="exact"/>
        <w:rPr>
          <w:sz w:val="20"/>
          <w:szCs w:val="20"/>
          <w:color w:val="auto"/>
        </w:rPr>
      </w:pPr>
    </w:p>
    <w:p>
      <w:pPr>
        <w:sectPr>
          <w:pgSz w:w="11900" w:h="16838" w:orient="portrait"/>
          <w:cols w:equalWidth="0" w:num="2">
            <w:col w:w="1280" w:space="720"/>
            <w:col w:w="8380"/>
          </w:cols>
          <w:pgMar w:left="1000" w:top="838"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w:t>
      </w:r>
    </w:p>
    <w:p>
      <w:pPr>
        <w:spacing w:after="0" w:line="28" w:lineRule="exact"/>
        <w:rPr>
          <w:sz w:val="20"/>
          <w:szCs w:val="20"/>
          <w:color w:val="auto"/>
        </w:rPr>
      </w:pPr>
    </w:p>
    <w:p>
      <w:pPr>
        <w:sectPr>
          <w:pgSz w:w="11900" w:h="16838" w:orient="portrait"/>
          <w:cols w:equalWidth="0" w:num="2">
            <w:col w:w="1280" w:space="720"/>
            <w:col w:w="8380"/>
          </w:cols>
          <w:pgMar w:left="1000" w:top="838"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that certain [****] Agreement, effective as of [****] between the [****] and Seller.</w:t>
      </w:r>
    </w:p>
    <w:p>
      <w:pPr>
        <w:spacing w:after="0" w:line="39" w:lineRule="exact"/>
        <w:rPr>
          <w:sz w:val="20"/>
          <w:szCs w:val="20"/>
          <w:color w:val="auto"/>
        </w:rPr>
      </w:pPr>
    </w:p>
    <w:p>
      <w:pPr>
        <w:sectPr>
          <w:pgSz w:w="11900" w:h="16838" w:orient="portrait"/>
          <w:cols w:equalWidth="0" w:num="2">
            <w:col w:w="1400" w:space="600"/>
            <w:col w:w="8380"/>
          </w:cols>
          <w:pgMar w:left="1000" w:top="838" w:right="5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“Know-How”:</w:t>
      </w:r>
    </w:p>
    <w:p>
      <w:pPr>
        <w:spacing w:after="0" w:line="20" w:lineRule="exact"/>
        <w:rPr>
          <w:sz w:val="20"/>
          <w:szCs w:val="20"/>
          <w:color w:val="auto"/>
        </w:rPr>
      </w:pPr>
      <w:r>
        <w:rPr>
          <w:sz w:val="20"/>
          <w:szCs w:val="20"/>
          <w:color w:val="auto"/>
        </w:rPr>
        <w:br w:type="column"/>
      </w:r>
    </w:p>
    <w:p>
      <w:pPr>
        <w:ind w:right="100"/>
        <w:spacing w:after="0" w:line="222" w:lineRule="auto"/>
        <w:rPr>
          <w:sz w:val="20"/>
          <w:szCs w:val="20"/>
          <w:color w:val="auto"/>
        </w:rPr>
      </w:pPr>
      <w:r>
        <w:rPr>
          <w:rFonts w:ascii="Arial" w:cs="Arial" w:eastAsia="Arial" w:hAnsi="Arial"/>
          <w:sz w:val="16"/>
          <w:szCs w:val="16"/>
          <w:color w:val="auto"/>
        </w:rPr>
        <w:t>means technical and other information, including trade secrets and information comprising or relating to concepts, discoveries, designs, formulae, ideas, inventions, methods, models, assays, research plans, procedures, designs for experiments and tests and results of experimentation and testing (including results of Development), formulations, processes (including manufacturing processes, specifications and techniques), and any such information contained in the Data, including documents containing any of the above.</w:t>
      </w:r>
    </w:p>
    <w:p>
      <w:pPr>
        <w:sectPr>
          <w:pgSz w:w="11900" w:h="16838" w:orient="portrait"/>
          <w:cols w:equalWidth="0" w:num="2">
            <w:col w:w="1280" w:space="720"/>
            <w:col w:w="8380"/>
          </w:cols>
          <w:pgMar w:left="1000" w:top="838" w:right="519" w:bottom="1440" w:gutter="0" w:footer="0" w:header="0"/>
          <w:type w:val="continuous"/>
        </w:sectPr>
      </w:pPr>
    </w:p>
    <w:bookmarkStart w:id="258" w:name="page259"/>
    <w:bookmarkEnd w:id="258"/>
    <w:p>
      <w:pPr>
        <w:ind w:left="7920"/>
        <w:spacing w:after="0"/>
        <w:rPr>
          <w:sz w:val="20"/>
          <w:szCs w:val="20"/>
          <w:color w:val="auto"/>
        </w:rPr>
      </w:pPr>
      <w:r>
        <w:rPr>
          <w:rFonts w:ascii="Arial" w:cs="Arial" w:eastAsia="Arial" w:hAnsi="Arial"/>
          <w:sz w:val="20"/>
          <w:szCs w:val="20"/>
          <w:color w:val="auto"/>
        </w:rPr>
        <w:t>Exhibit 10.23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vMerge w:val="restart"/>
          </w:tcPr>
          <w:p>
            <w:pPr>
              <w:spacing w:after="0"/>
              <w:rPr>
                <w:sz w:val="20"/>
                <w:szCs w:val="20"/>
                <w:color w:val="auto"/>
              </w:rPr>
            </w:pPr>
            <w:r>
              <w:rPr>
                <w:rFonts w:ascii="Arial" w:cs="Arial" w:eastAsia="Arial" w:hAnsi="Arial"/>
                <w:sz w:val="16"/>
                <w:szCs w:val="16"/>
                <w:b w:val="1"/>
                <w:bCs w:val="1"/>
                <w:color w:val="auto"/>
              </w:rPr>
              <w:t>“Knowledge”</w:t>
            </w:r>
            <w:r>
              <w:rPr>
                <w:rFonts w:ascii="Arial" w:cs="Arial" w:eastAsia="Arial" w:hAnsi="Arial"/>
                <w:sz w:val="16"/>
                <w:szCs w:val="16"/>
                <w:color w:val="auto"/>
              </w:rPr>
              <w:t>:</w:t>
            </w:r>
          </w:p>
        </w:tc>
        <w:tc>
          <w:tcPr>
            <w:tcW w:w="8020" w:type="dxa"/>
            <w:vAlign w:val="bottom"/>
          </w:tcPr>
          <w:p>
            <w:pPr>
              <w:ind w:left="180"/>
              <w:spacing w:after="0"/>
              <w:rPr>
                <w:sz w:val="20"/>
                <w:szCs w:val="20"/>
                <w:color w:val="auto"/>
              </w:rPr>
            </w:pPr>
            <w:r>
              <w:rPr>
                <w:rFonts w:ascii="Arial" w:cs="Arial" w:eastAsia="Arial" w:hAnsi="Arial"/>
                <w:sz w:val="16"/>
                <w:szCs w:val="16"/>
                <w:color w:val="auto"/>
                <w:w w:val="94"/>
              </w:rPr>
              <w:t>with respect to Seller, means the actual knowledge of the vice-president level or higher executive officers (or persons</w:t>
            </w:r>
          </w:p>
        </w:tc>
        <w:tc>
          <w:tcPr>
            <w:tcW w:w="0" w:type="dxa"/>
            <w:vAlign w:val="bottom"/>
          </w:tcPr>
          <w:p>
            <w:pPr>
              <w:spacing w:after="0"/>
              <w:rPr>
                <w:sz w:val="1"/>
                <w:szCs w:val="1"/>
                <w:color w:val="auto"/>
              </w:rPr>
            </w:pPr>
          </w:p>
        </w:tc>
      </w:tr>
      <w:tr>
        <w:trPr>
          <w:trHeight w:val="206"/>
        </w:trPr>
        <w:tc>
          <w:tcPr>
            <w:tcW w:w="1140" w:type="dxa"/>
            <w:vAlign w:val="bottom"/>
            <w:vMerge w:val="continue"/>
          </w:tcPr>
          <w:p>
            <w:pPr>
              <w:spacing w:after="0"/>
              <w:rPr>
                <w:sz w:val="17"/>
                <w:szCs w:val="17"/>
                <w:color w:val="auto"/>
              </w:rPr>
            </w:pPr>
          </w:p>
        </w:tc>
        <w:tc>
          <w:tcPr>
            <w:tcW w:w="8020" w:type="dxa"/>
            <w:vAlign w:val="bottom"/>
          </w:tcPr>
          <w:p>
            <w:pPr>
              <w:ind w:left="180"/>
              <w:spacing w:after="0"/>
              <w:rPr>
                <w:sz w:val="20"/>
                <w:szCs w:val="20"/>
                <w:color w:val="auto"/>
              </w:rPr>
            </w:pPr>
            <w:r>
              <w:rPr>
                <w:rFonts w:ascii="Arial" w:cs="Arial" w:eastAsia="Arial" w:hAnsi="Arial"/>
                <w:sz w:val="16"/>
                <w:szCs w:val="16"/>
                <w:color w:val="auto"/>
              </w:rPr>
              <w:t>performing similar functions) of Seller after reasonable inquiry.</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6"/>
                <w:szCs w:val="16"/>
                <w:b w:val="1"/>
                <w:bCs w:val="1"/>
                <w:color w:val="auto"/>
              </w:rPr>
              <w:t>“Licensee”:</w:t>
            </w:r>
          </w:p>
        </w:tc>
        <w:tc>
          <w:tcPr>
            <w:tcW w:w="8020" w:type="dxa"/>
            <w:vAlign w:val="bottom"/>
          </w:tcPr>
          <w:p>
            <w:pPr>
              <w:ind w:left="180"/>
              <w:spacing w:after="0"/>
              <w:rPr>
                <w:sz w:val="20"/>
                <w:szCs w:val="20"/>
                <w:color w:val="auto"/>
              </w:rPr>
            </w:pPr>
            <w:r>
              <w:rPr>
                <w:rFonts w:ascii="Arial" w:cs="Arial" w:eastAsia="Arial" w:hAnsi="Arial"/>
                <w:sz w:val="16"/>
                <w:szCs w:val="16"/>
                <w:color w:val="auto"/>
              </w:rPr>
              <w:t>means a Third Party licensee that has entered into a license agreement with Buyer for the Product.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6"/>
                <w:szCs w:val="16"/>
                <w:b w:val="1"/>
                <w:bCs w:val="1"/>
                <w:color w:val="auto"/>
              </w:rPr>
              <w:t>“Listed</w:t>
            </w:r>
          </w:p>
        </w:tc>
        <w:tc>
          <w:tcPr>
            <w:tcW w:w="8020" w:type="dxa"/>
            <w:vAlign w:val="bottom"/>
          </w:tcPr>
          <w:p>
            <w:pPr>
              <w:ind w:left="180"/>
              <w:spacing w:after="0"/>
              <w:rPr>
                <w:sz w:val="20"/>
                <w:szCs w:val="20"/>
                <w:color w:val="auto"/>
              </w:rPr>
            </w:pPr>
            <w:r>
              <w:rPr>
                <w:rFonts w:ascii="Arial" w:cs="Arial" w:eastAsia="Arial" w:hAnsi="Arial"/>
                <w:sz w:val="16"/>
                <w:szCs w:val="16"/>
                <w:color w:val="auto"/>
              </w:rPr>
              <w:t>has the meaning set forth in Section 5.7(ii).</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6"/>
                <w:szCs w:val="16"/>
                <w:b w:val="1"/>
                <w:bCs w:val="1"/>
                <w:color w:val="auto"/>
              </w:rPr>
              <w:t>Patents”</w:t>
            </w:r>
            <w:r>
              <w:rPr>
                <w:rFonts w:ascii="Arial" w:cs="Arial" w:eastAsia="Arial" w:hAnsi="Arial"/>
                <w:sz w:val="16"/>
                <w:szCs w:val="16"/>
                <w:color w:val="auto"/>
              </w:rPr>
              <w:t>:</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6"/>
                <w:szCs w:val="16"/>
                <w:b w:val="1"/>
                <w:bCs w:val="1"/>
                <w:color w:val="auto"/>
              </w:rPr>
              <w:t>“Lock-Up</w:t>
            </w:r>
          </w:p>
        </w:tc>
        <w:tc>
          <w:tcPr>
            <w:tcW w:w="8020" w:type="dxa"/>
            <w:vAlign w:val="bottom"/>
          </w:tcPr>
          <w:p>
            <w:pPr>
              <w:ind w:left="180"/>
              <w:spacing w:after="0"/>
              <w:rPr>
                <w:sz w:val="20"/>
                <w:szCs w:val="20"/>
                <w:color w:val="auto"/>
              </w:rPr>
            </w:pPr>
            <w:r>
              <w:rPr>
                <w:rFonts w:ascii="Arial" w:cs="Arial" w:eastAsia="Arial" w:hAnsi="Arial"/>
                <w:sz w:val="16"/>
                <w:szCs w:val="16"/>
                <w:color w:val="auto"/>
              </w:rPr>
              <w:t>means that certain Lock-Up Agreement, substantially in the form attached hereto as Exhibit 12.</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Arial" w:cs="Arial" w:eastAsia="Arial" w:hAnsi="Arial"/>
                <w:sz w:val="16"/>
                <w:szCs w:val="16"/>
                <w:b w:val="1"/>
                <w:bCs w:val="1"/>
                <w:color w:val="auto"/>
              </w:rPr>
              <w:t>Agreement”</w:t>
            </w:r>
          </w:p>
        </w:tc>
        <w:tc>
          <w:tcPr>
            <w:tcW w:w="8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6"/>
                <w:szCs w:val="16"/>
                <w:b w:val="1"/>
                <w:bCs w:val="1"/>
                <w:color w:val="auto"/>
              </w:rPr>
              <w:t>Novation and</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6"/>
                <w:szCs w:val="16"/>
                <w:b w:val="1"/>
                <w:bCs w:val="1"/>
                <w:color w:val="auto"/>
              </w:rPr>
              <w:t>Consent”</w:t>
            </w:r>
            <w:r>
              <w:rPr>
                <w:rFonts w:ascii="Arial" w:cs="Arial" w:eastAsia="Arial" w:hAnsi="Arial"/>
                <w:sz w:val="16"/>
                <w:szCs w:val="16"/>
                <w:color w:val="auto"/>
              </w:rPr>
              <w:t>:</w:t>
            </w:r>
          </w:p>
        </w:tc>
        <w:tc>
          <w:tcPr>
            <w:tcW w:w="8020" w:type="dxa"/>
            <w:vAlign w:val="bottom"/>
          </w:tcPr>
          <w:p>
            <w:pPr>
              <w:ind w:left="180"/>
              <w:spacing w:after="0"/>
              <w:rPr>
                <w:sz w:val="20"/>
                <w:szCs w:val="20"/>
                <w:color w:val="auto"/>
              </w:rPr>
            </w:pPr>
            <w:r>
              <w:rPr>
                <w:rFonts w:ascii="Arial" w:cs="Arial" w:eastAsia="Arial" w:hAnsi="Arial"/>
                <w:sz w:val="16"/>
                <w:szCs w:val="16"/>
                <w:color w:val="auto"/>
              </w:rPr>
              <w:t>means that certain Novation Agreement, between [****], Buyer and Seller, dated as of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6"/>
                <w:szCs w:val="16"/>
                <w:b w:val="1"/>
                <w:bCs w:val="1"/>
                <w:color w:val="auto"/>
              </w:rPr>
              <w:t>“Major</w:t>
            </w:r>
          </w:p>
        </w:tc>
        <w:tc>
          <w:tcPr>
            <w:tcW w:w="8020" w:type="dxa"/>
            <w:vAlign w:val="bottom"/>
          </w:tcPr>
          <w:p>
            <w:pPr>
              <w:ind w:left="180"/>
              <w:spacing w:after="0"/>
              <w:rPr>
                <w:sz w:val="20"/>
                <w:szCs w:val="20"/>
                <w:color w:val="auto"/>
              </w:rPr>
            </w:pPr>
            <w:r>
              <w:rPr>
                <w:rFonts w:ascii="Arial" w:cs="Arial" w:eastAsia="Arial" w:hAnsi="Arial"/>
                <w:sz w:val="16"/>
                <w:szCs w:val="16"/>
                <w:color w:val="auto"/>
              </w:rPr>
              <w:t>means France, Germany, Italy, Spain or the United Kingdom.</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6"/>
                <w:szCs w:val="16"/>
                <w:b w:val="1"/>
                <w:bCs w:val="1"/>
                <w:color w:val="auto"/>
              </w:rPr>
              <w:t>European</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6"/>
                <w:szCs w:val="16"/>
                <w:b w:val="1"/>
                <w:bCs w:val="1"/>
                <w:color w:val="auto"/>
              </w:rPr>
              <w:t>Country”</w:t>
            </w:r>
            <w:r>
              <w:rPr>
                <w:rFonts w:ascii="Arial" w:cs="Arial" w:eastAsia="Arial" w:hAnsi="Arial"/>
                <w:sz w:val="16"/>
                <w:szCs w:val="16"/>
                <w:color w:val="auto"/>
              </w:rPr>
              <w:t>:</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140" w:type="dxa"/>
            <w:vAlign w:val="bottom"/>
            <w:vMerge w:val="restart"/>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8020" w:type="dxa"/>
            <w:vAlign w:val="bottom"/>
          </w:tcPr>
          <w:p>
            <w:pPr>
              <w:ind w:left="180"/>
              <w:spacing w:after="0" w:line="171" w:lineRule="exact"/>
              <w:rPr>
                <w:sz w:val="20"/>
                <w:szCs w:val="20"/>
                <w:color w:val="auto"/>
              </w:rPr>
            </w:pPr>
            <w:r>
              <w:rPr>
                <w:rFonts w:ascii="Arial" w:cs="Arial" w:eastAsia="Arial" w:hAnsi="Arial"/>
                <w:sz w:val="16"/>
                <w:szCs w:val="16"/>
                <w:color w:val="auto"/>
                <w:w w:val="99"/>
              </w:rPr>
              <w:t>means any payments due to be [****] under the [****] or any other agreement entered into by Seller or any of its</w:t>
            </w:r>
          </w:p>
        </w:tc>
        <w:tc>
          <w:tcPr>
            <w:tcW w:w="0" w:type="dxa"/>
            <w:vAlign w:val="bottom"/>
          </w:tcPr>
          <w:p>
            <w:pPr>
              <w:spacing w:after="0"/>
              <w:rPr>
                <w:sz w:val="1"/>
                <w:szCs w:val="1"/>
                <w:color w:val="auto"/>
              </w:rPr>
            </w:pPr>
          </w:p>
        </w:tc>
      </w:tr>
      <w:tr>
        <w:trPr>
          <w:trHeight w:val="206"/>
        </w:trPr>
        <w:tc>
          <w:tcPr>
            <w:tcW w:w="1140" w:type="dxa"/>
            <w:vAlign w:val="bottom"/>
            <w:vMerge w:val="continue"/>
          </w:tcPr>
          <w:p>
            <w:pPr>
              <w:spacing w:after="0"/>
              <w:rPr>
                <w:sz w:val="17"/>
                <w:szCs w:val="17"/>
                <w:color w:val="auto"/>
              </w:rPr>
            </w:pPr>
          </w:p>
        </w:tc>
        <w:tc>
          <w:tcPr>
            <w:tcW w:w="8020" w:type="dxa"/>
            <w:vAlign w:val="bottom"/>
          </w:tcPr>
          <w:p>
            <w:pPr>
              <w:ind w:left="180"/>
              <w:spacing w:after="0"/>
              <w:rPr>
                <w:sz w:val="20"/>
                <w:szCs w:val="20"/>
                <w:color w:val="auto"/>
              </w:rPr>
            </w:pPr>
            <w:r>
              <w:rPr>
                <w:rFonts w:ascii="Arial" w:cs="Arial" w:eastAsia="Arial" w:hAnsi="Arial"/>
                <w:sz w:val="16"/>
                <w:szCs w:val="16"/>
                <w:color w:val="auto"/>
              </w:rPr>
              <w:t>predecessors in interest prior the Closing Date.</w:t>
            </w:r>
          </w:p>
        </w:tc>
        <w:tc>
          <w:tcPr>
            <w:tcW w:w="0" w:type="dxa"/>
            <w:vAlign w:val="bottom"/>
          </w:tcPr>
          <w:p>
            <w:pPr>
              <w:spacing w:after="0"/>
              <w:rPr>
                <w:sz w:val="1"/>
                <w:szCs w:val="1"/>
                <w:color w:val="auto"/>
              </w:rPr>
            </w:pPr>
          </w:p>
        </w:tc>
      </w:tr>
      <w:tr>
        <w:trPr>
          <w:trHeight w:val="415"/>
        </w:trPr>
        <w:tc>
          <w:tcPr>
            <w:tcW w:w="1140" w:type="dxa"/>
            <w:vAlign w:val="bottom"/>
          </w:tcPr>
          <w:p>
            <w:pPr>
              <w:spacing w:after="0"/>
              <w:rPr>
                <w:sz w:val="24"/>
                <w:szCs w:val="24"/>
                <w:color w:val="auto"/>
              </w:rPr>
            </w:pPr>
          </w:p>
        </w:tc>
        <w:tc>
          <w:tcPr>
            <w:tcW w:w="8020" w:type="dxa"/>
            <w:vAlign w:val="bottom"/>
          </w:tcPr>
          <w:p>
            <w:pPr>
              <w:ind w:left="180"/>
              <w:spacing w:after="0"/>
              <w:rPr>
                <w:sz w:val="20"/>
                <w:szCs w:val="20"/>
                <w:color w:val="auto"/>
              </w:rPr>
            </w:pPr>
            <w:r>
              <w:rPr>
                <w:rFonts w:ascii="Arial" w:cs="Arial" w:eastAsia="Arial" w:hAnsi="Arial"/>
                <w:sz w:val="16"/>
                <w:szCs w:val="16"/>
                <w:color w:val="auto"/>
                <w:w w:val="94"/>
              </w:rPr>
              <w:t>means the gross amount billed or invoiced for a Product by (a) by Buyer; (b) by any Buyer’s assignee (including such</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8020" w:type="dxa"/>
            <w:vAlign w:val="bottom"/>
          </w:tcPr>
          <w:p>
            <w:pPr>
              <w:ind w:left="180"/>
              <w:spacing w:after="0" w:line="158" w:lineRule="exact"/>
              <w:rPr>
                <w:sz w:val="20"/>
                <w:szCs w:val="20"/>
                <w:color w:val="auto"/>
              </w:rPr>
            </w:pPr>
            <w:r>
              <w:rPr>
                <w:rFonts w:ascii="Arial" w:cs="Arial" w:eastAsia="Arial" w:hAnsi="Arial"/>
                <w:sz w:val="16"/>
                <w:szCs w:val="16"/>
                <w:color w:val="auto"/>
                <w:w w:val="92"/>
              </w:rPr>
              <w:t>assignee’s affiliates or licensees), (c) by Buyer’s Affiliates, or (d) by Licensees (each of the Persons referred to in (b), (c)</w:t>
            </w: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8020" w:type="dxa"/>
            <w:vAlign w:val="bottom"/>
          </w:tcPr>
          <w:p>
            <w:pPr>
              <w:ind w:left="180"/>
              <w:spacing w:after="0" w:line="166" w:lineRule="exact"/>
              <w:rPr>
                <w:sz w:val="20"/>
                <w:szCs w:val="20"/>
                <w:color w:val="auto"/>
              </w:rPr>
            </w:pPr>
            <w:r>
              <w:rPr>
                <w:rFonts w:ascii="Arial" w:cs="Arial" w:eastAsia="Arial" w:hAnsi="Arial"/>
                <w:sz w:val="16"/>
                <w:szCs w:val="16"/>
                <w:color w:val="auto"/>
                <w:w w:val="95"/>
              </w:rPr>
              <w:t>and (d), a “</w:t>
            </w:r>
            <w:r>
              <w:rPr>
                <w:rFonts w:ascii="Arial" w:cs="Arial" w:eastAsia="Arial" w:hAnsi="Arial"/>
                <w:sz w:val="16"/>
                <w:szCs w:val="16"/>
                <w:b w:val="1"/>
                <w:bCs w:val="1"/>
                <w:color w:val="auto"/>
                <w:w w:val="95"/>
              </w:rPr>
              <w:t>Related Party</w:t>
            </w:r>
            <w:r>
              <w:rPr>
                <w:rFonts w:ascii="Arial" w:cs="Arial" w:eastAsia="Arial" w:hAnsi="Arial"/>
                <w:sz w:val="16"/>
                <w:szCs w:val="16"/>
                <w:color w:val="auto"/>
                <w:w w:val="95"/>
              </w:rPr>
              <w:t>”), in each case, for the sale of a Product to Third Parties (excluding a sale of a Product to</w:t>
            </w:r>
          </w:p>
        </w:tc>
        <w:tc>
          <w:tcPr>
            <w:tcW w:w="0" w:type="dxa"/>
            <w:vAlign w:val="bottom"/>
          </w:tcPr>
          <w:p>
            <w:pPr>
              <w:spacing w:after="0"/>
              <w:rPr>
                <w:sz w:val="1"/>
                <w:szCs w:val="1"/>
                <w:color w:val="auto"/>
              </w:rPr>
            </w:pPr>
          </w:p>
        </w:tc>
      </w:tr>
      <w:tr>
        <w:trPr>
          <w:trHeight w:val="162"/>
        </w:trPr>
        <w:tc>
          <w:tcPr>
            <w:tcW w:w="1140" w:type="dxa"/>
            <w:vAlign w:val="bottom"/>
            <w:vMerge w:val="restart"/>
          </w:tcPr>
          <w:p>
            <w:pPr>
              <w:spacing w:after="0"/>
              <w:rPr>
                <w:sz w:val="20"/>
                <w:szCs w:val="20"/>
                <w:color w:val="auto"/>
              </w:rPr>
            </w:pPr>
            <w:r>
              <w:rPr>
                <w:rFonts w:ascii="Arial" w:cs="Arial" w:eastAsia="Arial" w:hAnsi="Arial"/>
                <w:sz w:val="16"/>
                <w:szCs w:val="16"/>
                <w:b w:val="1"/>
                <w:bCs w:val="1"/>
                <w:color w:val="auto"/>
              </w:rPr>
              <w:t>“Net Sales”</w:t>
            </w:r>
            <w:r>
              <w:rPr>
                <w:rFonts w:ascii="Arial" w:cs="Arial" w:eastAsia="Arial" w:hAnsi="Arial"/>
                <w:sz w:val="16"/>
                <w:szCs w:val="16"/>
                <w:color w:val="auto"/>
              </w:rPr>
              <w:t>:</w:t>
            </w:r>
          </w:p>
        </w:tc>
        <w:tc>
          <w:tcPr>
            <w:tcW w:w="8020" w:type="dxa"/>
            <w:vAlign w:val="bottom"/>
          </w:tcPr>
          <w:p>
            <w:pPr>
              <w:ind w:left="180"/>
              <w:spacing w:after="0" w:line="162" w:lineRule="exact"/>
              <w:rPr>
                <w:sz w:val="20"/>
                <w:szCs w:val="20"/>
                <w:color w:val="auto"/>
              </w:rPr>
            </w:pPr>
            <w:r>
              <w:rPr>
                <w:rFonts w:ascii="Arial" w:cs="Arial" w:eastAsia="Arial" w:hAnsi="Arial"/>
                <w:sz w:val="16"/>
                <w:szCs w:val="16"/>
                <w:color w:val="auto"/>
                <w:w w:val="96"/>
              </w:rPr>
              <w:t>Affiliates or licensees for resale), subject to the following deductions, as allocable to such Product (if not previously</w:t>
            </w:r>
          </w:p>
        </w:tc>
        <w:tc>
          <w:tcPr>
            <w:tcW w:w="0" w:type="dxa"/>
            <w:vAlign w:val="bottom"/>
          </w:tcPr>
          <w:p>
            <w:pPr>
              <w:spacing w:after="0"/>
              <w:rPr>
                <w:sz w:val="1"/>
                <w:szCs w:val="1"/>
                <w:color w:val="auto"/>
              </w:rPr>
            </w:pPr>
          </w:p>
        </w:tc>
      </w:tr>
      <w:tr>
        <w:trPr>
          <w:trHeight w:val="206"/>
        </w:trPr>
        <w:tc>
          <w:tcPr>
            <w:tcW w:w="1140" w:type="dxa"/>
            <w:vAlign w:val="bottom"/>
            <w:vMerge w:val="continue"/>
          </w:tcPr>
          <w:p>
            <w:pPr>
              <w:spacing w:after="0"/>
              <w:rPr>
                <w:sz w:val="17"/>
                <w:szCs w:val="17"/>
                <w:color w:val="auto"/>
              </w:rPr>
            </w:pPr>
          </w:p>
        </w:tc>
        <w:tc>
          <w:tcPr>
            <w:tcW w:w="8020" w:type="dxa"/>
            <w:vAlign w:val="bottom"/>
          </w:tcPr>
          <w:p>
            <w:pPr>
              <w:ind w:left="180"/>
              <w:spacing w:after="0"/>
              <w:rPr>
                <w:sz w:val="20"/>
                <w:szCs w:val="20"/>
                <w:color w:val="auto"/>
              </w:rPr>
            </w:pPr>
            <w:r>
              <w:rPr>
                <w:rFonts w:ascii="Arial" w:cs="Arial" w:eastAsia="Arial" w:hAnsi="Arial"/>
                <w:sz w:val="16"/>
                <w:szCs w:val="16"/>
                <w:color w:val="auto"/>
              </w:rPr>
              <w:t>deducted in calculating the amount invoiced and to the extent included in the gross invoice price):</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600" w:right="200" w:hanging="411"/>
        <w:spacing w:after="0" w:line="313" w:lineRule="auto"/>
        <w:tabs>
          <w:tab w:leader="none" w:pos="1591" w:val="left"/>
        </w:tabs>
        <w:numPr>
          <w:ilvl w:val="0"/>
          <w:numId w:val="210"/>
        </w:numPr>
        <w:rPr>
          <w:rFonts w:ascii="Arial" w:cs="Arial" w:eastAsia="Arial" w:hAnsi="Arial"/>
          <w:sz w:val="14"/>
          <w:szCs w:val="14"/>
          <w:color w:val="auto"/>
        </w:rPr>
      </w:pPr>
      <w:r>
        <w:rPr>
          <w:rFonts w:ascii="Arial" w:cs="Arial" w:eastAsia="Arial" w:hAnsi="Arial"/>
          <w:sz w:val="14"/>
          <w:szCs w:val="14"/>
          <w:color w:val="auto"/>
        </w:rPr>
        <w:t>reasonable trade, quantity, prompt settlement and other cash discounts and rebates (including wholesale inventory management fees and fees or allowances to other distributors, buying groups, health care insurance carriers or other pharmacy benefit managers (or equivalents thereof), federal, state/provincial, local or other Governmental Authority or other institution, or their agencies or purchasers, reimbursers, or trade customers), chargebacks, and price reductions or allowances actually allowed or granted from the billed amount, and discounts to customers, including cash coupons, vouchers and loyalty cards (and their redemption) and co-pay assistance;</w:t>
      </w:r>
    </w:p>
    <w:p>
      <w:pPr>
        <w:spacing w:after="0" w:line="205" w:lineRule="exact"/>
        <w:rPr>
          <w:rFonts w:ascii="Arial" w:cs="Arial" w:eastAsia="Arial" w:hAnsi="Arial"/>
          <w:sz w:val="14"/>
          <w:szCs w:val="14"/>
          <w:color w:val="auto"/>
        </w:rPr>
      </w:pPr>
    </w:p>
    <w:p>
      <w:pPr>
        <w:ind w:left="1580" w:hanging="391"/>
        <w:spacing w:after="0"/>
        <w:tabs>
          <w:tab w:leader="none" w:pos="1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credits or allowances actually granted upon claims, rejections or returns of such sales of Products, including recalls;</w:t>
      </w:r>
    </w:p>
    <w:p>
      <w:pPr>
        <w:spacing w:after="0" w:line="261" w:lineRule="exact"/>
        <w:rPr>
          <w:rFonts w:ascii="Arial" w:cs="Arial" w:eastAsia="Arial" w:hAnsi="Arial"/>
          <w:sz w:val="16"/>
          <w:szCs w:val="16"/>
          <w:color w:val="auto"/>
        </w:rPr>
      </w:pPr>
    </w:p>
    <w:p>
      <w:pPr>
        <w:ind w:left="1600" w:right="20" w:hanging="411"/>
        <w:spacing w:after="0" w:line="287" w:lineRule="auto"/>
        <w:tabs>
          <w:tab w:leader="none" w:pos="16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taxes imposed on the production, sale, delivery, import, export, distribution or use of the Product (including sales, use, excise or value added taxes, but excluding income taxes), duties or other governmental charges levied on or measured by the billing amount when included in billing, as adjusted for tax refunds and tax rebates;</w:t>
      </w:r>
    </w:p>
    <w:p>
      <w:pPr>
        <w:spacing w:after="0" w:line="217" w:lineRule="exact"/>
        <w:rPr>
          <w:rFonts w:ascii="Arial" w:cs="Arial" w:eastAsia="Arial" w:hAnsi="Arial"/>
          <w:sz w:val="16"/>
          <w:szCs w:val="16"/>
          <w:color w:val="auto"/>
        </w:rPr>
      </w:pPr>
    </w:p>
    <w:p>
      <w:pPr>
        <w:ind w:left="1600" w:hanging="411"/>
        <w:spacing w:after="0" w:line="278" w:lineRule="auto"/>
        <w:tabs>
          <w:tab w:leader="none" w:pos="159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any discounts, rebates or similar payments in respect of sales paid for by any Governmental Authority, including Federal or state Medicaid, Medicare or similar state program, or any other similar program, or any other government imposed rebates or discounts from invoiced prices (to the extent not covered under clause (i) above); and</w:t>
      </w:r>
    </w:p>
    <w:p>
      <w:pPr>
        <w:spacing w:after="0" w:line="197" w:lineRule="exact"/>
        <w:rPr>
          <w:rFonts w:ascii="Arial" w:cs="Arial" w:eastAsia="Arial" w:hAnsi="Arial"/>
          <w:sz w:val="16"/>
          <w:szCs w:val="16"/>
          <w:color w:val="auto"/>
        </w:rPr>
      </w:pPr>
    </w:p>
    <w:p>
      <w:pPr>
        <w:ind w:left="1600" w:hanging="411"/>
        <w:spacing w:after="0"/>
        <w:tabs>
          <w:tab w:leader="none" w:pos="16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transport, freight, postage and insurance costs relating to the transportation or delivery of Products.</w:t>
      </w:r>
    </w:p>
    <w:p>
      <w:pPr>
        <w:spacing w:after="0" w:line="234" w:lineRule="exact"/>
        <w:rPr>
          <w:rFonts w:ascii="Arial" w:cs="Arial" w:eastAsia="Arial" w:hAnsi="Arial"/>
          <w:sz w:val="16"/>
          <w:szCs w:val="16"/>
          <w:color w:val="auto"/>
        </w:rPr>
      </w:pPr>
    </w:p>
    <w:p>
      <w:pPr>
        <w:ind w:left="1600" w:right="340"/>
        <w:spacing w:after="0" w:line="287" w:lineRule="auto"/>
        <w:rPr>
          <w:rFonts w:ascii="Arial" w:cs="Arial" w:eastAsia="Arial" w:hAnsi="Arial"/>
          <w:sz w:val="16"/>
          <w:szCs w:val="16"/>
          <w:color w:val="auto"/>
        </w:rPr>
      </w:pPr>
      <w:r>
        <w:rPr>
          <w:rFonts w:ascii="Arial" w:cs="Arial" w:eastAsia="Arial" w:hAnsi="Arial"/>
          <w:sz w:val="16"/>
          <w:szCs w:val="16"/>
          <w:color w:val="auto"/>
        </w:rPr>
        <w:t>Such amounts shall be determined from the books and records of Buyer or its Related Party, maintained in accordance with Accounting Standards with regard to Buyer, and, with respect to a related Party, in accordance with the accounting standards applicable to such a Related Party.</w:t>
      </w:r>
    </w:p>
    <w:p>
      <w:pPr>
        <w:spacing w:after="0" w:line="217" w:lineRule="exact"/>
        <w:rPr>
          <w:rFonts w:ascii="Arial" w:cs="Arial" w:eastAsia="Arial" w:hAnsi="Arial"/>
          <w:sz w:val="16"/>
          <w:szCs w:val="16"/>
          <w:color w:val="auto"/>
        </w:rPr>
      </w:pPr>
    </w:p>
    <w:p>
      <w:pPr>
        <w:ind w:left="1600" w:right="20"/>
        <w:spacing w:after="0" w:line="274" w:lineRule="auto"/>
        <w:rPr>
          <w:rFonts w:ascii="Arial" w:cs="Arial" w:eastAsia="Arial" w:hAnsi="Arial"/>
          <w:sz w:val="16"/>
          <w:szCs w:val="16"/>
          <w:color w:val="auto"/>
        </w:rPr>
      </w:pPr>
      <w:r>
        <w:rPr>
          <w:rFonts w:ascii="Arial" w:cs="Arial" w:eastAsia="Arial" w:hAnsi="Arial"/>
          <w:sz w:val="16"/>
          <w:szCs w:val="16"/>
          <w:color w:val="auto"/>
        </w:rPr>
        <w:t xml:space="preserve">Net Sales shall exclude transfers or dispositions of Product, without consideration: (1) in connection with patient assistance programs; (2) for charitable or promotional purposes; (3) for preclinical, clinical, regulatory or governmental purposes or under so-called “named patient”, “compassionate use” or other limited access programs; or </w:t>
      </w:r>
      <w:r>
        <w:rPr>
          <w:rFonts w:ascii="Arial" w:cs="Arial" w:eastAsia="Arial" w:hAnsi="Arial"/>
          <w:sz w:val="17"/>
          <w:szCs w:val="17"/>
          <w:color w:val="auto"/>
        </w:rPr>
        <w:t>(4)</w:t>
      </w:r>
      <w:r>
        <w:rPr>
          <w:rFonts w:ascii="Arial" w:cs="Arial" w:eastAsia="Arial" w:hAnsi="Arial"/>
          <w:sz w:val="16"/>
          <w:szCs w:val="16"/>
          <w:color w:val="auto"/>
        </w:rPr>
        <w:t xml:space="preserve"> for use in any tests or studies reasonably necessary to comply with applicable Law, regulation or request by a Governmental Authority.</w:t>
      </w:r>
    </w:p>
    <w:p>
      <w:pPr>
        <w:spacing w:after="0" w:line="213" w:lineRule="exact"/>
        <w:rPr>
          <w:rFonts w:ascii="Arial" w:cs="Arial" w:eastAsia="Arial" w:hAnsi="Arial"/>
          <w:sz w:val="16"/>
          <w:szCs w:val="16"/>
          <w:color w:val="auto"/>
        </w:rPr>
      </w:pPr>
    </w:p>
    <w:p>
      <w:pPr>
        <w:ind w:left="1600"/>
        <w:spacing w:after="0" w:line="263" w:lineRule="auto"/>
        <w:rPr>
          <w:rFonts w:ascii="Arial" w:cs="Arial" w:eastAsia="Arial" w:hAnsi="Arial"/>
          <w:sz w:val="16"/>
          <w:szCs w:val="16"/>
          <w:color w:val="auto"/>
        </w:rPr>
      </w:pPr>
      <w:r>
        <w:rPr>
          <w:rFonts w:ascii="Arial" w:cs="Arial" w:eastAsia="Arial" w:hAnsi="Arial"/>
          <w:sz w:val="16"/>
          <w:szCs w:val="16"/>
          <w:color w:val="auto"/>
        </w:rPr>
        <w:t>In the event that a Product is sold as a Combination Product, the Net Sales of the Product shall be determined by multiplying the Net Sales of the Combination Product by the fraction A/(A+B), where A is the weighted (by sales volume) average unit sale price of the Product in the applicable country, where net sales is calculated in the same manner as Net Sales, when sold separately in finished form and B is the weighted average unit sale price in that country (net sales being calculated in the same manner as Net Sales) of the other API which is included in the Combination Product when such API is sold separately in finished form at the same dosage levels, in each case during the applicable royalty reporting period, or, if sales of both the Product and the other API did not occur in the same country in such period, then in the most recent royalty reporting period in which sales of both occurred, provided that such “recent royalty reporting period” shall not have been more than twenty-four (24) months earlier.</w:t>
      </w:r>
    </w:p>
    <w:p>
      <w:pPr>
        <w:spacing w:after="0" w:line="223" w:lineRule="exact"/>
        <w:rPr>
          <w:rFonts w:ascii="Arial" w:cs="Arial" w:eastAsia="Arial" w:hAnsi="Arial"/>
          <w:sz w:val="16"/>
          <w:szCs w:val="16"/>
          <w:color w:val="auto"/>
        </w:rPr>
      </w:pPr>
    </w:p>
    <w:p>
      <w:pPr>
        <w:ind w:left="1600" w:right="60"/>
        <w:spacing w:after="0" w:line="293" w:lineRule="auto"/>
        <w:rPr>
          <w:rFonts w:ascii="Arial" w:cs="Arial" w:eastAsia="Arial" w:hAnsi="Arial"/>
          <w:sz w:val="16"/>
          <w:szCs w:val="16"/>
          <w:color w:val="auto"/>
        </w:rPr>
      </w:pPr>
      <w:r>
        <w:rPr>
          <w:rFonts w:ascii="Arial" w:cs="Arial" w:eastAsia="Arial" w:hAnsi="Arial"/>
          <w:sz w:val="16"/>
          <w:szCs w:val="16"/>
          <w:color w:val="auto"/>
        </w:rPr>
        <w:t>In the event that such weighted average sale price of the Product cannot be determined, but the weighted average sale price of the other API can be determined, Net Sales shall be calculated by multiplying the Net Sales of the Combination Product by</w:t>
      </w:r>
    </w:p>
    <w:p>
      <w:pPr>
        <w:sectPr>
          <w:pgSz w:w="11900" w:h="16838" w:orient="portrait"/>
          <w:cols w:equalWidth="0" w:num="1">
            <w:col w:w="10720"/>
          </w:cols>
          <w:pgMar w:left="840" w:top="838" w:right="339" w:bottom="1440" w:gutter="0" w:footer="0" w:header="0"/>
        </w:sectPr>
      </w:pPr>
    </w:p>
    <w:bookmarkStart w:id="259" w:name="page260"/>
    <w:bookmarkEnd w:id="259"/>
    <w:p>
      <w:pPr>
        <w:ind w:left="826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left="1940" w:right="300"/>
        <w:spacing w:after="0" w:line="275" w:lineRule="auto"/>
        <w:rPr>
          <w:sz w:val="20"/>
          <w:szCs w:val="20"/>
          <w:color w:val="auto"/>
        </w:rPr>
      </w:pPr>
      <w:r>
        <w:rPr>
          <w:rFonts w:ascii="Arial" w:cs="Arial" w:eastAsia="Arial" w:hAnsi="Arial"/>
          <w:sz w:val="16"/>
          <w:szCs w:val="16"/>
          <w:color w:val="auto"/>
        </w:rPr>
        <w:t>the following formula: one (1) minus B / C where B is the weighted average sale price of the other API when sold separately in finished form and C is the weighted average selling price of the Combination Product.</w:t>
      </w:r>
    </w:p>
    <w:p>
      <w:pPr>
        <w:spacing w:after="0" w:line="212" w:lineRule="exact"/>
        <w:rPr>
          <w:sz w:val="20"/>
          <w:szCs w:val="20"/>
          <w:color w:val="auto"/>
        </w:rPr>
      </w:pPr>
    </w:p>
    <w:p>
      <w:pPr>
        <w:ind w:left="1940" w:right="40"/>
        <w:spacing w:after="0" w:line="324" w:lineRule="auto"/>
        <w:rPr>
          <w:sz w:val="20"/>
          <w:szCs w:val="20"/>
          <w:color w:val="auto"/>
        </w:rPr>
      </w:pPr>
      <w:r>
        <w:rPr>
          <w:rFonts w:ascii="Arial" w:cs="Arial" w:eastAsia="Arial" w:hAnsi="Arial"/>
          <w:sz w:val="14"/>
          <w:szCs w:val="14"/>
          <w:color w:val="auto"/>
        </w:rPr>
        <w:t>In the event that the weighted average sale price of both the Product and the other API in the Combination Product cannot be determined, the Net Sales of the Product shall be calculated by multiplying the Net Sales of the Combination Product (determined as provided above for Products) by the fraction A / C where A is the predicted fair market value of the Product if such Product were sold as a stand-alone Product as determined in good faith by the Parties and C is the weighted average selling price of the Combination Product.</w:t>
      </w:r>
    </w:p>
    <w:p>
      <w:pPr>
        <w:spacing w:after="0" w:line="184" w:lineRule="exact"/>
        <w:rPr>
          <w:sz w:val="20"/>
          <w:szCs w:val="20"/>
          <w:color w:val="auto"/>
        </w:rPr>
      </w:pPr>
    </w:p>
    <w:p>
      <w:pPr>
        <w:ind w:left="1940" w:right="20"/>
        <w:spacing w:after="0" w:line="263" w:lineRule="auto"/>
        <w:rPr>
          <w:sz w:val="20"/>
          <w:szCs w:val="20"/>
          <w:color w:val="auto"/>
        </w:rPr>
      </w:pPr>
      <w:r>
        <w:rPr>
          <w:rFonts w:ascii="Arial" w:cs="Arial" w:eastAsia="Arial" w:hAnsi="Arial"/>
          <w:sz w:val="16"/>
          <w:szCs w:val="16"/>
          <w:color w:val="auto"/>
        </w:rPr>
        <w:t>The weighted average sale price for a Product, any other API(s) used in a Combination Product, or any Combination Product shall be calculated once each calendar year, at the beginning of such calendar year, and such price shall be used during all applicable royalty reporting periods for such entire calendar year. When determining the weighted average sale price of a Product, other API(s), or Combination Product, the weighted average sale price shall be calculated by dividing the sales dollar (translated into U.S. dollars) by the units of active ingredient sold during the preceding calendar year (or the number of months sold in a partial calendar year) for the respective Product, other API(s), or Combination Product. In the initial calendar year, a forecasted weighted average sale price will be used for the Product, other API(s) or Combination Product.</w:t>
      </w:r>
    </w:p>
    <w:p>
      <w:pPr>
        <w:spacing w:after="0" w:line="218"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b w:val="1"/>
          <w:bCs w:val="1"/>
          <w:color w:val="auto"/>
        </w:rPr>
        <w:t>“Outbound Licenses”</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has the meaning set forth in Section 5.7(iv).</w:t>
      </w:r>
    </w:p>
    <w:p>
      <w:pPr>
        <w:spacing w:after="0" w:line="23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“Party”</w:t>
      </w: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means either Buyer or Seller, as the context requires, and, when used in plural, shall mean Buyer and Seller.</w:t>
      </w:r>
    </w:p>
    <w:p>
      <w:pPr>
        <w:spacing w:after="0" w:line="262" w:lineRule="exact"/>
        <w:rPr>
          <w:sz w:val="20"/>
          <w:szCs w:val="20"/>
          <w:color w:val="auto"/>
        </w:rPr>
      </w:pPr>
    </w:p>
    <w:p>
      <w:pPr>
        <w:ind w:left="880" w:right="80" w:hanging="1871"/>
        <w:spacing w:after="0" w:line="267" w:lineRule="auto"/>
        <w:tabs>
          <w:tab w:leader="none" w:pos="860" w:val="left"/>
        </w:tabs>
        <w:rPr>
          <w:sz w:val="20"/>
          <w:szCs w:val="20"/>
          <w:color w:val="auto"/>
        </w:rPr>
      </w:pPr>
      <w:r>
        <w:rPr>
          <w:rFonts w:ascii="Arial" w:cs="Arial" w:eastAsia="Arial" w:hAnsi="Arial"/>
          <w:sz w:val="16"/>
          <w:szCs w:val="16"/>
          <w:b w:val="1"/>
          <w:bCs w:val="1"/>
          <w:color w:val="auto"/>
        </w:rPr>
        <w:t>“Patents”</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means (i) all issued patents (extensions, restorations by existing or future extension or registration mechanism, including patent term adjustments, patent term extension, supplemental protection certificates or the equivalent thereof, substitutions, confirmations, re-registrations, re-examinations, reissues and patents of addition), (ii) patent applications (including all provisional and non-provisional applications, substitutions, requests for continuation, continuations, continuations-in-part, divisionals and renewals), (iii) inventor’s certificates, (iv) design registrations, design registration applications, industrial designs, industrial design applications and industrial design registrations,</w:t>
      </w:r>
    </w:p>
    <w:p>
      <w:pPr>
        <w:spacing w:after="0" w:line="223" w:lineRule="exact"/>
        <w:rPr>
          <w:sz w:val="20"/>
          <w:szCs w:val="20"/>
          <w:color w:val="auto"/>
        </w:rPr>
      </w:pPr>
    </w:p>
    <w:p>
      <w:pPr>
        <w:ind w:left="1860" w:firstLine="6"/>
        <w:spacing w:after="0" w:line="295" w:lineRule="auto"/>
        <w:tabs>
          <w:tab w:leader="none" w:pos="2418" w:val="left"/>
        </w:tabs>
        <w:numPr>
          <w:ilvl w:val="0"/>
          <w:numId w:val="211"/>
        </w:numPr>
        <w:rPr>
          <w:rFonts w:ascii="Arial" w:cs="Arial" w:eastAsia="Arial" w:hAnsi="Arial"/>
          <w:sz w:val="15"/>
          <w:szCs w:val="15"/>
          <w:color w:val="auto"/>
        </w:rPr>
      </w:pPr>
      <w:r>
        <w:rPr>
          <w:rFonts w:ascii="Arial" w:cs="Arial" w:eastAsia="Arial" w:hAnsi="Arial"/>
          <w:sz w:val="15"/>
          <w:szCs w:val="15"/>
          <w:color w:val="auto"/>
        </w:rPr>
        <w:t>any and all divisions, continuations, continuations in part, extensions, substitutions, renewals, registrations, revalidations, reversions, reexaminations, reissues or additions, of or to any of the foregoing items, (vi) all equivalents of the foregoing in any country of the world, and (vii) all rights and priorities afforded under any Applicable Law with respect to each of the foregoing items.</w:t>
      </w:r>
    </w:p>
    <w:p>
      <w:pPr>
        <w:sectPr>
          <w:pgSz w:w="11900" w:h="16838" w:orient="portrait"/>
          <w:cols w:equalWidth="0" w:num="1">
            <w:col w:w="11040"/>
          </w:cols>
          <w:pgMar w:left="500" w:top="838" w:right="35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Assignment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“Permitted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Encumbrance”</w:t>
      </w:r>
      <w:r>
        <w:rPr>
          <w:rFonts w:ascii="Arial" w:cs="Arial" w:eastAsia="Arial" w:hAnsi="Arial"/>
          <w:sz w:val="14"/>
          <w:szCs w:val="14"/>
          <w:color w:val="auto"/>
        </w:rPr>
        <w: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“Person”</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“Phase III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Trial”</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means the “</w:t>
      </w:r>
      <w:r>
        <w:rPr>
          <w:rFonts w:ascii="Arial" w:cs="Arial" w:eastAsia="Arial" w:hAnsi="Arial"/>
          <w:sz w:val="15"/>
          <w:szCs w:val="15"/>
          <w:i w:val="1"/>
          <w:iCs w:val="1"/>
          <w:color w:val="auto"/>
        </w:rPr>
        <w:t>Patent Assignment Agreement</w:t>
      </w:r>
      <w:r>
        <w:rPr>
          <w:rFonts w:ascii="Arial" w:cs="Arial" w:eastAsia="Arial" w:hAnsi="Arial"/>
          <w:sz w:val="15"/>
          <w:szCs w:val="15"/>
          <w:color w:val="auto"/>
        </w:rPr>
        <w:t>” between Seller and Buyer to be executed on or prior to the Closing, in the form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attached as Exhibit 7.</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means all (i) mechanics’, carriers’, workmen’s, repairmen’s or warehousemen’s Encumbrances arising under Applicable Law</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and incurred in the ordinary course of Seller’s business and Encumbrances for taxes and other governmental charges which are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not yet due and payable; and (ii) other imperfections of title or encumbrances, if any, which have no more than de minimis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impact on the continued use and operation or value of the assets to which they relate.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means any natural person, corporation, general partnership, limited partnership, limited liability company, proprietorship, other</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business organization, trust, union, association or Governmental Authority.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means with regard to the United States of America a clinical trial consistent with the United States Code of Federal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Regulations, Title 21, Section 312.21 (c) “</w:t>
      </w:r>
      <w:r>
        <w:rPr>
          <w:rFonts w:ascii="Arial" w:cs="Arial" w:eastAsia="Arial" w:hAnsi="Arial"/>
          <w:sz w:val="15"/>
          <w:szCs w:val="15"/>
          <w:i w:val="1"/>
          <w:iCs w:val="1"/>
          <w:color w:val="auto"/>
        </w:rPr>
        <w:t>Phase 3</w:t>
      </w:r>
      <w:r>
        <w:rPr>
          <w:rFonts w:ascii="Arial" w:cs="Arial" w:eastAsia="Arial" w:hAnsi="Arial"/>
          <w:sz w:val="15"/>
          <w:szCs w:val="15"/>
          <w:color w:val="auto"/>
        </w:rPr>
        <w:t>”, and means with regard to other countries a pivotal multi-center human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clinical trial in a large number of patients to establish safety and efficacy in the particular claim and indication tested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required to obtain a Regulatory Approval.</w:t>
      </w:r>
    </w:p>
    <w:p>
      <w:pPr>
        <w:spacing w:after="0" w:line="28" w:lineRule="exact"/>
        <w:rPr>
          <w:sz w:val="20"/>
          <w:szCs w:val="20"/>
          <w:color w:val="auto"/>
        </w:rPr>
      </w:pPr>
    </w:p>
    <w:p>
      <w:pPr>
        <w:sectPr>
          <w:pgSz w:w="11900" w:h="16838" w:orient="portrait"/>
          <w:cols w:equalWidth="0" w:num="2">
            <w:col w:w="1280" w:space="720"/>
            <w:col w:w="9040"/>
          </w:cols>
          <w:pgMar w:left="500" w:top="838" w:right="3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Confidentiality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means that certain Mutual Confidentiality Agreement entered into by and between Buyer and Seller, effective as of August 8,</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2017.</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means a product which contains Teplizumab, whether or not as the sole API (i.e., including any Combination Product), in any</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dosage form, formulation (including lyophilizate or solution) and mode of administration and for all indications. For the sake of</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clarity, the term “Product” shall not be deemed to include any Device or Diagnostic Tool for purposes of determining if a First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Commercial Sale has been made or for calculating Net Sales.</w:t>
      </w:r>
    </w:p>
    <w:p>
      <w:pPr>
        <w:sectPr>
          <w:pgSz w:w="11900" w:h="16838" w:orient="portrait"/>
          <w:cols w:equalWidth="0" w:num="2">
            <w:col w:w="1280" w:space="720"/>
            <w:col w:w="9040"/>
          </w:cols>
          <w:pgMar w:left="500" w:top="838" w:right="359" w:bottom="1440" w:gutter="0" w:footer="0" w:header="0"/>
          <w:type w:val="continuous"/>
        </w:sectPr>
      </w:pPr>
    </w:p>
    <w:bookmarkStart w:id="260" w:name="page261"/>
    <w:bookmarkEnd w:id="260"/>
    <w:tbl>
      <w:tblPr>
        <w:tblLayout w:type="fixed"/>
        <w:tblInd w:w="20" w:type="dxa"/>
        <w:tblCellMar>
          <w:top w:w="0" w:type="dxa"/>
          <w:left w:w="0" w:type="dxa"/>
          <w:bottom w:w="0" w:type="dxa"/>
          <w:right w:w="0" w:type="dxa"/>
        </w:tblCellMar>
      </w:tblPr>
      <w:tr>
        <w:trPr>
          <w:trHeight w:val="250"/>
        </w:trPr>
        <w:tc>
          <w:tcPr>
            <w:tcW w:w="1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40" w:type="dxa"/>
            <w:vAlign w:val="bottom"/>
          </w:tcPr>
          <w:p>
            <w:pPr>
              <w:ind w:left="5920"/>
              <w:spacing w:after="0"/>
              <w:rPr>
                <w:sz w:val="20"/>
                <w:szCs w:val="20"/>
                <w:color w:val="auto"/>
              </w:rPr>
            </w:pPr>
            <w:r>
              <w:rPr>
                <w:rFonts w:ascii="Arial" w:cs="Arial" w:eastAsia="Arial" w:hAnsi="Arial"/>
                <w:sz w:val="20"/>
                <w:szCs w:val="20"/>
                <w:color w:val="auto"/>
              </w:rPr>
              <w:t>Exhibit 10.23</w:t>
            </w:r>
          </w:p>
        </w:tc>
      </w:tr>
      <w:tr>
        <w:trPr>
          <w:trHeight w:val="463"/>
        </w:trPr>
        <w:tc>
          <w:tcPr>
            <w:tcW w:w="1900" w:type="dxa"/>
            <w:vAlign w:val="bottom"/>
          </w:tcPr>
          <w:p>
            <w:pPr>
              <w:spacing w:after="0"/>
              <w:rPr>
                <w:sz w:val="20"/>
                <w:szCs w:val="20"/>
                <w:color w:val="auto"/>
              </w:rPr>
            </w:pPr>
            <w:r>
              <w:rPr>
                <w:rFonts w:ascii="Arial" w:cs="Arial" w:eastAsia="Arial" w:hAnsi="Arial"/>
                <w:sz w:val="16"/>
                <w:szCs w:val="16"/>
                <w:b w:val="1"/>
                <w:bCs w:val="1"/>
                <w:color w:val="auto"/>
              </w:rPr>
              <w:t>“Product Intellectual</w:t>
            </w:r>
          </w:p>
        </w:tc>
        <w:tc>
          <w:tcPr>
            <w:tcW w:w="60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6"/>
                <w:szCs w:val="16"/>
                <w:b w:val="1"/>
                <w:bCs w:val="1"/>
                <w:color w:val="auto"/>
              </w:rPr>
              <w:t>Property”</w:t>
            </w:r>
            <w:r>
              <w:rPr>
                <w:rFonts w:ascii="Arial" w:cs="Arial" w:eastAsia="Arial" w:hAnsi="Arial"/>
                <w:sz w:val="16"/>
                <w:szCs w:val="16"/>
                <w:color w:val="auto"/>
              </w:rPr>
              <w:t>:</w:t>
            </w: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w w:val="96"/>
              </w:rPr>
              <w:t>means, any and all of (i) the Product Patents; and (ii) Product Know-How; and (iii) any copyrights, trademarks,</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w w:val="92"/>
              </w:rPr>
              <w:t>domain names or any other intellectual property rights that are (a) [****] the Product and (b) Controlled by Seller as</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of the Closing Date.</w:t>
            </w:r>
          </w:p>
        </w:tc>
      </w:tr>
      <w:tr>
        <w:trPr>
          <w:trHeight w:val="216"/>
        </w:trPr>
        <w:tc>
          <w:tcPr>
            <w:tcW w:w="1900" w:type="dxa"/>
            <w:vAlign w:val="bottom"/>
          </w:tcPr>
          <w:p>
            <w:pPr>
              <w:spacing w:after="0"/>
              <w:rPr>
                <w:sz w:val="20"/>
                <w:szCs w:val="20"/>
                <w:color w:val="auto"/>
              </w:rPr>
            </w:pPr>
            <w:r>
              <w:rPr>
                <w:rFonts w:ascii="Arial" w:cs="Arial" w:eastAsia="Arial" w:hAnsi="Arial"/>
                <w:sz w:val="16"/>
                <w:szCs w:val="16"/>
                <w:b w:val="1"/>
                <w:bCs w:val="1"/>
                <w:color w:val="auto"/>
              </w:rPr>
              <w:t>“Product Know-How”</w:t>
            </w:r>
            <w:r>
              <w:rPr>
                <w:rFonts w:ascii="Arial" w:cs="Arial" w:eastAsia="Arial" w:hAnsi="Arial"/>
                <w:sz w:val="16"/>
                <w:szCs w:val="16"/>
                <w:color w:val="auto"/>
              </w:rPr>
              <w:t>:</w:t>
            </w: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w w:val="92"/>
              </w:rPr>
              <w:t>means Know-How which (i) is Controlled by Seller as of the Closing Date; (ii) was used for or created as a result of</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w w:val="99"/>
              </w:rPr>
              <w:t>the Development or Commercialization of the Product prior to the Closing Date; and (iii) [****] relates to the</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w w:val="92"/>
              </w:rPr>
              <w:t>manufacture, use, Development or Commercialization of the Product, whether patentable or not. A listing of certain</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Product Know-How is set forth on Exhibit 8.</w:t>
            </w:r>
          </w:p>
        </w:tc>
      </w:tr>
      <w:tr>
        <w:trPr>
          <w:trHeight w:val="216"/>
        </w:trPr>
        <w:tc>
          <w:tcPr>
            <w:tcW w:w="1900" w:type="dxa"/>
            <w:vAlign w:val="bottom"/>
          </w:tcPr>
          <w:p>
            <w:pPr>
              <w:spacing w:after="0"/>
              <w:rPr>
                <w:sz w:val="20"/>
                <w:szCs w:val="20"/>
                <w:color w:val="auto"/>
              </w:rPr>
            </w:pPr>
            <w:r>
              <w:rPr>
                <w:rFonts w:ascii="Arial" w:cs="Arial" w:eastAsia="Arial" w:hAnsi="Arial"/>
                <w:sz w:val="16"/>
                <w:szCs w:val="16"/>
                <w:b w:val="1"/>
                <w:bCs w:val="1"/>
                <w:color w:val="auto"/>
              </w:rPr>
              <w:t>“Product Patents”</w:t>
            </w:r>
            <w:r>
              <w:rPr>
                <w:rFonts w:ascii="Arial" w:cs="Arial" w:eastAsia="Arial" w:hAnsi="Arial"/>
                <w:sz w:val="16"/>
                <w:szCs w:val="16"/>
                <w:color w:val="auto"/>
              </w:rPr>
              <w:t>:</w:t>
            </w: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means those patents and patent applications set forth in Exhibit 2.</w:t>
            </w:r>
          </w:p>
        </w:tc>
      </w:tr>
      <w:tr>
        <w:trPr>
          <w:trHeight w:val="216"/>
        </w:trPr>
        <w:tc>
          <w:tcPr>
            <w:tcW w:w="1900" w:type="dxa"/>
            <w:vAlign w:val="bottom"/>
          </w:tcPr>
          <w:p>
            <w:pPr>
              <w:spacing w:after="0"/>
              <w:rPr>
                <w:sz w:val="20"/>
                <w:szCs w:val="20"/>
                <w:color w:val="auto"/>
              </w:rPr>
            </w:pPr>
            <w:r>
              <w:rPr>
                <w:rFonts w:ascii="Arial" w:cs="Arial" w:eastAsia="Arial" w:hAnsi="Arial"/>
                <w:sz w:val="16"/>
                <w:szCs w:val="16"/>
                <w:b w:val="1"/>
                <w:bCs w:val="1"/>
                <w:color w:val="auto"/>
              </w:rPr>
              <w:t>“Program Contracts”</w:t>
            </w: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means the Assumed Contracts, the Inbound Licenses, the Outbound Licenses and the Service Contracts.</w:t>
            </w:r>
          </w:p>
        </w:tc>
      </w:tr>
      <w:tr>
        <w:trPr>
          <w:trHeight w:val="216"/>
        </w:trPr>
        <w:tc>
          <w:tcPr>
            <w:tcW w:w="1900" w:type="dxa"/>
            <w:vAlign w:val="bottom"/>
          </w:tcPr>
          <w:p>
            <w:pPr>
              <w:spacing w:after="0"/>
              <w:rPr>
                <w:sz w:val="20"/>
                <w:szCs w:val="20"/>
                <w:color w:val="auto"/>
              </w:rPr>
            </w:pPr>
            <w:r>
              <w:rPr>
                <w:rFonts w:ascii="Arial" w:cs="Arial" w:eastAsia="Arial" w:hAnsi="Arial"/>
                <w:sz w:val="16"/>
                <w:szCs w:val="16"/>
                <w:b w:val="1"/>
                <w:bCs w:val="1"/>
                <w:color w:val="auto"/>
              </w:rPr>
              <w:t>“Program IP”</w:t>
            </w:r>
            <w:r>
              <w:rPr>
                <w:rFonts w:ascii="Arial" w:cs="Arial" w:eastAsia="Arial" w:hAnsi="Arial"/>
                <w:sz w:val="16"/>
                <w:szCs w:val="16"/>
                <w:color w:val="auto"/>
              </w:rPr>
              <w:t>:</w:t>
            </w: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has the meaning set forth in Section 5.7(i)</w:t>
            </w:r>
          </w:p>
        </w:tc>
      </w:tr>
      <w:tr>
        <w:trPr>
          <w:trHeight w:val="216"/>
        </w:trPr>
        <w:tc>
          <w:tcPr>
            <w:tcW w:w="1900" w:type="dxa"/>
            <w:vAlign w:val="bottom"/>
          </w:tcPr>
          <w:p>
            <w:pPr>
              <w:spacing w:after="0"/>
              <w:rPr>
                <w:sz w:val="20"/>
                <w:szCs w:val="20"/>
                <w:color w:val="auto"/>
              </w:rPr>
            </w:pPr>
            <w:r>
              <w:rPr>
                <w:rFonts w:ascii="Arial" w:cs="Arial" w:eastAsia="Arial" w:hAnsi="Arial"/>
                <w:sz w:val="16"/>
                <w:szCs w:val="16"/>
                <w:b w:val="1"/>
                <w:bCs w:val="1"/>
                <w:color w:val="auto"/>
              </w:rPr>
              <w:t>“Purchased Assets”</w:t>
            </w:r>
            <w:r>
              <w:rPr>
                <w:rFonts w:ascii="Arial" w:cs="Arial" w:eastAsia="Arial" w:hAnsi="Arial"/>
                <w:sz w:val="16"/>
                <w:szCs w:val="16"/>
                <w:color w:val="auto"/>
              </w:rPr>
              <w:t>:</w:t>
            </w: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means all right, title and interest of Seller in:</w:t>
            </w:r>
          </w:p>
        </w:tc>
      </w:tr>
      <w:tr>
        <w:trPr>
          <w:trHeight w:val="216"/>
        </w:trPr>
        <w:tc>
          <w:tcPr>
            <w:tcW w:w="190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6"/>
                <w:szCs w:val="16"/>
                <w:color w:val="auto"/>
              </w:rPr>
              <w:t>(i)</w:t>
            </w:r>
          </w:p>
        </w:tc>
        <w:tc>
          <w:tcPr>
            <w:tcW w:w="7240" w:type="dxa"/>
            <w:vAlign w:val="bottom"/>
          </w:tcPr>
          <w:p>
            <w:pPr>
              <w:ind w:left="60"/>
              <w:spacing w:after="0"/>
              <w:rPr>
                <w:sz w:val="20"/>
                <w:szCs w:val="20"/>
                <w:color w:val="auto"/>
              </w:rPr>
            </w:pPr>
            <w:r>
              <w:rPr>
                <w:rFonts w:ascii="Arial" w:cs="Arial" w:eastAsia="Arial" w:hAnsi="Arial"/>
                <w:sz w:val="16"/>
                <w:szCs w:val="16"/>
                <w:color w:val="auto"/>
              </w:rPr>
              <w:t>the Product;</w:t>
            </w:r>
          </w:p>
        </w:tc>
      </w:tr>
      <w:tr>
        <w:trPr>
          <w:trHeight w:val="216"/>
        </w:trPr>
        <w:tc>
          <w:tcPr>
            <w:tcW w:w="190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6"/>
                <w:szCs w:val="16"/>
                <w:color w:val="auto"/>
              </w:rPr>
              <w:t>(ii)</w:t>
            </w:r>
          </w:p>
        </w:tc>
        <w:tc>
          <w:tcPr>
            <w:tcW w:w="7240" w:type="dxa"/>
            <w:vAlign w:val="bottom"/>
          </w:tcPr>
          <w:p>
            <w:pPr>
              <w:ind w:left="60"/>
              <w:spacing w:after="0"/>
              <w:rPr>
                <w:sz w:val="20"/>
                <w:szCs w:val="20"/>
                <w:color w:val="auto"/>
              </w:rPr>
            </w:pPr>
            <w:r>
              <w:rPr>
                <w:rFonts w:ascii="Arial" w:cs="Arial" w:eastAsia="Arial" w:hAnsi="Arial"/>
                <w:sz w:val="16"/>
                <w:szCs w:val="16"/>
                <w:color w:val="auto"/>
              </w:rPr>
              <w:t>the Assumed Contracts;</w:t>
            </w:r>
          </w:p>
        </w:tc>
      </w:tr>
      <w:tr>
        <w:trPr>
          <w:trHeight w:val="216"/>
        </w:trPr>
        <w:tc>
          <w:tcPr>
            <w:tcW w:w="190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6"/>
                <w:szCs w:val="16"/>
                <w:color w:val="auto"/>
              </w:rPr>
              <w:t>(iii)</w:t>
            </w:r>
          </w:p>
        </w:tc>
        <w:tc>
          <w:tcPr>
            <w:tcW w:w="7240" w:type="dxa"/>
            <w:vAlign w:val="bottom"/>
          </w:tcPr>
          <w:p>
            <w:pPr>
              <w:ind w:left="60"/>
              <w:spacing w:after="0"/>
              <w:rPr>
                <w:sz w:val="20"/>
                <w:szCs w:val="20"/>
                <w:color w:val="auto"/>
              </w:rPr>
            </w:pPr>
            <w:r>
              <w:rPr>
                <w:rFonts w:ascii="Arial" w:cs="Arial" w:eastAsia="Arial" w:hAnsi="Arial"/>
                <w:sz w:val="16"/>
                <w:szCs w:val="16"/>
                <w:color w:val="auto"/>
              </w:rPr>
              <w:t>the Product Intellectual Property;</w:t>
            </w:r>
          </w:p>
        </w:tc>
      </w:tr>
      <w:tr>
        <w:trPr>
          <w:trHeight w:val="216"/>
        </w:trPr>
        <w:tc>
          <w:tcPr>
            <w:tcW w:w="190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6"/>
                <w:szCs w:val="16"/>
                <w:color w:val="auto"/>
              </w:rPr>
              <w:t>(iv)</w:t>
            </w:r>
          </w:p>
        </w:tc>
        <w:tc>
          <w:tcPr>
            <w:tcW w:w="7240" w:type="dxa"/>
            <w:vAlign w:val="bottom"/>
          </w:tcPr>
          <w:p>
            <w:pPr>
              <w:ind w:left="60"/>
              <w:spacing w:after="0"/>
              <w:rPr>
                <w:sz w:val="20"/>
                <w:szCs w:val="20"/>
                <w:color w:val="auto"/>
              </w:rPr>
            </w:pPr>
            <w:r>
              <w:rPr>
                <w:rFonts w:ascii="Arial" w:cs="Arial" w:eastAsia="Arial" w:hAnsi="Arial"/>
                <w:sz w:val="16"/>
                <w:szCs w:val="16"/>
                <w:color w:val="auto"/>
              </w:rPr>
              <w:t>the Transferred Materials;</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(v)  the INDs and CTAs;</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(vi)  the Transferable Books and Records;</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(vii) any prepaid amounts under the Assumed Contracts;</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w w:val="91"/>
              </w:rPr>
              <w:t>(viii)all compensation, interests and other rights and benefits due under the Assumed Contracts that accrue after the</w:t>
            </w:r>
          </w:p>
        </w:tc>
      </w:tr>
      <w:tr>
        <w:trPr>
          <w:trHeight w:val="216"/>
        </w:trPr>
        <w:tc>
          <w:tcPr>
            <w:tcW w:w="1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Arial" w:cs="Arial" w:eastAsia="Arial" w:hAnsi="Arial"/>
                <w:sz w:val="16"/>
                <w:szCs w:val="16"/>
                <w:color w:val="auto"/>
              </w:rPr>
              <w:t>Closing Date, including under any Outbound Licenses, but excluding the [****] Payment; and</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(ix) all goodwill related to the foregoing.</w:t>
            </w:r>
          </w:p>
        </w:tc>
      </w:tr>
      <w:tr>
        <w:trPr>
          <w:trHeight w:val="216"/>
        </w:trPr>
        <w:tc>
          <w:tcPr>
            <w:tcW w:w="1900" w:type="dxa"/>
            <w:vAlign w:val="bottom"/>
          </w:tcPr>
          <w:p>
            <w:pPr>
              <w:spacing w:after="0"/>
              <w:rPr>
                <w:sz w:val="20"/>
                <w:szCs w:val="20"/>
                <w:color w:val="auto"/>
              </w:rPr>
            </w:pPr>
            <w:r>
              <w:rPr>
                <w:rFonts w:ascii="Arial" w:cs="Arial" w:eastAsia="Arial" w:hAnsi="Arial"/>
                <w:sz w:val="16"/>
                <w:szCs w:val="16"/>
                <w:b w:val="1"/>
                <w:bCs w:val="1"/>
                <w:color w:val="auto"/>
              </w:rPr>
              <w:t>“Qualified</w:t>
            </w: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w w:val="94"/>
              </w:rPr>
              <w:t>means any consideration that Buyer or any of its Affiliates receive in connection with the (and, in a transaction in</w:t>
            </w:r>
          </w:p>
        </w:tc>
      </w:tr>
      <w:tr>
        <w:trPr>
          <w:trHeight w:val="216"/>
        </w:trPr>
        <w:tc>
          <w:tcPr>
            <w:tcW w:w="1900" w:type="dxa"/>
            <w:vAlign w:val="bottom"/>
          </w:tcPr>
          <w:p>
            <w:pPr>
              <w:spacing w:after="0"/>
              <w:rPr>
                <w:sz w:val="20"/>
                <w:szCs w:val="20"/>
                <w:color w:val="auto"/>
              </w:rPr>
            </w:pPr>
            <w:r>
              <w:rPr>
                <w:rFonts w:ascii="Arial" w:cs="Arial" w:eastAsia="Arial" w:hAnsi="Arial"/>
                <w:sz w:val="16"/>
                <w:szCs w:val="16"/>
                <w:b w:val="1"/>
                <w:bCs w:val="1"/>
                <w:color w:val="auto"/>
              </w:rPr>
              <w:t>Consideration”</w:t>
            </w:r>
            <w:r>
              <w:rPr>
                <w:rFonts w:ascii="Arial" w:cs="Arial" w:eastAsia="Arial" w:hAnsi="Arial"/>
                <w:sz w:val="16"/>
                <w:szCs w:val="16"/>
                <w:color w:val="auto"/>
              </w:rPr>
              <w:t>:</w:t>
            </w: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w w:val="97"/>
              </w:rPr>
              <w:t>which rights to multiple products are transferred, to the extent allocable to a) grant of rights under the Product</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w w:val="99"/>
              </w:rPr>
              <w:t>Intellectual Property and/or rights with respect Products in an agreement or arrangement with a Third Party</w:t>
            </w:r>
          </w:p>
        </w:tc>
      </w:tr>
      <w:tr>
        <w:trPr>
          <w:trHeight w:val="216"/>
        </w:trPr>
        <w:tc>
          <w:tcPr>
            <w:tcW w:w="190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Consideration Agreement</w:t>
            </w:r>
            <w:r>
              <w:rPr>
                <w:rFonts w:ascii="Arial" w:cs="Arial" w:eastAsia="Arial" w:hAnsi="Arial"/>
                <w:sz w:val="16"/>
                <w:szCs w:val="16"/>
                <w:color w:val="auto"/>
              </w:rPr>
              <w:t>”). In furtherance and not in limitation of the foregoing, Qualified</w:t>
            </w:r>
          </w:p>
        </w:tc>
      </w:tr>
    </w:tbl>
    <w:p>
      <w:pPr>
        <w:spacing w:after="0" w:line="77" w:lineRule="exact"/>
        <w:rPr>
          <w:sz w:val="20"/>
          <w:szCs w:val="20"/>
          <w:color w:val="auto"/>
        </w:rPr>
      </w:pPr>
    </w:p>
    <w:p>
      <w:pPr>
        <w:ind w:left="2040" w:right="20"/>
        <w:spacing w:after="0" w:line="260" w:lineRule="auto"/>
        <w:rPr>
          <w:sz w:val="20"/>
          <w:szCs w:val="20"/>
          <w:color w:val="auto"/>
        </w:rPr>
      </w:pPr>
      <w:r>
        <w:rPr>
          <w:rFonts w:ascii="Arial" w:cs="Arial" w:eastAsia="Arial" w:hAnsi="Arial"/>
          <w:sz w:val="16"/>
          <w:szCs w:val="16"/>
          <w:color w:val="auto"/>
        </w:rPr>
        <w:t>Consideration shall not include (i) royalties based on Net Sales, (ii) amounts received to cover future reasonable, fully-burdened costs incurred or to be incurred by Buyer or its Affiliates in the performance of research, development or manufacturing activities to be performed by Buyer or its Affiliates after the Effective Date, (iii) amounts received as reimbursement for out-of-pocket costs incurred by Buyer in the preparation, filing, prosecution and maintenance of the Product Patents, or (iv) consideration for the issuance of equity interests in Buyer or its Affiliates to the extent there is no premium included in such issuance for rights granted with respect to the Product. If Buyer or its Affiliate receives non-cash consideration that otherwise qualifies as Qualified Consideration, the Qualified Consideration will be calculated based on the fair market value of such consideration, at the time of the transaction, assuming an arm’s length transaction made in the ordinary course of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“Reasonable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Efforts”</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means those efforts and resources to Develop a Product and Commercialize a Product that are consistent with the usual practice of Buyer in pursuing the</w:t>
      </w:r>
    </w:p>
    <w:p>
      <w:pPr>
        <w:spacing w:after="0" w:line="36" w:lineRule="exact"/>
        <w:rPr>
          <w:sz w:val="20"/>
          <w:szCs w:val="20"/>
          <w:color w:val="auto"/>
        </w:rPr>
      </w:pPr>
    </w:p>
    <w:p>
      <w:pPr>
        <w:jc w:val="both"/>
        <w:ind w:left="2040"/>
        <w:spacing w:after="0" w:line="262" w:lineRule="auto"/>
        <w:rPr>
          <w:sz w:val="20"/>
          <w:szCs w:val="20"/>
          <w:color w:val="auto"/>
        </w:rPr>
      </w:pPr>
      <w:r>
        <w:rPr>
          <w:rFonts w:ascii="Arial" w:cs="Arial" w:eastAsia="Arial" w:hAnsi="Arial"/>
          <w:sz w:val="16"/>
          <w:szCs w:val="16"/>
          <w:color w:val="auto"/>
        </w:rPr>
        <w:t>development or commercialization of other compounds and pharmaceutical products in its portfolio that are at a similar development stage as the Product or are of a similar market potential as the Product, taking into account all relevant factors, including present and future market potential, and Buyer’s own pharmaceutical products that are of similar market potential, financial return, medical and clinical considerations, present and future regulatory environment and competitive market conditions, all as measured by the facts and circumstances at the time such efforts are due.</w:t>
      </w:r>
    </w:p>
    <w:p>
      <w:pPr>
        <w:spacing w:after="0" w:line="220"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auto"/>
        </w:rPr>
        <w:t>“Receiving Party”</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has the meaning provided in the definition of “Confidential Information.”</w:t>
      </w:r>
    </w:p>
    <w:p>
      <w:pPr>
        <w:spacing w:after="0" w:line="248" w:lineRule="exact"/>
        <w:rPr>
          <w:sz w:val="20"/>
          <w:szCs w:val="20"/>
          <w:color w:val="auto"/>
        </w:rPr>
      </w:pPr>
    </w:p>
    <w:p>
      <w:pPr>
        <w:jc w:val="both"/>
        <w:ind w:left="1740" w:hanging="2040"/>
        <w:spacing w:after="0" w:line="271" w:lineRule="auto"/>
        <w:tabs>
          <w:tab w:leader="none" w:pos="172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Approval</w:t>
      </w:r>
      <w:r>
        <w:rPr>
          <w:rFonts w:ascii="Arial" w:cs="Arial" w:eastAsia="Arial" w:hAnsi="Arial"/>
          <w:sz w:val="16"/>
          <w:szCs w:val="16"/>
          <w:color w:val="auto"/>
        </w:rPr>
        <w:tab/>
        <w:t>means approval by a Governmental Authority of (i) a New Drug Approval Application or Biologics License Application (each, as defined in the FFDCA) in the U.S., or (ii) any corresponding application for regulatory approval in any country or jurisdiction outside the U.S., including, with respect to the European Union, a Marketing Authorization Application filed with the EMA pursuant to the Centralised Approval Procedure or with the applicable Regulatory Authority of a country in Europe with respect to the decentralised procedure, mutual recognition or any national approval procedure.</w:t>
      </w:r>
    </w:p>
    <w:p>
      <w:pPr>
        <w:spacing w:after="0" w:line="217"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b w:val="1"/>
          <w:bCs w:val="1"/>
          <w:color w:val="auto"/>
        </w:rPr>
        <w:t>“Related Party”</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has the meaning provided in the definition of “Net Sales” in this Section 1.1.</w:t>
      </w:r>
    </w:p>
    <w:p>
      <w:pPr>
        <w:sectPr>
          <w:pgSz w:w="11900" w:h="16838" w:orient="portrait"/>
          <w:cols w:equalWidth="0" w:num="1">
            <w:col w:w="11240"/>
          </w:cols>
          <w:pgMar w:left="320" w:top="838" w:right="339" w:bottom="1440" w:gutter="0" w:footer="0" w:header="0"/>
        </w:sectPr>
      </w:pPr>
    </w:p>
    <w:bookmarkStart w:id="261" w:name="page262"/>
    <w:bookmarkEnd w:id="261"/>
    <w:p>
      <w:pPr>
        <w:ind w:left="7820"/>
        <w:spacing w:after="0"/>
        <w:rPr>
          <w:sz w:val="20"/>
          <w:szCs w:val="20"/>
          <w:color w:val="auto"/>
        </w:rPr>
      </w:pPr>
      <w:r>
        <w:rPr>
          <w:rFonts w:ascii="Arial" w:cs="Arial" w:eastAsia="Arial" w:hAnsi="Arial"/>
          <w:sz w:val="20"/>
          <w:szCs w:val="20"/>
          <w:color w:val="auto"/>
        </w:rPr>
        <w:t>Exhibit 10.23</w:t>
      </w:r>
    </w:p>
    <w:p>
      <w:pPr>
        <w:spacing w:after="0" w:line="20" w:lineRule="exact"/>
        <w:rPr>
          <w:sz w:val="20"/>
          <w:szCs w:val="20"/>
          <w:color w:val="auto"/>
        </w:rPr>
      </w:pPr>
    </w:p>
    <w:p>
      <w:pPr>
        <w:jc w:val="both"/>
        <w:ind w:left="1120" w:hanging="2040"/>
        <w:spacing w:after="0" w:line="278" w:lineRule="auto"/>
        <w:tabs>
          <w:tab w:leader="none" w:pos="1100" w:val="left"/>
        </w:tabs>
        <w:rPr>
          <w:sz w:val="20"/>
          <w:szCs w:val="20"/>
          <w:color w:val="auto"/>
        </w:rPr>
      </w:pPr>
      <w:r>
        <w:rPr>
          <w:rFonts w:ascii="Arial" w:cs="Arial" w:eastAsia="Arial" w:hAnsi="Arial"/>
          <w:sz w:val="16"/>
          <w:szCs w:val="16"/>
          <w:b w:val="1"/>
          <w:bCs w:val="1"/>
          <w:color w:val="auto"/>
        </w:rPr>
        <w:t>“Related Technology”</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means all Know-How Controlled by Seller as of the Closing Date that is not Product Know-How and is necessary or useful for the Development, manufacture or Commercialization of Products; and (ii) all other Patents Controlled by Seller as of the Closing Date that (A) are not Product Patents; and (B) are necessary or useful for the Development, manufacture or Commercialization of Products.</w:t>
      </w:r>
    </w:p>
    <w:p>
      <w:pPr>
        <w:sectPr>
          <w:pgSz w:w="11900" w:h="16838" w:orient="portrait"/>
          <w:cols w:equalWidth="0" w:num="1">
            <w:col w:w="10620"/>
          </w:cols>
          <w:pgMar w:left="940" w:top="838" w:right="339" w:bottom="1440" w:gutter="0" w:footer="0" w:header="0"/>
        </w:sect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“Required Consents”</w:t>
      </w:r>
      <w:r>
        <w:rPr>
          <w:rFonts w:ascii="Arial" w:cs="Arial" w:eastAsia="Arial" w:hAnsi="Arial"/>
          <w:sz w:val="14"/>
          <w:szCs w:val="14"/>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Retained Liabilities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“Second Indication”</w:t>
      </w:r>
      <w:r>
        <w:rPr>
          <w:rFonts w:ascii="Arial" w:cs="Arial" w:eastAsia="Arial" w:hAnsi="Arial"/>
          <w:sz w:val="15"/>
          <w:szCs w:val="15"/>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“Seller”</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 Contracts”</w:t>
      </w:r>
      <w:r>
        <w:rPr>
          <w:rFonts w:ascii="Arial" w:cs="Arial" w:eastAsia="Arial" w:hAnsi="Arial"/>
          <w:sz w:val="15"/>
          <w:szCs w:val="15"/>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“Survival Period”</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forth in Section 7.1(i).</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means liabilities or obligations of any nature, whether known or unknown, fixed or contingent, accrued or unaccrued,</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to the extent arising in connection with the manufacture, Development or Commercialization of the Product, or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acts or omissions of Seller or its Affiliates prior to the Closing Date or in connection with the [****] Supply. For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clarity, Retained Liabilities include but are not limited to (i) the obligations retained pursuant to Section 2.8, (ii)</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Excluded Taxes, (iii) any and all obligations in connection with the Related Technology and (iv) the JDRF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means a new indication (i.e., a generally recognized distinct medical condition) and not an extension of the First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Indication or a labeling change covering the First Indication.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forth at the beginning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forth in Section 5.7(vi).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forth in Section 9.1(iii).</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means all taxes of any kind including all U.S. federal, state, local or non-U.S. net income, capital gains, gross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income, gross receipt, license, property, franchise, sales, use, excise, withholding, payroll, employment, social</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security, worker’s compensation, disability, severance, unemployment, health-care, stamp, occupation, capital stock,</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transfer, registration, value added, alternative, estimated, gains, windfall profits, net worth, asset, transaction and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other taxes, whether computed on a separate or consolidated, unitary or combined basis or in any other manner, and</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any interest, penalties or additions to tax with respect thereto, imposed upon any Person by any taxing authority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other Governmental Authority under Applicable Law, whether disputed or not.</w:t>
      </w:r>
    </w:p>
    <w:p>
      <w:pPr>
        <w:spacing w:after="0" w:line="28" w:lineRule="exact"/>
        <w:rPr>
          <w:sz w:val="20"/>
          <w:szCs w:val="20"/>
          <w:color w:val="auto"/>
        </w:rPr>
      </w:pPr>
    </w:p>
    <w:p>
      <w:pPr>
        <w:sectPr>
          <w:pgSz w:w="11900" w:h="16838" w:orient="portrait"/>
          <w:cols w:equalWidth="0" w:num="2">
            <w:col w:w="1560" w:space="700"/>
            <w:col w:w="8360"/>
          </w:cols>
          <w:pgMar w:left="940" w:top="838" w:right="3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“Technology Transition</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“Teplizumab”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means a plan developed and jointly agreed upon by the Parties in good faith after Closing as set forth in Section 2.7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Seller to transfer the Product Intellectual Property to Buyer.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means the compound “</w:t>
      </w:r>
      <w:r>
        <w:rPr>
          <w:rFonts w:ascii="Arial" w:cs="Arial" w:eastAsia="Arial" w:hAnsi="Arial"/>
          <w:sz w:val="15"/>
          <w:szCs w:val="15"/>
          <w:i w:val="1"/>
          <w:iCs w:val="1"/>
          <w:color w:val="auto"/>
        </w:rPr>
        <w:t>Teplizumab</w:t>
      </w:r>
      <w:r>
        <w:rPr>
          <w:rFonts w:ascii="Arial" w:cs="Arial" w:eastAsia="Arial" w:hAnsi="Arial"/>
          <w:sz w:val="15"/>
          <w:szCs w:val="15"/>
          <w:color w:val="auto"/>
        </w:rPr>
        <w:t>”, designated by Seller as MGA031, a novel cluster of differentiation 3 (“</w:t>
      </w:r>
      <w:r>
        <w:rPr>
          <w:rFonts w:ascii="Arial" w:cs="Arial" w:eastAsia="Arial" w:hAnsi="Arial"/>
          <w:sz w:val="15"/>
          <w:szCs w:val="15"/>
          <w:b w:val="1"/>
          <w:bCs w:val="1"/>
          <w:color w:val="auto"/>
        </w:rPr>
        <w:t>CD3</w:t>
      </w:r>
      <w:r>
        <w:rPr>
          <w:rFonts w:ascii="Arial" w:cs="Arial" w:eastAsia="Arial" w:hAnsi="Arial"/>
          <w:sz w:val="15"/>
          <w:szCs w:val="15"/>
          <w:color w:val="auto"/>
        </w:rPr>
        <w: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partial agonist, as described in Exhibit 1.</w:t>
      </w:r>
    </w:p>
    <w:p>
      <w:pPr>
        <w:sectPr>
          <w:pgSz w:w="11900" w:h="16838" w:orient="portrait"/>
          <w:cols w:equalWidth="0" w:num="2">
            <w:col w:w="1620" w:space="620"/>
            <w:col w:w="8380"/>
          </w:cols>
          <w:pgMar w:left="940" w:top="838" w:right="339" w:bottom="1440" w:gutter="0" w:footer="0" w:header="0"/>
          <w:type w:val="continuous"/>
        </w:sectPr>
      </w:pPr>
    </w:p>
    <w:bookmarkStart w:id="262" w:name="page263"/>
    <w:bookmarkEnd w:id="262"/>
    <w:p>
      <w:pPr>
        <w:ind w:left="8425"/>
        <w:spacing w:after="0"/>
        <w:rPr>
          <w:sz w:val="20"/>
          <w:szCs w:val="20"/>
          <w:color w:val="auto"/>
        </w:rPr>
      </w:pPr>
      <w:r>
        <w:rPr>
          <w:rFonts w:ascii="Arial" w:cs="Arial" w:eastAsia="Arial" w:hAnsi="Arial"/>
          <w:sz w:val="18"/>
          <w:szCs w:val="18"/>
          <w:color w:val="auto"/>
        </w:rPr>
        <w:t>Exhibit 10.23</w:t>
      </w:r>
    </w:p>
    <w:p>
      <w:pPr>
        <w:sectPr>
          <w:pgSz w:w="11900" w:h="16838" w:orient="portrait"/>
          <w:cols w:equalWidth="0" w:num="1">
            <w:col w:w="11165"/>
          </w:cols>
          <w:pgMar w:left="335" w:top="838" w:right="399" w:bottom="1440" w:gutter="0" w:footer="0" w:header="0"/>
        </w:sectPr>
      </w:pPr>
    </w:p>
    <w:p>
      <w:pPr>
        <w:spacing w:after="0" w:line="53" w:lineRule="exact"/>
        <w:rPr>
          <w:sz w:val="20"/>
          <w:szCs w:val="20"/>
          <w:color w:val="auto"/>
        </w:rPr>
      </w:pPr>
    </w:p>
    <w:p>
      <w:pPr>
        <w:ind w:left="605"/>
        <w:spacing w:after="0"/>
        <w:rPr>
          <w:sz w:val="20"/>
          <w:szCs w:val="20"/>
          <w:color w:val="auto"/>
        </w:rPr>
      </w:pPr>
      <w:r>
        <w:rPr>
          <w:rFonts w:ascii="Arial" w:cs="Arial" w:eastAsia="Arial" w:hAnsi="Arial"/>
          <w:sz w:val="15"/>
          <w:szCs w:val="15"/>
          <w:b w:val="1"/>
          <w:bCs w:val="1"/>
          <w:color w:val="auto"/>
        </w:rPr>
        <w:t>“Third Party”</w:t>
      </w:r>
      <w:r>
        <w:rPr>
          <w:rFonts w:ascii="Arial" w:cs="Arial" w:eastAsia="Arial" w:hAnsi="Arial"/>
          <w:sz w:val="15"/>
          <w:szCs w:val="15"/>
          <w:color w:val="auto"/>
        </w:rPr>
        <w:t>:</w:t>
      </w:r>
    </w:p>
    <w:p>
      <w:pPr>
        <w:spacing w:after="0" w:line="44" w:lineRule="exact"/>
        <w:rPr>
          <w:sz w:val="20"/>
          <w:szCs w:val="20"/>
          <w:color w:val="auto"/>
        </w:rPr>
      </w:pPr>
    </w:p>
    <w:p>
      <w:pPr>
        <w:ind w:left="605"/>
        <w:spacing w:after="0"/>
        <w:rPr>
          <w:sz w:val="20"/>
          <w:szCs w:val="20"/>
          <w:color w:val="auto"/>
        </w:rPr>
      </w:pPr>
      <w:r>
        <w:rPr>
          <w:rFonts w:ascii="Arial" w:cs="Arial" w:eastAsia="Arial" w:hAnsi="Arial"/>
          <w:sz w:val="16"/>
          <w:szCs w:val="16"/>
          <w:b w:val="1"/>
          <w:bCs w:val="1"/>
          <w:color w:val="auto"/>
        </w:rPr>
        <w:t>“Third Party</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means any Person other than (i) Buyer or Seller, or (ii) an Affiliate of Buyer or Seller.</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forth in Section 9.2.</w:t>
      </w:r>
    </w:p>
    <w:p>
      <w:pPr>
        <w:spacing w:after="0" w:line="28" w:lineRule="exact"/>
        <w:rPr>
          <w:sz w:val="20"/>
          <w:szCs w:val="20"/>
          <w:color w:val="auto"/>
        </w:rPr>
      </w:pPr>
    </w:p>
    <w:p>
      <w:pPr>
        <w:sectPr>
          <w:pgSz w:w="11900" w:h="16838" w:orient="portrait"/>
          <w:cols w:equalWidth="0" w:num="2">
            <w:col w:w="1645" w:space="540"/>
            <w:col w:w="8980"/>
          </w:cols>
          <w:pgMar w:left="335" w:top="838" w:right="399" w:bottom="1440" w:gutter="0" w:footer="0" w:header="0"/>
          <w:type w:val="continuous"/>
        </w:sectPr>
      </w:pPr>
    </w:p>
    <w:p>
      <w:pPr>
        <w:ind w:left="605"/>
        <w:spacing w:after="0"/>
        <w:rPr>
          <w:sz w:val="20"/>
          <w:szCs w:val="20"/>
          <w:color w:val="auto"/>
        </w:rPr>
      </w:pPr>
      <w:r>
        <w:rPr>
          <w:rFonts w:ascii="Arial" w:cs="Arial" w:eastAsia="Arial" w:hAnsi="Arial"/>
          <w:sz w:val="16"/>
          <w:szCs w:val="16"/>
          <w:b w:val="1"/>
          <w:bCs w:val="1"/>
          <w:color w:val="auto"/>
        </w:rPr>
        <w:t>Claims”</w:t>
      </w:r>
      <w:r>
        <w:rPr>
          <w:rFonts w:ascii="Arial" w:cs="Arial" w:eastAsia="Arial" w:hAnsi="Arial"/>
          <w:sz w:val="16"/>
          <w:szCs w:val="16"/>
          <w:color w:val="auto"/>
        </w:rPr>
        <w:t>:</w:t>
      </w:r>
    </w:p>
    <w:p>
      <w:pPr>
        <w:spacing w:after="0" w:line="32" w:lineRule="exact"/>
        <w:rPr>
          <w:sz w:val="20"/>
          <w:szCs w:val="20"/>
          <w:color w:val="auto"/>
        </w:rPr>
      </w:pPr>
    </w:p>
    <w:p>
      <w:pPr>
        <w:ind w:left="60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w:t>
      </w:r>
    </w:p>
    <w:p>
      <w:pPr>
        <w:sectPr>
          <w:pgSz w:w="11900" w:h="16838" w:orient="portrait"/>
          <w:cols w:equalWidth="0" w:num="1">
            <w:col w:w="11165"/>
          </w:cols>
          <w:pgMar w:left="335" w:top="838" w:right="399" w:bottom="1440" w:gutter="0" w:footer="0" w:header="0"/>
          <w:type w:val="continuous"/>
        </w:sectPr>
      </w:pPr>
    </w:p>
    <w:p>
      <w:pPr>
        <w:spacing w:after="0" w:line="32" w:lineRule="exact"/>
        <w:rPr>
          <w:sz w:val="20"/>
          <w:szCs w:val="20"/>
          <w:color w:val="auto"/>
        </w:rPr>
      </w:pPr>
    </w:p>
    <w:p>
      <w:pPr>
        <w:ind w:left="605"/>
        <w:spacing w:after="0"/>
        <w:rPr>
          <w:sz w:val="20"/>
          <w:szCs w:val="20"/>
          <w:color w:val="auto"/>
        </w:rPr>
      </w:pPr>
      <w:r>
        <w:rPr>
          <w:rFonts w:ascii="Arial" w:cs="Arial" w:eastAsia="Arial" w:hAnsi="Arial"/>
          <w:sz w:val="15"/>
          <w:szCs w:val="15"/>
          <w:b w:val="1"/>
          <w:bCs w:val="1"/>
          <w:color w:val="auto"/>
        </w:rPr>
        <w:t>Obligations</w:t>
      </w:r>
      <w:r>
        <w:rPr>
          <w:rFonts w:ascii="Arial" w:cs="Arial" w:eastAsia="Arial" w:hAnsi="Arial"/>
          <w:sz w:val="15"/>
          <w:szCs w:val="15"/>
          <w:color w:val="auto"/>
        </w:rPr>
        <w:t>”</w:t>
      </w:r>
    </w:p>
    <w:p>
      <w:pPr>
        <w:spacing w:after="0" w:line="200" w:lineRule="exact"/>
        <w:rPr>
          <w:sz w:val="20"/>
          <w:szCs w:val="20"/>
          <w:color w:val="auto"/>
        </w:rPr>
      </w:pPr>
    </w:p>
    <w:p>
      <w:pPr>
        <w:spacing w:after="0" w:line="276" w:lineRule="exact"/>
        <w:rPr>
          <w:sz w:val="20"/>
          <w:szCs w:val="20"/>
          <w:color w:val="auto"/>
        </w:rPr>
      </w:pPr>
    </w:p>
    <w:p>
      <w:pPr>
        <w:ind w:left="605"/>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860"/>
        <w:spacing w:after="0" w:line="280" w:lineRule="auto"/>
        <w:rPr>
          <w:sz w:val="20"/>
          <w:szCs w:val="20"/>
          <w:color w:val="auto"/>
        </w:rPr>
      </w:pPr>
      <w:r>
        <w:rPr>
          <w:rFonts w:ascii="Arial" w:cs="Arial" w:eastAsia="Arial" w:hAnsi="Arial"/>
          <w:sz w:val="16"/>
          <w:szCs w:val="16"/>
          <w:color w:val="auto"/>
        </w:rPr>
        <w:t>means (i) the [****] Consideration; (ii) the [****] Royalty; and (iii) all royalties, milestones other consideration due to Third Parties in connection with sales of a Product or the assignment or other transfer of rights in connection with a Product or the Purchased Assets under agreements entered into by Seller or its predecessors in interest prior to the Closing Date. means the [****] entered into by and between [****] effective as of [****] and [****].</w:t>
      </w:r>
    </w:p>
    <w:p>
      <w:pPr>
        <w:spacing w:after="0" w:line="1" w:lineRule="exact"/>
        <w:rPr>
          <w:sz w:val="20"/>
          <w:szCs w:val="20"/>
          <w:color w:val="auto"/>
        </w:rPr>
      </w:pPr>
    </w:p>
    <w:p>
      <w:pPr>
        <w:sectPr>
          <w:pgSz w:w="11900" w:h="16838" w:orient="portrait"/>
          <w:cols w:equalWidth="0" w:num="2">
            <w:col w:w="1485" w:space="700"/>
            <w:col w:w="8980"/>
          </w:cols>
          <w:pgMar w:left="335" w:top="838" w:right="399" w:bottom="1440" w:gutter="0" w:footer="0" w:header="0"/>
          <w:type w:val="continuous"/>
        </w:sectPr>
      </w:pPr>
    </w:p>
    <w:p>
      <w:pPr>
        <w:ind w:left="605"/>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ectPr>
          <w:pgSz w:w="11900" w:h="16838" w:orient="portrait"/>
          <w:cols w:equalWidth="0" w:num="1">
            <w:col w:w="11165"/>
          </w:cols>
          <w:pgMar w:left="335" w:top="838" w:right="399" w:bottom="1440" w:gutter="0" w:footer="0" w:header="0"/>
          <w:type w:val="continuous"/>
        </w:sectPr>
      </w:pPr>
    </w:p>
    <w:p>
      <w:pPr>
        <w:spacing w:after="0" w:line="32" w:lineRule="exact"/>
        <w:rPr>
          <w:sz w:val="20"/>
          <w:szCs w:val="20"/>
          <w:color w:val="auto"/>
        </w:rPr>
      </w:pPr>
    </w:p>
    <w:p>
      <w:pPr>
        <w:ind w:left="605"/>
        <w:spacing w:after="0"/>
        <w:rPr>
          <w:sz w:val="20"/>
          <w:szCs w:val="20"/>
          <w:color w:val="auto"/>
        </w:rPr>
      </w:pPr>
      <w:r>
        <w:rPr>
          <w:rFonts w:ascii="Arial" w:cs="Arial" w:eastAsia="Arial" w:hAnsi="Arial"/>
          <w:sz w:val="14"/>
          <w:szCs w:val="14"/>
          <w:b w:val="1"/>
          <w:bCs w:val="1"/>
          <w:color w:val="auto"/>
        </w:rPr>
        <w:t>Consideration”:</w:t>
      </w:r>
    </w:p>
    <w:p>
      <w:pPr>
        <w:spacing w:after="0" w:line="271" w:lineRule="exact"/>
        <w:rPr>
          <w:sz w:val="20"/>
          <w:szCs w:val="20"/>
          <w:color w:val="auto"/>
        </w:rPr>
      </w:pPr>
    </w:p>
    <w:p>
      <w:pPr>
        <w:ind w:left="605"/>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200"/>
        <w:spacing w:after="0" w:line="280" w:lineRule="auto"/>
        <w:rPr>
          <w:sz w:val="20"/>
          <w:szCs w:val="20"/>
          <w:color w:val="auto"/>
        </w:rPr>
      </w:pPr>
      <w:r>
        <w:rPr>
          <w:rFonts w:ascii="Arial" w:cs="Arial" w:eastAsia="Arial" w:hAnsi="Arial"/>
          <w:sz w:val="16"/>
          <w:szCs w:val="16"/>
          <w:color w:val="auto"/>
        </w:rPr>
        <w:t>means obligations to provide consideration to Tolerance under the [****], including such obligations under 2.5(c) of the [****]; provided that this definition shall not include any [****]. means that certain letter agreement between Buyer, Seller and [****].</w:t>
      </w:r>
    </w:p>
    <w:p>
      <w:pPr>
        <w:spacing w:after="0" w:line="1" w:lineRule="exact"/>
        <w:rPr>
          <w:sz w:val="20"/>
          <w:szCs w:val="20"/>
          <w:color w:val="auto"/>
        </w:rPr>
      </w:pPr>
    </w:p>
    <w:p>
      <w:pPr>
        <w:sectPr>
          <w:pgSz w:w="11900" w:h="16838" w:orient="portrait"/>
          <w:cols w:equalWidth="0" w:num="2">
            <w:col w:w="1725" w:space="460"/>
            <w:col w:w="8980"/>
          </w:cols>
          <w:pgMar w:left="335" w:top="838" w:right="399" w:bottom="1440" w:gutter="0" w:footer="0" w:header="0"/>
          <w:type w:val="continuous"/>
        </w:sectPr>
      </w:pPr>
    </w:p>
    <w:p>
      <w:pPr>
        <w:ind w:left="605"/>
        <w:spacing w:after="0"/>
        <w:rPr>
          <w:sz w:val="20"/>
          <w:szCs w:val="20"/>
          <w:color w:val="auto"/>
        </w:rPr>
      </w:pPr>
      <w:r>
        <w:rPr>
          <w:rFonts w:ascii="Arial" w:cs="Arial" w:eastAsia="Arial" w:hAnsi="Arial"/>
          <w:sz w:val="15"/>
          <w:szCs w:val="15"/>
          <w:b w:val="1"/>
          <w:bCs w:val="1"/>
          <w:color w:val="auto"/>
        </w:rPr>
        <w:t>Comfort</w:t>
      </w:r>
    </w:p>
    <w:p>
      <w:pPr>
        <w:spacing w:after="0" w:line="44" w:lineRule="exact"/>
        <w:rPr>
          <w:sz w:val="20"/>
          <w:szCs w:val="20"/>
          <w:color w:val="auto"/>
        </w:rPr>
      </w:pPr>
    </w:p>
    <w:p>
      <w:pPr>
        <w:ind w:left="605"/>
        <w:spacing w:after="0"/>
        <w:rPr>
          <w:sz w:val="20"/>
          <w:szCs w:val="20"/>
          <w:color w:val="auto"/>
        </w:rPr>
      </w:pPr>
      <w:r>
        <w:rPr>
          <w:rFonts w:ascii="Arial" w:cs="Arial" w:eastAsia="Arial" w:hAnsi="Arial"/>
          <w:sz w:val="16"/>
          <w:szCs w:val="16"/>
          <w:b w:val="1"/>
          <w:bCs w:val="1"/>
          <w:color w:val="auto"/>
        </w:rPr>
        <w:t>Letter”</w:t>
      </w:r>
      <w:r>
        <w:rPr>
          <w:rFonts w:ascii="Arial" w:cs="Arial" w:eastAsia="Arial" w:hAnsi="Arial"/>
          <w:sz w:val="16"/>
          <w:szCs w:val="16"/>
          <w:color w:val="auto"/>
        </w:rPr>
        <w:t>:</w:t>
      </w:r>
    </w:p>
    <w:p>
      <w:pPr>
        <w:sectPr>
          <w:pgSz w:w="11900" w:h="16838" w:orient="portrait"/>
          <w:cols w:equalWidth="0" w:num="1">
            <w:col w:w="11165"/>
          </w:cols>
          <w:pgMar w:left="335" w:top="838" w:right="399" w:bottom="1440" w:gutter="0" w:footer="0" w:header="0"/>
          <w:type w:val="continuous"/>
        </w:sectPr>
      </w:pPr>
    </w:p>
    <w:p>
      <w:pPr>
        <w:spacing w:after="0" w:line="32" w:lineRule="exact"/>
        <w:rPr>
          <w:sz w:val="20"/>
          <w:szCs w:val="20"/>
          <w:color w:val="auto"/>
        </w:rPr>
      </w:pPr>
    </w:p>
    <w:p>
      <w:pPr>
        <w:jc w:val="center"/>
        <w:ind w:left="605"/>
        <w:spacing w:after="0"/>
        <w:rPr>
          <w:sz w:val="20"/>
          <w:szCs w:val="20"/>
          <w:color w:val="auto"/>
        </w:rPr>
      </w:pPr>
      <w:r>
        <w:rPr>
          <w:rFonts w:ascii="Arial" w:cs="Arial" w:eastAsia="Arial" w:hAnsi="Arial"/>
          <w:sz w:val="14"/>
          <w:szCs w:val="14"/>
          <w:b w:val="1"/>
          <w:bCs w:val="1"/>
          <w:color w:val="auto"/>
        </w:rPr>
        <w:t>“Transaction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means the Warrant, Bill of Sale and General Assignment Agreement, Patent Assignment Agreement and Lock-Up Agreement.</w:t>
      </w:r>
    </w:p>
    <w:p>
      <w:pPr>
        <w:spacing w:after="0" w:line="51" w:lineRule="exact"/>
        <w:rPr>
          <w:sz w:val="20"/>
          <w:szCs w:val="20"/>
          <w:color w:val="auto"/>
        </w:rPr>
      </w:pPr>
    </w:p>
    <w:p>
      <w:pPr>
        <w:sectPr>
          <w:pgSz w:w="11900" w:h="16838" w:orient="portrait"/>
          <w:cols w:equalWidth="0" w:num="2">
            <w:col w:w="1505" w:space="680"/>
            <w:col w:w="8980"/>
          </w:cols>
          <w:pgMar w:left="335" w:top="838" w:right="399" w:bottom="1440" w:gutter="0" w:footer="0" w:header="0"/>
          <w:type w:val="continuous"/>
        </w:sectPr>
      </w:pPr>
    </w:p>
    <w:p>
      <w:pPr>
        <w:ind w:left="605"/>
        <w:spacing w:after="0"/>
        <w:rPr>
          <w:sz w:val="20"/>
          <w:szCs w:val="20"/>
          <w:color w:val="auto"/>
        </w:rPr>
      </w:pPr>
      <w:r>
        <w:rPr>
          <w:rFonts w:ascii="Arial" w:cs="Arial" w:eastAsia="Arial" w:hAnsi="Arial"/>
          <w:sz w:val="14"/>
          <w:szCs w:val="14"/>
          <w:b w:val="1"/>
          <w:bCs w:val="1"/>
          <w:color w:val="auto"/>
        </w:rPr>
        <w:t>Documents”</w:t>
      </w:r>
      <w:r>
        <w:rPr>
          <w:rFonts w:ascii="Arial" w:cs="Arial" w:eastAsia="Arial" w:hAnsi="Arial"/>
          <w:sz w:val="14"/>
          <w:szCs w:val="14"/>
          <w:color w:val="auto"/>
        </w:rPr>
        <w:t>:</w:t>
      </w:r>
    </w:p>
    <w:p>
      <w:pPr>
        <w:sectPr>
          <w:pgSz w:w="11900" w:h="16838" w:orient="portrait"/>
          <w:cols w:equalWidth="0" w:num="1">
            <w:col w:w="11165"/>
          </w:cols>
          <w:pgMar w:left="335" w:top="838" w:right="399" w:bottom="1440" w:gutter="0" w:footer="0" w:header="0"/>
          <w:type w:val="continuous"/>
        </w:sectPr>
      </w:pPr>
    </w:p>
    <w:p>
      <w:pPr>
        <w:spacing w:after="0" w:line="55" w:lineRule="exact"/>
        <w:rPr>
          <w:sz w:val="20"/>
          <w:szCs w:val="20"/>
          <w:color w:val="auto"/>
        </w:rPr>
      </w:pPr>
    </w:p>
    <w:p>
      <w:pPr>
        <w:ind w:left="605"/>
        <w:spacing w:after="0"/>
        <w:rPr>
          <w:sz w:val="20"/>
          <w:szCs w:val="20"/>
          <w:color w:val="auto"/>
        </w:rPr>
      </w:pPr>
      <w:r>
        <w:rPr>
          <w:rFonts w:ascii="Arial" w:cs="Arial" w:eastAsia="Arial" w:hAnsi="Arial"/>
          <w:sz w:val="15"/>
          <w:szCs w:val="15"/>
          <w:b w:val="1"/>
          <w:bCs w:val="1"/>
          <w:color w:val="auto"/>
        </w:rPr>
        <w:t>“Transfer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840"/>
        <w:spacing w:after="0"/>
        <w:rPr>
          <w:sz w:val="20"/>
          <w:szCs w:val="20"/>
          <w:color w:val="auto"/>
        </w:rPr>
      </w:pPr>
      <w:r>
        <w:rPr>
          <w:rFonts w:ascii="Arial" w:cs="Arial" w:eastAsia="Arial" w:hAnsi="Arial"/>
          <w:sz w:val="14"/>
          <w:szCs w:val="14"/>
          <w:color w:val="auto"/>
        </w:rPr>
        <w:t>means the transfer letter to be submitted to each relevant Governmental Authority by Seller, in the form attached as Exhibit 9.</w:t>
      </w:r>
    </w:p>
    <w:p>
      <w:pPr>
        <w:spacing w:after="0" w:line="51" w:lineRule="exact"/>
        <w:rPr>
          <w:sz w:val="20"/>
          <w:szCs w:val="20"/>
          <w:color w:val="auto"/>
        </w:rPr>
      </w:pPr>
    </w:p>
    <w:p>
      <w:pPr>
        <w:sectPr>
          <w:pgSz w:w="11900" w:h="16838" w:orient="portrait"/>
          <w:cols w:equalWidth="0" w:num="2">
            <w:col w:w="1465" w:space="720"/>
            <w:col w:w="8980"/>
          </w:cols>
          <w:pgMar w:left="335" w:top="838" w:right="399" w:bottom="1440" w:gutter="0" w:footer="0" w:header="0"/>
          <w:type w:val="continuous"/>
        </w:sectPr>
      </w:pPr>
    </w:p>
    <w:p>
      <w:pPr>
        <w:ind w:left="605"/>
        <w:spacing w:after="0"/>
        <w:rPr>
          <w:sz w:val="20"/>
          <w:szCs w:val="20"/>
          <w:color w:val="auto"/>
        </w:rPr>
      </w:pPr>
      <w:r>
        <w:rPr>
          <w:rFonts w:ascii="Arial" w:cs="Arial" w:eastAsia="Arial" w:hAnsi="Arial"/>
          <w:sz w:val="16"/>
          <w:szCs w:val="16"/>
          <w:b w:val="1"/>
          <w:bCs w:val="1"/>
          <w:color w:val="auto"/>
        </w:rPr>
        <w:t>Letter”</w:t>
      </w:r>
      <w:r>
        <w:rPr>
          <w:rFonts w:ascii="Arial" w:cs="Arial" w:eastAsia="Arial" w:hAnsi="Arial"/>
          <w:sz w:val="16"/>
          <w:szCs w:val="16"/>
          <w:color w:val="auto"/>
        </w:rPr>
        <w:t>:</w:t>
      </w:r>
    </w:p>
    <w:p>
      <w:pPr>
        <w:spacing w:after="0" w:line="32" w:lineRule="exact"/>
        <w:rPr>
          <w:sz w:val="20"/>
          <w:szCs w:val="20"/>
          <w:color w:val="auto"/>
        </w:rPr>
      </w:pPr>
    </w:p>
    <w:p>
      <w:pPr>
        <w:ind w:left="605"/>
        <w:spacing w:after="0"/>
        <w:rPr>
          <w:sz w:val="20"/>
          <w:szCs w:val="20"/>
          <w:color w:val="auto"/>
        </w:rPr>
      </w:pPr>
      <w:r>
        <w:rPr>
          <w:rFonts w:ascii="Arial" w:cs="Arial" w:eastAsia="Arial" w:hAnsi="Arial"/>
          <w:sz w:val="14"/>
          <w:szCs w:val="14"/>
          <w:b w:val="1"/>
          <w:bCs w:val="1"/>
          <w:color w:val="auto"/>
        </w:rPr>
        <w:t>“Transferable</w:t>
      </w:r>
    </w:p>
    <w:p>
      <w:pPr>
        <w:spacing w:after="0" w:line="55" w:lineRule="exact"/>
        <w:rPr>
          <w:sz w:val="20"/>
          <w:szCs w:val="20"/>
          <w:color w:val="auto"/>
        </w:rPr>
      </w:pPr>
    </w:p>
    <w:p>
      <w:pPr>
        <w:ind w:left="605"/>
        <w:spacing w:after="0"/>
        <w:rPr>
          <w:sz w:val="20"/>
          <w:szCs w:val="20"/>
          <w:color w:val="auto"/>
        </w:rPr>
      </w:pPr>
      <w:r>
        <w:rPr>
          <w:rFonts w:ascii="Arial" w:cs="Arial" w:eastAsia="Arial" w:hAnsi="Arial"/>
          <w:sz w:val="16"/>
          <w:szCs w:val="16"/>
          <w:b w:val="1"/>
          <w:bCs w:val="1"/>
          <w:color w:val="auto"/>
        </w:rPr>
        <w:t>Books</w:t>
      </w:r>
    </w:p>
    <w:p>
      <w:pPr>
        <w:sectPr>
          <w:pgSz w:w="11900" w:h="16838" w:orient="portrait"/>
          <w:cols w:equalWidth="0" w:num="1">
            <w:col w:w="11165"/>
          </w:cols>
          <w:pgMar w:left="335" w:top="838" w:right="399" w:bottom="1440" w:gutter="0" w:footer="0" w:header="0"/>
          <w:type w:val="continuous"/>
        </w:sectPr>
      </w:pPr>
    </w:p>
    <w:p>
      <w:pPr>
        <w:spacing w:after="0" w:line="32" w:lineRule="exact"/>
        <w:rPr>
          <w:sz w:val="20"/>
          <w:szCs w:val="20"/>
          <w:color w:val="auto"/>
        </w:rPr>
      </w:pPr>
    </w:p>
    <w:p>
      <w:pPr>
        <w:ind w:left="645"/>
        <w:spacing w:after="0"/>
        <w:rPr>
          <w:sz w:val="20"/>
          <w:szCs w:val="20"/>
          <w:color w:val="auto"/>
        </w:rPr>
      </w:pPr>
      <w:r>
        <w:rPr>
          <w:rFonts w:ascii="Arial" w:cs="Arial" w:eastAsia="Arial" w:hAnsi="Arial"/>
          <w:sz w:val="14"/>
          <w:szCs w:val="14"/>
          <w:b w:val="1"/>
          <w:bCs w:val="1"/>
          <w:color w:val="auto"/>
        </w:rPr>
        <w:t>and Records”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780"/>
        <w:spacing w:after="0" w:line="305" w:lineRule="auto"/>
        <w:rPr>
          <w:sz w:val="20"/>
          <w:szCs w:val="20"/>
          <w:color w:val="auto"/>
        </w:rPr>
      </w:pPr>
      <w:r>
        <w:rPr>
          <w:rFonts w:ascii="Arial" w:cs="Arial" w:eastAsia="Arial" w:hAnsi="Arial"/>
          <w:sz w:val="15"/>
          <w:szCs w:val="15"/>
          <w:color w:val="auto"/>
        </w:rPr>
        <w:t>means all of the original (or if unavailable a copy) documents, Data, lists, files, records, research, studies, information and correspondence with Governmental Authorities, in whatever form kept, including electronic form, Controlled by Seller as of the Closing Date and relating solely and exclusively to the Assumed Contracts, the Product Intellectual Property or the Product, including all INDs and CTAs (including all amendments) and any other regulatory documentation to the extent solely and exclusively related to the Product, all clinical study reports, all data sets (SAS, ADaM, SDTM, etc.), copies of all Trial Master Files, all Financial Disclosure forms, the pharmacovigilance database and other similar books and records. Drafts, internal update reports, summaries of Data compiled for internal reporting, non-official communications and documents incidental to the Development and Commercialization of the Product conducted by Seller and which do not contain material Data or Product Know-How not otherwise subject to transfer to Buyer hereunder or under any Transaction Document are not deemed to be Transferrable Books and Records.</w:t>
      </w:r>
    </w:p>
    <w:p>
      <w:pPr>
        <w:spacing w:after="0" w:line="45" w:lineRule="exact"/>
        <w:rPr>
          <w:sz w:val="20"/>
          <w:szCs w:val="20"/>
          <w:color w:val="auto"/>
        </w:rPr>
      </w:pPr>
    </w:p>
    <w:p>
      <w:pPr>
        <w:sectPr>
          <w:pgSz w:w="11900" w:h="16838" w:orient="portrait"/>
          <w:cols w:equalWidth="0" w:num="2">
            <w:col w:w="1645" w:space="540"/>
            <w:col w:w="8980"/>
          </w:cols>
          <w:pgMar w:left="335" w:top="838" w:right="399" w:bottom="1440" w:gutter="0" w:footer="0" w:header="0"/>
          <w:type w:val="continuous"/>
        </w:sectPr>
      </w:pPr>
    </w:p>
    <w:p>
      <w:pPr>
        <w:ind w:left="2505" w:right="360" w:hanging="2040"/>
        <w:spacing w:after="0" w:line="279" w:lineRule="auto"/>
        <w:tabs>
          <w:tab w:leader="none" w:pos="2484" w:val="left"/>
        </w:tabs>
        <w:rPr>
          <w:sz w:val="20"/>
          <w:szCs w:val="20"/>
          <w:color w:val="auto"/>
        </w:rPr>
      </w:pPr>
      <w:r>
        <w:rPr>
          <w:rFonts w:ascii="Arial" w:cs="Arial" w:eastAsia="Arial" w:hAnsi="Arial"/>
          <w:sz w:val="16"/>
          <w:szCs w:val="16"/>
          <w:b w:val="1"/>
          <w:bCs w:val="1"/>
          <w:color w:val="auto"/>
        </w:rPr>
        <w:t>“Transferred Materials”</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means any and all of the biological and chemical materials and components used for or created as a result of the Development, manufacturing or Commercialization of the Product Controlled by Seller and relating solely and exclusively to the Product, including any work in progress, API, work product, inventory (including clinical supplies), master cell banks and working cell banks, as set forth in Exhibit 8 or in the Technology Transition Plan.</w:t>
      </w:r>
    </w:p>
    <w:p>
      <w:pPr>
        <w:spacing w:after="0" w:line="224" w:lineRule="exact"/>
        <w:rPr>
          <w:sz w:val="20"/>
          <w:szCs w:val="20"/>
          <w:color w:val="auto"/>
        </w:rPr>
      </w:pPr>
    </w:p>
    <w:p>
      <w:pPr>
        <w:ind w:left="1785" w:hanging="2040"/>
        <w:spacing w:after="0" w:line="265" w:lineRule="auto"/>
        <w:tabs>
          <w:tab w:leader="none" w:pos="1764" w:val="left"/>
        </w:tabs>
        <w:rPr>
          <w:sz w:val="20"/>
          <w:szCs w:val="20"/>
          <w:color w:val="auto"/>
        </w:rPr>
      </w:pPr>
      <w:r>
        <w:rPr>
          <w:rFonts w:ascii="Arial" w:cs="Arial" w:eastAsia="Arial" w:hAnsi="Arial"/>
          <w:sz w:val="16"/>
          <w:szCs w:val="16"/>
          <w:b w:val="1"/>
          <w:bCs w:val="1"/>
          <w:color w:val="auto"/>
        </w:rPr>
        <w:t>“Valid Claim”</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means: (i) a claim of an issued and unexpired patent in the Product Patents that has not been (A) held permanently revoked, unenforceable, unpatentable or invalid by a decision of a court or governmental body of competent jurisdiction, unappealable or unappealed within the time allowed for appeal, (B) rendered unenforceable through disclaimer or otherwise, (C) abandoned or (D) permanently lost through an interference or opposition proceeding without any right of appeal or review; or (ii) a claim of a pending patent application in the Product Patents that (A) has been asserted and continues to be prosecuted in good faith and (B) has not been abandoned or finally rejected without the possibility of appeal or refiling, and (C) has not been pending longer than [****] years from the date of issuance of the first substantive patent office action considering patentability of such claim by the relevant patent office in the country or territory in which such claim is pending.</w:t>
      </w:r>
    </w:p>
    <w:p>
      <w:pPr>
        <w:spacing w:after="0" w:line="224" w:lineRule="exact"/>
        <w:rPr>
          <w:sz w:val="20"/>
          <w:szCs w:val="20"/>
          <w:color w:val="auto"/>
        </w:rPr>
      </w:pPr>
    </w:p>
    <w:p>
      <w:pPr>
        <w:ind w:left="585"/>
        <w:spacing w:after="0"/>
        <w:tabs>
          <w:tab w:leader="none" w:pos="1564" w:val="left"/>
        </w:tabs>
        <w:rPr>
          <w:sz w:val="20"/>
          <w:szCs w:val="20"/>
          <w:color w:val="auto"/>
        </w:rPr>
      </w:pPr>
      <w:r>
        <w:rPr>
          <w:rFonts w:ascii="Arial" w:cs="Arial" w:eastAsia="Arial" w:hAnsi="Arial"/>
          <w:sz w:val="16"/>
          <w:szCs w:val="16"/>
          <w:b w:val="1"/>
          <w:bCs w:val="1"/>
          <w:color w:val="auto"/>
        </w:rPr>
        <w:t>“Warrant”</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has the meaning set forth in Section 3.1.</w:t>
      </w:r>
    </w:p>
    <w:p>
      <w:pPr>
        <w:spacing w:after="0" w:line="252" w:lineRule="exact"/>
        <w:rPr>
          <w:sz w:val="20"/>
          <w:szCs w:val="20"/>
          <w:color w:val="auto"/>
        </w:rPr>
      </w:pPr>
    </w:p>
    <w:p>
      <w:pPr>
        <w:ind w:left="385" w:right="340" w:hanging="581"/>
        <w:spacing w:after="0" w:line="298" w:lineRule="auto"/>
        <w:tabs>
          <w:tab w:leader="none" w:pos="364"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5"/>
          <w:szCs w:val="15"/>
          <w:color w:val="auto"/>
        </w:rPr>
        <w:t>For purposes of this Agreement (i) words in the singular shall be held to include the plural and vice versa as the context requires, (ii) the words “including” and “include” shall mean “including, without limitation”, unless otherwise specified; (iii) the terms “hereof”, “herein”, “herewith”, and “hereunder”, and words of similar import shall, unless otherwise stated, be construed to refer to this Agreement as a whole and not to any particular provision of this Agreement; (iv) all references to “Article” or “Section”, unless otherwise specified, are intended to refer to an Article or a Section of this Agreement; and (v) all references to “Exhibit” or “Schedule”, unless otherwise specified, are intended to refer to an Exhibit or Schedule of this Agreement.</w:t>
      </w:r>
    </w:p>
    <w:p>
      <w:pPr>
        <w:spacing w:after="0" w:line="167" w:lineRule="exact"/>
        <w:rPr>
          <w:sz w:val="20"/>
          <w:szCs w:val="20"/>
          <w:color w:val="auto"/>
        </w:rPr>
      </w:pPr>
    </w:p>
    <w:p>
      <w:pPr>
        <w:ind w:left="585" w:hanging="585"/>
        <w:spacing w:after="0"/>
        <w:tabs>
          <w:tab w:leader="none" w:pos="585"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PURCHASE AND SALE OF ASSETS</w:t>
      </w:r>
    </w:p>
    <w:p>
      <w:pPr>
        <w:sectPr>
          <w:pgSz w:w="11900" w:h="16838" w:orient="portrait"/>
          <w:cols w:equalWidth="0" w:num="1">
            <w:col w:w="11165"/>
          </w:cols>
          <w:pgMar w:left="335" w:top="838" w:right="399" w:bottom="1440" w:gutter="0" w:footer="0" w:header="0"/>
          <w:type w:val="continuous"/>
        </w:sectPr>
      </w:pPr>
    </w:p>
    <w:bookmarkStart w:id="263" w:name="page264"/>
    <w:bookmarkEnd w:id="263"/>
    <w:p>
      <w:pPr>
        <w:ind w:left="8440"/>
        <w:spacing w:after="0"/>
        <w:rPr>
          <w:sz w:val="20"/>
          <w:szCs w:val="20"/>
          <w:color w:val="auto"/>
        </w:rPr>
      </w:pPr>
      <w:r>
        <w:rPr>
          <w:rFonts w:ascii="Arial" w:cs="Arial" w:eastAsia="Arial" w:hAnsi="Arial"/>
          <w:sz w:val="20"/>
          <w:szCs w:val="20"/>
          <w:color w:val="auto"/>
        </w:rPr>
        <w:t>Exhibit 10.23</w:t>
      </w:r>
    </w:p>
    <w:p>
      <w:pPr>
        <w:spacing w:after="0" w:line="250" w:lineRule="exact"/>
        <w:rPr>
          <w:sz w:val="20"/>
          <w:szCs w:val="20"/>
          <w:color w:val="auto"/>
        </w:rPr>
      </w:pPr>
    </w:p>
    <w:p>
      <w:pPr>
        <w:jc w:val="both"/>
        <w:ind w:left="400" w:right="500" w:hanging="581"/>
        <w:spacing w:after="0" w:line="345" w:lineRule="auto"/>
        <w:tabs>
          <w:tab w:leader="none" w:pos="3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u w:val="single" w:color="auto"/>
          <w:color w:val="auto"/>
        </w:rPr>
        <w:t>Purchase and Sale of the Purchased Assets</w:t>
      </w:r>
      <w:r>
        <w:rPr>
          <w:rFonts w:ascii="Arial" w:cs="Arial" w:eastAsia="Arial" w:hAnsi="Arial"/>
          <w:sz w:val="14"/>
          <w:szCs w:val="14"/>
          <w:color w:val="auto"/>
        </w:rPr>
        <w:t>. Subject to the terms and conditions of this Agreement, on the Closing Date, Seller shall, or shall cause its relevant</w:t>
      </w:r>
      <w:r>
        <w:rPr>
          <w:rFonts w:ascii="Arial" w:cs="Arial" w:eastAsia="Arial" w:hAnsi="Arial"/>
          <w:sz w:val="14"/>
          <w:szCs w:val="14"/>
          <w:u w:val="single" w:color="auto"/>
          <w:color w:val="auto"/>
        </w:rPr>
        <w:t xml:space="preserve"> </w:t>
      </w:r>
      <w:r>
        <w:rPr>
          <w:rFonts w:ascii="Arial" w:cs="Arial" w:eastAsia="Arial" w:hAnsi="Arial"/>
          <w:sz w:val="14"/>
          <w:szCs w:val="14"/>
          <w:color w:val="auto"/>
        </w:rPr>
        <w:t>Affiliates to, sell, transfer, convey, assign and deliver to Buyer, free and clear from all Encumbrances (other than Permitted Encumbrances), and Buyer shall purchase, acquire and accept from Seller, and such Affiliates of Seller, all right, title and interest of Seller and such Affiliates in and to the Purchased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6395085</wp:posOffset>
            </wp:positionH>
            <wp:positionV relativeFrom="paragraph">
              <wp:posOffset>-330835</wp:posOffset>
            </wp:positionV>
            <wp:extent cx="25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0"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3"/>
          <w:szCs w:val="13"/>
          <w:u w:val="single" w:color="auto"/>
          <w:color w:val="auto"/>
        </w:rPr>
        <w:t>Assumption of Liabilities</w:t>
      </w:r>
      <w:r>
        <w:rPr>
          <w:rFonts w:ascii="Arial" w:cs="Arial" w:eastAsia="Arial" w:hAnsi="Arial"/>
          <w:sz w:val="13"/>
          <w:szCs w:val="13"/>
          <w:color w:val="auto"/>
        </w:rPr>
        <w:t>. On the Closing Date, Buyer shall assume and thereafter pay, perform and discharge when due, all Assumed Liabilities.</w:t>
      </w:r>
    </w:p>
    <w:p>
      <w:pPr>
        <w:spacing w:after="0" w:line="262" w:lineRule="exact"/>
        <w:rPr>
          <w:sz w:val="20"/>
          <w:szCs w:val="20"/>
          <w:color w:val="auto"/>
        </w:rPr>
      </w:pPr>
    </w:p>
    <w:p>
      <w:pPr>
        <w:ind w:left="400" w:right="380" w:hanging="581"/>
        <w:spacing w:after="0" w:line="328" w:lineRule="auto"/>
        <w:tabs>
          <w:tab w:leader="none" w:pos="38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u w:val="single" w:color="auto"/>
          <w:color w:val="auto"/>
        </w:rPr>
        <w:t>Retained Rights</w:t>
      </w:r>
      <w:r>
        <w:rPr>
          <w:rFonts w:ascii="Arial" w:cs="Arial" w:eastAsia="Arial" w:hAnsi="Arial"/>
          <w:sz w:val="16"/>
          <w:szCs w:val="16"/>
          <w:color w:val="auto"/>
        </w:rPr>
        <w:t>. Notwithstanding anything to the contrary contained in this Agreement, from and after the Closing Date, other than the Purchased Assets and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license to Related Technology provided hereby, Seller shall retain all of its right, title and interest in and to all of its assets,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6274435</wp:posOffset>
            </wp:positionH>
            <wp:positionV relativeFrom="paragraph">
              <wp:posOffset>-209550</wp:posOffset>
            </wp:positionV>
            <wp:extent cx="25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39" w:lineRule="exact"/>
        <w:rPr>
          <w:sz w:val="20"/>
          <w:szCs w:val="20"/>
          <w:color w:val="auto"/>
        </w:rPr>
      </w:pPr>
    </w:p>
    <w:p>
      <w:pPr>
        <w:ind w:left="1160" w:hanging="562"/>
        <w:spacing w:after="0"/>
        <w:tabs>
          <w:tab w:leader="none" w:pos="11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all cash and cash equivalents of Seller and its Affiliates;</w:t>
      </w:r>
    </w:p>
    <w:p>
      <w:pPr>
        <w:spacing w:after="0" w:line="221" w:lineRule="exact"/>
        <w:rPr>
          <w:rFonts w:ascii="Arial" w:cs="Arial" w:eastAsia="Arial" w:hAnsi="Arial"/>
          <w:sz w:val="16"/>
          <w:szCs w:val="16"/>
          <w:color w:val="auto"/>
        </w:rPr>
      </w:pPr>
    </w:p>
    <w:p>
      <w:pPr>
        <w:ind w:left="1180" w:hanging="582"/>
        <w:spacing w:after="0"/>
        <w:tabs>
          <w:tab w:leader="none" w:pos="11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all Accounts Receivable of Seller and its Affiliates;</w:t>
      </w:r>
    </w:p>
    <w:p>
      <w:pPr>
        <w:spacing w:after="0" w:line="221" w:lineRule="exact"/>
        <w:rPr>
          <w:rFonts w:ascii="Arial" w:cs="Arial" w:eastAsia="Arial" w:hAnsi="Arial"/>
          <w:sz w:val="16"/>
          <w:szCs w:val="16"/>
          <w:color w:val="auto"/>
        </w:rPr>
      </w:pPr>
    </w:p>
    <w:p>
      <w:pPr>
        <w:ind w:left="1160" w:hanging="562"/>
        <w:spacing w:after="0"/>
        <w:tabs>
          <w:tab w:leader="none" w:pos="11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all Related Technology;</w:t>
      </w:r>
    </w:p>
    <w:p>
      <w:pPr>
        <w:spacing w:after="0" w:line="248" w:lineRule="exact"/>
        <w:rPr>
          <w:rFonts w:ascii="Arial" w:cs="Arial" w:eastAsia="Arial" w:hAnsi="Arial"/>
          <w:sz w:val="16"/>
          <w:szCs w:val="16"/>
          <w:color w:val="auto"/>
        </w:rPr>
      </w:pPr>
    </w:p>
    <w:p>
      <w:pPr>
        <w:ind w:left="1180" w:right="160" w:hanging="582"/>
        <w:spacing w:after="0" w:line="328" w:lineRule="auto"/>
        <w:tabs>
          <w:tab w:leader="none" w:pos="117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all the trademarks and service marks, the corporate logos and trade names of Seller and its Affiliates, together with any variations and derivatives thereof and any other logos, symbols or trademarks, trade names or service marks of Seller and its Affiliates;</w:t>
      </w:r>
    </w:p>
    <w:p>
      <w:pPr>
        <w:spacing w:after="0" w:line="158" w:lineRule="exact"/>
        <w:rPr>
          <w:rFonts w:ascii="Arial" w:cs="Arial" w:eastAsia="Arial" w:hAnsi="Arial"/>
          <w:sz w:val="16"/>
          <w:szCs w:val="16"/>
          <w:color w:val="auto"/>
        </w:rPr>
      </w:pPr>
    </w:p>
    <w:p>
      <w:pPr>
        <w:ind w:left="1160" w:hanging="562"/>
        <w:spacing w:after="0"/>
        <w:tabs>
          <w:tab w:leader="none" w:pos="11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refund or credit of taxes attributable to any tax period prior to the Closing Date;</w:t>
      </w:r>
    </w:p>
    <w:p>
      <w:pPr>
        <w:spacing w:after="0" w:line="221" w:lineRule="exact"/>
        <w:rPr>
          <w:rFonts w:ascii="Arial" w:cs="Arial" w:eastAsia="Arial" w:hAnsi="Arial"/>
          <w:sz w:val="16"/>
          <w:szCs w:val="16"/>
          <w:color w:val="auto"/>
        </w:rPr>
      </w:pPr>
    </w:p>
    <w:p>
      <w:pPr>
        <w:ind w:left="1160" w:hanging="562"/>
        <w:spacing w:after="0"/>
        <w:tabs>
          <w:tab w:leader="none" w:pos="11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all books and records other than the Transferrable Books and Records;</w:t>
      </w:r>
    </w:p>
    <w:p>
      <w:pPr>
        <w:spacing w:after="0" w:line="221" w:lineRule="exact"/>
        <w:rPr>
          <w:rFonts w:ascii="Arial" w:cs="Arial" w:eastAsia="Arial" w:hAnsi="Arial"/>
          <w:sz w:val="16"/>
          <w:szCs w:val="16"/>
          <w:color w:val="auto"/>
        </w:rPr>
      </w:pPr>
    </w:p>
    <w:p>
      <w:pPr>
        <w:ind w:left="1180" w:hanging="582"/>
        <w:spacing w:after="0"/>
        <w:tabs>
          <w:tab w:leader="none" w:pos="11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all tangible property owned by Seller and its Affiliates, other than such tangible property included in the Purchased Assets; and</w:t>
      </w:r>
    </w:p>
    <w:p>
      <w:pPr>
        <w:spacing w:after="0" w:line="248" w:lineRule="exact"/>
        <w:rPr>
          <w:rFonts w:ascii="Arial" w:cs="Arial" w:eastAsia="Arial" w:hAnsi="Arial"/>
          <w:sz w:val="16"/>
          <w:szCs w:val="16"/>
          <w:color w:val="auto"/>
        </w:rPr>
      </w:pPr>
    </w:p>
    <w:p>
      <w:pPr>
        <w:ind w:left="1180" w:right="420" w:hanging="582"/>
        <w:spacing w:after="0" w:line="310" w:lineRule="auto"/>
        <w:tabs>
          <w:tab w:leader="none" w:pos="116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except as expressly included in the Purchased Assets, all other properties, assets, goodwill and rights of Seller and its Affiliates of whatever kind and nature, real, personal, mixed, tangible or intangible.</w:t>
      </w:r>
    </w:p>
    <w:p>
      <w:pPr>
        <w:spacing w:after="0" w:line="227" w:lineRule="exact"/>
        <w:rPr>
          <w:sz w:val="20"/>
          <w:szCs w:val="20"/>
          <w:color w:val="auto"/>
        </w:rPr>
      </w:pPr>
    </w:p>
    <w:p>
      <w:pPr>
        <w:jc w:val="both"/>
        <w:ind w:left="400" w:right="240" w:hanging="581"/>
        <w:spacing w:after="0" w:line="287" w:lineRule="auto"/>
        <w:tabs>
          <w:tab w:leader="none" w:pos="38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u w:val="single" w:color="auto"/>
          <w:color w:val="auto"/>
        </w:rPr>
        <w:t>Retained Liabilities</w:t>
      </w:r>
      <w:r>
        <w:rPr>
          <w:rFonts w:ascii="Arial" w:cs="Arial" w:eastAsia="Arial" w:hAnsi="Arial"/>
          <w:sz w:val="16"/>
          <w:szCs w:val="16"/>
          <w:color w:val="auto"/>
        </w:rPr>
        <w:t>. Notwithstanding anything to the contrary contained in this Agreement, from and after the Closing Date, Buyer shall not assume any Retained</w:t>
      </w:r>
      <w:r>
        <w:rPr>
          <w:rFonts w:ascii="Arial" w:cs="Arial" w:eastAsia="Arial" w:hAnsi="Arial"/>
          <w:sz w:val="16"/>
          <w:szCs w:val="16"/>
          <w:u w:val="single" w:color="auto"/>
          <w:color w:val="auto"/>
        </w:rPr>
        <w:t xml:space="preserve"> </w:t>
      </w:r>
      <w:r>
        <w:rPr>
          <w:rFonts w:ascii="Arial" w:cs="Arial" w:eastAsia="Arial" w:hAnsi="Arial"/>
          <w:sz w:val="16"/>
          <w:szCs w:val="16"/>
          <w:color w:val="auto"/>
        </w:rPr>
        <w:t>Liability, each of which, as between the Parties, shall remain the sole and exclusive responsibility of Seller, irrespective of whether claims for such liabilities are brought on, before or after the Closing Date, and which Seller shall pay, perform and discharge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-309245</wp:posOffset>
            </wp:positionV>
            <wp:extent cx="260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97" w:lineRule="exact"/>
        <w:rPr>
          <w:sz w:val="20"/>
          <w:szCs w:val="20"/>
          <w:color w:val="auto"/>
        </w:rPr>
      </w:pPr>
    </w:p>
    <w:p>
      <w:pPr>
        <w:ind w:left="400" w:right="80" w:hanging="581"/>
        <w:spacing w:after="0" w:line="273" w:lineRule="auto"/>
        <w:tabs>
          <w:tab w:leader="none" w:pos="38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u w:val="single" w:color="auto"/>
          <w:color w:val="auto"/>
        </w:rPr>
        <w:t>Retention of Copies of Certain Assets</w:t>
      </w:r>
      <w:r>
        <w:rPr>
          <w:rFonts w:ascii="Arial" w:cs="Arial" w:eastAsia="Arial" w:hAnsi="Arial"/>
          <w:sz w:val="16"/>
          <w:szCs w:val="16"/>
          <w:color w:val="auto"/>
        </w:rPr>
        <w:t>. Notwithstanding anything to the contrary contained in this Agreement, Seller may retain, at its expense, and be able to use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information in, copies of any or all of the documentation that Seller or any of Seller’s Affiliates deliver to Buyer hereunder or that otherwise constitute Purchased Assets solely (i) for archival purposes, (ii) to fulfill or otherwise dispose of any of Seller’s rights or obligations under this Agreement, (iii) to comply with or fulfill its obligations under Applicable Law, including as necessary for any regulatory, tax or securities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6309360</wp:posOffset>
            </wp:positionH>
            <wp:positionV relativeFrom="paragraph">
              <wp:posOffset>-421640</wp:posOffset>
            </wp:positionV>
            <wp:extent cx="254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96" w:lineRule="exact"/>
        <w:rPr>
          <w:sz w:val="20"/>
          <w:szCs w:val="20"/>
          <w:color w:val="auto"/>
        </w:rPr>
      </w:pPr>
    </w:p>
    <w:p>
      <w:pPr>
        <w:ind w:left="600" w:right="200" w:hanging="2"/>
        <w:spacing w:after="0" w:line="269" w:lineRule="auto"/>
        <w:tabs>
          <w:tab w:leader="none" w:pos="128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for use in any pending or threatened legal or administrative claim, suit, demand or action, (v) subject to its confidentiality obligations under this Agreement, in connection with a financing, acquisition or similar transaction, or (vi) for such other purposes as Seller may reasonably request, subject to Buyer’s prior written consent, which shall be in Buyer’s sole discretion.</w:t>
      </w:r>
    </w:p>
    <w:p>
      <w:pPr>
        <w:spacing w:after="0" w:line="232" w:lineRule="exact"/>
        <w:rPr>
          <w:sz w:val="20"/>
          <w:szCs w:val="20"/>
          <w:color w:val="auto"/>
        </w:rPr>
      </w:pPr>
    </w:p>
    <w:p>
      <w:pPr>
        <w:ind w:left="400" w:right="20" w:hanging="581"/>
        <w:spacing w:after="0" w:line="279" w:lineRule="auto"/>
        <w:tabs>
          <w:tab w:leader="none" w:pos="38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5"/>
          <w:szCs w:val="15"/>
          <w:u w:val="single" w:color="auto"/>
          <w:color w:val="auto"/>
        </w:rPr>
        <w:t>Related Technology License</w:t>
      </w:r>
      <w:r>
        <w:rPr>
          <w:rFonts w:ascii="Arial" w:cs="Arial" w:eastAsia="Arial" w:hAnsi="Arial"/>
          <w:sz w:val="15"/>
          <w:szCs w:val="15"/>
          <w:color w:val="auto"/>
        </w:rPr>
        <w:t>. Seller grants to Buyer, and Buyer accepts, a perpetual, worldwide, royalty-free, non-exclusive license, with right to grant sublicenses</w:t>
      </w:r>
      <w:r>
        <w:rPr>
          <w:rFonts w:ascii="Arial" w:cs="Arial" w:eastAsia="Arial" w:hAnsi="Arial"/>
          <w:sz w:val="15"/>
          <w:szCs w:val="15"/>
          <w:u w:val="single" w:color="auto"/>
          <w:color w:val="auto"/>
        </w:rPr>
        <w:t xml:space="preserve"> </w:t>
      </w:r>
      <w:r>
        <w:rPr>
          <w:rFonts w:ascii="Arial" w:cs="Arial" w:eastAsia="Arial" w:hAnsi="Arial"/>
          <w:sz w:val="15"/>
          <w:szCs w:val="15"/>
          <w:color w:val="auto"/>
        </w:rPr>
        <w:t>(including through multiple tiers), under the Related Technology solely in connection with the Development, manufacture and Commercialization of the Products. Buyer shall have the right to sublicense its rights under this Section 2.6 to (i) an Affiliate of Buyer or (ii) any Third Party in connection with a license, agreement or transaction under which Buyer grants such Third Party a right to Develop or Commercialize the Product; provided that in each case such sublicensee agrees in writing to be bound by Buyer’s obligations under this Section 2.6. Buyer shall provide Seller a copy of each executed sublicense entered into by Buyer under this agreement. Buyer shall (a) comply in all material respects with all Applicable Law relating to the Development, manufacture and Commercialization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-654050</wp:posOffset>
            </wp:positionV>
            <wp:extent cx="254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ind w:left="600" w:right="60" w:firstLine="2"/>
        <w:spacing w:after="0" w:line="276" w:lineRule="auto"/>
        <w:tabs>
          <w:tab w:leader="none" w:pos="82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not claim or represent through the use of the Related Technology that it has acquired any title in or ownership of the Related Technology; and (c) not register or permit any Related Party to register any industrial or intellectual property right embodying the Related Technology in any country without Seller’s prior written consent, which consent shall not be unreasonably withheld or delayed.</w:t>
      </w:r>
    </w:p>
    <w:p>
      <w:pPr>
        <w:spacing w:after="0" w:line="212"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u w:val="single" w:color="auto"/>
          <w:color w:val="auto"/>
        </w:rPr>
        <w:t>Technology Transfer Transition Plan</w:t>
      </w:r>
      <w:r>
        <w:rPr>
          <w:rFonts w:ascii="Arial" w:cs="Arial" w:eastAsia="Arial" w:hAnsi="Arial"/>
          <w:sz w:val="14"/>
          <w:szCs w:val="14"/>
          <w:color w:val="auto"/>
        </w:rPr>
        <w:t>. As soon as practicable after the Closing Date, but in no case later than fifteen (15) Business Days after Closing the Parties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6379845</wp:posOffset>
            </wp:positionH>
            <wp:positionV relativeFrom="paragraph">
              <wp:posOffset>-6985</wp:posOffset>
            </wp:positionV>
            <wp:extent cx="260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 w:lineRule="exact"/>
        <w:rPr>
          <w:sz w:val="20"/>
          <w:szCs w:val="20"/>
          <w:color w:val="auto"/>
        </w:rPr>
      </w:pPr>
    </w:p>
    <w:p>
      <w:pPr>
        <w:ind w:left="600"/>
        <w:spacing w:after="0" w:line="278" w:lineRule="auto"/>
        <w:rPr>
          <w:sz w:val="20"/>
          <w:szCs w:val="20"/>
          <w:color w:val="auto"/>
        </w:rPr>
      </w:pPr>
      <w:r>
        <w:rPr>
          <w:rFonts w:ascii="Arial" w:cs="Arial" w:eastAsia="Arial" w:hAnsi="Arial"/>
          <w:sz w:val="15"/>
          <w:szCs w:val="15"/>
          <w:color w:val="auto"/>
        </w:rPr>
        <w:t>meet in person at Seller’s offices to discuss and agree upon a written Technology Transition Plan that will, at a minimum, include the items set forth on Exhibit 8. Beginning on the Closing Date and for a period of one hundred and five (105) days after the Closing Date (the “</w:t>
      </w:r>
      <w:r>
        <w:rPr>
          <w:rFonts w:ascii="Arial" w:cs="Arial" w:eastAsia="Arial" w:hAnsi="Arial"/>
          <w:sz w:val="15"/>
          <w:szCs w:val="15"/>
          <w:b w:val="1"/>
          <w:bCs w:val="1"/>
          <w:color w:val="auto"/>
        </w:rPr>
        <w:t>Transition Period</w:t>
      </w:r>
      <w:r>
        <w:rPr>
          <w:rFonts w:ascii="Arial" w:cs="Arial" w:eastAsia="Arial" w:hAnsi="Arial"/>
          <w:sz w:val="15"/>
          <w:szCs w:val="15"/>
          <w:color w:val="auto"/>
        </w:rPr>
        <w:t>”), Seller shall use commercially reasonable efforts to transfer to Buyer, the Product Know-How, Transferred Materials and Transferable Books and Records in accordance with the Technology Transition Plan. As part of such technology transfer, for the first eighteen (18) months following the Closing Date, Seller shall provide to Buyer or its designee, such Product Know-How and Related Technology as reasonably requested by Seller to enable Seller to Develop, manufacture and Commercialize Products; provided that such Product Know-How and/or Related Technology is in Seller’s possession and reasonably capable of being transferred. Seller shall provide information and necessary support in accordance with the Technology Transition Plan. During the Transition Period, Seller shall bear its own expenses related to the Technology Transition Plan and the Technology Transfer. Buyer shall fund (a) all of the reasonable FTE costs incurred by Seller in the performance of the Technology Transition Plan after the Transfer Period and any subsequent transfer by Seller of Product Know-How, Transferred Materials or Transferable Books and Records on the basis of the FTE Rate per FTE and (b) all third party out-of-pocket expenses incurred by Seller in the performance of the Technology Transition Plan, to the extent such third party out-of-pocket costs are approved in writing in advance by Buyer.</w:t>
      </w:r>
    </w:p>
    <w:p>
      <w:pPr>
        <w:sectPr>
          <w:pgSz w:w="11900" w:h="16838" w:orient="portrait"/>
          <w:cols w:equalWidth="0" w:num="1">
            <w:col w:w="11240"/>
          </w:cols>
          <w:pgMar w:left="320" w:top="838" w:right="339" w:bottom="1440" w:gutter="0" w:footer="0" w:header="0"/>
        </w:sectPr>
      </w:pPr>
    </w:p>
    <w:bookmarkStart w:id="264" w:name="page265"/>
    <w:bookmarkEnd w:id="264"/>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left="600"/>
        <w:spacing w:after="0" w:line="260" w:lineRule="auto"/>
        <w:rPr>
          <w:sz w:val="20"/>
          <w:szCs w:val="20"/>
          <w:color w:val="auto"/>
        </w:rPr>
      </w:pPr>
      <w:r>
        <w:rPr>
          <w:rFonts w:ascii="Arial" w:cs="Arial" w:eastAsia="Arial" w:hAnsi="Arial"/>
          <w:sz w:val="16"/>
          <w:szCs w:val="16"/>
          <w:color w:val="auto"/>
        </w:rPr>
        <w:t>Buyer shall pay such FTE costs and such approved third party out-of-pocket expenses within thirty (30) days following receipt of an invoice therefor. Without limiting the foregoing, the Seller shall continue to support the technology transition efforts during the first eighteen (18) months following the Closing Date until all Transferred Materials and Transferable Books and Records have been effectively transferred to Buyer.</w:t>
      </w:r>
    </w:p>
    <w:p>
      <w:pPr>
        <w:spacing w:after="0" w:line="239" w:lineRule="exact"/>
        <w:rPr>
          <w:sz w:val="20"/>
          <w:szCs w:val="20"/>
          <w:color w:val="auto"/>
        </w:rPr>
      </w:pPr>
    </w:p>
    <w:p>
      <w:pPr>
        <w:ind w:left="400" w:right="20" w:hanging="581"/>
        <w:spacing w:after="0" w:line="280" w:lineRule="auto"/>
        <w:tabs>
          <w:tab w:leader="none" w:pos="38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5"/>
          <w:szCs w:val="15"/>
          <w:color w:val="auto"/>
        </w:rPr>
        <w:t xml:space="preserve">[****] </w:t>
      </w:r>
      <w:r>
        <w:rPr>
          <w:rFonts w:ascii="Arial" w:cs="Arial" w:eastAsia="Arial" w:hAnsi="Arial"/>
          <w:sz w:val="15"/>
          <w:szCs w:val="15"/>
          <w:u w:val="single" w:color="auto"/>
          <w:color w:val="auto"/>
        </w:rPr>
        <w:t>and Payment</w:t>
      </w:r>
      <w:r>
        <w:rPr>
          <w:rFonts w:ascii="Arial" w:cs="Arial" w:eastAsia="Arial" w:hAnsi="Arial"/>
          <w:sz w:val="15"/>
          <w:szCs w:val="15"/>
          <w:color w:val="auto"/>
        </w:rPr>
        <w:t>. The Parties acknowledge that (a) pursuant to the [****], Seller agreed to [****] with [****] in the performance of a [****] relating to the Product, including by [****] of Product to [****]; and (b) the [****] Payment is a portion of the compensation to be paid by [****] for the rights granted to [****] pursuant to the [****] Agreement. In consideration of the foregoing, and notwithstanding anything to the contrary herein, the Parties agree that (i) Seller (or its designated vendor) shall retain [****] (as defined in the [****] Agreement) of the inventory of Product as required to [****] the [****] under the [****] Agreement; (ii) Seller shall, directly or through its vendor, [****] such quantities of Product as required to [****]; (iii) Seller shall have the right to directly request and receive the [****] Payment; and (iv) Buyer shall not supply Product to [****] until after the [****] has been [****] unless (A) Seller has breached the [****] obligation and (B) the failure of Buyer to [****] would result in a breach of the [****] Agreement. All obligations to Third Parties related to the safety, efficacy or non-conformance of the [****], including any obligation to replace Product or to engage independent laboratories for testing, shall be deemed Retained Liabilities and shall remain with the Seller and Seller shall discharge all such obligations as required under each applicable agreement or understanding related to the [****]. As reasonably requested by Seller, Buyer shall cooperate with Seller to support Seller’s efforts to fulfill the [****].</w:t>
      </w:r>
    </w:p>
    <w:p>
      <w:pPr>
        <w:spacing w:after="0" w:line="229" w:lineRule="exact"/>
        <w:rPr>
          <w:sz w:val="20"/>
          <w:szCs w:val="20"/>
          <w:color w:val="auto"/>
        </w:rPr>
      </w:pPr>
    </w:p>
    <w:p>
      <w:pPr>
        <w:ind w:left="400" w:right="240" w:hanging="581"/>
        <w:spacing w:after="0" w:line="346" w:lineRule="auto"/>
        <w:tabs>
          <w:tab w:leader="none" w:pos="38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6"/>
          <w:szCs w:val="16"/>
          <w:u w:val="single" w:color="auto"/>
          <w:color w:val="auto"/>
        </w:rPr>
        <w:t>Grant Back</w:t>
      </w:r>
      <w:r>
        <w:rPr>
          <w:rFonts w:ascii="Arial" w:cs="Arial" w:eastAsia="Arial" w:hAnsi="Arial"/>
          <w:sz w:val="16"/>
          <w:szCs w:val="16"/>
          <w:color w:val="auto"/>
        </w:rPr>
        <w:t>. Buyer grants to Seller, and Seller accepts, a worldwide, royalty-free, non-exclusive license, with right to grant sublicenses, under the Purchased Assets</w:t>
      </w:r>
      <w:r>
        <w:rPr>
          <w:rFonts w:ascii="Arial" w:cs="Arial" w:eastAsia="Arial" w:hAnsi="Arial"/>
          <w:sz w:val="16"/>
          <w:szCs w:val="16"/>
          <w:u w:val="single" w:color="auto"/>
          <w:color w:val="auto"/>
        </w:rPr>
        <w:t xml:space="preserve"> </w:t>
      </w:r>
      <w:r>
        <w:rPr>
          <w:rFonts w:ascii="Arial" w:cs="Arial" w:eastAsia="Arial" w:hAnsi="Arial"/>
          <w:sz w:val="16"/>
          <w:szCs w:val="16"/>
          <w:color w:val="auto"/>
        </w:rPr>
        <w:t>solely to perform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-227330</wp:posOffset>
            </wp:positionV>
            <wp:extent cx="254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21" w:lineRule="exact"/>
        <w:rPr>
          <w:sz w:val="20"/>
          <w:szCs w:val="20"/>
          <w:color w:val="auto"/>
        </w:rPr>
      </w:pPr>
    </w:p>
    <w:p>
      <w:pPr>
        <w:ind w:left="600" w:hanging="585"/>
        <w:spacing w:after="0"/>
        <w:tabs>
          <w:tab w:leader="none" w:pos="60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CONSIDERATION AND PAYMENT</w:t>
      </w:r>
    </w:p>
    <w:p>
      <w:pPr>
        <w:spacing w:after="0" w:line="252" w:lineRule="exact"/>
        <w:rPr>
          <w:sz w:val="20"/>
          <w:szCs w:val="20"/>
          <w:color w:val="auto"/>
        </w:rPr>
      </w:pPr>
    </w:p>
    <w:p>
      <w:pPr>
        <w:ind w:left="400" w:right="120" w:hanging="581"/>
        <w:spacing w:after="0" w:line="275" w:lineRule="auto"/>
        <w:tabs>
          <w:tab w:leader="none" w:pos="38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u w:val="single" w:color="auto"/>
          <w:color w:val="auto"/>
        </w:rPr>
        <w:t>Equity Interest</w:t>
      </w:r>
      <w:r>
        <w:rPr>
          <w:rFonts w:ascii="Arial" w:cs="Arial" w:eastAsia="Arial" w:hAnsi="Arial"/>
          <w:sz w:val="16"/>
          <w:szCs w:val="16"/>
          <w:color w:val="auto"/>
        </w:rPr>
        <w:t>. As partial consideration for the Purchased Assets, on the Closing Date the Buyer will issue to Seller a warrant to purchase 2,162,389 common shares,</w:t>
      </w:r>
      <w:r>
        <w:rPr>
          <w:rFonts w:ascii="Arial" w:cs="Arial" w:eastAsia="Arial" w:hAnsi="Arial"/>
          <w:sz w:val="16"/>
          <w:szCs w:val="16"/>
          <w:u w:val="single" w:color="auto"/>
          <w:color w:val="auto"/>
        </w:rPr>
        <w:t xml:space="preserve"> </w:t>
      </w:r>
      <w:r>
        <w:rPr>
          <w:rFonts w:ascii="Arial" w:cs="Arial" w:eastAsia="Arial" w:hAnsi="Arial"/>
          <w:sz w:val="16"/>
          <w:szCs w:val="16"/>
          <w:color w:val="auto"/>
        </w:rPr>
        <w:t>which is the number of common shares representing eight percent (8%) of Buyer’s fully diluted outstanding shares on the issue date. The warrant will be exercisable for the period beginning on the Closing Date and ending on the date that is seven (7) years from the Closing Date at a per share exercise price equal to two dollars and fifty cents ($2.50), the per share price at which the Series A Preferred Shares were issued pursuant to a separate warrant purchase agreement substantially in the form attached hereto as Exhibit 10 (the “</w:t>
      </w:r>
      <w:r>
        <w:rPr>
          <w:rFonts w:ascii="Arial" w:cs="Arial" w:eastAsia="Arial" w:hAnsi="Arial"/>
          <w:sz w:val="16"/>
          <w:szCs w:val="16"/>
          <w:b w:val="1"/>
          <w:bCs w:val="1"/>
          <w:color w:val="auto"/>
        </w:rPr>
        <w:t>Warrant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6371590</wp:posOffset>
            </wp:positionH>
            <wp:positionV relativeFrom="paragraph">
              <wp:posOffset>-559435</wp:posOffset>
            </wp:positionV>
            <wp:extent cx="260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8"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Development and Regulatory Milestones</w:t>
      </w:r>
      <w:r>
        <w:rPr>
          <w:rFonts w:ascii="Arial" w:cs="Arial" w:eastAsia="Arial" w:hAnsi="Arial"/>
          <w:sz w:val="14"/>
          <w:szCs w:val="14"/>
          <w:i w:val="1"/>
          <w:iCs w:val="1"/>
          <w:color w:val="auto"/>
        </w:rPr>
        <w:t>.</w:t>
      </w:r>
      <w:r>
        <w:rPr>
          <w:rFonts w:ascii="Arial" w:cs="Arial" w:eastAsia="Arial" w:hAnsi="Arial"/>
          <w:sz w:val="14"/>
          <w:szCs w:val="14"/>
          <w:u w:val="single" w:color="auto"/>
          <w:color w:val="auto"/>
        </w:rPr>
        <w:t xml:space="preserve"> </w:t>
      </w:r>
      <w:r>
        <w:rPr>
          <w:rFonts w:ascii="Arial" w:cs="Arial" w:eastAsia="Arial" w:hAnsi="Arial"/>
          <w:sz w:val="14"/>
          <w:szCs w:val="14"/>
          <w:color w:val="auto"/>
        </w:rPr>
        <w:t>Buyer shall pay (which payments shall not be creditable against any other obligations of Buyer hereunder) a non-refundable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1969770</wp:posOffset>
            </wp:positionH>
            <wp:positionV relativeFrom="paragraph">
              <wp:posOffset>-6985</wp:posOffset>
            </wp:positionV>
            <wp:extent cx="260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-6985</wp:posOffset>
            </wp:positionV>
            <wp:extent cx="260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 w:lineRule="exact"/>
        <w:rPr>
          <w:sz w:val="20"/>
          <w:szCs w:val="20"/>
          <w:color w:val="auto"/>
        </w:rPr>
      </w:pPr>
    </w:p>
    <w:p>
      <w:pPr>
        <w:ind w:left="600"/>
        <w:spacing w:after="0" w:line="270" w:lineRule="auto"/>
        <w:rPr>
          <w:sz w:val="20"/>
          <w:szCs w:val="20"/>
          <w:color w:val="auto"/>
        </w:rPr>
      </w:pPr>
      <w:r>
        <w:rPr>
          <w:rFonts w:ascii="Arial" w:cs="Arial" w:eastAsia="Arial" w:hAnsi="Arial"/>
          <w:sz w:val="16"/>
          <w:szCs w:val="16"/>
          <w:color w:val="auto"/>
        </w:rPr>
        <w:t xml:space="preserve">payment for each of the milestone events set forth in this Section 3.2 (each a </w:t>
      </w:r>
      <w:r>
        <w:rPr>
          <w:rFonts w:ascii="Arial" w:cs="Arial" w:eastAsia="Arial" w:hAnsi="Arial"/>
          <w:sz w:val="16"/>
          <w:szCs w:val="16"/>
          <w:b w:val="1"/>
          <w:bCs w:val="1"/>
          <w:color w:val="auto"/>
        </w:rPr>
        <w:t>“Development and Regulatory Milestone”</w:t>
      </w:r>
      <w:r>
        <w:rPr>
          <w:rFonts w:ascii="Arial" w:cs="Arial" w:eastAsia="Arial" w:hAnsi="Arial"/>
          <w:sz w:val="16"/>
          <w:szCs w:val="16"/>
          <w:color w:val="auto"/>
        </w:rPr>
        <w:t>), whether the Development and Regulatory Milestone is achieved by Buyer, its Affiliates or Licensees, or any Third Party acting on behalf of Buyer, its Affiliates or Licensees. Payment for each of the Development and Regulatory Milestones shall be made only once regardless of how many times a Product achieves the corresponding Development and Regulatory Milestone, and no payment shall be due for any Development and Regulatory Milestone which is not achieved. The Development and Regulatory Milestones shall be as follows:</w:t>
      </w:r>
    </w:p>
    <w:p>
      <w:pPr>
        <w:spacing w:after="0" w:line="244" w:lineRule="exact"/>
        <w:rPr>
          <w:sz w:val="20"/>
          <w:szCs w:val="20"/>
          <w:color w:val="auto"/>
        </w:rPr>
      </w:pPr>
    </w:p>
    <w:tbl>
      <w:tblPr>
        <w:tblLayout w:type="fixed"/>
        <w:tblInd w:w="1060" w:type="dxa"/>
        <w:tblCellMar>
          <w:top w:w="0" w:type="dxa"/>
          <w:left w:w="0" w:type="dxa"/>
          <w:bottom w:w="0" w:type="dxa"/>
          <w:right w:w="0" w:type="dxa"/>
        </w:tblCellMar>
      </w:tblPr>
      <w:tr>
        <w:trPr>
          <w:trHeight w:val="209"/>
        </w:trPr>
        <w:tc>
          <w:tcPr>
            <w:tcW w:w="4080" w:type="dxa"/>
            <w:vAlign w:val="bottom"/>
            <w:gridSpan w:val="2"/>
          </w:tcPr>
          <w:p>
            <w:pPr>
              <w:jc w:val="right"/>
              <w:ind w:right="1419"/>
              <w:spacing w:after="0"/>
              <w:rPr>
                <w:sz w:val="20"/>
                <w:szCs w:val="20"/>
                <w:color w:val="auto"/>
              </w:rPr>
            </w:pPr>
            <w:r>
              <w:rPr>
                <w:rFonts w:ascii="Arial" w:cs="Arial" w:eastAsia="Arial" w:hAnsi="Arial"/>
                <w:sz w:val="16"/>
                <w:szCs w:val="16"/>
                <w:color w:val="auto"/>
                <w:w w:val="91"/>
              </w:rPr>
              <w:t>Development and Regulatory Milestone</w:t>
            </w:r>
          </w:p>
        </w:tc>
        <w:tc>
          <w:tcPr>
            <w:tcW w:w="1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Payment</w:t>
            </w:r>
          </w:p>
        </w:tc>
      </w:tr>
      <w:tr>
        <w:trPr>
          <w:trHeight w:val="220"/>
        </w:trPr>
        <w:tc>
          <w:tcPr>
            <w:tcW w:w="60" w:type="dxa"/>
            <w:vAlign w:val="bottom"/>
          </w:tcPr>
          <w:p>
            <w:pPr>
              <w:spacing w:after="0"/>
              <w:rPr>
                <w:sz w:val="19"/>
                <w:szCs w:val="19"/>
                <w:color w:val="auto"/>
              </w:rPr>
            </w:pPr>
          </w:p>
        </w:tc>
        <w:tc>
          <w:tcPr>
            <w:tcW w:w="4020" w:type="dxa"/>
            <w:vAlign w:val="bottom"/>
            <w:tcBorders>
              <w:top w:val="single" w:sz="8" w:color="auto"/>
            </w:tcBorders>
          </w:tcPr>
          <w:p>
            <w:pPr>
              <w:jc w:val="right"/>
              <w:ind w:right="34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 United States dollars ($[****])</w:t>
            </w:r>
          </w:p>
        </w:tc>
      </w:tr>
      <w:tr>
        <w:trPr>
          <w:trHeight w:val="216"/>
        </w:trPr>
        <w:tc>
          <w:tcPr>
            <w:tcW w:w="4080" w:type="dxa"/>
            <w:vAlign w:val="bottom"/>
            <w:gridSpan w:val="2"/>
          </w:tcPr>
          <w:p>
            <w:pPr>
              <w:jc w:val="right"/>
              <w:ind w:right="34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 United States dollars ($[****])</w:t>
            </w:r>
          </w:p>
        </w:tc>
      </w:tr>
      <w:tr>
        <w:trPr>
          <w:trHeight w:val="216"/>
        </w:trPr>
        <w:tc>
          <w:tcPr>
            <w:tcW w:w="4080" w:type="dxa"/>
            <w:vAlign w:val="bottom"/>
            <w:gridSpan w:val="2"/>
          </w:tcPr>
          <w:p>
            <w:pPr>
              <w:jc w:val="right"/>
              <w:ind w:right="34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 United States dollars ($[****])</w:t>
            </w:r>
          </w:p>
        </w:tc>
      </w:tr>
      <w:tr>
        <w:trPr>
          <w:trHeight w:val="216"/>
        </w:trPr>
        <w:tc>
          <w:tcPr>
            <w:tcW w:w="4080" w:type="dxa"/>
            <w:vAlign w:val="bottom"/>
            <w:gridSpan w:val="2"/>
          </w:tcPr>
          <w:p>
            <w:pPr>
              <w:jc w:val="right"/>
              <w:ind w:right="34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 United States dollars ($[****])</w:t>
            </w:r>
          </w:p>
        </w:tc>
      </w:tr>
      <w:tr>
        <w:trPr>
          <w:trHeight w:val="216"/>
        </w:trPr>
        <w:tc>
          <w:tcPr>
            <w:tcW w:w="4080" w:type="dxa"/>
            <w:vAlign w:val="bottom"/>
            <w:gridSpan w:val="2"/>
          </w:tcPr>
          <w:p>
            <w:pPr>
              <w:jc w:val="right"/>
              <w:ind w:right="34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 United States dollars ($[****])</w:t>
            </w:r>
          </w:p>
        </w:tc>
      </w:tr>
      <w:tr>
        <w:trPr>
          <w:trHeight w:val="216"/>
        </w:trPr>
        <w:tc>
          <w:tcPr>
            <w:tcW w:w="4080" w:type="dxa"/>
            <w:vAlign w:val="bottom"/>
            <w:gridSpan w:val="2"/>
          </w:tcPr>
          <w:p>
            <w:pPr>
              <w:jc w:val="right"/>
              <w:ind w:right="34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 United States dollars ($[****])</w:t>
            </w:r>
          </w:p>
        </w:tc>
      </w:tr>
    </w:tbl>
    <w:p>
      <w:pPr>
        <w:spacing w:after="0" w:line="334" w:lineRule="exact"/>
        <w:rPr>
          <w:sz w:val="20"/>
          <w:szCs w:val="20"/>
          <w:color w:val="auto"/>
        </w:rPr>
      </w:pPr>
    </w:p>
    <w:p>
      <w:pPr>
        <w:ind w:left="600" w:right="220"/>
        <w:spacing w:after="0" w:line="287" w:lineRule="auto"/>
        <w:rPr>
          <w:sz w:val="20"/>
          <w:szCs w:val="20"/>
          <w:color w:val="auto"/>
        </w:rPr>
      </w:pPr>
      <w:r>
        <w:rPr>
          <w:rFonts w:ascii="Arial" w:cs="Arial" w:eastAsia="Arial" w:hAnsi="Arial"/>
          <w:sz w:val="16"/>
          <w:szCs w:val="16"/>
          <w:color w:val="auto"/>
        </w:rPr>
        <w:t>Buyer shall provide Seller with written notice within thirty (30) days after the achievement of the corresponding Development and Regulatory Milestone and the payment pertaining to such Development and Regulatory Milestone shall be made by Buyer to Seller within ninety (90) days after the achievement of the corresponding Development and Regulatory Milestone.</w:t>
      </w:r>
    </w:p>
    <w:p>
      <w:pPr>
        <w:spacing w:after="0" w:line="204"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u w:val="single" w:color="auto"/>
          <w:color w:val="auto"/>
        </w:rPr>
        <w:t>Earn-Out</w:t>
      </w:r>
      <w:r>
        <w:rPr>
          <w:rFonts w:ascii="Arial" w:cs="Arial" w:eastAsia="Arial" w:hAnsi="Arial"/>
          <w:sz w:val="14"/>
          <w:szCs w:val="14"/>
          <w:color w:val="auto"/>
        </w:rPr>
        <w:t>.</w:t>
      </w:r>
    </w:p>
    <w:p>
      <w:pPr>
        <w:spacing w:after="0" w:line="248" w:lineRule="exact"/>
        <w:rPr>
          <w:sz w:val="20"/>
          <w:szCs w:val="20"/>
          <w:color w:val="auto"/>
        </w:rPr>
      </w:pPr>
    </w:p>
    <w:p>
      <w:pPr>
        <w:ind w:left="1180" w:right="20" w:hanging="582"/>
        <w:spacing w:after="0" w:line="287" w:lineRule="auto"/>
        <w:tabs>
          <w:tab w:leader="none" w:pos="117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Subject to Sections 3.3(b), (c) and (d), Buyer shall pay to Seller [****] percent ([****]%) of aggregate worldwide annual Net Sales of Product by Buyer, its Affiliates or Licensees, or any Third Party acting on behalf of Buyer, its Affiliates or Licensees of all Products in a given calendar year during the Earn-Out Term.</w:t>
      </w:r>
    </w:p>
    <w:p>
      <w:pPr>
        <w:spacing w:after="0" w:line="203" w:lineRule="exact"/>
        <w:rPr>
          <w:rFonts w:ascii="Arial" w:cs="Arial" w:eastAsia="Arial" w:hAnsi="Arial"/>
          <w:sz w:val="16"/>
          <w:szCs w:val="16"/>
          <w:color w:val="auto"/>
        </w:rPr>
      </w:pPr>
    </w:p>
    <w:p>
      <w:pPr>
        <w:ind w:left="1180" w:right="140" w:hanging="582"/>
        <w:spacing w:after="0" w:line="297" w:lineRule="auto"/>
        <w:tabs>
          <w:tab w:leader="none" w:pos="1167" w:val="left"/>
        </w:tabs>
        <w:numPr>
          <w:ilvl w:val="0"/>
          <w:numId w:val="217"/>
        </w:numPr>
        <w:rPr>
          <w:rFonts w:ascii="Arial" w:cs="Arial" w:eastAsia="Arial" w:hAnsi="Arial"/>
          <w:sz w:val="15"/>
          <w:szCs w:val="15"/>
          <w:color w:val="auto"/>
        </w:rPr>
      </w:pPr>
      <w:r>
        <w:rPr>
          <w:rFonts w:ascii="Arial" w:cs="Arial" w:eastAsia="Arial" w:hAnsi="Arial"/>
          <w:sz w:val="15"/>
          <w:szCs w:val="15"/>
          <w:color w:val="auto"/>
        </w:rPr>
        <w:t>If, during a given calendar quarter when a Product is being Commercialized by or on behalf of Buyer, its Affiliates or Licensees in a particular country, there is Generic Competition in such country with respect to a Product, then the earn-out payment payable pursuant to Section 3.3(a) on the Net Sales of Product in such country shall thereafter be reduced to [****] percent ([****]%) of the amounts otherwise payable pursuant to Section 3.3(a) with respect to such Product in such country for such calendar quarter for so long as such Generic Competition remains.</w:t>
      </w:r>
    </w:p>
    <w:p>
      <w:pPr>
        <w:spacing w:after="0" w:line="199" w:lineRule="exact"/>
        <w:rPr>
          <w:rFonts w:ascii="Arial" w:cs="Arial" w:eastAsia="Arial" w:hAnsi="Arial"/>
          <w:sz w:val="15"/>
          <w:szCs w:val="15"/>
          <w:color w:val="auto"/>
        </w:rPr>
      </w:pPr>
    </w:p>
    <w:p>
      <w:pPr>
        <w:ind w:left="1180" w:right="240" w:hanging="582"/>
        <w:spacing w:after="0" w:line="279" w:lineRule="auto"/>
        <w:tabs>
          <w:tab w:leader="none" w:pos="117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Beginning on the date of the First Commercial Sale of a Product, and thereafter until all payment obligations due in connection with the sale of Product under the [****] Agreement (as such obligations exist as of the Closing Date) are satisfied, the earn-out due to Seller set forth in Section 3.3(a) shall be reduced dollar-for-dollar by the amount payable by Buyer to [****] (or its successor in interest) under the [****] Agreement for the corresponding calendar quarter.</w:t>
      </w:r>
    </w:p>
    <w:p>
      <w:pPr>
        <w:sectPr>
          <w:pgSz w:w="11900" w:h="16838" w:orient="portrait"/>
          <w:cols w:equalWidth="0" w:num="1">
            <w:col w:w="11240"/>
          </w:cols>
          <w:pgMar w:left="320" w:top="838" w:right="339" w:bottom="1440" w:gutter="0" w:footer="0" w:header="0"/>
        </w:sectPr>
      </w:pPr>
    </w:p>
    <w:bookmarkStart w:id="265" w:name="page266"/>
    <w:bookmarkEnd w:id="265"/>
    <w:p>
      <w:pPr>
        <w:ind w:left="8040"/>
        <w:spacing w:after="0"/>
        <w:rPr>
          <w:sz w:val="20"/>
          <w:szCs w:val="20"/>
          <w:color w:val="auto"/>
        </w:rPr>
      </w:pPr>
      <w:r>
        <w:rPr>
          <w:rFonts w:ascii="Arial" w:cs="Arial" w:eastAsia="Arial" w:hAnsi="Arial"/>
          <w:sz w:val="20"/>
          <w:szCs w:val="20"/>
          <w:color w:val="auto"/>
        </w:rPr>
        <w:t>Exhibit 10.23</w:t>
      </w:r>
    </w:p>
    <w:p>
      <w:pPr>
        <w:spacing w:after="0" w:line="236" w:lineRule="exact"/>
        <w:rPr>
          <w:sz w:val="20"/>
          <w:szCs w:val="20"/>
          <w:color w:val="auto"/>
        </w:rPr>
      </w:pPr>
    </w:p>
    <w:p>
      <w:pPr>
        <w:ind w:left="780" w:hanging="582"/>
        <w:spacing w:after="0" w:line="287" w:lineRule="auto"/>
        <w:tabs>
          <w:tab w:leader="none" w:pos="76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In the event that Buyer enters into a license with [****] in respect of the issue disclosed and further described on </w:t>
      </w:r>
      <w:r>
        <w:rPr>
          <w:rFonts w:ascii="Arial" w:cs="Arial" w:eastAsia="Arial" w:hAnsi="Arial"/>
          <w:sz w:val="16"/>
          <w:szCs w:val="16"/>
          <w:u w:val="single" w:color="auto"/>
          <w:color w:val="auto"/>
        </w:rPr>
        <w:t>Schedule 5.7(vii)</w:t>
      </w:r>
      <w:r>
        <w:rPr>
          <w:rFonts w:ascii="Arial" w:cs="Arial" w:eastAsia="Arial" w:hAnsi="Arial"/>
          <w:sz w:val="16"/>
          <w:szCs w:val="16"/>
          <w:color w:val="auto"/>
        </w:rPr>
        <w:t>, Buyer shall be entitled to credit [****] percent ([****]%) of the amount payable to [****] under such license in a given period in connection with such license against the amount payable to Seller under Section 3.3(a) for the corresponding period.</w:t>
      </w:r>
    </w:p>
    <w:p>
      <w:pPr>
        <w:spacing w:after="0" w:line="217" w:lineRule="exact"/>
        <w:rPr>
          <w:sz w:val="20"/>
          <w:szCs w:val="20"/>
          <w:color w:val="auto"/>
        </w:rPr>
      </w:pPr>
    </w:p>
    <w:p>
      <w:pPr>
        <w:ind w:right="60" w:hanging="581"/>
        <w:spacing w:after="0" w:line="275" w:lineRule="auto"/>
        <w:rPr>
          <w:sz w:val="20"/>
          <w:szCs w:val="20"/>
          <w:color w:val="auto"/>
        </w:rPr>
      </w:pPr>
      <w:r>
        <w:rPr>
          <w:rFonts w:ascii="Arial" w:cs="Arial" w:eastAsia="Arial" w:hAnsi="Arial"/>
          <w:sz w:val="16"/>
          <w:szCs w:val="16"/>
          <w:color w:val="auto"/>
        </w:rPr>
        <w:t>3.4</w:t>
      </w:r>
      <w:r>
        <w:rPr>
          <w:sz w:val="20"/>
          <w:szCs w:val="20"/>
          <w:color w:val="auto"/>
        </w:rPr>
        <w:t xml:space="preserve"> </w:t>
      </w:r>
      <w:r>
        <w:rPr>
          <w:rFonts w:ascii="Arial" w:cs="Arial" w:eastAsia="Arial" w:hAnsi="Arial"/>
          <w:sz w:val="16"/>
          <w:szCs w:val="16"/>
          <w:u w:val="single" w:color="auto"/>
          <w:color w:val="auto"/>
        </w:rPr>
        <w:t>Commercial Milestones</w:t>
      </w:r>
      <w:r>
        <w:rPr>
          <w:rFonts w:ascii="Arial" w:cs="Arial" w:eastAsia="Arial" w:hAnsi="Arial"/>
          <w:sz w:val="16"/>
          <w:szCs w:val="16"/>
          <w:i w:val="1"/>
          <w:iCs w:val="1"/>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Buyer shall pay a non-creditable, non-refundable milestone payment for each of the milestone events set forth in this Section 3.4 (each a</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“Commercial Milestone”</w:t>
      </w:r>
      <w:r>
        <w:rPr>
          <w:rFonts w:ascii="Arial" w:cs="Arial" w:eastAsia="Arial" w:hAnsi="Arial"/>
          <w:sz w:val="16"/>
          <w:szCs w:val="16"/>
          <w:color w:val="auto"/>
        </w:rPr>
        <w:t>), whether the Commercial Milestone is achieved by Buyer, its Affiliates or Licensees, or any Third Party acting on behalf of Buyer,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or Licensees. Payment for each of the Commercial Milestones shall be made only once regardless of how many times a Product achieves the corresponding Commercial Milestone, and no payment shall be due for any Commercial Milestone which is not achieved. The Commercial Milestones shall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-559435</wp:posOffset>
            </wp:positionV>
            <wp:extent cx="260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-559435</wp:posOffset>
            </wp:positionV>
            <wp:extent cx="254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ectPr>
          <w:pgSz w:w="11900" w:h="16838" w:orient="portrait"/>
          <w:cols w:equalWidth="0" w:num="1">
            <w:col w:w="10780"/>
          </w:cols>
          <w:pgMar w:left="720" w:top="838" w:right="399" w:bottom="1440" w:gutter="0" w:footer="0" w:header="0"/>
        </w:sect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Commercial Milestone</w:t>
      </w:r>
    </w:p>
    <w:p>
      <w:pPr>
        <w:spacing w:after="0" w:line="235" w:lineRule="exact"/>
        <w:rPr>
          <w:sz w:val="20"/>
          <w:szCs w:val="20"/>
          <w:color w:val="auto"/>
        </w:rPr>
      </w:pPr>
    </w:p>
    <w:p>
      <w:pPr>
        <w:jc w:val="both"/>
        <w:ind w:left="640"/>
        <w:spacing w:after="0" w:line="269" w:lineRule="auto"/>
        <w:rPr>
          <w:sz w:val="20"/>
          <w:szCs w:val="20"/>
          <w:color w:val="auto"/>
        </w:rPr>
      </w:pPr>
      <w:r>
        <w:rPr>
          <w:rFonts w:ascii="Arial" w:cs="Arial" w:eastAsia="Arial" w:hAnsi="Arial"/>
          <w:sz w:val="16"/>
          <w:szCs w:val="16"/>
          <w:color w:val="auto"/>
        </w:rPr>
        <w:t>Aggregate worldwide Net Sales of Product that exceed [****] United States dollars ($[****]) based on the aggregate of all Net Sales of Product since the first commercial sale of Product</w:t>
      </w:r>
    </w:p>
    <w:p>
      <w:pPr>
        <w:spacing w:after="0" w:line="205" w:lineRule="exact"/>
        <w:rPr>
          <w:sz w:val="20"/>
          <w:szCs w:val="20"/>
          <w:color w:val="auto"/>
        </w:rPr>
      </w:pPr>
    </w:p>
    <w:p>
      <w:pPr>
        <w:jc w:val="both"/>
        <w:ind w:left="640"/>
        <w:spacing w:after="0" w:line="269" w:lineRule="auto"/>
        <w:rPr>
          <w:sz w:val="20"/>
          <w:szCs w:val="20"/>
          <w:color w:val="auto"/>
        </w:rPr>
      </w:pPr>
      <w:r>
        <w:rPr>
          <w:rFonts w:ascii="Arial" w:cs="Arial" w:eastAsia="Arial" w:hAnsi="Arial"/>
          <w:sz w:val="16"/>
          <w:szCs w:val="16"/>
          <w:color w:val="auto"/>
        </w:rPr>
        <w:t>Aggregate worldwide Net Sales of Product that exceed [****] United States dollars ($[****]) based on the aggregate of all Net Sales of Product since the first commercial sale of Product</w:t>
      </w:r>
    </w:p>
    <w:p>
      <w:pPr>
        <w:spacing w:after="0" w:line="218" w:lineRule="exact"/>
        <w:rPr>
          <w:sz w:val="20"/>
          <w:szCs w:val="20"/>
          <w:color w:val="auto"/>
        </w:rPr>
      </w:pPr>
    </w:p>
    <w:p>
      <w:pPr>
        <w:jc w:val="both"/>
        <w:ind w:left="640"/>
        <w:spacing w:after="0" w:line="269" w:lineRule="auto"/>
        <w:rPr>
          <w:sz w:val="20"/>
          <w:szCs w:val="20"/>
          <w:color w:val="auto"/>
        </w:rPr>
      </w:pPr>
      <w:r>
        <w:rPr>
          <w:rFonts w:ascii="Arial" w:cs="Arial" w:eastAsia="Arial" w:hAnsi="Arial"/>
          <w:sz w:val="16"/>
          <w:szCs w:val="16"/>
          <w:color w:val="auto"/>
        </w:rPr>
        <w:t>Aggregate worldwide Net Sales of Product that exceed [****] United States dollars ($[****]) based on the aggregate of all Net Sales of Product since the first commercial sale of Product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Payment</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 United States dollars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 United States dollars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 United States dollars ($[****])</w:t>
      </w:r>
    </w:p>
    <w:p>
      <w:pPr>
        <w:sectPr>
          <w:pgSz w:w="11900" w:h="16838" w:orient="portrait"/>
          <w:cols w:equalWidth="0" w:num="2">
            <w:col w:w="5140" w:space="60"/>
            <w:col w:w="5580"/>
          </w:cols>
          <w:pgMar w:left="720" w:top="838" w:right="399" w:bottom="1440" w:gutter="0" w:footer="0" w:header="0"/>
          <w:type w:val="continuous"/>
        </w:sectPr>
      </w:pPr>
    </w:p>
    <w:bookmarkStart w:id="266" w:name="page267"/>
    <w:bookmarkEnd w:id="266"/>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left="600" w:right="220"/>
        <w:spacing w:after="0" w:line="267" w:lineRule="auto"/>
        <w:rPr>
          <w:sz w:val="20"/>
          <w:szCs w:val="20"/>
          <w:color w:val="auto"/>
        </w:rPr>
      </w:pPr>
      <w:r>
        <w:rPr>
          <w:rFonts w:ascii="Arial" w:cs="Arial" w:eastAsia="Arial" w:hAnsi="Arial"/>
          <w:sz w:val="16"/>
          <w:szCs w:val="16"/>
          <w:color w:val="auto"/>
        </w:rPr>
        <w:t>Buyer shall provide Seller with written notice within sixty (60) days of Buyer becoming aware of the occurrence of any of the Commercial Milestones (which awareness shall not be deemed to occur prior to twenty (20) days following the end of the fiscal quarter in which such milestone was achieved) and the payment pertaining to such Commercial Milestone shall be made by Buyer to Seller within ninety (90) days after the end of the calendar year in which such Commercial Milestone is achieved.</w:t>
      </w:r>
    </w:p>
    <w:p>
      <w:pPr>
        <w:spacing w:after="0" w:line="234" w:lineRule="exact"/>
        <w:rPr>
          <w:sz w:val="20"/>
          <w:szCs w:val="20"/>
          <w:color w:val="auto"/>
        </w:rPr>
      </w:pPr>
    </w:p>
    <w:p>
      <w:pPr>
        <w:ind w:left="400" w:right="340" w:hanging="581"/>
        <w:spacing w:after="0" w:line="279" w:lineRule="auto"/>
        <w:tabs>
          <w:tab w:leader="none" w:pos="38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6"/>
          <w:szCs w:val="16"/>
          <w:u w:val="single" w:color="auto"/>
          <w:color w:val="auto"/>
        </w:rPr>
        <w:t>Qualified Consideration</w:t>
      </w:r>
      <w:r>
        <w:rPr>
          <w:rFonts w:ascii="Arial" w:cs="Arial" w:eastAsia="Arial" w:hAnsi="Arial"/>
          <w:sz w:val="16"/>
          <w:szCs w:val="16"/>
          <w:color w:val="auto"/>
        </w:rPr>
        <w:t>. Buyer shall pay Seller an amount equal to [****] percent ([****]%) of all Qualified Consideration received pursuant to any Qualified</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Consideration Agreement; provided that if Buyer or its Affiliates enter into the Qualified Consideration Agreement after the Completion of the first Phase III Clinical Trial for a Product, then all such amounts paid to Seller shall be creditable against future milestones related to the applicable Product which are due to Seller in accordance with Section 3.2 or Section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-433705</wp:posOffset>
            </wp:positionV>
            <wp:extent cx="254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4"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4"/>
          <w:szCs w:val="14"/>
          <w:u w:val="single" w:color="auto"/>
          <w:color w:val="auto"/>
        </w:rPr>
        <w:t>Reports</w:t>
      </w:r>
      <w:r>
        <w:rPr>
          <w:rFonts w:ascii="Arial" w:cs="Arial" w:eastAsia="Arial" w:hAnsi="Arial"/>
          <w:sz w:val="14"/>
          <w:szCs w:val="14"/>
          <w:color w:val="auto"/>
        </w:rPr>
        <w:t>. Within forty-five (45) days (sixty (60) days in the event that a Licensee has generated Net Sales) after the conclusion of each calendar quarter in which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-6985</wp:posOffset>
            </wp:positionV>
            <wp:extent cx="254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2" w:lineRule="exact"/>
        <w:rPr>
          <w:sz w:val="20"/>
          <w:szCs w:val="20"/>
          <w:color w:val="auto"/>
        </w:rPr>
      </w:pPr>
    </w:p>
    <w:p>
      <w:pPr>
        <w:jc w:val="both"/>
        <w:ind w:left="600" w:right="220"/>
        <w:spacing w:after="0" w:line="313" w:lineRule="auto"/>
        <w:rPr>
          <w:sz w:val="20"/>
          <w:szCs w:val="20"/>
          <w:color w:val="auto"/>
        </w:rPr>
      </w:pPr>
      <w:r>
        <w:rPr>
          <w:rFonts w:ascii="Arial" w:cs="Arial" w:eastAsia="Arial" w:hAnsi="Arial"/>
          <w:sz w:val="14"/>
          <w:szCs w:val="14"/>
          <w:color w:val="auto"/>
        </w:rPr>
        <w:t>Sales are generated or Qualified Consideration is received, Buyer shall deliver to Seller a report containing the following information (in each instance, with a Product-by-Product and country-by-country breakdown): (i) the gross amount billed or invoiced for Products sold, leased or otherwise transferred by Buyer, its Affiliates and Licensees during the applicable calendar quarter; (ii) a calculation of Net Sales for the applicable calendar quarter, including an itemized listing of deductions; (iii) a detailed accounting of all Qualified Consideration received during the applicable calendar quarter, if any; and (iv) the total amount payable to Seller in U.S. Dollars on Net Sales and Qualified Consideration for the applicable calendar quarter, together with the exchange rates used for conversion.</w:t>
      </w:r>
    </w:p>
    <w:p>
      <w:pPr>
        <w:spacing w:after="0" w:line="192" w:lineRule="exact"/>
        <w:rPr>
          <w:sz w:val="20"/>
          <w:szCs w:val="20"/>
          <w:color w:val="auto"/>
        </w:rPr>
      </w:pPr>
    </w:p>
    <w:p>
      <w:pPr>
        <w:ind w:left="400" w:right="20" w:hanging="581"/>
        <w:spacing w:after="0" w:line="275" w:lineRule="auto"/>
        <w:tabs>
          <w:tab w:leader="none" w:pos="38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 Within forty-five (45) days (sixty (60) days in the event that a Licensee has generated Net Sales) after the end of each calendar quarter, Buyer shall pay</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Seller all amounts due with respect to Net Sales and Qualified Consideration for the applicable calendar quarter. All payments due under this Agreement will be paid in U.S. Dollars. Conversion of foreign currency to U.S. Dollars will be made at the conversion rate existing in the United States (as reported in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Journal</w:t>
      </w:r>
      <w:r>
        <w:rPr>
          <w:rFonts w:ascii="Arial" w:cs="Arial" w:eastAsia="Arial" w:hAnsi="Arial"/>
          <w:sz w:val="16"/>
          <w:szCs w:val="16"/>
          <w:color w:val="auto"/>
        </w:rPr>
        <w:t>, Eastern Edition) on the last working day of the applicable Calendar Quarter. Such payments will be without deduction of exchange, collection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-559435</wp:posOffset>
            </wp:positionV>
            <wp:extent cx="254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22" w:lineRule="exact"/>
        <w:rPr>
          <w:sz w:val="20"/>
          <w:szCs w:val="20"/>
          <w:color w:val="auto"/>
        </w:rPr>
      </w:pPr>
    </w:p>
    <w:p>
      <w:pPr>
        <w:jc w:val="both"/>
        <w:ind w:left="400" w:right="320" w:hanging="581"/>
        <w:spacing w:after="0" w:line="287" w:lineRule="auto"/>
        <w:tabs>
          <w:tab w:leader="none" w:pos="38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 MacroGenics shall be entitled to charge interest on any payment under this Agreement that is overdue, to the extent permitted by Applicable Laws, at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thirty-day United States Dollar London Interbank Offered Rate (LIBOR) effective for the date that payment was due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Eastern Edition) plus [****] percent ([****]%), on a per year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6395085</wp:posOffset>
            </wp:positionH>
            <wp:positionV relativeFrom="paragraph">
              <wp:posOffset>-309245</wp:posOffset>
            </wp:positionV>
            <wp:extent cx="260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97" w:lineRule="exact"/>
        <w:rPr>
          <w:sz w:val="20"/>
          <w:szCs w:val="20"/>
          <w:color w:val="auto"/>
        </w:rPr>
      </w:pPr>
    </w:p>
    <w:p>
      <w:pPr>
        <w:ind w:left="400" w:right="20" w:hanging="581"/>
        <w:spacing w:after="0" w:line="265" w:lineRule="auto"/>
        <w:tabs>
          <w:tab w:leader="none" w:pos="380" w:val="left"/>
        </w:tabs>
        <w:rPr>
          <w:sz w:val="20"/>
          <w:szCs w:val="20"/>
          <w:color w:val="auto"/>
        </w:rPr>
      </w:pPr>
      <w:r>
        <w:rPr>
          <w:rFonts w:ascii="Arial" w:cs="Arial" w:eastAsia="Arial" w:hAnsi="Arial"/>
          <w:sz w:val="16"/>
          <w:szCs w:val="16"/>
          <w:color w:val="auto"/>
        </w:rPr>
        <w:t>3.9</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Buyer and Seller do not anticipate there being any sales taxes, value added tax, use taxes, transfer taxes, or similar taxes or withholding requirements that will</w:t>
      </w:r>
      <w:r>
        <w:rPr>
          <w:rFonts w:ascii="Arial" w:cs="Arial" w:eastAsia="Arial" w:hAnsi="Arial"/>
          <w:sz w:val="16"/>
          <w:szCs w:val="16"/>
          <w:u w:val="single" w:color="auto"/>
          <w:color w:val="auto"/>
        </w:rPr>
        <w:t xml:space="preserve"> </w:t>
      </w:r>
      <w:r>
        <w:rPr>
          <w:rFonts w:ascii="Arial" w:cs="Arial" w:eastAsia="Arial" w:hAnsi="Arial"/>
          <w:sz w:val="16"/>
          <w:szCs w:val="16"/>
          <w:color w:val="auto"/>
        </w:rPr>
        <w:t>become payable in connection with the transactions under this Agreement. In the event any such taxes are payable or withholding is required by Applicable Laws, the Parties shall discuss in good faith and agree on a fair allocation of such taxes or withholding requirements; provided that in the absence of such agreement, the Parties shall equally bear any such taxes or withholding requirements. Seller shall bear any such taxes payable in connection with the manufacture or Development of the Product prior to the Closing Date, Buyer shall bear any such taxes payable in connection with the manufacture, Development or Commercialization of the Product on or after the Closing Date, and the Parties will cooperate in the filing of all necessary tax returns and other documentation with respect to all such taxes. For clarity, Buyer shall be responsible for all fees charged by Governmental Authorities, including recording or filing fees or similar charges, for effecting or recording the transfer to Buyer of any Purchased Assets. For further clarity, Seller shall remain exclusively liable for all corporate income tax, capital tax, and other corporate taxes imposed on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6115685</wp:posOffset>
            </wp:positionH>
            <wp:positionV relativeFrom="paragraph">
              <wp:posOffset>-1051560</wp:posOffset>
            </wp:positionV>
            <wp:extent cx="260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17" w:lineRule="exact"/>
        <w:rPr>
          <w:sz w:val="20"/>
          <w:szCs w:val="20"/>
          <w:color w:val="auto"/>
        </w:rPr>
      </w:pPr>
    </w:p>
    <w:p>
      <w:pPr>
        <w:ind w:left="480" w:hanging="581"/>
        <w:spacing w:after="0" w:line="285" w:lineRule="auto"/>
        <w:tabs>
          <w:tab w:leader="none" w:pos="460" w:val="left"/>
        </w:tabs>
        <w:rPr>
          <w:sz w:val="20"/>
          <w:szCs w:val="20"/>
          <w:color w:val="auto"/>
        </w:rPr>
      </w:pPr>
      <w:r>
        <w:rPr>
          <w:rFonts w:ascii="Arial" w:cs="Arial" w:eastAsia="Arial" w:hAnsi="Arial"/>
          <w:sz w:val="16"/>
          <w:szCs w:val="16"/>
          <w:color w:val="auto"/>
        </w:rPr>
        <w:t>3.10</w:t>
      </w:r>
      <w:r>
        <w:rPr>
          <w:sz w:val="20"/>
          <w:szCs w:val="20"/>
          <w:color w:val="auto"/>
        </w:rPr>
        <w:tab/>
      </w:r>
      <w:r>
        <w:rPr>
          <w:rFonts w:ascii="Arial" w:cs="Arial" w:eastAsia="Arial" w:hAnsi="Arial"/>
          <w:sz w:val="15"/>
          <w:szCs w:val="15"/>
          <w:u w:val="single" w:color="auto"/>
          <w:color w:val="auto"/>
        </w:rPr>
        <w:t>Books and Records</w:t>
      </w:r>
      <w:r>
        <w:rPr>
          <w:rFonts w:ascii="Arial" w:cs="Arial" w:eastAsia="Arial" w:hAnsi="Arial"/>
          <w:sz w:val="15"/>
          <w:szCs w:val="15"/>
          <w:color w:val="auto"/>
        </w:rPr>
        <w:t>. With respect to each quarter in which a payment was due hereunder, Buyer will maintain complete and accurate books and records in sufficient</w:t>
      </w:r>
      <w:r>
        <w:rPr>
          <w:rFonts w:ascii="Arial" w:cs="Arial" w:eastAsia="Arial" w:hAnsi="Arial"/>
          <w:sz w:val="15"/>
          <w:szCs w:val="15"/>
          <w:u w:val="single" w:color="auto"/>
          <w:color w:val="auto"/>
        </w:rPr>
        <w:t xml:space="preserve"> </w:t>
      </w:r>
      <w:r>
        <w:rPr>
          <w:rFonts w:ascii="Arial" w:cs="Arial" w:eastAsia="Arial" w:hAnsi="Arial"/>
          <w:sz w:val="15"/>
          <w:szCs w:val="15"/>
          <w:color w:val="auto"/>
        </w:rPr>
        <w:t>detail to enable verification of the correctness of the payments due hereunder for a period of five (5) years after such quarter. Seller may audit Buyer’s and its Affiliates’ and Licensees’ relevant books and records in order to verify the aforesaid matters within the subject five year period. Upon reasonable prior notice and during normal business hours, Seller’s independent public accountants, subject to confidentiality obligations consistent with Article 7, shall have access to such books and records in order to conduct such a review or audit. The Parties shall reconcile any underpayment within sixty (60) days after the accountant delivers the results of the audit. If any audit performed under this Section 3.10 reveals an underpayment in excess of [****] percent ([****]%) in any calendar year, Buyer shall reimburse Seller for all amounts incurred in connection with such audit. Seller may exercise its rights under this Section 3.10 only once every year per audited entity, each period shall only be subject to audit with reasonable prior notice to the audited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6205855</wp:posOffset>
            </wp:positionH>
            <wp:positionV relativeFrom="paragraph">
              <wp:posOffset>-930910</wp:posOffset>
            </wp:positionV>
            <wp:extent cx="254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4" w:lineRule="exact"/>
        <w:rPr>
          <w:sz w:val="20"/>
          <w:szCs w:val="20"/>
          <w:color w:val="auto"/>
        </w:rPr>
      </w:pPr>
    </w:p>
    <w:p>
      <w:pPr>
        <w:ind w:left="480" w:right="300" w:hanging="581"/>
        <w:spacing w:after="0" w:line="287" w:lineRule="auto"/>
        <w:tabs>
          <w:tab w:leader="none" w:pos="4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auto"/>
        </w:rPr>
        <w:t>MGNX Stock Consideration</w:t>
      </w:r>
      <w:r>
        <w:rPr>
          <w:rFonts w:ascii="Arial" w:cs="Arial" w:eastAsia="Arial" w:hAnsi="Arial"/>
          <w:sz w:val="16"/>
          <w:szCs w:val="16"/>
          <w:color w:val="auto"/>
        </w:rPr>
        <w:t>. Notwithstanding anything to the contrary in this Agreement or any other agreement related to the transactions contemplated herein,</w:t>
      </w:r>
      <w:r>
        <w:rPr>
          <w:rFonts w:ascii="Arial" w:cs="Arial" w:eastAsia="Arial" w:hAnsi="Arial"/>
          <w:sz w:val="16"/>
          <w:szCs w:val="16"/>
          <w:u w:val="single" w:color="auto"/>
          <w:color w:val="auto"/>
        </w:rPr>
        <w:t xml:space="preserve"> </w:t>
      </w:r>
      <w:r>
        <w:rPr>
          <w:rFonts w:ascii="Arial" w:cs="Arial" w:eastAsia="Arial" w:hAnsi="Arial"/>
          <w:sz w:val="16"/>
          <w:szCs w:val="16"/>
          <w:color w:val="auto"/>
        </w:rPr>
        <w:t>Seller shall be solely responsible for, and shall perform when required under the Assumed Contracts, all obligations related to the issuance of MGNX Stock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6047740</wp:posOffset>
            </wp:positionH>
            <wp:positionV relativeFrom="paragraph">
              <wp:posOffset>-309245</wp:posOffset>
            </wp:positionV>
            <wp:extent cx="254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80" w:lineRule="exact"/>
        <w:rPr>
          <w:sz w:val="20"/>
          <w:szCs w:val="20"/>
          <w:color w:val="auto"/>
        </w:rPr>
      </w:pPr>
    </w:p>
    <w:p>
      <w:pPr>
        <w:ind w:left="600" w:hanging="585"/>
        <w:spacing w:after="0"/>
        <w:tabs>
          <w:tab w:leader="none" w:pos="600"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CLOSING DELIVERIES</w:t>
      </w:r>
    </w:p>
    <w:p>
      <w:pPr>
        <w:spacing w:after="0" w:line="262" w:lineRule="exact"/>
        <w:rPr>
          <w:sz w:val="20"/>
          <w:szCs w:val="20"/>
          <w:color w:val="auto"/>
        </w:rPr>
      </w:pPr>
    </w:p>
    <w:p>
      <w:pPr>
        <w:ind w:left="400" w:right="120" w:hanging="581"/>
        <w:spacing w:after="0" w:line="290" w:lineRule="auto"/>
        <w:tabs>
          <w:tab w:leader="none" w:pos="38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u w:val="single" w:color="auto"/>
          <w:color w:val="auto"/>
        </w:rPr>
        <w:t>Time and Place</w:t>
      </w:r>
      <w:r>
        <w:rPr>
          <w:rFonts w:ascii="Arial" w:cs="Arial" w:eastAsia="Arial" w:hAnsi="Arial"/>
          <w:sz w:val="16"/>
          <w:szCs w:val="16"/>
          <w:color w:val="auto"/>
        </w:rPr>
        <w:t>. The closing of the transactions contemplated by this Agreement, including the purchase and sale of the Purchased Assets (the</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“Closing”</w:t>
      </w:r>
      <w:r>
        <w:rPr>
          <w:rFonts w:ascii="Arial" w:cs="Arial" w:eastAsia="Arial" w:hAnsi="Arial"/>
          <w:sz w:val="16"/>
          <w:szCs w:val="16"/>
          <w:color w:val="auto"/>
        </w:rPr>
        <w:t>), shall take</w:t>
      </w:r>
      <w:r>
        <w:rPr>
          <w:rFonts w:ascii="Arial" w:cs="Arial" w:eastAsia="Arial" w:hAnsi="Arial"/>
          <w:sz w:val="16"/>
          <w:szCs w:val="16"/>
          <w:u w:val="single" w:color="auto"/>
          <w:color w:val="auto"/>
        </w:rPr>
        <w:t xml:space="preserve"> </w:t>
      </w:r>
      <w:r>
        <w:rPr>
          <w:rFonts w:ascii="Arial" w:cs="Arial" w:eastAsia="Arial" w:hAnsi="Arial"/>
          <w:sz w:val="16"/>
          <w:szCs w:val="16"/>
          <w:color w:val="auto"/>
        </w:rPr>
        <w:t>place simultaneously with the signing of this Agreement, by electronic exchange of documents or otherwise at the offices of Seller, on the Closing Date, unless another place shall be agreed to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6104890</wp:posOffset>
            </wp:positionH>
            <wp:positionV relativeFrom="paragraph">
              <wp:posOffset>-311150</wp:posOffset>
            </wp:positionV>
            <wp:extent cx="260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u w:val="single" w:color="auto"/>
          <w:color w:val="auto"/>
        </w:rPr>
        <w:t>Seller Closing Deliveries</w:t>
      </w:r>
      <w:r>
        <w:rPr>
          <w:rFonts w:ascii="Arial" w:cs="Arial" w:eastAsia="Arial" w:hAnsi="Arial"/>
          <w:sz w:val="14"/>
          <w:szCs w:val="14"/>
          <w:color w:val="auto"/>
        </w:rPr>
        <w:t>. At Closing, Seller shall deliver or cause to be delivered to Buyer:</w:t>
      </w:r>
    </w:p>
    <w:p>
      <w:pPr>
        <w:spacing w:after="0" w:line="258" w:lineRule="exact"/>
        <w:rPr>
          <w:sz w:val="20"/>
          <w:szCs w:val="20"/>
          <w:color w:val="auto"/>
        </w:rPr>
      </w:pPr>
    </w:p>
    <w:p>
      <w:pPr>
        <w:ind w:left="900" w:right="80" w:hanging="302"/>
        <w:spacing w:after="0" w:line="316" w:lineRule="auto"/>
        <w:tabs>
          <w:tab w:leader="none" w:pos="89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the Bill of Sale and General Assignment Agreement (the </w:t>
      </w:r>
      <w:r>
        <w:rPr>
          <w:rFonts w:ascii="Arial" w:cs="Arial" w:eastAsia="Arial" w:hAnsi="Arial"/>
          <w:sz w:val="16"/>
          <w:szCs w:val="16"/>
          <w:b w:val="1"/>
          <w:bCs w:val="1"/>
          <w:color w:val="auto"/>
        </w:rPr>
        <w:t>“Bill of Sale and General Assignment Agreement”</w:t>
      </w:r>
      <w:r>
        <w:rPr>
          <w:rFonts w:ascii="Arial" w:cs="Arial" w:eastAsia="Arial" w:hAnsi="Arial"/>
          <w:sz w:val="16"/>
          <w:szCs w:val="16"/>
          <w:color w:val="auto"/>
        </w:rPr>
        <w:t>) attached hereto as Exhibit 6, duly executed by Seller;</w:t>
      </w:r>
    </w:p>
    <w:p>
      <w:pPr>
        <w:sectPr>
          <w:pgSz w:w="11900" w:h="16838" w:orient="portrait"/>
          <w:cols w:equalWidth="0" w:num="1">
            <w:col w:w="11220"/>
          </w:cols>
          <w:pgMar w:left="320" w:top="838" w:right="359" w:bottom="1440" w:gutter="0" w:footer="0" w:header="0"/>
        </w:sectPr>
      </w:pPr>
    </w:p>
    <w:bookmarkStart w:id="267" w:name="page268"/>
    <w:bookmarkEnd w:id="267"/>
    <w:p>
      <w:pPr>
        <w:ind w:left="8440"/>
        <w:spacing w:after="0"/>
        <w:rPr>
          <w:sz w:val="20"/>
          <w:szCs w:val="20"/>
          <w:color w:val="auto"/>
        </w:rPr>
      </w:pPr>
      <w:r>
        <w:rPr>
          <w:rFonts w:ascii="Arial" w:cs="Arial" w:eastAsia="Arial" w:hAnsi="Arial"/>
          <w:sz w:val="20"/>
          <w:szCs w:val="20"/>
          <w:color w:val="auto"/>
        </w:rPr>
        <w:t>Exhibit 10.23</w:t>
      </w:r>
    </w:p>
    <w:p>
      <w:pPr>
        <w:ind w:left="880" w:hanging="282"/>
        <w:spacing w:after="0"/>
        <w:tabs>
          <w:tab w:leader="none" w:pos="8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the Patent Assignment Agreement, duly executed by Seller;</w:t>
      </w:r>
    </w:p>
    <w:p>
      <w:pPr>
        <w:spacing w:after="0" w:line="207" w:lineRule="exact"/>
        <w:rPr>
          <w:rFonts w:ascii="Arial" w:cs="Arial" w:eastAsia="Arial" w:hAnsi="Arial"/>
          <w:sz w:val="16"/>
          <w:szCs w:val="16"/>
          <w:color w:val="auto"/>
        </w:rPr>
      </w:pPr>
    </w:p>
    <w:p>
      <w:pPr>
        <w:ind w:left="880" w:hanging="282"/>
        <w:spacing w:after="0"/>
        <w:tabs>
          <w:tab w:leader="none" w:pos="8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copies in electronic form of the documents placed in the Data Room prior to the Closing Date;</w:t>
      </w:r>
    </w:p>
    <w:p>
      <w:pPr>
        <w:spacing w:after="0" w:line="221" w:lineRule="exact"/>
        <w:rPr>
          <w:rFonts w:ascii="Arial" w:cs="Arial" w:eastAsia="Arial" w:hAnsi="Arial"/>
          <w:sz w:val="16"/>
          <w:szCs w:val="16"/>
          <w:color w:val="auto"/>
        </w:rPr>
      </w:pPr>
    </w:p>
    <w:p>
      <w:pPr>
        <w:ind w:left="880" w:hanging="282"/>
        <w:spacing w:after="0"/>
        <w:tabs>
          <w:tab w:leader="none" w:pos="8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 duly executed copy of the Transfer Letter for each IND and CTA;</w:t>
      </w:r>
    </w:p>
    <w:p>
      <w:pPr>
        <w:spacing w:after="0" w:line="221" w:lineRule="exact"/>
        <w:rPr>
          <w:rFonts w:ascii="Arial" w:cs="Arial" w:eastAsia="Arial" w:hAnsi="Arial"/>
          <w:sz w:val="16"/>
          <w:szCs w:val="16"/>
          <w:color w:val="auto"/>
        </w:rPr>
      </w:pPr>
    </w:p>
    <w:p>
      <w:pPr>
        <w:ind w:left="880" w:hanging="282"/>
        <w:spacing w:after="0"/>
        <w:tabs>
          <w:tab w:leader="none" w:pos="8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the Lock-Up Agreement, duly executed by Seller; and</w:t>
      </w:r>
    </w:p>
    <w:p>
      <w:pPr>
        <w:spacing w:after="0" w:line="221" w:lineRule="exact"/>
        <w:rPr>
          <w:rFonts w:ascii="Arial" w:cs="Arial" w:eastAsia="Arial" w:hAnsi="Arial"/>
          <w:sz w:val="16"/>
          <w:szCs w:val="16"/>
          <w:color w:val="auto"/>
        </w:rPr>
      </w:pPr>
    </w:p>
    <w:p>
      <w:pPr>
        <w:ind w:left="880" w:hanging="282"/>
        <w:spacing w:after="0"/>
        <w:tabs>
          <w:tab w:leader="none" w:pos="8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 copy of all Consents and Waivers, duly executed by Seller and each consenting Third Party.</w:t>
      </w:r>
    </w:p>
    <w:p>
      <w:pPr>
        <w:spacing w:after="0" w:line="234" w:lineRule="exact"/>
        <w:rPr>
          <w:rFonts w:ascii="Arial" w:cs="Arial" w:eastAsia="Arial" w:hAnsi="Arial"/>
          <w:sz w:val="16"/>
          <w:szCs w:val="16"/>
          <w:color w:val="auto"/>
        </w:rPr>
      </w:pPr>
    </w:p>
    <w:p>
      <w:pPr>
        <w:ind w:left="580" w:right="4860" w:hanging="576"/>
        <w:spacing w:after="0" w:line="528" w:lineRule="auto"/>
        <w:rPr>
          <w:rFonts w:ascii="Arial" w:cs="Arial" w:eastAsia="Arial" w:hAnsi="Arial"/>
          <w:sz w:val="16"/>
          <w:szCs w:val="16"/>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Buyer Closing Deliveries</w:t>
      </w:r>
      <w:r>
        <w:rPr>
          <w:rFonts w:ascii="Arial" w:cs="Arial" w:eastAsia="Arial" w:hAnsi="Arial"/>
          <w:sz w:val="16"/>
          <w:szCs w:val="16"/>
          <w:color w:val="auto"/>
        </w:rPr>
        <w:t>. At Closing, Buyer shall deliver or cause to be delivered to Seller: (i)the Warrant, duly executed by the Buyer;</w:t>
      </w:r>
    </w:p>
    <w:p>
      <w:pPr>
        <w:ind w:left="580"/>
        <w:spacing w:after="0"/>
        <w:rPr>
          <w:rFonts w:ascii="Arial" w:cs="Arial" w:eastAsia="Arial" w:hAnsi="Arial"/>
          <w:sz w:val="16"/>
          <w:szCs w:val="16"/>
          <w:color w:val="auto"/>
        </w:rPr>
      </w:pPr>
      <w:r>
        <w:rPr>
          <w:rFonts w:ascii="Arial" w:cs="Arial" w:eastAsia="Arial" w:hAnsi="Arial"/>
          <w:sz w:val="16"/>
          <w:szCs w:val="16"/>
          <w:color w:val="auto"/>
        </w:rPr>
        <w:t>(ii)the Lock-Up Agreement, duly executed by MDB Capital;</w:t>
      </w:r>
    </w:p>
    <w:p>
      <w:pPr>
        <w:spacing w:after="0" w:line="221" w:lineRule="exact"/>
        <w:rPr>
          <w:rFonts w:ascii="Arial" w:cs="Arial" w:eastAsia="Arial" w:hAnsi="Arial"/>
          <w:sz w:val="16"/>
          <w:szCs w:val="16"/>
          <w:color w:val="auto"/>
        </w:rPr>
      </w:pPr>
    </w:p>
    <w:p>
      <w:pPr>
        <w:ind w:left="580" w:right="5320"/>
        <w:spacing w:after="0" w:line="528" w:lineRule="auto"/>
        <w:rPr>
          <w:rFonts w:ascii="Arial" w:cs="Arial" w:eastAsia="Arial" w:hAnsi="Arial"/>
          <w:sz w:val="16"/>
          <w:szCs w:val="16"/>
          <w:color w:val="auto"/>
        </w:rPr>
      </w:pPr>
      <w:r>
        <w:rPr>
          <w:rFonts w:ascii="Arial" w:cs="Arial" w:eastAsia="Arial" w:hAnsi="Arial"/>
          <w:sz w:val="16"/>
          <w:szCs w:val="16"/>
          <w:color w:val="auto"/>
        </w:rPr>
        <w:t>(iii)the Bill of Sale and General Assignment Agreement, duly executed by Buyer; (iv)the Patent Assignment Agreement, duly executed by Buyer; and</w:t>
      </w:r>
    </w:p>
    <w:p>
      <w:pPr>
        <w:ind w:left="580"/>
        <w:spacing w:after="0"/>
        <w:rPr>
          <w:rFonts w:ascii="Arial" w:cs="Arial" w:eastAsia="Arial" w:hAnsi="Arial"/>
          <w:sz w:val="16"/>
          <w:szCs w:val="16"/>
          <w:color w:val="auto"/>
        </w:rPr>
      </w:pPr>
      <w:r>
        <w:rPr>
          <w:rFonts w:ascii="Arial" w:cs="Arial" w:eastAsia="Arial" w:hAnsi="Arial"/>
          <w:sz w:val="16"/>
          <w:szCs w:val="16"/>
          <w:color w:val="auto"/>
        </w:rPr>
        <w:t>(v)a copy of all Consents and Waivers to which Buyer is a party, duly executed by Buyer.</w:t>
      </w:r>
    </w:p>
    <w:p>
      <w:pPr>
        <w:spacing w:after="0" w:line="217" w:lineRule="exact"/>
        <w:rPr>
          <w:rFonts w:ascii="Arial" w:cs="Arial" w:eastAsia="Arial" w:hAnsi="Arial"/>
          <w:sz w:val="16"/>
          <w:szCs w:val="16"/>
          <w:color w:val="auto"/>
        </w:rPr>
      </w:pPr>
    </w:p>
    <w:p>
      <w:pPr>
        <w:ind w:left="600" w:hanging="585"/>
        <w:spacing w:after="0"/>
        <w:tabs>
          <w:tab w:leader="none" w:pos="60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 OF SELLER</w:t>
      </w:r>
    </w:p>
    <w:p>
      <w:pPr>
        <w:spacing w:after="0" w:line="239"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3"/>
          <w:szCs w:val="13"/>
          <w:color w:val="auto"/>
        </w:rPr>
        <w:t>Seller hereby makes to Buyer the following representations and warranties set forth in Section 5.2 through 5.21, as of the Closing Date.</w:t>
      </w:r>
    </w:p>
    <w:p>
      <w:pPr>
        <w:spacing w:after="0" w:line="262"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u w:val="single" w:color="auto"/>
          <w:color w:val="auto"/>
        </w:rPr>
        <w:t>Corporate Organization</w:t>
      </w:r>
      <w:r>
        <w:rPr>
          <w:rFonts w:ascii="Arial" w:cs="Arial" w:eastAsia="Arial" w:hAnsi="Arial"/>
          <w:sz w:val="14"/>
          <w:szCs w:val="14"/>
          <w:color w:val="auto"/>
        </w:rPr>
        <w:t>. Seller is a corporation duly organized, validly existing and in good standing under the Applicable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6139180</wp:posOffset>
            </wp:positionH>
            <wp:positionV relativeFrom="paragraph">
              <wp:posOffset>-6985</wp:posOffset>
            </wp:positionV>
            <wp:extent cx="254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69" w:lineRule="exact"/>
        <w:rPr>
          <w:sz w:val="20"/>
          <w:szCs w:val="20"/>
          <w:color w:val="auto"/>
        </w:rPr>
      </w:pPr>
    </w:p>
    <w:p>
      <w:pPr>
        <w:ind w:left="400" w:hanging="581"/>
        <w:spacing w:after="0" w:line="289" w:lineRule="auto"/>
        <w:tabs>
          <w:tab w:leader="none" w:pos="38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5"/>
          <w:szCs w:val="15"/>
          <w:u w:val="single" w:color="auto"/>
          <w:color w:val="auto"/>
        </w:rPr>
        <w:t>Authority of Seller</w:t>
      </w:r>
      <w:r>
        <w:rPr>
          <w:rFonts w:ascii="Arial" w:cs="Arial" w:eastAsia="Arial" w:hAnsi="Arial"/>
          <w:sz w:val="15"/>
          <w:szCs w:val="15"/>
          <w:color w:val="auto"/>
        </w:rPr>
        <w:t>. Seller has all necessary power and authority and has taken all actions necessary to enter into this Agreement and the other Transaction Documents</w:t>
      </w:r>
      <w:r>
        <w:rPr>
          <w:rFonts w:ascii="Arial" w:cs="Arial" w:eastAsia="Arial" w:hAnsi="Arial"/>
          <w:sz w:val="15"/>
          <w:szCs w:val="15"/>
          <w:u w:val="single" w:color="auto"/>
          <w:color w:val="auto"/>
        </w:rPr>
        <w:t xml:space="preserve"> </w:t>
      </w:r>
      <w:r>
        <w:rPr>
          <w:rFonts w:ascii="Arial" w:cs="Arial" w:eastAsia="Arial" w:hAnsi="Arial"/>
          <w:sz w:val="15"/>
          <w:szCs w:val="15"/>
          <w:color w:val="auto"/>
        </w:rPr>
        <w:t>and to carry out the transactions contemplated hereby and thereby. This Agreement and the other Transaction Documents have been duly and validly executed and delivered by Seller and, when executed and delivered by Buyer, will constitute legal, valid and binding obligations of Seller enforceable against it in accordance with their respective terms except (i) as limited by applicable bankruptcy, insolvency, reorganization, moratorium and other Applicable Laws of general application affecting enforcement of creditors’ rights generally, and (ii) as limited by Applicable Laws relating to the availability of specific performance, injunctive relief or other equitable remedies. The execution, delivery and performance of this Agreement and all agreements, documents and instruments executed and delivered by Seller pursuant hereto, have been duly authorized by all necessary corporate or other action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-813435</wp:posOffset>
            </wp:positionV>
            <wp:extent cx="254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00" w:lineRule="exact"/>
        <w:rPr>
          <w:sz w:val="20"/>
          <w:szCs w:val="20"/>
          <w:color w:val="auto"/>
        </w:rPr>
      </w:pPr>
    </w:p>
    <w:p>
      <w:pPr>
        <w:ind w:left="400" w:hanging="581"/>
        <w:spacing w:after="0" w:line="287" w:lineRule="auto"/>
        <w:tabs>
          <w:tab w:leader="none" w:pos="38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and delivery by Seller of this Agreement and the other Transaction Documents to which it is a party, does not, and the performance</w:t>
      </w:r>
      <w:r>
        <w:rPr>
          <w:rFonts w:ascii="Arial" w:cs="Arial" w:eastAsia="Arial" w:hAnsi="Arial"/>
          <w:sz w:val="16"/>
          <w:szCs w:val="16"/>
          <w:u w:val="single" w:color="auto"/>
          <w:color w:val="auto"/>
        </w:rPr>
        <w:t xml:space="preserve"> </w:t>
      </w:r>
      <w:r>
        <w:rPr>
          <w:rFonts w:ascii="Arial" w:cs="Arial" w:eastAsia="Arial" w:hAnsi="Arial"/>
          <w:sz w:val="16"/>
          <w:szCs w:val="16"/>
          <w:color w:val="auto"/>
        </w:rPr>
        <w:t>by it or its relevant Affiliates of its or their obligations under this Agreement and the other Transaction Documents and the consummation of the transactions contemplated hereby and thereby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-309245</wp:posOffset>
            </wp:positionV>
            <wp:extent cx="254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11" w:lineRule="exact"/>
        <w:rPr>
          <w:sz w:val="20"/>
          <w:szCs w:val="20"/>
          <w:color w:val="auto"/>
        </w:rPr>
      </w:pPr>
    </w:p>
    <w:p>
      <w:pPr>
        <w:ind w:left="900" w:right="400" w:hanging="302"/>
        <w:spacing w:after="0" w:line="310" w:lineRule="auto"/>
        <w:tabs>
          <w:tab w:leader="none" w:pos="89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conflict with or result in a material violation or breach of any of the terms, conditions or provisions of the Certificate of Incorporation or Bylaws or other organizational documents of Seller or its relevant Affiliates or of any Program Contract;</w:t>
      </w:r>
    </w:p>
    <w:p>
      <w:pPr>
        <w:spacing w:after="0" w:line="199" w:lineRule="exact"/>
        <w:rPr>
          <w:rFonts w:ascii="Arial" w:cs="Arial" w:eastAsia="Arial" w:hAnsi="Arial"/>
          <w:sz w:val="16"/>
          <w:szCs w:val="16"/>
          <w:color w:val="auto"/>
        </w:rPr>
      </w:pPr>
    </w:p>
    <w:p>
      <w:pPr>
        <w:ind w:left="900" w:right="280" w:hanging="302"/>
        <w:spacing w:after="0" w:line="328" w:lineRule="auto"/>
        <w:tabs>
          <w:tab w:leader="none" w:pos="88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assuming the receipt of the Required Consents, conflict with or result in a material violation or breach of any term or provision of any Applicable Law that applies to Seller, the Product or the Purchased Assets;</w:t>
      </w:r>
    </w:p>
    <w:p>
      <w:pPr>
        <w:spacing w:after="0" w:line="172" w:lineRule="exact"/>
        <w:rPr>
          <w:rFonts w:ascii="Arial" w:cs="Arial" w:eastAsia="Arial" w:hAnsi="Arial"/>
          <w:sz w:val="16"/>
          <w:szCs w:val="16"/>
          <w:color w:val="auto"/>
        </w:rPr>
      </w:pPr>
    </w:p>
    <w:p>
      <w:pPr>
        <w:jc w:val="both"/>
        <w:ind w:left="900" w:right="80" w:hanging="302"/>
        <w:spacing w:after="0" w:line="287" w:lineRule="auto"/>
        <w:tabs>
          <w:tab w:leader="none" w:pos="89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other than the Required Consents, the Transfer Letter and the transfer of any other regulatory documentation, require from Seller any notice to, declaration or filing with, or consent or approval of, any Governmental Authority in any country or other Third Party (other than any filing of Product Patents required to be made in accordance with the terms of this Agreement); or</w:t>
      </w:r>
    </w:p>
    <w:p>
      <w:pPr>
        <w:spacing w:after="0" w:line="190" w:lineRule="exact"/>
        <w:rPr>
          <w:rFonts w:ascii="Arial" w:cs="Arial" w:eastAsia="Arial" w:hAnsi="Arial"/>
          <w:sz w:val="16"/>
          <w:szCs w:val="16"/>
          <w:color w:val="auto"/>
        </w:rPr>
      </w:pPr>
    </w:p>
    <w:p>
      <w:pPr>
        <w:ind w:left="880" w:hanging="282"/>
        <w:spacing w:after="0"/>
        <w:tabs>
          <w:tab w:leader="none" w:pos="8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assuming the receipt of the Required Consents, accelerate any obligation under, or give rise to a right of termination of, any Program Contract.</w:t>
      </w:r>
    </w:p>
    <w:p>
      <w:pPr>
        <w:spacing w:after="0" w:line="262" w:lineRule="exact"/>
        <w:rPr>
          <w:sz w:val="20"/>
          <w:szCs w:val="20"/>
          <w:color w:val="auto"/>
        </w:rPr>
      </w:pPr>
    </w:p>
    <w:p>
      <w:pPr>
        <w:ind w:left="400" w:right="80" w:hanging="581"/>
        <w:spacing w:after="0" w:line="347" w:lineRule="auto"/>
        <w:tabs>
          <w:tab w:leader="none" w:pos="38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5"/>
          <w:szCs w:val="15"/>
          <w:u w:val="single" w:color="auto"/>
          <w:color w:val="auto"/>
        </w:rPr>
        <w:t>Title; Encumbrances</w:t>
      </w:r>
      <w:r>
        <w:rPr>
          <w:rFonts w:ascii="Arial" w:cs="Arial" w:eastAsia="Arial" w:hAnsi="Arial"/>
          <w:sz w:val="15"/>
          <w:szCs w:val="15"/>
          <w:color w:val="auto"/>
        </w:rPr>
        <w:t>. Seller has exclusive, good, valid and marketable title to all of the Purchased Assets and full right and power to sell, convey, assign, transfer and</w:t>
      </w:r>
      <w:r>
        <w:rPr>
          <w:rFonts w:ascii="Arial" w:cs="Arial" w:eastAsia="Arial" w:hAnsi="Arial"/>
          <w:sz w:val="15"/>
          <w:szCs w:val="15"/>
          <w:u w:val="single" w:color="auto"/>
          <w:color w:val="auto"/>
        </w:rPr>
        <w:t xml:space="preserve"> </w:t>
      </w:r>
      <w:r>
        <w:rPr>
          <w:rFonts w:ascii="Arial" w:cs="Arial" w:eastAsia="Arial" w:hAnsi="Arial"/>
          <w:sz w:val="15"/>
          <w:szCs w:val="15"/>
          <w:color w:val="auto"/>
        </w:rPr>
        <w:t>deliver such title to Buyer, in each case free and clear from any and all Encumbrances, except with respect to any Permitted Encumbrance.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6232525</wp:posOffset>
            </wp:positionH>
            <wp:positionV relativeFrom="paragraph">
              <wp:posOffset>-207010</wp:posOffset>
            </wp:positionV>
            <wp:extent cx="254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5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4"/>
          <w:szCs w:val="14"/>
          <w:u w:val="single" w:color="auto"/>
          <w:color w:val="auto"/>
        </w:rPr>
        <w:t>Contracts</w:t>
      </w:r>
      <w:r>
        <w:rPr>
          <w:rFonts w:ascii="Arial" w:cs="Arial" w:eastAsia="Arial" w:hAnsi="Arial"/>
          <w:sz w:val="14"/>
          <w:szCs w:val="14"/>
          <w:color w:val="auto"/>
        </w:rPr>
        <w:t>. Seller has made available to Buyer true, correct and complete copies of the Program Contracts. Except as set forth on Schedule 5.6 of the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6345555</wp:posOffset>
            </wp:positionH>
            <wp:positionV relativeFrom="paragraph">
              <wp:posOffset>-6985</wp:posOffset>
            </wp:positionV>
            <wp:extent cx="260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 w:lineRule="exact"/>
        <w:rPr>
          <w:sz w:val="20"/>
          <w:szCs w:val="20"/>
          <w:color w:val="auto"/>
        </w:rPr>
      </w:pPr>
    </w:p>
    <w:p>
      <w:pPr>
        <w:ind w:left="600" w:right="100"/>
        <w:spacing w:after="0" w:line="262" w:lineRule="auto"/>
        <w:rPr>
          <w:sz w:val="20"/>
          <w:szCs w:val="20"/>
          <w:color w:val="auto"/>
        </w:rPr>
      </w:pPr>
      <w:r>
        <w:rPr>
          <w:rFonts w:ascii="Arial" w:cs="Arial" w:eastAsia="Arial" w:hAnsi="Arial"/>
          <w:sz w:val="16"/>
          <w:szCs w:val="16"/>
          <w:color w:val="auto"/>
        </w:rPr>
        <w:t>Schedules, no cancellation of any Program Contract has occurred, Seller has not received any written notice of cancellation of any Program Contract by the other party thereto and, each Program Contract is legal, valid, binding and enforceable in all material respects in accordance with its terms with respect to Seller and, to the Knowledge of Seller, with respect to each other party to such Program Contract, except as enforceability may be limited by applicable bankruptcy, insolvency, reorganization, moratorium or other similar Applicable Laws affecting the enforcement of creditors’ rights in general and general principles of equity and the discretion of courts in granting equitable remedies. There does not exist under any Program Contract any material breach or material event of default, or event or condition that, after notice or lapse of time or</w:t>
      </w:r>
    </w:p>
    <w:p>
      <w:pPr>
        <w:sectPr>
          <w:pgSz w:w="11900" w:h="16838" w:orient="portrait"/>
          <w:cols w:equalWidth="0" w:num="1">
            <w:col w:w="11200"/>
          </w:cols>
          <w:pgMar w:left="320" w:top="832" w:right="379" w:bottom="1440" w:gutter="0" w:footer="0" w:header="0"/>
        </w:sectPr>
      </w:pPr>
    </w:p>
    <w:bookmarkStart w:id="268" w:name="page269"/>
    <w:bookmarkEnd w:id="268"/>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left="600" w:right="60"/>
        <w:spacing w:after="0" w:line="257" w:lineRule="auto"/>
        <w:rPr>
          <w:sz w:val="20"/>
          <w:szCs w:val="20"/>
          <w:color w:val="auto"/>
        </w:rPr>
      </w:pPr>
      <w:r>
        <w:rPr>
          <w:rFonts w:ascii="Arial" w:cs="Arial" w:eastAsia="Arial" w:hAnsi="Arial"/>
          <w:sz w:val="16"/>
          <w:szCs w:val="16"/>
          <w:color w:val="auto"/>
        </w:rPr>
        <w:t>both, would constitute a material breach or material event of default thereunder on the part of Seller or any of its Affiliates or, to Seller’s Knowledge, on the part of any other party thereto. The JDRF Agreement has been terminated and all obligations thereunder have been satisfied.</w:t>
      </w:r>
    </w:p>
    <w:p>
      <w:pPr>
        <w:spacing w:after="0" w:line="226"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4"/>
          <w:szCs w:val="14"/>
          <w:u w:val="single" w:color="auto"/>
          <w:color w:val="auto"/>
        </w:rPr>
        <w:t>Intellectual Property</w:t>
      </w:r>
      <w:r>
        <w:rPr>
          <w:rFonts w:ascii="Arial" w:cs="Arial" w:eastAsia="Arial" w:hAnsi="Arial"/>
          <w:sz w:val="14"/>
          <w:szCs w:val="14"/>
          <w:color w:val="auto"/>
        </w:rPr>
        <w:t>.</w:t>
      </w:r>
    </w:p>
    <w:p>
      <w:pPr>
        <w:spacing w:after="0" w:line="235" w:lineRule="exact"/>
        <w:rPr>
          <w:sz w:val="20"/>
          <w:szCs w:val="20"/>
          <w:color w:val="auto"/>
        </w:rPr>
      </w:pPr>
    </w:p>
    <w:p>
      <w:pPr>
        <w:ind w:left="1180" w:right="40" w:hanging="582"/>
        <w:spacing w:after="0" w:line="269" w:lineRule="auto"/>
        <w:tabs>
          <w:tab w:leader="none" w:pos="117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As of the Closing Date each item of Product Intellectual Property is Controlled by Seller free and clear of any Encumbrances, other than the Permitted Encumbrances. The Product Intellectual Property, together with the Related Technology (the “</w:t>
      </w:r>
      <w:r>
        <w:rPr>
          <w:rFonts w:ascii="Arial" w:cs="Arial" w:eastAsia="Arial" w:hAnsi="Arial"/>
          <w:sz w:val="16"/>
          <w:szCs w:val="16"/>
          <w:b w:val="1"/>
          <w:bCs w:val="1"/>
          <w:color w:val="auto"/>
        </w:rPr>
        <w:t>Program IP</w:t>
      </w:r>
      <w:r>
        <w:rPr>
          <w:rFonts w:ascii="Arial" w:cs="Arial" w:eastAsia="Arial" w:hAnsi="Arial"/>
          <w:sz w:val="16"/>
          <w:szCs w:val="16"/>
          <w:color w:val="auto"/>
        </w:rPr>
        <w:t>”), constitutes all of the intellectual property Controlled by Seller and/or any of its Affiliates as of the Closing Date that is used or held for use in connection with, or otherwise necessary or useful for the manufacture, Development or Commercialization of the Product. Except as set forth on Schedule 5.7(i) of the Disclosure Schedules, neither Seller, nor any of its Affiliates, transferred ownership of, or granted any license of, or right to use, or authorized the retention of any rights to use or joint ownership of any Product Intellectual Property to any other Person.</w:t>
      </w:r>
    </w:p>
    <w:p>
      <w:pPr>
        <w:spacing w:after="0" w:line="216" w:lineRule="exact"/>
        <w:rPr>
          <w:rFonts w:ascii="Arial" w:cs="Arial" w:eastAsia="Arial" w:hAnsi="Arial"/>
          <w:sz w:val="16"/>
          <w:szCs w:val="16"/>
          <w:color w:val="auto"/>
        </w:rPr>
      </w:pPr>
    </w:p>
    <w:p>
      <w:pPr>
        <w:ind w:left="1180" w:right="140" w:hanging="582"/>
        <w:spacing w:after="0" w:line="283" w:lineRule="auto"/>
        <w:tabs>
          <w:tab w:leader="none" w:pos="1176" w:val="left"/>
        </w:tabs>
        <w:numPr>
          <w:ilvl w:val="1"/>
          <w:numId w:val="224"/>
        </w:numPr>
        <w:rPr>
          <w:rFonts w:ascii="Arial" w:cs="Arial" w:eastAsia="Arial" w:hAnsi="Arial"/>
          <w:sz w:val="15"/>
          <w:szCs w:val="15"/>
          <w:color w:val="auto"/>
        </w:rPr>
      </w:pPr>
      <w:r>
        <w:rPr>
          <w:rFonts w:ascii="Arial" w:cs="Arial" w:eastAsia="Arial" w:hAnsi="Arial"/>
          <w:sz w:val="15"/>
          <w:szCs w:val="15"/>
          <w:color w:val="auto"/>
        </w:rPr>
        <w:t>Exhibit 2 sets forth a true, correct and complete list of all Patents Controlled by Seller that are solely and exclusively related to the Product (the “</w:t>
      </w:r>
      <w:r>
        <w:rPr>
          <w:rFonts w:ascii="Arial" w:cs="Arial" w:eastAsia="Arial" w:hAnsi="Arial"/>
          <w:sz w:val="15"/>
          <w:szCs w:val="15"/>
          <w:b w:val="1"/>
          <w:bCs w:val="1"/>
          <w:color w:val="auto"/>
        </w:rPr>
        <w:t>Listed</w:t>
      </w:r>
      <w:r>
        <w:rPr>
          <w:rFonts w:ascii="Arial" w:cs="Arial" w:eastAsia="Arial" w:hAnsi="Arial"/>
          <w:sz w:val="15"/>
          <w:szCs w:val="15"/>
          <w:color w:val="auto"/>
        </w:rPr>
        <w:t xml:space="preserve"> </w:t>
      </w:r>
      <w:r>
        <w:rPr>
          <w:rFonts w:ascii="Arial" w:cs="Arial" w:eastAsia="Arial" w:hAnsi="Arial"/>
          <w:sz w:val="15"/>
          <w:szCs w:val="15"/>
          <w:b w:val="1"/>
          <w:bCs w:val="1"/>
          <w:color w:val="auto"/>
        </w:rPr>
        <w:t>Patents</w:t>
      </w:r>
      <w:r>
        <w:rPr>
          <w:rFonts w:ascii="Arial" w:cs="Arial" w:eastAsia="Arial" w:hAnsi="Arial"/>
          <w:sz w:val="15"/>
          <w:szCs w:val="15"/>
          <w:color w:val="auto"/>
        </w:rPr>
        <w:t>”) including, in each case, the title, jurisdiction(s) in which each Patent was or is filed, and the respective application number, patent number (if</w:t>
      </w:r>
      <w:r>
        <w:rPr>
          <w:rFonts w:ascii="Arial" w:cs="Arial" w:eastAsia="Arial" w:hAnsi="Arial"/>
          <w:sz w:val="15"/>
          <w:szCs w:val="15"/>
          <w:b w:val="1"/>
          <w:bCs w:val="1"/>
          <w:color w:val="auto"/>
        </w:rPr>
        <w:t xml:space="preserve"> </w:t>
      </w:r>
      <w:r>
        <w:rPr>
          <w:rFonts w:ascii="Arial" w:cs="Arial" w:eastAsia="Arial" w:hAnsi="Arial"/>
          <w:sz w:val="15"/>
          <w:szCs w:val="15"/>
          <w:color w:val="auto"/>
        </w:rPr>
        <w:t>any), filing date and issuance date (if any). Seller has taken all actions required to duly file and maintain the Listed Patents in a timely manner, including the timely submission of all necessary filings in accordance with the legal and administrative requirements of the appropriate Government Authority. Neither Seller nor any of its Affiliates has received any written notice of any inventorship challenge, ownership dispute, Third Party right, interference, patentability, validity or enforceability with respect to any Listed Patent. Seller has made timely payment of any filing, registration, examination, maintenance, annuity and renewal fees due with respect to the Listed Patents, and the Listed Patents are not subject to any unpaid fees or taxes for filings falling due within sixty (60) days after the Closing Date.</w:t>
      </w:r>
    </w:p>
    <w:p>
      <w:pPr>
        <w:spacing w:after="0" w:line="212" w:lineRule="exact"/>
        <w:rPr>
          <w:rFonts w:ascii="Arial" w:cs="Arial" w:eastAsia="Arial" w:hAnsi="Arial"/>
          <w:sz w:val="15"/>
          <w:szCs w:val="15"/>
          <w:color w:val="auto"/>
        </w:rPr>
      </w:pPr>
    </w:p>
    <w:p>
      <w:pPr>
        <w:ind w:left="1180" w:right="60" w:hanging="582"/>
        <w:spacing w:after="0" w:line="307" w:lineRule="auto"/>
        <w:tabs>
          <w:tab w:leader="none" w:pos="1167" w:val="left"/>
        </w:tabs>
        <w:numPr>
          <w:ilvl w:val="1"/>
          <w:numId w:val="224"/>
        </w:numPr>
        <w:rPr>
          <w:rFonts w:ascii="Arial" w:cs="Arial" w:eastAsia="Arial" w:hAnsi="Arial"/>
          <w:sz w:val="14"/>
          <w:szCs w:val="14"/>
          <w:color w:val="auto"/>
        </w:rPr>
      </w:pPr>
      <w:r>
        <w:rPr>
          <w:rFonts w:ascii="Arial" w:cs="Arial" w:eastAsia="Arial" w:hAnsi="Arial"/>
          <w:sz w:val="14"/>
          <w:szCs w:val="14"/>
          <w:color w:val="auto"/>
        </w:rPr>
        <w:t>Seller has not received any written communication from any Person (A) challenging, or threatening to challenge, the right of Seller or any of its Affiliates to use, exercise, sell, license, transfer or dispose of any Program IP or the Product, or (B) challenging the ownership, validity or enforceability of any Program IP. To Seller’s Knowledge, (A) all issued Patents included in the Listed Patents are valid, subsisting, and enforceable; and (B) all Patent applications included in the Listed Patents are subsisting and, to Seller’s Knowledge, valid and enforceable. Seller and its Affiliates have complied (and to Seller’s Knowledge, any other Person involved in filing, maintaining and prosecution of the Listed Patents, have complied) in all material respects with Applicable Law regarding the duty to disclose and duties of candor in the filing, maintaining and prosecution of the Listed Patents.</w:t>
      </w:r>
    </w:p>
    <w:p>
      <w:pPr>
        <w:spacing w:after="0" w:line="195" w:lineRule="exact"/>
        <w:rPr>
          <w:rFonts w:ascii="Arial" w:cs="Arial" w:eastAsia="Arial" w:hAnsi="Arial"/>
          <w:sz w:val="14"/>
          <w:szCs w:val="14"/>
          <w:color w:val="auto"/>
        </w:rPr>
      </w:pPr>
    </w:p>
    <w:p>
      <w:pPr>
        <w:ind w:left="1180" w:right="240" w:hanging="582"/>
        <w:spacing w:after="0" w:line="291" w:lineRule="auto"/>
        <w:tabs>
          <w:tab w:leader="none" w:pos="1172" w:val="left"/>
        </w:tabs>
        <w:numPr>
          <w:ilvl w:val="1"/>
          <w:numId w:val="224"/>
        </w:numPr>
        <w:rPr>
          <w:rFonts w:ascii="Arial" w:cs="Arial" w:eastAsia="Arial" w:hAnsi="Arial"/>
          <w:sz w:val="15"/>
          <w:szCs w:val="15"/>
          <w:color w:val="auto"/>
        </w:rPr>
      </w:pPr>
      <w:r>
        <w:rPr>
          <w:rFonts w:ascii="Arial" w:cs="Arial" w:eastAsia="Arial" w:hAnsi="Arial"/>
          <w:sz w:val="15"/>
          <w:szCs w:val="15"/>
          <w:u w:val="single" w:color="auto"/>
          <w:color w:val="auto"/>
        </w:rPr>
        <w:t>Schedule 5.7(iv)</w:t>
      </w:r>
      <w:r>
        <w:rPr>
          <w:rFonts w:ascii="Arial" w:cs="Arial" w:eastAsia="Arial" w:hAnsi="Arial"/>
          <w:sz w:val="15"/>
          <w:szCs w:val="15"/>
          <w:color w:val="auto"/>
        </w:rPr>
        <w:t xml:space="preserve"> lists all licenses, sublicenses and other agreements in effect as of the Closing Date to which Seller or any of its Affiliates is a party and pursuant to which any Third Party is granted (A) any license or other right to make, have made, use, sell, have sold, offer for sale, import or otherwise distribute or exploit any Product, including any materials transfer agreements and research agreements related to the Product, and any other material instrument by which the Product has been provided to any Third Party for research or any other purpose,</w:t>
      </w:r>
    </w:p>
    <w:p>
      <w:pPr>
        <w:spacing w:after="0" w:line="202" w:lineRule="exact"/>
        <w:rPr>
          <w:rFonts w:ascii="Arial" w:cs="Arial" w:eastAsia="Arial" w:hAnsi="Arial"/>
          <w:sz w:val="15"/>
          <w:szCs w:val="15"/>
          <w:color w:val="auto"/>
        </w:rPr>
      </w:pPr>
    </w:p>
    <w:p>
      <w:pPr>
        <w:ind w:left="1180" w:firstLine="2"/>
        <w:spacing w:after="0" w:line="283" w:lineRule="auto"/>
        <w:tabs>
          <w:tab w:leader="none" w:pos="1954" w:val="left"/>
        </w:tabs>
        <w:numPr>
          <w:ilvl w:val="2"/>
          <w:numId w:val="224"/>
        </w:numPr>
        <w:rPr>
          <w:rFonts w:ascii="Arial" w:cs="Arial" w:eastAsia="Arial" w:hAnsi="Arial"/>
          <w:sz w:val="15"/>
          <w:szCs w:val="15"/>
          <w:color w:val="auto"/>
        </w:rPr>
      </w:pPr>
      <w:r>
        <w:rPr>
          <w:rFonts w:ascii="Arial" w:cs="Arial" w:eastAsia="Arial" w:hAnsi="Arial"/>
          <w:sz w:val="15"/>
          <w:szCs w:val="15"/>
          <w:color w:val="auto"/>
        </w:rPr>
        <w:t>any covenant not to assert/sue or other immunity from suit under or any other rights to, any Product Intellectual Property, (C) any ownership right or title, whether actual or contingent, to any Product Intellectual Property, or (D) an option or right of first refusal relating to any Product Intellectual Property (collectively, “</w:t>
      </w:r>
      <w:r>
        <w:rPr>
          <w:rFonts w:ascii="Arial" w:cs="Arial" w:eastAsia="Arial" w:hAnsi="Arial"/>
          <w:sz w:val="15"/>
          <w:szCs w:val="15"/>
          <w:b w:val="1"/>
          <w:bCs w:val="1"/>
          <w:color w:val="auto"/>
        </w:rPr>
        <w:t>Outbound Licenses</w:t>
      </w:r>
      <w:r>
        <w:rPr>
          <w:rFonts w:ascii="Arial" w:cs="Arial" w:eastAsia="Arial" w:hAnsi="Arial"/>
          <w:sz w:val="15"/>
          <w:szCs w:val="15"/>
          <w:color w:val="auto"/>
        </w:rPr>
        <w:t>”). Seller has delivered or otherwise made available to Buyer accurate and complete copies of all Outbound Licenses, and Seller or its applicable Affiliate is in compliance with (and, to Seller’s Knowledge, each other party to such Outbound Licenses are in compliance with) all material terms and conditions of all Outbound Licenses. Except as set forth on Schedule 5.7(iv), neither Seller nor any of its Affiliates is party to any contract that provides for earn-outs, milestone payments, royalties or other contingent payments to be paid to Seller or its Affiliates related to the development, approval, manufacture, use, sale, offer for sale, or import or other exploitation of any Product.</w:t>
      </w:r>
    </w:p>
    <w:p>
      <w:pPr>
        <w:spacing w:after="0" w:line="209" w:lineRule="exact"/>
        <w:rPr>
          <w:rFonts w:ascii="Arial" w:cs="Arial" w:eastAsia="Arial" w:hAnsi="Arial"/>
          <w:sz w:val="15"/>
          <w:szCs w:val="15"/>
          <w:color w:val="auto"/>
        </w:rPr>
      </w:pPr>
    </w:p>
    <w:p>
      <w:pPr>
        <w:ind w:left="580" w:right="40" w:hanging="572"/>
        <w:spacing w:after="0" w:line="277" w:lineRule="auto"/>
        <w:tabs>
          <w:tab w:leader="none" w:pos="567" w:val="left"/>
        </w:tabs>
        <w:numPr>
          <w:ilvl w:val="0"/>
          <w:numId w:val="225"/>
        </w:numPr>
        <w:rPr>
          <w:rFonts w:ascii="Arial" w:cs="Arial" w:eastAsia="Arial" w:hAnsi="Arial"/>
          <w:sz w:val="15"/>
          <w:szCs w:val="15"/>
          <w:color w:val="auto"/>
        </w:rPr>
      </w:pPr>
      <w:r>
        <w:rPr>
          <w:rFonts w:ascii="Arial" w:cs="Arial" w:eastAsia="Arial" w:hAnsi="Arial"/>
          <w:sz w:val="15"/>
          <w:szCs w:val="15"/>
          <w:u w:val="single" w:color="auto"/>
          <w:color w:val="auto"/>
        </w:rPr>
        <w:t>Schedule 5.7(v)</w:t>
      </w:r>
      <w:r>
        <w:rPr>
          <w:rFonts w:ascii="Arial" w:cs="Arial" w:eastAsia="Arial" w:hAnsi="Arial"/>
          <w:sz w:val="15"/>
          <w:szCs w:val="15"/>
          <w:color w:val="auto"/>
        </w:rPr>
        <w:t xml:space="preserve"> lists all licenses, sublicenses and other agreements in effect as of the Closing Date to which Seller or any of its Affiliates is a party and pursuant to which any Third Party grants to Seller or any of its Affiliates (A) any license or other right to make, have made, use, sell, have sold, offer for sale, import or otherwise distribute or exploit any Product, (B) any covenant not to assert/sue or other immunity from suit under or any other rights to, any intellectual property rights claiming or covering the development, approval, manufacture, use, sale, offer for sale, or import or other exploitation of any Product and/or otherwise related to the Product Intellectual Property, (C) any ownership right or title, whether actual or contingent, to any intellectual property rights claiming or covering the development, approval manufacture, use, sale, offer for sale, or import or other exploitation of any Product and/or otherwise related to the Product Intellectual Property, or (D) an option or right of first refusal relating to any intellectual property rights claiming or covering the development, approval, manufacture, use, sale, offer for sale, or import or other exploitation of any Product and/or otherwise related to the Product Intellectual Property (collectively, “</w:t>
      </w:r>
      <w:r>
        <w:rPr>
          <w:rFonts w:ascii="Arial" w:cs="Arial" w:eastAsia="Arial" w:hAnsi="Arial"/>
          <w:sz w:val="15"/>
          <w:szCs w:val="15"/>
          <w:b w:val="1"/>
          <w:bCs w:val="1"/>
          <w:color w:val="auto"/>
        </w:rPr>
        <w:t>Inbound Licenses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5.7(v)</w:t>
      </w:r>
      <w:r>
        <w:rPr>
          <w:rFonts w:ascii="Arial" w:cs="Arial" w:eastAsia="Arial" w:hAnsi="Arial"/>
          <w:sz w:val="15"/>
          <w:szCs w:val="15"/>
          <w:color w:val="auto"/>
        </w:rPr>
        <w:t xml:space="preserve"> also identifies all Inbound Licenses requiring Seller or any of its Affiliates to license, assign or otherwise grant rights to any Third Party for any additions, modifications or improvements to any Product Intellectual Property made by or for Seller or its Affiliates. Seller has delivered or otherwise made available to Buyer copies of all Inbound Licenses, and Seller or its Affiliate, as applicable, is in compliance with (and, to Seller’s Knowledge, each other party to such Inbound Licenses are in compliance with) all material terms and conditions of all Inbound Licenses.</w:t>
      </w:r>
    </w:p>
    <w:p>
      <w:pPr>
        <w:spacing w:after="0" w:line="216" w:lineRule="exact"/>
        <w:rPr>
          <w:rFonts w:ascii="Arial" w:cs="Arial" w:eastAsia="Arial" w:hAnsi="Arial"/>
          <w:sz w:val="15"/>
          <w:szCs w:val="15"/>
          <w:color w:val="auto"/>
        </w:rPr>
      </w:pPr>
    </w:p>
    <w:p>
      <w:pPr>
        <w:ind w:left="580" w:right="260" w:hanging="572"/>
        <w:spacing w:after="0" w:line="297" w:lineRule="auto"/>
        <w:tabs>
          <w:tab w:leader="none" w:pos="572" w:val="left"/>
        </w:tabs>
        <w:numPr>
          <w:ilvl w:val="0"/>
          <w:numId w:val="225"/>
        </w:numPr>
        <w:rPr>
          <w:rFonts w:ascii="Arial" w:cs="Arial" w:eastAsia="Arial" w:hAnsi="Arial"/>
          <w:sz w:val="15"/>
          <w:szCs w:val="15"/>
          <w:color w:val="auto"/>
        </w:rPr>
      </w:pPr>
      <w:r>
        <w:rPr>
          <w:rFonts w:ascii="Arial" w:cs="Arial" w:eastAsia="Arial" w:hAnsi="Arial"/>
          <w:sz w:val="15"/>
          <w:szCs w:val="15"/>
          <w:u w:val="single" w:color="auto"/>
          <w:color w:val="auto"/>
        </w:rPr>
        <w:t>Schedule 5.7(vi)</w:t>
      </w:r>
      <w:r>
        <w:rPr>
          <w:rFonts w:ascii="Arial" w:cs="Arial" w:eastAsia="Arial" w:hAnsi="Arial"/>
          <w:sz w:val="15"/>
          <w:szCs w:val="15"/>
          <w:color w:val="auto"/>
        </w:rPr>
        <w:t xml:space="preserve"> lists agreements for Development (including pre-clinical and clinical) or other services currently being provided by any Third Party or under which Seller has outstanding obligations related to the Product and/or the Product Intellectual Property (“</w:t>
      </w:r>
      <w:r>
        <w:rPr>
          <w:rFonts w:ascii="Arial" w:cs="Arial" w:eastAsia="Arial" w:hAnsi="Arial"/>
          <w:sz w:val="15"/>
          <w:szCs w:val="15"/>
          <w:b w:val="1"/>
          <w:bCs w:val="1"/>
          <w:color w:val="auto"/>
        </w:rPr>
        <w:t>Service Contracts</w:t>
      </w:r>
      <w:r>
        <w:rPr>
          <w:rFonts w:ascii="Arial" w:cs="Arial" w:eastAsia="Arial" w:hAnsi="Arial"/>
          <w:sz w:val="15"/>
          <w:szCs w:val="15"/>
          <w:color w:val="auto"/>
        </w:rPr>
        <w:t>”). Seller has delivered or otherwise made available to Buyer copies of all Service Contracts, and Seller or its Affiliate, as applicable, is in compliance with (and, to Seller’s Knowledge, each other party to such Service Contracts are in compliance with) all material terms and conditions of all Service Contracts.</w:t>
      </w:r>
    </w:p>
    <w:p>
      <w:pPr>
        <w:spacing w:after="0" w:line="199" w:lineRule="exact"/>
        <w:rPr>
          <w:rFonts w:ascii="Arial" w:cs="Arial" w:eastAsia="Arial" w:hAnsi="Arial"/>
          <w:sz w:val="15"/>
          <w:szCs w:val="15"/>
          <w:color w:val="auto"/>
        </w:rPr>
      </w:pPr>
    </w:p>
    <w:p>
      <w:pPr>
        <w:ind w:left="580" w:right="440" w:hanging="572"/>
        <w:spacing w:after="0" w:line="328" w:lineRule="auto"/>
        <w:tabs>
          <w:tab w:leader="none" w:pos="576" w:val="left"/>
        </w:tabs>
        <w:numPr>
          <w:ilvl w:val="0"/>
          <w:numId w:val="225"/>
        </w:numPr>
        <w:rPr>
          <w:rFonts w:ascii="Arial" w:cs="Arial" w:eastAsia="Arial" w:hAnsi="Arial"/>
          <w:sz w:val="15"/>
          <w:szCs w:val="15"/>
          <w:color w:val="auto"/>
        </w:rPr>
      </w:pPr>
      <w:r>
        <w:rPr>
          <w:rFonts w:ascii="Arial" w:cs="Arial" w:eastAsia="Arial" w:hAnsi="Arial"/>
          <w:sz w:val="15"/>
          <w:szCs w:val="15"/>
          <w:color w:val="auto"/>
        </w:rPr>
        <w:t>Except as set forth in Schedule 5.7(vii) of the Disclosure Schedules, neither Seller, nor any of its Affiliates, has received any written communication, claim or demand from any Third Party concerning Third Party intellectual property rights in connection with the Product, or alleging that any</w:t>
      </w:r>
    </w:p>
    <w:p>
      <w:pPr>
        <w:sectPr>
          <w:pgSz w:w="11900" w:h="16838" w:orient="portrait"/>
          <w:cols w:equalWidth="0" w:num="1">
            <w:col w:w="11240"/>
          </w:cols>
          <w:pgMar w:left="320" w:top="838" w:right="339" w:bottom="1440" w:gutter="0" w:footer="0" w:header="0"/>
        </w:sectPr>
      </w:pPr>
    </w:p>
    <w:bookmarkStart w:id="269" w:name="page270"/>
    <w:bookmarkEnd w:id="269"/>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left="580"/>
        <w:spacing w:after="0" w:line="279" w:lineRule="auto"/>
        <w:rPr>
          <w:sz w:val="20"/>
          <w:szCs w:val="20"/>
          <w:color w:val="auto"/>
        </w:rPr>
      </w:pPr>
      <w:r>
        <w:rPr>
          <w:rFonts w:ascii="Arial" w:cs="Arial" w:eastAsia="Arial" w:hAnsi="Arial"/>
          <w:sz w:val="15"/>
          <w:szCs w:val="15"/>
          <w:color w:val="auto"/>
        </w:rPr>
        <w:t>material infringement, violation or misappropriation of any Third Party’s intellectual property rights has occurred with respect to the Program IP or as a result of the manufacture, Development or Commercialization of the Product. During the last three (3) years, neither Seller nor any of its Affiliates has received any written communication alleging that the conduct of the practice of any Program IP violates any right to privacy or publicity of any Person, violates any Applicable Laws or constitutes unfair competition or trade practices under Applicable Law. To the Knowledge of Seller as of the Closing Date, neither the past or current Development, manufacture (including use of certain cells to produce Teplizumab for the Product), Commercialization, use, sale or import of Teplizumab or the Product has or would infringe, misappropriate or otherwise violate the intellectual property rights of any Third Party as of the Closing Date.</w:t>
      </w:r>
    </w:p>
    <w:p>
      <w:pPr>
        <w:spacing w:after="0" w:line="214" w:lineRule="exact"/>
        <w:rPr>
          <w:sz w:val="20"/>
          <w:szCs w:val="20"/>
          <w:color w:val="auto"/>
        </w:rPr>
      </w:pPr>
    </w:p>
    <w:p>
      <w:pPr>
        <w:ind w:left="580" w:right="400" w:hanging="572"/>
        <w:spacing w:after="0" w:line="278" w:lineRule="auto"/>
        <w:tabs>
          <w:tab w:leader="none" w:pos="56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Seller has taken customary measures and precautions necessary to protect and maintain the confidentiality of the Product Know-How. During the last three (3) years, neither Seller nor any Seller Affiliate has received any written communication alleging any violation of Applicable Laws pertaining to the privacy and security of protected health information within any clinical data or regulatory materials related to the Product.</w:t>
      </w:r>
    </w:p>
    <w:p>
      <w:pPr>
        <w:spacing w:after="0" w:line="211" w:lineRule="exact"/>
        <w:rPr>
          <w:rFonts w:ascii="Arial" w:cs="Arial" w:eastAsia="Arial" w:hAnsi="Arial"/>
          <w:sz w:val="16"/>
          <w:szCs w:val="16"/>
          <w:color w:val="auto"/>
        </w:rPr>
      </w:pPr>
    </w:p>
    <w:p>
      <w:pPr>
        <w:ind w:left="1180" w:right="20" w:hanging="582"/>
        <w:spacing w:after="0" w:line="293" w:lineRule="auto"/>
        <w:tabs>
          <w:tab w:leader="none" w:pos="1172" w:val="left"/>
        </w:tabs>
        <w:numPr>
          <w:ilvl w:val="1"/>
          <w:numId w:val="226"/>
        </w:numPr>
        <w:rPr>
          <w:rFonts w:ascii="Arial" w:cs="Arial" w:eastAsia="Arial" w:hAnsi="Arial"/>
          <w:sz w:val="15"/>
          <w:szCs w:val="15"/>
          <w:color w:val="auto"/>
        </w:rPr>
      </w:pPr>
      <w:r>
        <w:rPr>
          <w:rFonts w:ascii="Arial" w:cs="Arial" w:eastAsia="Arial" w:hAnsi="Arial"/>
          <w:sz w:val="15"/>
          <w:szCs w:val="15"/>
          <w:color w:val="auto"/>
        </w:rPr>
        <w:t>Each current or former employee, consultant and independent contractor employed or engaged by Seller or any of its Affiliates in the manufacture, Development or Commercialization of Product has executed a valid and binding written agreement (A) expressly assigning to Seller all right, title and interest in any intellectual property rights which relate the Product and were invented, created, developed, conceived or reduced to practice during the term of such employee’s, consultant’s or and independent contractor’s employment or engagement; and (B) requiring each such employee, consultant or independent contractor to protect and preserve all applicable Program IP. Such assignments have been directly assigned to Seller or its Affiliates.</w:t>
      </w:r>
    </w:p>
    <w:p>
      <w:pPr>
        <w:spacing w:after="0" w:line="202" w:lineRule="exact"/>
        <w:rPr>
          <w:rFonts w:ascii="Arial" w:cs="Arial" w:eastAsia="Arial" w:hAnsi="Arial"/>
          <w:sz w:val="15"/>
          <w:szCs w:val="15"/>
          <w:color w:val="auto"/>
        </w:rPr>
      </w:pPr>
    </w:p>
    <w:p>
      <w:pPr>
        <w:ind w:left="1180" w:right="20" w:hanging="582"/>
        <w:spacing w:after="0" w:line="260" w:lineRule="auto"/>
        <w:tabs>
          <w:tab w:leader="none" w:pos="116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Except as set forth in Schedule 5.7(x) of the Disclosure Schedules, neither Seller nor any of its Affiliates has (A) sought, applied for or received any support, funding, resources, materials or assistance from any Government Authority, university, college or other educational or non-profit institution or research center in connection with the creation or development of the Product Intellectual Property or the Product, or (B) used any facilities of a university, college, or other educational institution or research center in the development of any Product or the creation or development of the Product Intellectual Property. To Seller’s Knowledge, no current or former employee, consultant or independent contractor who was in any way involved in (or has in any way contributed to) the creation or development of the Product Intellectual Property or the Product has performed services for any Government Authority, university, college or other educational or non-profit institution or research center during a period of time during which such employee, consultant or independent contractor was also performing services for Seller or Seller Affiliates that would result in any adverse claim or right relating to the Product Intellectual Property. Except as set forth in Schedule 5.7(x) of the Disclosure Schedules, no Government Authority, university, college or other educational or non-profit institution or research center has any claim of right to ownership of or other liens, claims or interests with respect to the Product Intellectual Property.</w:t>
      </w:r>
    </w:p>
    <w:p>
      <w:pPr>
        <w:spacing w:after="0" w:line="238"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4"/>
          <w:szCs w:val="14"/>
          <w:u w:val="single" w:color="auto"/>
          <w:color w:val="auto"/>
        </w:rPr>
        <w:t>Compliance with Law</w:t>
      </w:r>
      <w:r>
        <w:rPr>
          <w:rFonts w:ascii="Arial" w:cs="Arial" w:eastAsia="Arial" w:hAnsi="Arial"/>
          <w:sz w:val="14"/>
          <w:szCs w:val="14"/>
          <w:color w:val="auto"/>
        </w:rPr>
        <w:t>. Seller has complied in all material respects with and is not in material breach, violation or noncompliance of any Applicable Laws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-6985</wp:posOffset>
            </wp:positionV>
            <wp:extent cx="260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 w:lineRule="exact"/>
        <w:rPr>
          <w:sz w:val="20"/>
          <w:szCs w:val="20"/>
          <w:color w:val="auto"/>
        </w:rPr>
      </w:pPr>
    </w:p>
    <w:p>
      <w:pPr>
        <w:ind w:left="600" w:right="520"/>
        <w:spacing w:after="0" w:line="328" w:lineRule="auto"/>
        <w:rPr>
          <w:sz w:val="20"/>
          <w:szCs w:val="20"/>
          <w:color w:val="auto"/>
        </w:rPr>
      </w:pPr>
      <w:r>
        <w:rPr>
          <w:rFonts w:ascii="Arial" w:cs="Arial" w:eastAsia="Arial" w:hAnsi="Arial"/>
          <w:sz w:val="15"/>
          <w:szCs w:val="15"/>
          <w:color w:val="auto"/>
        </w:rPr>
        <w:t>to the ownership, use, manufacture or Commercialization of the Product, except for such non-compliance as would not reasonably be expected to materially adversely affect Buyer’s interest in the Purchased Assets or Buyer’s ability to Develop, manufacture or Commercialize any Product.</w:t>
      </w:r>
    </w:p>
    <w:p>
      <w:pPr>
        <w:spacing w:after="0" w:line="190"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4"/>
          <w:szCs w:val="14"/>
          <w:u w:val="single" w:color="auto"/>
          <w:color w:val="auto"/>
        </w:rPr>
        <w:t>Litigation</w:t>
      </w:r>
      <w:r>
        <w:rPr>
          <w:rFonts w:ascii="Arial" w:cs="Arial" w:eastAsia="Arial" w:hAnsi="Arial"/>
          <w:sz w:val="14"/>
          <w:szCs w:val="14"/>
          <w:color w:val="auto"/>
        </w:rPr>
        <w:t>. During the past five (5) years there have been no, and as of the Closing Date there are no Third Party Claims pending or, to the Knowledge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5932805</wp:posOffset>
            </wp:positionH>
            <wp:positionV relativeFrom="paragraph">
              <wp:posOffset>-6985</wp:posOffset>
            </wp:positionV>
            <wp:extent cx="254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 w:lineRule="exact"/>
        <w:rPr>
          <w:sz w:val="20"/>
          <w:szCs w:val="20"/>
          <w:color w:val="auto"/>
        </w:rPr>
      </w:pPr>
    </w:p>
    <w:p>
      <w:pPr>
        <w:ind w:left="600" w:right="220"/>
        <w:spacing w:after="0" w:line="280" w:lineRule="auto"/>
        <w:rPr>
          <w:sz w:val="20"/>
          <w:szCs w:val="20"/>
          <w:color w:val="auto"/>
        </w:rPr>
      </w:pPr>
      <w:r>
        <w:rPr>
          <w:rFonts w:ascii="Arial" w:cs="Arial" w:eastAsia="Arial" w:hAnsi="Arial"/>
          <w:sz w:val="15"/>
          <w:szCs w:val="15"/>
          <w:color w:val="auto"/>
        </w:rPr>
        <w:t>threatened against Seller, relating to, affecting or arising in connection with (i) a Product, (ii) the Purchased Assets, (iii) this Agreement, (iv) the Related Technology or (v) the transactions contemplated by this Agreement. To the Knowledge of Seller, no event has occurred, and no condition or circumstance exists, that can be reasonably expected to serve as a basis for the commencement of any such Third Party Claims against Seller with respect to the manufacture or Development of a Product until the Closing Date. Neither the Related Technology, nor the Purchased Assets are subject to any judgment, order, writ, injunction, decree or award of any court, arbitrator or governmental department, commission, board, bureau, agency or instrumentality against Seller that can reasonably be expected to materially and adversely affect, prevent, impair or delay the consummation of this Agreement.</w:t>
      </w:r>
    </w:p>
    <w:p>
      <w:pPr>
        <w:spacing w:after="0" w:line="4"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5.10</w:t>
      </w:r>
      <w:r>
        <w:rPr>
          <w:sz w:val="20"/>
          <w:szCs w:val="20"/>
          <w:color w:val="auto"/>
        </w:rPr>
        <w:tab/>
      </w:r>
      <w:r>
        <w:rPr>
          <w:rFonts w:ascii="Arial" w:cs="Arial" w:eastAsia="Arial" w:hAnsi="Arial"/>
          <w:sz w:val="14"/>
          <w:szCs w:val="14"/>
          <w:u w:val="single" w:color="auto"/>
          <w:color w:val="auto"/>
        </w:rPr>
        <w:t>Regulatory Compliance; Debarment</w:t>
      </w:r>
      <w:r>
        <w:rPr>
          <w:rFonts w:ascii="Arial" w:cs="Arial" w:eastAsia="Arial" w:hAnsi="Arial"/>
          <w:sz w:val="14"/>
          <w:szCs w:val="14"/>
          <w:color w:val="auto"/>
        </w:rPr>
        <w:t>. As of the Closing Date: (i) there is no pending or, to the Knowledge of Seller, threatened Action or Proceeding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-6985</wp:posOffset>
            </wp:positionV>
            <wp:extent cx="260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 w:lineRule="exact"/>
        <w:rPr>
          <w:sz w:val="20"/>
          <w:szCs w:val="20"/>
          <w:color w:val="auto"/>
        </w:rPr>
      </w:pPr>
    </w:p>
    <w:p>
      <w:pPr>
        <w:ind w:left="580" w:right="80"/>
        <w:spacing w:after="0" w:line="277" w:lineRule="auto"/>
        <w:rPr>
          <w:sz w:val="20"/>
          <w:szCs w:val="20"/>
          <w:color w:val="auto"/>
        </w:rPr>
      </w:pPr>
      <w:r>
        <w:rPr>
          <w:rFonts w:ascii="Arial" w:cs="Arial" w:eastAsia="Arial" w:hAnsi="Arial"/>
          <w:sz w:val="15"/>
          <w:szCs w:val="15"/>
          <w:color w:val="auto"/>
        </w:rPr>
        <w:t>Governmental Authority against Seller relating to the Product, the Related Technology or the Purchased Assets, (ii) there is no pending or, to the Knowledge of Seller, threatened Action or Proceeding by a Governmental Authority against a Product Developed, manufactured or Commercialized by or on behalf of Seller or against any Purchased Assets, (iii) there is no act or omission by, or event or circumstance known to the Seller that, to the Knowledge of the Seller, would or reasonably would be expected to result in an Action or Proceeding by a Governmental Authority against Seller relating to the Product, the Related Technology or the Purchased Assets, (iv) all required submissions to the FDA related to Seller’s manufacture or Development of the Product have been made, (v) all submissions made by or on behalf of Seller to the FDA or any other Governmental Authority, if any, are accurate and complete in all material respects; (vi) there is no arrangement to which Seller is a party or authorized by Seller providing for any rebates, kickbacks or other forms of compensation that are unlawful to be paid to any Person in return for the referral of business or for the arrangement for recommendation of such referrals, (vii) neither Seller, nor any individual who is an officer or director of Seller as of the Closing Date, nor, to the Knowledge of Seller, any other employee, consultant, agent of Seller or any of Seller’s predecessors in interest or its collaborators, directly involved in the Development or manufacture of a Product (A) has been convicted of, charged with or, to the Knowledge of Seller, investigated for any offense related to healthcare, or (B) has been convicted of, charged with or, to the Knowledge of Seller, investigated for a violation of Applicable Laws related to fraud, theft, embezzlement, breach of fiduciary responsibility, financial misconduct, obstruction of an investigation or distribution of controlled substances, (C) has engaged in any conduct that has resulted, or would reasonably be expected to result, in debarments under 21 U.S.C. § 335a(a) or any similar Applicable Laws, or (D) committed an act, made a statement or failed to make a statement that would provide the basis for the FDA to invoke its policy respecting “Fraud, Untrue Statements of Material Facts, Bribery, and Illegal Gratuities,” as set forth in 56 Fed. Reg. 46191 (September 10, 1991), (viii) there have been no recalls, field notifications or seizures or adverse regulatory actions taken (or, to the Knowledge of Seller after reasonable investigation, threatened) by any Governmental Authority with respect to the Product or, to the Knowledge of Seller, an ingredient of a Product, including any such actions materially and adversely affecting</w:t>
      </w:r>
    </w:p>
    <w:p>
      <w:pPr>
        <w:sectPr>
          <w:pgSz w:w="11900" w:h="16838" w:orient="portrait"/>
          <w:cols w:equalWidth="0" w:num="1">
            <w:col w:w="11240"/>
          </w:cols>
          <w:pgMar w:left="320" w:top="838" w:right="339" w:bottom="1440" w:gutter="0" w:footer="0" w:header="0"/>
        </w:sectPr>
      </w:pPr>
    </w:p>
    <w:bookmarkStart w:id="270" w:name="page271"/>
    <w:bookmarkEnd w:id="270"/>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left="580" w:right="100"/>
        <w:spacing w:after="0" w:line="257" w:lineRule="auto"/>
        <w:rPr>
          <w:sz w:val="20"/>
          <w:szCs w:val="20"/>
          <w:color w:val="auto"/>
        </w:rPr>
      </w:pPr>
      <w:r>
        <w:rPr>
          <w:rFonts w:ascii="Arial" w:cs="Arial" w:eastAsia="Arial" w:hAnsi="Arial"/>
          <w:sz w:val="16"/>
          <w:szCs w:val="16"/>
          <w:color w:val="auto"/>
        </w:rPr>
        <w:t>facilities where the Product or Product ingredients are manufactured, produced, processed, packaged or stored for Seller, and Seller has not, either voluntarily or at the request of any Governmental Authority, initiated or participated in a recall of a Product.</w:t>
      </w:r>
    </w:p>
    <w:p>
      <w:pPr>
        <w:spacing w:after="0" w:line="240" w:lineRule="exact"/>
        <w:rPr>
          <w:sz w:val="20"/>
          <w:szCs w:val="20"/>
          <w:color w:val="auto"/>
        </w:rPr>
      </w:pPr>
    </w:p>
    <w:p>
      <w:pPr>
        <w:ind w:left="460" w:right="60" w:hanging="581"/>
        <w:spacing w:after="0" w:line="261" w:lineRule="auto"/>
        <w:tabs>
          <w:tab w:leader="none" w:pos="44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6"/>
          <w:szCs w:val="16"/>
          <w:u w:val="single" w:color="auto"/>
          <w:color w:val="auto"/>
        </w:rPr>
        <w:t>Disclosures</w:t>
      </w:r>
      <w:r>
        <w:rPr>
          <w:rFonts w:ascii="Arial" w:cs="Arial" w:eastAsia="Arial" w:hAnsi="Arial"/>
          <w:sz w:val="16"/>
          <w:szCs w:val="16"/>
          <w:color w:val="auto"/>
        </w:rPr>
        <w:t>. Seller has made available to Buyer true, correct and complete copies of (i) all Program Contracts; (ii) the INDs and CTAs and all material Product</w:t>
      </w:r>
      <w:r>
        <w:rPr>
          <w:rFonts w:ascii="Arial" w:cs="Arial" w:eastAsia="Arial" w:hAnsi="Arial"/>
          <w:sz w:val="16"/>
          <w:szCs w:val="16"/>
          <w:u w:val="single" w:color="auto"/>
          <w:color w:val="auto"/>
        </w:rPr>
        <w:t xml:space="preserve"> </w:t>
      </w:r>
      <w:r>
        <w:rPr>
          <w:rFonts w:ascii="Arial" w:cs="Arial" w:eastAsia="Arial" w:hAnsi="Arial"/>
          <w:sz w:val="16"/>
          <w:szCs w:val="16"/>
          <w:color w:val="auto"/>
        </w:rPr>
        <w:t>related information that Seller is required to maintain pursuant to the requirements of the FDA, including Product complaint files and labeling change files, (iii) all Patents Controlled by Seller, to the extent not publicly available, relating to the Product or its manufacture or Commercialization and to the extent included in the Product Patents, (iv) the Transferrable Books and Records, including the complete regulatory file for the Product. Neither Seller nor any Affiliate is a party to any unwritten agreement directly relating to the Development, manufacture or Commercialization of Product that would materially adversely affect the sale, use, manufacture or Commercialization of a Product. Except as set forth on Schedule 5.11 of the Disclosure Schedules, Seller has not granted to a Third Party any right, and no Third Party has any right under the INDs and CTAs or the Product Intellectual Property, to manufacture, Develop or Commercialize the Product. To the Knowledge of Seller, all information provided by Seller to Buyer relating to the manufacture, Development and Commercialization of the Product has not contained any untrue statement of a material fact or intentionally omitted to state a material fact necessary in order to make the statements therein not misleading in light of the circumstances under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6125210</wp:posOffset>
            </wp:positionH>
            <wp:positionV relativeFrom="paragraph">
              <wp:posOffset>-1160780</wp:posOffset>
            </wp:positionV>
            <wp:extent cx="254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34" w:lineRule="exact"/>
        <w:rPr>
          <w:sz w:val="20"/>
          <w:szCs w:val="20"/>
          <w:color w:val="auto"/>
        </w:rPr>
      </w:pPr>
    </w:p>
    <w:p>
      <w:pPr>
        <w:jc w:val="center"/>
        <w:ind w:right="140"/>
        <w:spacing w:after="0" w:line="328"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u w:val="single" w:color="auto"/>
          <w:color w:val="auto"/>
        </w:rPr>
        <w:t>Brokers</w:t>
      </w:r>
      <w:r>
        <w:rPr>
          <w:rFonts w:ascii="Arial" w:cs="Arial" w:eastAsia="Arial" w:hAnsi="Arial"/>
          <w:sz w:val="15"/>
          <w:szCs w:val="15"/>
          <w:color w:val="auto"/>
        </w:rPr>
        <w:t>. Seller has not retained any broker in connection with the transactions contemplated under this Agreement. Buyer will have no obligation to pay fees of any brokers, finders, investment bankers, or financial advisors engaged by Seller in connection with this Agreement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-189865</wp:posOffset>
            </wp:positionV>
            <wp:extent cx="260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84" w:lineRule="exact"/>
        <w:rPr>
          <w:sz w:val="20"/>
          <w:szCs w:val="20"/>
          <w:color w:val="auto"/>
        </w:rPr>
      </w:pPr>
    </w:p>
    <w:p>
      <w:pPr>
        <w:ind w:left="460" w:right="200" w:hanging="581"/>
        <w:spacing w:after="0" w:line="293" w:lineRule="auto"/>
        <w:tabs>
          <w:tab w:leader="none" w:pos="440" w:val="left"/>
        </w:tabs>
        <w:rPr>
          <w:sz w:val="20"/>
          <w:szCs w:val="20"/>
          <w:color w:val="auto"/>
        </w:rPr>
      </w:pPr>
      <w:r>
        <w:rPr>
          <w:rFonts w:ascii="Arial" w:cs="Arial" w:eastAsia="Arial" w:hAnsi="Arial"/>
          <w:sz w:val="16"/>
          <w:szCs w:val="16"/>
          <w:color w:val="auto"/>
        </w:rPr>
        <w:t>5.13</w:t>
      </w:r>
      <w:r>
        <w:rPr>
          <w:sz w:val="20"/>
          <w:szCs w:val="20"/>
          <w:color w:val="auto"/>
        </w:rPr>
        <w:tab/>
      </w:r>
      <w:r>
        <w:rPr>
          <w:rFonts w:ascii="Arial" w:cs="Arial" w:eastAsia="Arial" w:hAnsi="Arial"/>
          <w:sz w:val="15"/>
          <w:szCs w:val="15"/>
          <w:u w:val="single" w:color="auto"/>
          <w:color w:val="auto"/>
        </w:rPr>
        <w:t>Solvency</w:t>
      </w:r>
      <w:r>
        <w:rPr>
          <w:rFonts w:ascii="Arial" w:cs="Arial" w:eastAsia="Arial" w:hAnsi="Arial"/>
          <w:sz w:val="15"/>
          <w:szCs w:val="15"/>
          <w:color w:val="auto"/>
        </w:rPr>
        <w:t>. Seller has entered into this Agreement in good faith as a result of arms-length negotiations with Buyer. Seller is not entering into this Agreement or any</w:t>
      </w:r>
      <w:r>
        <w:rPr>
          <w:rFonts w:ascii="Arial" w:cs="Arial" w:eastAsia="Arial" w:hAnsi="Arial"/>
          <w:sz w:val="15"/>
          <w:szCs w:val="15"/>
          <w:u w:val="single" w:color="auto"/>
          <w:color w:val="auto"/>
        </w:rPr>
        <w:t xml:space="preserve"> </w:t>
      </w:r>
      <w:r>
        <w:rPr>
          <w:rFonts w:ascii="Arial" w:cs="Arial" w:eastAsia="Arial" w:hAnsi="Arial"/>
          <w:sz w:val="15"/>
          <w:szCs w:val="15"/>
          <w:color w:val="auto"/>
        </w:rPr>
        <w:t>transaction contemplated hereunder with the intent to hinder, delay or defraud any Person to which it is, or may become, indebted. As of the Closing Date, Seller has the capacity and financial capability to comply with and perform all of the covenants and obligations under this Agreement. Further, as of the Closing, giving effect to the consummation of all of the transactions contemplated by this Agreement, including, without limitation, the transfer and delivery of the Purchased Assets, will not cause Seller to be insolvent under any Applicable Law relating to fraudulent transfers or fraudulent conveyance.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-558800</wp:posOffset>
            </wp:positionV>
            <wp:extent cx="254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6" w:lineRule="exact"/>
        <w:rPr>
          <w:sz w:val="20"/>
          <w:szCs w:val="20"/>
          <w:color w:val="auto"/>
        </w:rPr>
      </w:pPr>
    </w:p>
    <w:p>
      <w:pPr>
        <w:ind w:left="480" w:right="240" w:hanging="581"/>
        <w:spacing w:after="0" w:line="271" w:lineRule="auto"/>
        <w:tabs>
          <w:tab w:leader="none" w:pos="460" w:val="left"/>
        </w:tabs>
        <w:rPr>
          <w:sz w:val="20"/>
          <w:szCs w:val="20"/>
          <w:color w:val="auto"/>
        </w:rPr>
      </w:pPr>
      <w:r>
        <w:rPr>
          <w:rFonts w:ascii="Arial" w:cs="Arial" w:eastAsia="Arial" w:hAnsi="Arial"/>
          <w:sz w:val="16"/>
          <w:szCs w:val="16"/>
          <w:color w:val="auto"/>
        </w:rPr>
        <w:t>5.14</w:t>
        <w:tab/>
        <w:t xml:space="preserve">[****] </w:t>
      </w:r>
      <w:r>
        <w:rPr>
          <w:rFonts w:ascii="Arial" w:cs="Arial" w:eastAsia="Arial" w:hAnsi="Arial"/>
          <w:sz w:val="16"/>
          <w:szCs w:val="16"/>
          <w:u w:val="single" w:color="auto"/>
          <w:color w:val="auto"/>
        </w:rPr>
        <w:t>Agreement; Third Party Obligations</w:t>
      </w:r>
      <w:r>
        <w:rPr>
          <w:rFonts w:ascii="Arial" w:cs="Arial" w:eastAsia="Arial" w:hAnsi="Arial"/>
          <w:sz w:val="16"/>
          <w:szCs w:val="16"/>
          <w:color w:val="auto"/>
        </w:rPr>
        <w:t>. The [****] Agreement has been terminated and the [****] described in Amendment No. 2 to the [****] Agreement, dated as of [****], has been completed. There are no outstanding obligations or liabilities related to the Product or the Purchased Assets under the [****] Agreement. The total amount due under the [****]Agreement, as agreed between [****]Buyer and Seller in the [****] Consent is [****] U.S. dollars ($[****]) and is exclusively due as a royalty on sales of Product. Schedule 5.14(ii) sets forth a true, complete and correct list of the Third Party Obligations that would be payable on sales of Product.</w:t>
      </w:r>
    </w:p>
    <w:p>
      <w:pPr>
        <w:spacing w:after="0" w:line="230"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6"/>
          <w:szCs w:val="16"/>
          <w:color w:val="auto"/>
        </w:rPr>
        <w:t>5.15</w:t>
      </w:r>
      <w:r>
        <w:rPr>
          <w:sz w:val="20"/>
          <w:szCs w:val="20"/>
          <w:color w:val="auto"/>
        </w:rPr>
        <w:tab/>
      </w:r>
      <w:r>
        <w:rPr>
          <w:rFonts w:ascii="Arial" w:cs="Arial" w:eastAsia="Arial" w:hAnsi="Arial"/>
          <w:sz w:val="14"/>
          <w:szCs w:val="14"/>
          <w:u w:val="single" w:color="auto"/>
          <w:color w:val="auto"/>
        </w:rPr>
        <w:t>Clinical Trials</w:t>
      </w:r>
      <w:r>
        <w:rPr>
          <w:rFonts w:ascii="Arial" w:cs="Arial" w:eastAsia="Arial" w:hAnsi="Arial"/>
          <w:sz w:val="14"/>
          <w:szCs w:val="14"/>
          <w:color w:val="auto"/>
        </w:rPr>
        <w:t>. Schedule 5.15 contains a complete listing of all clinical trials conducted using Product, including any investigator-Sponsored studies. The preclinical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-6985</wp:posOffset>
            </wp:positionV>
            <wp:extent cx="254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2" w:lineRule="exact"/>
        <w:rPr>
          <w:sz w:val="20"/>
          <w:szCs w:val="20"/>
          <w:color w:val="auto"/>
        </w:rPr>
      </w:pPr>
    </w:p>
    <w:p>
      <w:pPr>
        <w:ind w:left="600" w:right="20"/>
        <w:spacing w:after="0" w:line="279" w:lineRule="auto"/>
        <w:rPr>
          <w:sz w:val="20"/>
          <w:szCs w:val="20"/>
          <w:color w:val="auto"/>
        </w:rPr>
      </w:pPr>
      <w:r>
        <w:rPr>
          <w:rFonts w:ascii="Arial" w:cs="Arial" w:eastAsia="Arial" w:hAnsi="Arial"/>
          <w:sz w:val="15"/>
          <w:szCs w:val="15"/>
          <w:color w:val="auto"/>
        </w:rPr>
        <w:t>studies and clinical trials of the Product conducted by or on behalf of Seller were and, if still ongoing, are being conducted in all material respects in accordance with experimental protocols, procedures and controls pursuant to accepted professional scientific standards and all Applicable Laws (including, to the extent applicable, cGLPs and cGCPs). All required IRB approvals have been obtained and are currently in place for any ongoing clinical trials of Product. Valid informed consents have been obtained and are in the Seller’s possession or control for all patients who have been in Seller’s clinical trials of Product. All adverse experiences occurring in clinical trials have been reported to FDA as required. All Product used in such clinical trials materially complied with all Applicable Laws (including, to the extent applicable, cGMPs), and there have not been any material deficiencies or defects in such Product. Neither Seller, nor any of its agents, or to its Knowledge and of its collaborators, have received any written notices or correspondence from the FDA or any other Government Authority requiring the termination, suspension, hold or material modification of any preclinical study or clinical trial of a Product conducted by or on behalf of Seller. Neither Seller nor any of its agents, or to its Knowledge any of its collaborators, have received any written communication from any Person threatening any claim or lawsuit against Seller, any of its agents or its collaborators, arising from the administration of a Product to any Person in the course of any clinical trial conducted by or on behalf of Seller. FDA has not issued any 483 or finding of deficiency or non-compliance in respect of the Product, any clinical trial of the Product, or any Third Party involved in the conduct of a clinical trial of the Product.</w:t>
      </w:r>
    </w:p>
    <w:p>
      <w:pPr>
        <w:spacing w:after="0" w:line="226" w:lineRule="exact"/>
        <w:rPr>
          <w:sz w:val="20"/>
          <w:szCs w:val="20"/>
          <w:color w:val="auto"/>
        </w:rPr>
      </w:pPr>
    </w:p>
    <w:p>
      <w:pPr>
        <w:ind w:left="480" w:right="80" w:hanging="581"/>
        <w:spacing w:after="0" w:line="287" w:lineRule="auto"/>
        <w:tabs>
          <w:tab w:leader="none" w:pos="460" w:val="left"/>
        </w:tabs>
        <w:rPr>
          <w:sz w:val="20"/>
          <w:szCs w:val="20"/>
          <w:color w:val="auto"/>
        </w:rPr>
      </w:pPr>
      <w:r>
        <w:rPr>
          <w:rFonts w:ascii="Arial" w:cs="Arial" w:eastAsia="Arial" w:hAnsi="Arial"/>
          <w:sz w:val="16"/>
          <w:szCs w:val="16"/>
          <w:color w:val="auto"/>
        </w:rPr>
        <w:t>5.16</w:t>
      </w:r>
      <w:r>
        <w:rPr>
          <w:sz w:val="20"/>
          <w:szCs w:val="20"/>
          <w:color w:val="auto"/>
        </w:rPr>
        <w:tab/>
      </w:r>
      <w:r>
        <w:rPr>
          <w:rFonts w:ascii="Arial" w:cs="Arial" w:eastAsia="Arial" w:hAnsi="Arial"/>
          <w:sz w:val="16"/>
          <w:szCs w:val="16"/>
          <w:u w:val="single" w:color="auto"/>
          <w:color w:val="auto"/>
        </w:rPr>
        <w:t>Undisclosed Liabilities</w:t>
      </w:r>
      <w:r>
        <w:rPr>
          <w:rFonts w:ascii="Arial" w:cs="Arial" w:eastAsia="Arial" w:hAnsi="Arial"/>
          <w:sz w:val="16"/>
          <w:szCs w:val="16"/>
          <w:color w:val="auto"/>
        </w:rPr>
        <w:t>. To Seller’s Knowledge, except for liabilities to Seller and any liabilities which are disclosed on Schedule 5.14(ii), there is no financial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economic liability that would be due in connection with the Development, manufacturing or Commercialization of the Product under agreements that were entered into by Seller, or to its Knowledge, its predecessors in interest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6436995</wp:posOffset>
            </wp:positionH>
            <wp:positionV relativeFrom="paragraph">
              <wp:posOffset>-309245</wp:posOffset>
            </wp:positionV>
            <wp:extent cx="260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11" w:lineRule="exact"/>
        <w:rPr>
          <w:sz w:val="20"/>
          <w:szCs w:val="20"/>
          <w:color w:val="auto"/>
        </w:rPr>
      </w:pPr>
    </w:p>
    <w:p>
      <w:pPr>
        <w:ind w:left="480" w:right="20" w:hanging="581"/>
        <w:spacing w:after="0" w:line="314" w:lineRule="auto"/>
        <w:tabs>
          <w:tab w:leader="none" w:pos="460" w:val="left"/>
        </w:tabs>
        <w:rPr>
          <w:sz w:val="20"/>
          <w:szCs w:val="20"/>
          <w:color w:val="auto"/>
        </w:rPr>
      </w:pPr>
      <w:r>
        <w:rPr>
          <w:rFonts w:ascii="Arial" w:cs="Arial" w:eastAsia="Arial" w:hAnsi="Arial"/>
          <w:sz w:val="16"/>
          <w:szCs w:val="16"/>
          <w:color w:val="auto"/>
        </w:rPr>
        <w:t>5.17</w:t>
      </w:r>
      <w:r>
        <w:rPr>
          <w:sz w:val="20"/>
          <w:szCs w:val="20"/>
          <w:color w:val="auto"/>
        </w:rPr>
        <w:tab/>
      </w:r>
      <w:r>
        <w:rPr>
          <w:rFonts w:ascii="Arial" w:cs="Arial" w:eastAsia="Arial" w:hAnsi="Arial"/>
          <w:sz w:val="15"/>
          <w:szCs w:val="15"/>
          <w:u w:val="single" w:color="auto"/>
          <w:color w:val="auto"/>
        </w:rPr>
        <w:t>Transferred Materials; Suppliers</w:t>
      </w:r>
      <w:r>
        <w:rPr>
          <w:rFonts w:ascii="Arial" w:cs="Arial" w:eastAsia="Arial" w:hAnsi="Arial"/>
          <w:sz w:val="15"/>
          <w:szCs w:val="15"/>
          <w:color w:val="auto"/>
        </w:rPr>
        <w:t>. The Transferred Materials have been manufactured in compliance with all Applicable Laws including cGMP and have met all</w:t>
      </w:r>
      <w:r>
        <w:rPr>
          <w:rFonts w:ascii="Arial" w:cs="Arial" w:eastAsia="Arial" w:hAnsi="Arial"/>
          <w:sz w:val="15"/>
          <w:szCs w:val="15"/>
          <w:u w:val="single" w:color="auto"/>
          <w:color w:val="auto"/>
        </w:rPr>
        <w:t xml:space="preserve"> </w:t>
      </w:r>
      <w:r>
        <w:rPr>
          <w:rFonts w:ascii="Arial" w:cs="Arial" w:eastAsia="Arial" w:hAnsi="Arial"/>
          <w:sz w:val="15"/>
          <w:szCs w:val="15"/>
          <w:color w:val="auto"/>
        </w:rPr>
        <w:t>applicable specifications, except as would not materially adversely affect Buyer’s ability to manufacture, Develop or Commercialize the Product. Neither Seller nor any Third Party has received any written notices or correspondence from the FDA or any other Government Authority regarding the Transferred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-320040</wp:posOffset>
            </wp:positionV>
            <wp:extent cx="260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81" w:lineRule="exact"/>
        <w:rPr>
          <w:sz w:val="20"/>
          <w:szCs w:val="20"/>
          <w:color w:val="auto"/>
        </w:rPr>
      </w:pPr>
    </w:p>
    <w:p>
      <w:pPr>
        <w:ind w:left="480" w:hanging="581"/>
        <w:spacing w:after="0" w:line="271" w:lineRule="auto"/>
        <w:tabs>
          <w:tab w:leader="none" w:pos="460" w:val="left"/>
        </w:tabs>
        <w:rPr>
          <w:sz w:val="20"/>
          <w:szCs w:val="20"/>
          <w:color w:val="auto"/>
        </w:rPr>
      </w:pPr>
      <w:r>
        <w:rPr>
          <w:rFonts w:ascii="Arial" w:cs="Arial" w:eastAsia="Arial" w:hAnsi="Arial"/>
          <w:sz w:val="16"/>
          <w:szCs w:val="16"/>
          <w:color w:val="auto"/>
        </w:rPr>
        <w:t>5.18</w:t>
      </w:r>
      <w:r>
        <w:rPr>
          <w:sz w:val="20"/>
          <w:szCs w:val="20"/>
          <w:color w:val="auto"/>
        </w:rPr>
        <w:tab/>
      </w:r>
      <w:r>
        <w:rPr>
          <w:rFonts w:ascii="Arial" w:cs="Arial" w:eastAsia="Arial" w:hAnsi="Arial"/>
          <w:sz w:val="16"/>
          <w:szCs w:val="16"/>
          <w:u w:val="single" w:color="auto"/>
          <w:color w:val="auto"/>
        </w:rPr>
        <w:t>Sufficiency; Development and Manufacturing Pre-Closing</w:t>
      </w:r>
      <w:r>
        <w:rPr>
          <w:rFonts w:ascii="Arial" w:cs="Arial" w:eastAsia="Arial" w:hAnsi="Arial"/>
          <w:sz w:val="16"/>
          <w:szCs w:val="16"/>
          <w:color w:val="auto"/>
        </w:rPr>
        <w:t>. The Transferable Notes and Books accurately describe and document the Development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manufacturing of the Product in the manner done by Seller prior to the Closing Date. The Purchased Assets, together with the Related Technology, constitute the intellectual property rights necessary for the Development or manufacturing of the Product in the manner done by Seller prior to the Closing Date. Except for intellectual property rights that constitute Related Technology or that are included in the Purchased Assets, there are no intellectual property rights that Seller has an interest in prior to the Closing Date that are necessary for the Commercialization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-549910</wp:posOffset>
            </wp:positionV>
            <wp:extent cx="254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10" w:lineRule="exact"/>
        <w:rPr>
          <w:sz w:val="20"/>
          <w:szCs w:val="20"/>
          <w:color w:val="auto"/>
        </w:rPr>
      </w:pPr>
    </w:p>
    <w:p>
      <w:pPr>
        <w:ind w:left="480" w:right="200" w:hanging="581"/>
        <w:spacing w:after="0" w:line="293" w:lineRule="auto"/>
        <w:tabs>
          <w:tab w:leader="none" w:pos="460" w:val="left"/>
        </w:tabs>
        <w:rPr>
          <w:sz w:val="20"/>
          <w:szCs w:val="20"/>
          <w:color w:val="auto"/>
        </w:rPr>
      </w:pPr>
      <w:r>
        <w:rPr>
          <w:rFonts w:ascii="Arial" w:cs="Arial" w:eastAsia="Arial" w:hAnsi="Arial"/>
          <w:sz w:val="16"/>
          <w:szCs w:val="16"/>
          <w:color w:val="auto"/>
        </w:rPr>
        <w:t>5.19</w:t>
      </w:r>
      <w:r>
        <w:rPr>
          <w:sz w:val="20"/>
          <w:szCs w:val="20"/>
          <w:color w:val="auto"/>
        </w:rPr>
        <w:tab/>
      </w:r>
      <w:r>
        <w:rPr>
          <w:rFonts w:ascii="Arial" w:cs="Arial" w:eastAsia="Arial" w:hAnsi="Arial"/>
          <w:sz w:val="16"/>
          <w:szCs w:val="16"/>
          <w:u w:val="single" w:color="auto"/>
          <w:color w:val="auto"/>
        </w:rPr>
        <w:t>Data Room</w:t>
      </w:r>
      <w:r>
        <w:rPr>
          <w:rFonts w:ascii="Arial" w:cs="Arial" w:eastAsia="Arial" w:hAnsi="Arial"/>
          <w:sz w:val="16"/>
          <w:szCs w:val="16"/>
          <w:color w:val="auto"/>
        </w:rPr>
        <w:t>. All information and documentation contained in the Data Room, to which Buyer has been provided access, is true and accurate in all material respects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reflects the subject matter to which it relates. The Data Room (i) contains all material information in order to give a true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6294120</wp:posOffset>
            </wp:positionH>
            <wp:positionV relativeFrom="paragraph">
              <wp:posOffset>-175260</wp:posOffset>
            </wp:positionV>
            <wp:extent cx="254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71" w:name="page272"/>
    <w:bookmarkEnd w:id="271"/>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left="600" w:right="260"/>
        <w:spacing w:after="0" w:line="261" w:lineRule="auto"/>
        <w:rPr>
          <w:sz w:val="20"/>
          <w:szCs w:val="20"/>
          <w:color w:val="auto"/>
        </w:rPr>
      </w:pPr>
      <w:r>
        <w:rPr>
          <w:rFonts w:ascii="Arial" w:cs="Arial" w:eastAsia="Arial" w:hAnsi="Arial"/>
          <w:sz w:val="16"/>
          <w:szCs w:val="16"/>
          <w:color w:val="auto"/>
        </w:rPr>
        <w:t>documentation fair view of the Purchased Assets, the Assumed Liabilities and the Product, (ii) does not include any matter of material importance which is incorrect or misleading, and (iii) does not omit any information which is of material importance, which by omission would make the contents of the Data Room materially incorrect or misleading, except as would not materially adversely affect Buyer’s interest in the Purchased Buyer’s interest in the Purchased Assets or Buyer’s ability to Develop, manufacture or Commercialize any Product.</w:t>
      </w:r>
    </w:p>
    <w:p>
      <w:pPr>
        <w:spacing w:after="0" w:line="252"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6"/>
          <w:szCs w:val="16"/>
          <w:color w:val="auto"/>
        </w:rPr>
        <w:t>5.20</w:t>
      </w:r>
      <w:r>
        <w:rPr>
          <w:sz w:val="20"/>
          <w:szCs w:val="20"/>
          <w:color w:val="auto"/>
        </w:rPr>
        <w:tab/>
      </w:r>
      <w:r>
        <w:rPr>
          <w:rFonts w:ascii="Arial" w:cs="Arial" w:eastAsia="Arial" w:hAnsi="Arial"/>
          <w:sz w:val="14"/>
          <w:szCs w:val="14"/>
          <w:u w:val="single" w:color="auto"/>
          <w:color w:val="auto"/>
        </w:rPr>
        <w:t>Insurance</w:t>
      </w:r>
      <w:r>
        <w:rPr>
          <w:rFonts w:ascii="Arial" w:cs="Arial" w:eastAsia="Arial" w:hAnsi="Arial"/>
          <w:sz w:val="14"/>
          <w:szCs w:val="14"/>
          <w:color w:val="auto"/>
        </w:rPr>
        <w:t>. All of the Purchased Assets which are of an insurable nature have at all material times been insured against all such risks as persons carrying on a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6182995</wp:posOffset>
            </wp:positionH>
            <wp:positionV relativeFrom="paragraph">
              <wp:posOffset>-6985</wp:posOffset>
            </wp:positionV>
            <wp:extent cx="254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2" w:lineRule="exact"/>
        <w:rPr>
          <w:sz w:val="20"/>
          <w:szCs w:val="20"/>
          <w:color w:val="auto"/>
        </w:rPr>
      </w:pPr>
    </w:p>
    <w:p>
      <w:pPr>
        <w:ind w:left="600" w:right="480"/>
        <w:spacing w:after="0" w:line="293" w:lineRule="auto"/>
        <w:rPr>
          <w:sz w:val="20"/>
          <w:szCs w:val="20"/>
          <w:color w:val="auto"/>
        </w:rPr>
      </w:pPr>
      <w:r>
        <w:rPr>
          <w:rFonts w:ascii="Arial" w:cs="Arial" w:eastAsia="Arial" w:hAnsi="Arial"/>
          <w:sz w:val="16"/>
          <w:szCs w:val="16"/>
          <w:color w:val="auto"/>
        </w:rPr>
        <w:t>business to the Seller would be expected to cover by insurance. Seller has at all relevant times maintained adequate product liability insurance and insurance covering clinical trials related to the Product performed by it or on its behalf.</w:t>
      </w:r>
    </w:p>
    <w:p>
      <w:pPr>
        <w:spacing w:after="0" w:line="22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6"/>
          <w:szCs w:val="16"/>
          <w:color w:val="auto"/>
        </w:rPr>
        <w:t>5.21</w:t>
      </w:r>
      <w:r>
        <w:rPr>
          <w:sz w:val="20"/>
          <w:szCs w:val="20"/>
          <w:color w:val="auto"/>
        </w:rPr>
        <w:tab/>
      </w:r>
      <w:r>
        <w:rPr>
          <w:rFonts w:ascii="Arial" w:cs="Arial" w:eastAsia="Arial" w:hAnsi="Arial"/>
          <w:sz w:val="14"/>
          <w:szCs w:val="14"/>
          <w:u w:val="single" w:color="auto"/>
          <w:color w:val="auto"/>
        </w:rPr>
        <w:t>Accredited Investor</w:t>
      </w:r>
      <w:r>
        <w:rPr>
          <w:rFonts w:ascii="Arial" w:cs="Arial" w:eastAsia="Arial" w:hAnsi="Arial"/>
          <w:sz w:val="14"/>
          <w:szCs w:val="14"/>
          <w:color w:val="auto"/>
        </w:rPr>
        <w:t>. Seller is an “accredited investor” within the meaning of Rule 501 of Regulation D under the Securities Act of 1933 (the “</w:t>
      </w:r>
      <w:r>
        <w:rPr>
          <w:rFonts w:ascii="Arial" w:cs="Arial" w:eastAsia="Arial" w:hAnsi="Arial"/>
          <w:sz w:val="14"/>
          <w:szCs w:val="14"/>
          <w:u w:val="single" w:color="auto"/>
          <w:color w:val="auto"/>
        </w:rPr>
        <w:t>Securities Act</w:t>
      </w:r>
      <w:r>
        <w:rPr>
          <w:rFonts w:ascii="Arial" w:cs="Arial" w:eastAsia="Arial" w:hAnsi="Arial"/>
          <w:sz w:val="14"/>
          <w:szCs w:val="14"/>
          <w:color w:val="auto"/>
        </w:rPr>
        <w: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-6985</wp:posOffset>
            </wp:positionV>
            <wp:extent cx="254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 w:lineRule="exact"/>
        <w:rPr>
          <w:sz w:val="20"/>
          <w:szCs w:val="20"/>
          <w:color w:val="auto"/>
        </w:rPr>
      </w:pPr>
    </w:p>
    <w:p>
      <w:pPr>
        <w:ind w:left="600"/>
        <w:spacing w:after="0" w:line="310" w:lineRule="auto"/>
        <w:rPr>
          <w:sz w:val="20"/>
          <w:szCs w:val="20"/>
          <w:color w:val="auto"/>
        </w:rPr>
      </w:pPr>
      <w:r>
        <w:rPr>
          <w:rFonts w:ascii="Arial" w:cs="Arial" w:eastAsia="Arial" w:hAnsi="Arial"/>
          <w:sz w:val="14"/>
          <w:szCs w:val="14"/>
          <w:color w:val="auto"/>
        </w:rPr>
        <w:t>amended. The Seller has substantial experience in evaluating and investing in securities in companies similar to the Buyer so that Seller is capable of evaluating the merits and risks of Seller’s investment in Buyer (pursuant to the Warrant) and has the capacity to protect Seller’s own interests. The Seller is acquiring the Warrant (and the shares issuable upon exercise of this Warrant) for investment for Seller’s own account, not as a nominee or agent, and not with the view to, or for resale in connection with, any distribution thereof. Seller understands that the Warrant (and the shares issuable upon exercise of the Warrant) have not been, and will not be, registered under the Securities Act by reason of a specific exemption from the registration provisions of the Securities Act which depends upon, among other things, the bona fide nature of the investment intent and the accuracy of Seller’s representations as expressed herein and in the Warrant.</w:t>
      </w:r>
    </w:p>
    <w:p>
      <w:pPr>
        <w:spacing w:after="0" w:line="193"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6"/>
          <w:szCs w:val="16"/>
          <w:color w:val="auto"/>
        </w:rPr>
        <w:t>5.22</w:t>
      </w:r>
      <w:r>
        <w:rPr>
          <w:sz w:val="20"/>
          <w:szCs w:val="20"/>
          <w:color w:val="auto"/>
        </w:rPr>
        <w:tab/>
      </w:r>
      <w:r>
        <w:rPr>
          <w:rFonts w:ascii="Arial" w:cs="Arial" w:eastAsia="Arial" w:hAnsi="Arial"/>
          <w:sz w:val="15"/>
          <w:szCs w:val="15"/>
          <w:u w:val="single" w:color="auto"/>
          <w:color w:val="auto"/>
        </w:rPr>
        <w:t>No Other Representations and Warranties</w:t>
      </w:r>
      <w:r>
        <w:rPr>
          <w:rFonts w:ascii="Arial" w:cs="Arial" w:eastAsia="Arial" w:hAnsi="Arial"/>
          <w:sz w:val="15"/>
          <w:szCs w:val="15"/>
          <w:color w:val="auto"/>
        </w:rPr>
        <w:t>. EXCEPT FOR THE REPRESENTATIONS OR WARRANTIES EXPRESSLY SET FORTH IN THIS ARTICLE 5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6274435</wp:posOffset>
            </wp:positionH>
            <wp:positionV relativeFrom="paragraph">
              <wp:posOffset>-6985</wp:posOffset>
            </wp:positionV>
            <wp:extent cx="260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 w:lineRule="exact"/>
        <w:rPr>
          <w:sz w:val="20"/>
          <w:szCs w:val="20"/>
          <w:color w:val="auto"/>
        </w:rPr>
      </w:pPr>
    </w:p>
    <w:p>
      <w:pPr>
        <w:ind w:left="600"/>
        <w:spacing w:after="0" w:line="273" w:lineRule="auto"/>
        <w:rPr>
          <w:sz w:val="20"/>
          <w:szCs w:val="20"/>
          <w:color w:val="auto"/>
        </w:rPr>
      </w:pPr>
      <w:r>
        <w:rPr>
          <w:rFonts w:ascii="Arial" w:cs="Arial" w:eastAsia="Arial" w:hAnsi="Arial"/>
          <w:sz w:val="16"/>
          <w:szCs w:val="16"/>
          <w:color w:val="auto"/>
        </w:rPr>
        <w:t>ANY OTHER TRANSACTION DOCUMENTS, SELLER DISCLAIMS ANY AND ALL OTHER REPRESENTATIONS OR WARRANTIES, WHETHER EXPRESS OR IMPLIED, ORAL OR WRITTEN, INCLUDING ANY INFORMATION FURNISHED BY SELLER WITH REGARD TO THE PRODUCT OR THE PURCHASED ASSETS, INCLUDING THE FUTURE PROFITABILITY OF ANY PRODUCT, WARRANTIES OF MERCHANTABILITY, FITNESS FOR A PARTICULAR PURPOSE AND NON-INFRINGEMENT OF INTELLECTUAL PROPERTY RIGHTS.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REPRESENTATIONS AND WARRANTIES OF BUYER</w:t>
      </w:r>
    </w:p>
    <w:p>
      <w:pPr>
        <w:spacing w:after="0" w:line="26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Buyer hereby makes to Seller the representations and warranties set forth in Sections 6.2 through 6.8,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-6985</wp:posOffset>
            </wp:positionV>
            <wp:extent cx="260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69"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u w:val="single" w:color="auto"/>
          <w:color w:val="auto"/>
        </w:rPr>
        <w:t>Corporate Organization</w:t>
      </w:r>
      <w:r>
        <w:rPr>
          <w:rFonts w:ascii="Arial" w:cs="Arial" w:eastAsia="Arial" w:hAnsi="Arial"/>
          <w:sz w:val="14"/>
          <w:szCs w:val="14"/>
          <w:color w:val="auto"/>
        </w:rPr>
        <w:t>. Buyer is a corporation duly organized, validly existing and in good standing under the Applicable Laws of Delaware.</w:t>
      </w:r>
    </w:p>
    <w:p>
      <w:pPr>
        <w:spacing w:after="0" w:line="235" w:lineRule="exact"/>
        <w:rPr>
          <w:sz w:val="20"/>
          <w:szCs w:val="20"/>
          <w:color w:val="auto"/>
        </w:rPr>
      </w:pPr>
    </w:p>
    <w:p>
      <w:pPr>
        <w:ind w:right="80"/>
        <w:spacing w:after="0" w:line="21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Authority of Buyer</w:t>
      </w:r>
      <w:r>
        <w:rPr>
          <w:rFonts w:ascii="Arial" w:cs="Arial" w:eastAsia="Arial" w:hAnsi="Arial"/>
          <w:sz w:val="16"/>
          <w:szCs w:val="16"/>
          <w:color w:val="auto"/>
        </w:rPr>
        <w:t>. Buyer has all necessary power and authority and has taken all actions necessary to enter into this Agreement and the Transaction Documents and to carry out the transactions contemplated hereby and thereby. This Agreement and all Transaction Documents have been duly and validly executed and delivered by Buyer and, when executed and delivered by Seller, will constitute legal, valid and binding obligations of Buyer enforceable against it in accordance with their terms except (i) as limited by applicable bankruptcy, insolvency, reorganization, moratorium and other Applicable Laws of general application affecting enforcement of creditors’ rights generally, and (ii) as limited by Applicable Laws relating to the availability of specific performance, injunctive relief or other equitable remedies. The execution, delivery and performance of this Agreement and all agreements, documents and instruments executed and delivered by Buyer pursuant hereto, have been duly authorized by all necessary corporate or other action of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6380480</wp:posOffset>
            </wp:positionH>
            <wp:positionV relativeFrom="paragraph">
              <wp:posOffset>-636270</wp:posOffset>
            </wp:positionV>
            <wp:extent cx="254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4"/>
          <w:szCs w:val="14"/>
          <w:u w:val="single" w:color="auto"/>
          <w:color w:val="auto"/>
        </w:rPr>
        <w:t>Non-Contravention</w:t>
      </w:r>
      <w:r>
        <w:rPr>
          <w:rFonts w:ascii="Arial" w:cs="Arial" w:eastAsia="Arial" w:hAnsi="Arial"/>
          <w:sz w:val="14"/>
          <w:szCs w:val="14"/>
          <w:color w:val="auto"/>
        </w:rPr>
        <w:t>. The execution and delivery by Buyer of this Agreement does not, and the performance by it of its obligations under this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Agreement and the consummation of the transactions contemplated hereby will not:</w:t>
      </w:r>
    </w:p>
    <w:p>
      <w:pPr>
        <w:spacing w:after="0" w:line="248" w:lineRule="exact"/>
        <w:rPr>
          <w:sz w:val="20"/>
          <w:szCs w:val="20"/>
          <w:color w:val="auto"/>
        </w:rPr>
      </w:pPr>
    </w:p>
    <w:p>
      <w:pPr>
        <w:ind w:left="1180" w:right="440" w:hanging="582"/>
        <w:spacing w:after="0" w:line="310" w:lineRule="auto"/>
        <w:tabs>
          <w:tab w:leader="none" w:pos="117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conflict with or result in a material violation or breach of any of the terms, conditions or provisions of the Articles of Incorporation, Bylaws or other organizational documents of Buyer;</w:t>
      </w:r>
    </w:p>
    <w:p>
      <w:pPr>
        <w:spacing w:after="0" w:line="186" w:lineRule="exact"/>
        <w:rPr>
          <w:rFonts w:ascii="Arial" w:cs="Arial" w:eastAsia="Arial" w:hAnsi="Arial"/>
          <w:sz w:val="16"/>
          <w:szCs w:val="16"/>
          <w:color w:val="auto"/>
        </w:rPr>
      </w:pPr>
    </w:p>
    <w:p>
      <w:pPr>
        <w:ind w:left="1180" w:right="160" w:hanging="582"/>
        <w:spacing w:after="0" w:line="287" w:lineRule="auto"/>
        <w:tabs>
          <w:tab w:leader="none" w:pos="117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assuming the receipt of the Required Consents, violate, conflict with or result in a violation of, or constitute a default (whether after the giving of notice, lapse of time or both) under, any provision of any Applicable Law, regulation or rule, or any order of, or any restriction imposed by, any court or governmental agency applicable to Buyer;</w:t>
      </w:r>
    </w:p>
    <w:p>
      <w:pPr>
        <w:spacing w:after="0" w:line="230" w:lineRule="exact"/>
        <w:rPr>
          <w:rFonts w:ascii="Arial" w:cs="Arial" w:eastAsia="Arial" w:hAnsi="Arial"/>
          <w:sz w:val="16"/>
          <w:szCs w:val="16"/>
          <w:color w:val="auto"/>
        </w:rPr>
      </w:pPr>
    </w:p>
    <w:p>
      <w:pPr>
        <w:ind w:left="1180" w:right="200" w:hanging="582"/>
        <w:spacing w:after="0" w:line="310" w:lineRule="auto"/>
        <w:tabs>
          <w:tab w:leader="none" w:pos="116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other than the Required Consents, require from Buyer any notice to, declaration or filing with, or consent or approval of any Governmental Authority in any country or other Third Party; or</w:t>
      </w:r>
    </w:p>
    <w:p>
      <w:pPr>
        <w:spacing w:after="0" w:line="186" w:lineRule="exact"/>
        <w:rPr>
          <w:rFonts w:ascii="Arial" w:cs="Arial" w:eastAsia="Arial" w:hAnsi="Arial"/>
          <w:sz w:val="16"/>
          <w:szCs w:val="16"/>
          <w:color w:val="auto"/>
        </w:rPr>
      </w:pPr>
    </w:p>
    <w:p>
      <w:pPr>
        <w:ind w:left="1180" w:right="20" w:hanging="582"/>
        <w:spacing w:after="0" w:line="305" w:lineRule="auto"/>
        <w:tabs>
          <w:tab w:leader="none" w:pos="1172" w:val="left"/>
        </w:tabs>
        <w:numPr>
          <w:ilvl w:val="0"/>
          <w:numId w:val="227"/>
        </w:numPr>
        <w:rPr>
          <w:rFonts w:ascii="Arial" w:cs="Arial" w:eastAsia="Arial" w:hAnsi="Arial"/>
          <w:sz w:val="15"/>
          <w:szCs w:val="15"/>
          <w:color w:val="auto"/>
        </w:rPr>
      </w:pPr>
      <w:r>
        <w:rPr>
          <w:rFonts w:ascii="Arial" w:cs="Arial" w:eastAsia="Arial" w:hAnsi="Arial"/>
          <w:sz w:val="15"/>
          <w:szCs w:val="15"/>
          <w:color w:val="auto"/>
        </w:rPr>
        <w:t>assuming the receipt of the Required Consents, violate or result in a violation of, or conflict with or constitute or result in a violation of or default (whether after the giving of notice, lapse of time or both) under, accelerate any obligation under, or give rise to a right of termination of, any contract, agreement, permit, license, authorization or other obligation to which Buyer is a party or by which Buyer or any of its assets are bound.</w:t>
      </w:r>
    </w:p>
    <w:p>
      <w:pPr>
        <w:spacing w:after="0" w:line="220"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4"/>
          <w:szCs w:val="14"/>
          <w:u w:val="single" w:color="auto"/>
          <w:color w:val="auto"/>
        </w:rPr>
        <w:t>Financial Capability</w:t>
      </w:r>
      <w:r>
        <w:rPr>
          <w:rFonts w:ascii="Arial" w:cs="Arial" w:eastAsia="Arial" w:hAnsi="Arial"/>
          <w:sz w:val="14"/>
          <w:szCs w:val="14"/>
          <w:color w:val="auto"/>
        </w:rPr>
        <w:t>. Buyer has entered into this Agreement in good faith as a result of arms-length negotiations with Seller. Buyer is not entering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6260465</wp:posOffset>
            </wp:positionH>
            <wp:positionV relativeFrom="paragraph">
              <wp:posOffset>-6985</wp:posOffset>
            </wp:positionV>
            <wp:extent cx="254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 w:lineRule="exact"/>
        <w:rPr>
          <w:sz w:val="20"/>
          <w:szCs w:val="20"/>
          <w:color w:val="auto"/>
        </w:rPr>
      </w:pPr>
    </w:p>
    <w:p>
      <w:pPr>
        <w:jc w:val="both"/>
        <w:ind w:left="600" w:right="180"/>
        <w:spacing w:after="0" w:line="285" w:lineRule="auto"/>
        <w:rPr>
          <w:sz w:val="20"/>
          <w:szCs w:val="20"/>
          <w:color w:val="auto"/>
        </w:rPr>
      </w:pPr>
      <w:r>
        <w:rPr>
          <w:rFonts w:ascii="Arial" w:cs="Arial" w:eastAsia="Arial" w:hAnsi="Arial"/>
          <w:sz w:val="16"/>
          <w:szCs w:val="16"/>
          <w:color w:val="auto"/>
        </w:rPr>
        <w:t>or any transaction contemplated hereunder with the intent to hinder, delay or defraud any Person to which it is, or may become, indebted. Buyer believes in good faith that it has or will have at the time required to perform the capacity and financial capability to comply with and perform all of the covenants and obligations under this Agreement.</w:t>
      </w:r>
    </w:p>
    <w:p>
      <w:pPr>
        <w:spacing w:after="0" w:line="232" w:lineRule="exact"/>
        <w:rPr>
          <w:sz w:val="20"/>
          <w:szCs w:val="20"/>
          <w:color w:val="auto"/>
        </w:rPr>
      </w:pPr>
    </w:p>
    <w:p>
      <w:pPr>
        <w:ind w:left="400" w:right="380" w:hanging="581"/>
        <w:spacing w:after="0" w:line="328" w:lineRule="auto"/>
        <w:tabs>
          <w:tab w:leader="none" w:pos="38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5"/>
          <w:szCs w:val="15"/>
          <w:u w:val="single" w:color="auto"/>
          <w:color w:val="auto"/>
        </w:rPr>
        <w:t>Brokers</w:t>
      </w:r>
      <w:r>
        <w:rPr>
          <w:rFonts w:ascii="Arial" w:cs="Arial" w:eastAsia="Arial" w:hAnsi="Arial"/>
          <w:sz w:val="15"/>
          <w:szCs w:val="15"/>
          <w:color w:val="auto"/>
        </w:rPr>
        <w:t>. Buyer has not retained any broker in connection with the transactions contemplated hereunder. Seller will have no obligation to pay fees of any brokers,</w:t>
      </w:r>
      <w:r>
        <w:rPr>
          <w:rFonts w:ascii="Arial" w:cs="Arial" w:eastAsia="Arial" w:hAnsi="Arial"/>
          <w:sz w:val="15"/>
          <w:szCs w:val="15"/>
          <w:u w:val="single" w:color="auto"/>
          <w:color w:val="auto"/>
        </w:rPr>
        <w:t xml:space="preserve"> </w:t>
      </w:r>
      <w:r>
        <w:rPr>
          <w:rFonts w:ascii="Arial" w:cs="Arial" w:eastAsia="Arial" w:hAnsi="Arial"/>
          <w:sz w:val="15"/>
          <w:szCs w:val="15"/>
          <w:color w:val="auto"/>
        </w:rPr>
        <w:t>finders, investment bankers, or financial advisors engaged by Buyer in connection with this Agreement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-189865</wp:posOffset>
            </wp:positionV>
            <wp:extent cx="254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ectPr>
          <w:pgSz w:w="11900" w:h="16838" w:orient="portrait"/>
          <w:cols w:equalWidth="0" w:num="1">
            <w:col w:w="11220"/>
          </w:cols>
          <w:pgMar w:left="320" w:top="838" w:right="359" w:bottom="1440" w:gutter="0" w:footer="0" w:header="0"/>
        </w:sectPr>
      </w:pPr>
    </w:p>
    <w:bookmarkStart w:id="272" w:name="page273"/>
    <w:bookmarkEnd w:id="272"/>
    <w:p>
      <w:pPr>
        <w:ind w:left="8440"/>
        <w:spacing w:after="0"/>
        <w:rPr>
          <w:sz w:val="20"/>
          <w:szCs w:val="20"/>
          <w:color w:val="auto"/>
        </w:rPr>
      </w:pPr>
      <w:r>
        <w:rPr>
          <w:rFonts w:ascii="Arial" w:cs="Arial" w:eastAsia="Arial" w:hAnsi="Arial"/>
          <w:sz w:val="20"/>
          <w:szCs w:val="20"/>
          <w:color w:val="auto"/>
        </w:rPr>
        <w:t>Exhibit 10.23</w:t>
      </w:r>
    </w:p>
    <w:p>
      <w:pPr>
        <w:spacing w:after="0" w:line="250" w:lineRule="exact"/>
        <w:rPr>
          <w:sz w:val="20"/>
          <w:szCs w:val="20"/>
          <w:color w:val="auto"/>
        </w:rPr>
      </w:pPr>
    </w:p>
    <w:p>
      <w:pPr>
        <w:ind w:left="400" w:hanging="581"/>
        <w:spacing w:after="0" w:line="279" w:lineRule="auto"/>
        <w:tabs>
          <w:tab w:leader="none" w:pos="380" w:val="left"/>
        </w:tabs>
        <w:rPr>
          <w:sz w:val="20"/>
          <w:szCs w:val="20"/>
          <w:color w:val="auto"/>
        </w:rPr>
      </w:pPr>
      <w:r>
        <w:rPr>
          <w:rFonts w:ascii="Arial" w:cs="Arial" w:eastAsia="Arial" w:hAnsi="Arial"/>
          <w:sz w:val="16"/>
          <w:szCs w:val="16"/>
          <w:color w:val="auto"/>
        </w:rPr>
        <w:t>6.7</w:t>
      </w:r>
      <w:r>
        <w:rPr>
          <w:sz w:val="20"/>
          <w:szCs w:val="20"/>
          <w:color w:val="auto"/>
        </w:rPr>
        <w:tab/>
      </w:r>
      <w:r>
        <w:rPr>
          <w:rFonts w:ascii="Arial" w:cs="Arial" w:eastAsia="Arial" w:hAnsi="Arial"/>
          <w:sz w:val="16"/>
          <w:szCs w:val="16"/>
          <w:u w:val="single" w:color="auto"/>
          <w:color w:val="auto"/>
        </w:rPr>
        <w:t>Diligence Investigation</w:t>
      </w:r>
      <w:r>
        <w:rPr>
          <w:rFonts w:ascii="Arial" w:cs="Arial" w:eastAsia="Arial" w:hAnsi="Arial"/>
          <w:sz w:val="16"/>
          <w:szCs w:val="16"/>
          <w:color w:val="auto"/>
        </w:rPr>
        <w:t>. Buyer has conducted its own independent investigation, review and analysis in connection with this Agreement and the transactions</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contemplated hereby, including regarding the Purchased Assets, the Assumed Contracts and the Product and the manufacture and Development thereof. Such investigation shall in no way limit any claims by Buyer resulting from any breach by Seller of any of its representations, warranties and covenants contained herein, including, without limitation, claims arising from or fraud or intentional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6180455</wp:posOffset>
            </wp:positionH>
            <wp:positionV relativeFrom="paragraph">
              <wp:posOffset>-433705</wp:posOffset>
            </wp:positionV>
            <wp:extent cx="254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ind w:left="400" w:hanging="581"/>
        <w:spacing w:after="0" w:line="260" w:lineRule="auto"/>
        <w:tabs>
          <w:tab w:leader="none" w:pos="38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6"/>
          <w:szCs w:val="16"/>
          <w:u w:val="single" w:color="auto"/>
          <w:color w:val="auto"/>
        </w:rPr>
        <w:t>Buyer Stock</w:t>
      </w:r>
      <w:r>
        <w:rPr>
          <w:rFonts w:ascii="Arial" w:cs="Arial" w:eastAsia="Arial" w:hAnsi="Arial"/>
          <w:sz w:val="16"/>
          <w:szCs w:val="16"/>
          <w:color w:val="auto"/>
        </w:rPr>
        <w:t>. The authorized capital stock of Buyer consists of (i) 50,000,000 shares of common stock, par value $0.0001 per share (“</w:t>
      </w:r>
      <w:r>
        <w:rPr>
          <w:rFonts w:ascii="Arial" w:cs="Arial" w:eastAsia="Arial" w:hAnsi="Arial"/>
          <w:sz w:val="16"/>
          <w:szCs w:val="16"/>
          <w:b w:val="1"/>
          <w:bCs w:val="1"/>
          <w:color w:val="auto"/>
        </w:rPr>
        <w:t>Buyer Common Stock</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10,000,000 of which are issued and outstanding and (ii) 25,000,000 shares of preferred stock, $0.0001 par value, of which 13,000,000 shares have been designated as Series A Preferred Stock (“</w:t>
      </w:r>
      <w:r>
        <w:rPr>
          <w:rFonts w:ascii="Arial" w:cs="Arial" w:eastAsia="Arial" w:hAnsi="Arial"/>
          <w:sz w:val="16"/>
          <w:szCs w:val="16"/>
          <w:b w:val="1"/>
          <w:bCs w:val="1"/>
          <w:color w:val="auto"/>
        </w:rPr>
        <w:t>Buyer Series A Preferred Stock</w:t>
      </w:r>
      <w:r>
        <w:rPr>
          <w:rFonts w:ascii="Arial" w:cs="Arial" w:eastAsia="Arial" w:hAnsi="Arial"/>
          <w:sz w:val="16"/>
          <w:szCs w:val="16"/>
          <w:color w:val="auto"/>
        </w:rPr>
        <w:t>”), of which 11,381,999 shares of Buyer Series A Preferred Stock are issued and outstanding. Buyer has reserved 3,869,424 shares of Buyer Common Stock for issuance to officers, directors, employees and consultants of Buyer pursuant to its 2017 Equity Incentive Plan duly adopted by the board of directors of Buyer and approved by the stockholders of Buyer, of which 2,656,435 have been issued to employees and consultants of the Buyer. Buyer has reserved 558,740 shares of Buyer Series A Preferred Stock for issuance pursuant to that certain Warrant, dated as of April 25, 2017, in favor of MDB Capital Group, LLC. There are no bonds, debentures, notes or other indebtedness having general voting rights (or convertible into securities having such rights) (“</w:t>
      </w:r>
      <w:r>
        <w:rPr>
          <w:rFonts w:ascii="Arial" w:cs="Arial" w:eastAsia="Arial" w:hAnsi="Arial"/>
          <w:sz w:val="16"/>
          <w:szCs w:val="16"/>
          <w:b w:val="1"/>
          <w:bCs w:val="1"/>
          <w:color w:val="auto"/>
        </w:rPr>
        <w:t>Voting Debt</w:t>
      </w:r>
      <w:r>
        <w:rPr>
          <w:rFonts w:ascii="Arial" w:cs="Arial" w:eastAsia="Arial" w:hAnsi="Arial"/>
          <w:sz w:val="16"/>
          <w:szCs w:val="16"/>
          <w:color w:val="auto"/>
        </w:rPr>
        <w:t>”) of Buyer issued and outstanding. Except as set forth above, there are no options, warrants, calls, subscriptions or other rights, agreements, arrangements or commitments of any kind relating to the issued or unissued capital stock of Buyer, obligating Buyer to issue, transfer or sell or cause to be issued, transferred or sold any shares of capital stock or Voting Debt of, or other equity interest in, Buyer or securities convertible into or exchangeable for such shares or equity interests, or obligating Buyer to grant, extend or enter into any such option, warrant, call, subscription or other right, agreement, arrangement or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-1406525</wp:posOffset>
            </wp:positionV>
            <wp:extent cx="260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38" w:lineRule="exact"/>
        <w:rPr>
          <w:sz w:val="20"/>
          <w:szCs w:val="20"/>
          <w:color w:val="auto"/>
        </w:rPr>
      </w:pPr>
    </w:p>
    <w:p>
      <w:pPr>
        <w:ind w:left="400" w:right="180" w:hanging="581"/>
        <w:spacing w:after="0" w:line="287" w:lineRule="auto"/>
        <w:tabs>
          <w:tab w:leader="none" w:pos="380" w:val="left"/>
        </w:tabs>
        <w:rPr>
          <w:sz w:val="20"/>
          <w:szCs w:val="20"/>
          <w:color w:val="auto"/>
        </w:rPr>
      </w:pPr>
      <w:r>
        <w:rPr>
          <w:rFonts w:ascii="Arial" w:cs="Arial" w:eastAsia="Arial" w:hAnsi="Arial"/>
          <w:sz w:val="16"/>
          <w:szCs w:val="16"/>
          <w:color w:val="auto"/>
        </w:rPr>
        <w:t>6.9</w:t>
      </w:r>
      <w:r>
        <w:rPr>
          <w:sz w:val="20"/>
          <w:szCs w:val="20"/>
          <w:color w:val="auto"/>
        </w:rPr>
        <w:tab/>
      </w:r>
      <w:r>
        <w:rPr>
          <w:rFonts w:ascii="Arial" w:cs="Arial" w:eastAsia="Arial" w:hAnsi="Arial"/>
          <w:sz w:val="16"/>
          <w:szCs w:val="16"/>
          <w:u w:val="single" w:color="auto"/>
          <w:color w:val="auto"/>
        </w:rPr>
        <w:t>No Other Representations and Warranties</w:t>
      </w:r>
      <w:r>
        <w:rPr>
          <w:rFonts w:ascii="Arial" w:cs="Arial" w:eastAsia="Arial" w:hAnsi="Arial"/>
          <w:sz w:val="16"/>
          <w:szCs w:val="16"/>
          <w:color w:val="auto"/>
        </w:rPr>
        <w:t>. EXCEPT FOR THE REPRESENTATIONS OR WARRANTIES EXPRESSLY SET FORTH IN THIS ARTICLE 6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THIS AGREEMENT OR IN ANY OTHER TRANSACTION DOCUMENTS, BUYER DISCLAIMS ALL OTHER REPRESENTATIONS OR WARRANTIES, WHETHER EXPRESS OR IMPLIED, ORAL OR WRITTEN, RELATED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6223000</wp:posOffset>
            </wp:positionH>
            <wp:positionV relativeFrom="paragraph">
              <wp:posOffset>-309245</wp:posOffset>
            </wp:positionV>
            <wp:extent cx="254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COVENANTS OF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Cooperation</w:t>
      </w:r>
      <w:r>
        <w:rPr>
          <w:rFonts w:ascii="Arial" w:cs="Arial" w:eastAsia="Arial" w:hAnsi="Arial"/>
          <w:sz w:val="16"/>
          <w:szCs w:val="16"/>
          <w:color w:val="auto"/>
        </w:rPr>
        <w:t>.</w:t>
      </w:r>
    </w:p>
    <w:p>
      <w:pPr>
        <w:spacing w:after="0" w:line="235" w:lineRule="exact"/>
        <w:rPr>
          <w:sz w:val="20"/>
          <w:szCs w:val="20"/>
          <w:color w:val="auto"/>
        </w:rPr>
      </w:pPr>
    </w:p>
    <w:p>
      <w:pPr>
        <w:ind w:left="1180" w:right="320" w:hanging="582"/>
        <w:spacing w:after="0" w:line="271" w:lineRule="auto"/>
        <w:tabs>
          <w:tab w:leader="none" w:pos="117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Each Party shall cooperate fully with the other, as promptly as is reasonably practicable, in preparing and filing all notices, applications, submissions, reports and other instruments and documents that are necessary, proper or advisable under Applicable Law or required under Program Contracts or by Third Parties to consummate and make effective the transactions contemplated by this Agreement and obtaining any consent or approval of any Governmental Authority or other Third Party whose consent may be required to consummate and make effective the transactions contemplated by this Agreement, including the Consents and Waivers (the </w:t>
      </w:r>
      <w:r>
        <w:rPr>
          <w:rFonts w:ascii="Arial" w:cs="Arial" w:eastAsia="Arial" w:hAnsi="Arial"/>
          <w:sz w:val="16"/>
          <w:szCs w:val="16"/>
          <w:b w:val="1"/>
          <w:bCs w:val="1"/>
          <w:color w:val="auto"/>
        </w:rPr>
        <w:t>“Required Consents”</w:t>
      </w:r>
      <w:r>
        <w:rPr>
          <w:rFonts w:ascii="Arial" w:cs="Arial" w:eastAsia="Arial" w:hAnsi="Arial"/>
          <w:sz w:val="16"/>
          <w:szCs w:val="16"/>
          <w:color w:val="auto"/>
        </w:rPr>
        <w:t>).</w:t>
      </w:r>
    </w:p>
    <w:p>
      <w:pPr>
        <w:spacing w:after="0" w:line="216" w:lineRule="exact"/>
        <w:rPr>
          <w:rFonts w:ascii="Arial" w:cs="Arial" w:eastAsia="Arial" w:hAnsi="Arial"/>
          <w:sz w:val="16"/>
          <w:szCs w:val="16"/>
          <w:color w:val="auto"/>
        </w:rPr>
      </w:pPr>
    </w:p>
    <w:p>
      <w:pPr>
        <w:ind w:left="1180" w:right="20" w:hanging="582"/>
        <w:spacing w:after="0" w:line="309" w:lineRule="auto"/>
        <w:tabs>
          <w:tab w:leader="none" w:pos="1176" w:val="left"/>
        </w:tabs>
        <w:numPr>
          <w:ilvl w:val="0"/>
          <w:numId w:val="228"/>
        </w:numPr>
        <w:rPr>
          <w:rFonts w:ascii="Arial" w:cs="Arial" w:eastAsia="Arial" w:hAnsi="Arial"/>
          <w:sz w:val="14"/>
          <w:szCs w:val="14"/>
          <w:color w:val="auto"/>
        </w:rPr>
      </w:pPr>
      <w:r>
        <w:rPr>
          <w:rFonts w:ascii="Arial" w:cs="Arial" w:eastAsia="Arial" w:hAnsi="Arial"/>
          <w:sz w:val="14"/>
          <w:szCs w:val="14"/>
          <w:color w:val="auto"/>
        </w:rPr>
        <w:t>Seller shall have no obligation to make any payments or provide other consideration to Buyer or any Third Party other than any amounts that are due and payable by Seller as of the Closing, if any, or are otherwise required by the terms of this Agreement or the other Transaction Documents. Seller’s obligation to transfer or assign any Assumed Contract shall be contingent upon Seller’s receipt of such Required Consent. Pending receipt of any Required Consent with respect to an Assumed Contract, the Parties shall use their commercially reasonable efforts to implement an alternative arrangement to permit Buyer to receive substantially similar rights and for Buyer to assume substantially similar obligations under such Assumed Contract as if such impediment to assignment or transfer did not exist; provided, however, that commercially reasonable efforts shall not include payment to Seller or Buyer, as applicable, or any Third Party other than payment of amounts due and payable by Seller and or Buyer, as applicable, as of the Closing.</w:t>
      </w:r>
    </w:p>
    <w:p>
      <w:pPr>
        <w:sectPr>
          <w:pgSz w:w="11900" w:h="16838" w:orient="portrait"/>
          <w:cols w:equalWidth="0" w:num="1">
            <w:col w:w="11240"/>
          </w:cols>
          <w:pgMar w:left="320" w:top="838" w:right="339" w:bottom="1440" w:gutter="0" w:footer="0" w:header="0"/>
        </w:sectPr>
      </w:pPr>
    </w:p>
    <w:bookmarkStart w:id="273" w:name="page274"/>
    <w:bookmarkEnd w:id="273"/>
    <w:p>
      <w:pPr>
        <w:ind w:left="8440"/>
        <w:spacing w:after="0"/>
        <w:rPr>
          <w:sz w:val="20"/>
          <w:szCs w:val="20"/>
          <w:color w:val="auto"/>
        </w:rPr>
      </w:pPr>
      <w:r>
        <w:rPr>
          <w:rFonts w:ascii="Arial" w:cs="Arial" w:eastAsia="Arial" w:hAnsi="Arial"/>
          <w:sz w:val="20"/>
          <w:szCs w:val="20"/>
          <w:color w:val="auto"/>
        </w:rPr>
        <w:t>Exhibit 10.23</w:t>
      </w:r>
    </w:p>
    <w:p>
      <w:pPr>
        <w:spacing w:after="0" w:line="20" w:lineRule="exact"/>
        <w:rPr>
          <w:sz w:val="20"/>
          <w:szCs w:val="20"/>
          <w:color w:val="auto"/>
        </w:rPr>
      </w:pPr>
    </w:p>
    <w:p>
      <w:pPr>
        <w:ind w:left="400" w:right="40" w:hanging="581"/>
        <w:spacing w:after="0" w:line="266" w:lineRule="auto"/>
        <w:tabs>
          <w:tab w:leader="none" w:pos="38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 Seller shall from time to time, at the reasonable request of Buyer and at Buyer’s expense, (i) provide such further information in Seller’s</w:t>
      </w:r>
      <w:r>
        <w:rPr>
          <w:rFonts w:ascii="Arial" w:cs="Arial" w:eastAsia="Arial" w:hAnsi="Arial"/>
          <w:sz w:val="16"/>
          <w:szCs w:val="16"/>
          <w:u w:val="single" w:color="auto"/>
          <w:color w:val="auto"/>
        </w:rPr>
        <w:t xml:space="preserve"> </w:t>
      </w:r>
      <w:r>
        <w:rPr>
          <w:rFonts w:ascii="Arial" w:cs="Arial" w:eastAsia="Arial" w:hAnsi="Arial"/>
          <w:sz w:val="16"/>
          <w:szCs w:val="16"/>
          <w:color w:val="auto"/>
        </w:rPr>
        <w:t>possession, (ii) execute and deliver, or cause to be executed and delivered, such other instruments of conveyance and transfer, certificates, deeds or other documents, and (iii) take, or cause to be taken, all other actions and do, or cause to be done, such other acts and things, all as promptly as practicable as Buyer may reasonably request in order to more effectively consummate the transactions contemplated by this Agreement and to vest in Buyer good and marketable title to the Purchased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-546735</wp:posOffset>
            </wp:positionV>
            <wp:extent cx="260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1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u w:val="single" w:color="auto"/>
          <w:color w:val="auto"/>
        </w:rPr>
        <w:t>Confidentiality</w:t>
      </w:r>
      <w:r>
        <w:rPr>
          <w:rFonts w:ascii="Arial" w:cs="Arial" w:eastAsia="Arial" w:hAnsi="Arial"/>
          <w:sz w:val="14"/>
          <w:szCs w:val="14"/>
          <w:color w:val="auto"/>
        </w:rPr>
        <w:t>. Each Receiving Party shall maintain the confidentiality of any Confidential Information received from a Disclosing Party, and shall not disclose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6339205</wp:posOffset>
            </wp:positionH>
            <wp:positionV relativeFrom="paragraph">
              <wp:posOffset>-6985</wp:posOffset>
            </wp:positionV>
            <wp:extent cx="260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 w:lineRule="exact"/>
        <w:rPr>
          <w:sz w:val="20"/>
          <w:szCs w:val="20"/>
          <w:color w:val="auto"/>
        </w:rPr>
      </w:pPr>
    </w:p>
    <w:p>
      <w:pPr>
        <w:ind w:left="600" w:right="60"/>
        <w:spacing w:after="0" w:line="280" w:lineRule="auto"/>
        <w:rPr>
          <w:sz w:val="20"/>
          <w:szCs w:val="20"/>
          <w:color w:val="auto"/>
        </w:rPr>
      </w:pPr>
      <w:r>
        <w:rPr>
          <w:rFonts w:ascii="Arial" w:cs="Arial" w:eastAsia="Arial" w:hAnsi="Arial"/>
          <w:sz w:val="15"/>
          <w:szCs w:val="15"/>
          <w:color w:val="auto"/>
        </w:rPr>
        <w:t>information to any Third Party without the prior written consent of such Disclosing Party, except as otherwise provided in this Agreement (it being understood that any Confidential Information included in the Purchased Assets shall become Confidential Information of Buyer following Closing). As used herein, Confidential Information shall be deemed to include (i) all information that either Party provides in connection with this Agreement or the transactions contemplated hereby (including, without limitation, any claim or dispute arising out of or related to this Agreement or the transactions contemplated hereby, or the interpretation, making, performance, breach or termination thereof) identified to the other in writing as confidential or the nature of which or the circumstances of the disclosure of which would reasonably indicate that such information is confidential, this Agreement and all information concerning this Agreement (which shall be deemed the Confidential Information of both Parties); and (ii) the Purchased Assets that are not generally available to the public and including, without limitation, any information provided or made available following the Closing pursuant to this Agreement (including, without limitation, any information related to Net Sales any and all books and records, work papers, documents, schedules or other materials or information).</w:t>
      </w:r>
    </w:p>
    <w:p>
      <w:pPr>
        <w:spacing w:after="0" w:line="214"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4"/>
          <w:szCs w:val="14"/>
          <w:u w:val="single" w:color="auto"/>
          <w:color w:val="auto"/>
        </w:rPr>
        <w:t>Legally Compelled Disclosure</w:t>
      </w:r>
      <w:r>
        <w:rPr>
          <w:rFonts w:ascii="Arial" w:cs="Arial" w:eastAsia="Arial" w:hAnsi="Arial"/>
          <w:sz w:val="14"/>
          <w:szCs w:val="14"/>
          <w:color w:val="auto"/>
        </w:rPr>
        <w:t>. In the event that a Receiving Party is required by Applicable Laws to disclose any Confidential Information of its Disclosing Party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6231890</wp:posOffset>
            </wp:positionH>
            <wp:positionV relativeFrom="paragraph">
              <wp:posOffset>-6985</wp:posOffset>
            </wp:positionV>
            <wp:extent cx="254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2" w:lineRule="exact"/>
        <w:rPr>
          <w:sz w:val="20"/>
          <w:szCs w:val="20"/>
          <w:color w:val="auto"/>
        </w:rPr>
      </w:pPr>
    </w:p>
    <w:p>
      <w:pPr>
        <w:ind w:left="600" w:right="100"/>
        <w:spacing w:after="0" w:line="298" w:lineRule="auto"/>
        <w:rPr>
          <w:sz w:val="20"/>
          <w:szCs w:val="20"/>
          <w:color w:val="auto"/>
        </w:rPr>
      </w:pPr>
      <w:r>
        <w:rPr>
          <w:rFonts w:ascii="Arial" w:cs="Arial" w:eastAsia="Arial" w:hAnsi="Arial"/>
          <w:sz w:val="14"/>
          <w:szCs w:val="14"/>
          <w:color w:val="auto"/>
        </w:rPr>
        <w:t>any Governmental Authority in order to obtain regulatory approval for the Product, in connection with a bona fide legal process (including in connection with any bona fide disputes hereunder) or under the rules of the securities exchange upon which its securities are traded, the confidentiality requirements under Section 7.3 shall not apply, solely with respect to the Confidential Information required to be disclosed by Applicable Law, and so long as such Receiving Party (i) limits disclosure to such information required by Applicable Law while maintaining the confidentiality of all other Confidential Information of its Disclosing Party, and</w:t>
      </w:r>
    </w:p>
    <w:p>
      <w:pPr>
        <w:spacing w:after="0" w:line="1" w:lineRule="exact"/>
        <w:rPr>
          <w:sz w:val="20"/>
          <w:szCs w:val="20"/>
          <w:color w:val="auto"/>
        </w:rPr>
      </w:pPr>
    </w:p>
    <w:p>
      <w:pPr>
        <w:ind w:left="600" w:right="120" w:firstLine="2"/>
        <w:spacing w:after="0" w:line="267" w:lineRule="auto"/>
        <w:tabs>
          <w:tab w:leader="none" w:pos="83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promptly gives such Disclosing Party advance notice of such disclosure and an opportunity to seek a protective order or confidential treatment. In the event of disclosure required by Applicable Laws under this Section 7.4, the Receiving Party shall cooperate in any such limitation on disclosure efforts at the Disclosing Party’s reasonable request and expense.</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3"/>
          <w:szCs w:val="13"/>
          <w:u w:val="single" w:color="auto"/>
          <w:color w:val="auto"/>
        </w:rPr>
        <w:t>Press Releases and Other Permitted Disclosures</w:t>
      </w:r>
      <w:r>
        <w:rPr>
          <w:rFonts w:ascii="Arial" w:cs="Arial" w:eastAsia="Arial" w:hAnsi="Arial"/>
          <w:sz w:val="13"/>
          <w:szCs w:val="13"/>
          <w:color w:val="auto"/>
        </w:rPr>
        <w:t>.</w:t>
      </w:r>
    </w:p>
    <w:p>
      <w:pPr>
        <w:spacing w:after="0" w:line="235" w:lineRule="exact"/>
        <w:rPr>
          <w:sz w:val="20"/>
          <w:szCs w:val="20"/>
          <w:color w:val="auto"/>
        </w:rPr>
      </w:pPr>
    </w:p>
    <w:p>
      <w:pPr>
        <w:ind w:left="1180" w:right="120" w:hanging="582"/>
        <w:spacing w:after="0" w:line="269" w:lineRule="auto"/>
        <w:tabs>
          <w:tab w:leader="none" w:pos="117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Attached as Exhibit 11, is a copy of the press release to be issued by the Buyer on the Closing Date. Except as set forth in the previous sentence or otherwise in this Section 7.5, no press release, public statement or disclosure concerning the existence or terms of this Agreement shall be made, either directly or indirectly, by either Party, without first obtaining the written approval of the other Party, which such approval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may disclose the receipt of any milestone payment amount under this Agreement. Once any public statement or disclosure has been approved in accordance with this Section 7.5, then either Party may appropriately communicate information contained in such permitted statement or disclosure.</w:t>
      </w:r>
    </w:p>
    <w:p>
      <w:pPr>
        <w:spacing w:after="0" w:line="207" w:lineRule="exact"/>
        <w:rPr>
          <w:rFonts w:ascii="Arial" w:cs="Arial" w:eastAsia="Arial" w:hAnsi="Arial"/>
          <w:sz w:val="16"/>
          <w:szCs w:val="16"/>
          <w:color w:val="auto"/>
        </w:rPr>
      </w:pPr>
    </w:p>
    <w:p>
      <w:pPr>
        <w:ind w:left="1180" w:hanging="582"/>
        <w:spacing w:after="0" w:line="280" w:lineRule="auto"/>
        <w:tabs>
          <w:tab w:leader="none" w:pos="1176" w:val="left"/>
        </w:tabs>
        <w:numPr>
          <w:ilvl w:val="0"/>
          <w:numId w:val="230"/>
        </w:numPr>
        <w:rPr>
          <w:rFonts w:ascii="Arial" w:cs="Arial" w:eastAsia="Arial" w:hAnsi="Arial"/>
          <w:sz w:val="15"/>
          <w:szCs w:val="15"/>
          <w:color w:val="auto"/>
        </w:rPr>
      </w:pPr>
      <w:r>
        <w:rPr>
          <w:rFonts w:ascii="Arial" w:cs="Arial" w:eastAsia="Arial" w:hAnsi="Arial"/>
          <w:sz w:val="15"/>
          <w:szCs w:val="15"/>
          <w:color w:val="auto"/>
        </w:rPr>
        <w:t xml:space="preserve">Each Party may disclose the existence and terms of this Agreement in confidence: (a) (1) to its attorneys, professional accountants, and auditors, and (2) bankers or other financial advisors in connection with an initial public offering, private financing or other strategic transaction, or corporate valuation for internal purposes;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disclosure to such professional accountants, auditors, bankers or other financial advisors is under an agreement to keep the terms of confidentiality and non-use no less rigorous than the terms contained in this Agreement and to use such information solely for the applicable purpose permitted pursuant to this Section 7.4(ii)(a); (b) to potential acquirers (and their respective attorneys and professional advisors), in connection with a potential merger, acquisition or reorganization;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such disclosure is under an agreement according to terms of confidentiality and non-use that are no less rigorous than the terms contained in this Agreement and require the use of such information solely for the purpose permitted pursuant to this Section 7.5(ii)(b); (c) to existing or potential investors, lenders or permitted assignees of such Party (and their respective attorneys and professional advisors);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such disclosure is under an agreement according to terms of confidentiality and non-use that are no less rigorous than the terms contained in this Agreement; and (d) to current and potential licensees or sublicensees or potential acquirors of such Party or of the Product (and their respective attorneys and professional advisors).</w:t>
      </w:r>
    </w:p>
    <w:p>
      <w:pPr>
        <w:spacing w:after="0" w:line="202" w:lineRule="exact"/>
        <w:rPr>
          <w:rFonts w:ascii="Arial" w:cs="Arial" w:eastAsia="Arial" w:hAnsi="Arial"/>
          <w:sz w:val="15"/>
          <w:szCs w:val="15"/>
          <w:color w:val="auto"/>
        </w:rPr>
      </w:pPr>
    </w:p>
    <w:p>
      <w:pPr>
        <w:ind w:left="1180" w:right="200" w:hanging="582"/>
        <w:spacing w:after="0" w:line="271" w:lineRule="auto"/>
        <w:tabs>
          <w:tab w:leader="none" w:pos="116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Article 7, a Party may disclose the existence and terms of this Agreement or a Party’s or the Parties’ activities under this Agreement where required, as reasonably determined by the legal counsel of the disclosing Party, by Applicable Law, by applicable stock exchange regulation, as required in connection with filings under applicable securities laws or by order or other ruling of a competent court, although, to the extent practicable, the other Party shall be given prompt notice of any such legally required disclosure to comment and reasonably consider such comments provided by such Party on the proposed disclosure.</w:t>
      </w:r>
    </w:p>
    <w:p>
      <w:pPr>
        <w:spacing w:after="0" w:line="216" w:lineRule="exact"/>
        <w:rPr>
          <w:rFonts w:ascii="Arial" w:cs="Arial" w:eastAsia="Arial" w:hAnsi="Arial"/>
          <w:sz w:val="16"/>
          <w:szCs w:val="16"/>
          <w:color w:val="auto"/>
        </w:rPr>
      </w:pPr>
    </w:p>
    <w:p>
      <w:pPr>
        <w:ind w:left="1180" w:right="540" w:hanging="582"/>
        <w:spacing w:after="0" w:line="324" w:lineRule="auto"/>
        <w:tabs>
          <w:tab w:leader="none" w:pos="1172" w:val="left"/>
        </w:tabs>
        <w:numPr>
          <w:ilvl w:val="0"/>
          <w:numId w:val="230"/>
        </w:numPr>
        <w:rPr>
          <w:rFonts w:ascii="Arial" w:cs="Arial" w:eastAsia="Arial" w:hAnsi="Arial"/>
          <w:sz w:val="14"/>
          <w:szCs w:val="14"/>
          <w:color w:val="auto"/>
        </w:rPr>
      </w:pPr>
      <w:r>
        <w:rPr>
          <w:rFonts w:ascii="Arial" w:cs="Arial" w:eastAsia="Arial" w:hAnsi="Arial"/>
          <w:sz w:val="14"/>
          <w:szCs w:val="14"/>
          <w:color w:val="auto"/>
        </w:rPr>
        <w:t>Nothing in this Section 7.5 shall be deemed to restrict Buyer from providing public updates on the Product or its Development, manufacturing or Commercialization as deemed necessary or advisable by the Buyer in its sole discretion; provided that Buyer does not use the name of Seller or its Affiliates (except to the extent referred to as the manufacturer of Product or licensor of certain Product-related rights, as may be necessary under applicable law or the Assumed Contracts) in any such public updates and does not otherwise disclose any Confidential Information of Seller.</w:t>
      </w:r>
    </w:p>
    <w:p>
      <w:pPr>
        <w:spacing w:after="0" w:line="211" w:lineRule="exact"/>
        <w:rPr>
          <w:sz w:val="20"/>
          <w:szCs w:val="20"/>
          <w:color w:val="auto"/>
        </w:rPr>
      </w:pPr>
    </w:p>
    <w:p>
      <w:pPr>
        <w:ind w:left="400" w:right="120" w:hanging="581"/>
        <w:spacing w:after="0" w:line="347" w:lineRule="auto"/>
        <w:tabs>
          <w:tab w:leader="none" w:pos="38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5"/>
          <w:szCs w:val="15"/>
          <w:u w:val="single" w:color="auto"/>
          <w:color w:val="auto"/>
        </w:rPr>
        <w:t>Commercialization of Products</w:t>
      </w:r>
      <w:r>
        <w:rPr>
          <w:rFonts w:ascii="Arial" w:cs="Arial" w:eastAsia="Arial" w:hAnsi="Arial"/>
          <w:sz w:val="15"/>
          <w:szCs w:val="15"/>
          <w:color w:val="auto"/>
        </w:rPr>
        <w:t>. As of the Closing Date, Buyer shall be solely and exclusively responsible for the manufacture, Development and Commercialization</w:t>
      </w:r>
      <w:r>
        <w:rPr>
          <w:rFonts w:ascii="Arial" w:cs="Arial" w:eastAsia="Arial" w:hAnsi="Arial"/>
          <w:sz w:val="15"/>
          <w:szCs w:val="15"/>
          <w:u w:val="single" w:color="auto"/>
          <w:color w:val="auto"/>
        </w:rPr>
        <w:t xml:space="preserve"> </w:t>
      </w:r>
      <w:r>
        <w:rPr>
          <w:rFonts w:ascii="Arial" w:cs="Arial" w:eastAsia="Arial" w:hAnsi="Arial"/>
          <w:sz w:val="15"/>
          <w:szCs w:val="15"/>
          <w:color w:val="auto"/>
        </w:rPr>
        <w:t>of the Products, including all decisions pertaining to such manufacture, Development or Commercialization, including any recall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6231890</wp:posOffset>
            </wp:positionH>
            <wp:positionV relativeFrom="paragraph">
              <wp:posOffset>-207010</wp:posOffset>
            </wp:positionV>
            <wp:extent cx="254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11220"/>
          </w:cols>
          <w:pgMar w:left="320" w:top="838" w:right="359" w:bottom="1440" w:gutter="0" w:footer="0" w:header="0"/>
        </w:sectPr>
      </w:pPr>
    </w:p>
    <w:bookmarkStart w:id="274" w:name="page275"/>
    <w:bookmarkEnd w:id="274"/>
    <w:p>
      <w:pPr>
        <w:ind w:left="8440"/>
        <w:spacing w:after="0"/>
        <w:rPr>
          <w:sz w:val="20"/>
          <w:szCs w:val="20"/>
          <w:color w:val="auto"/>
        </w:rPr>
      </w:pPr>
      <w:r>
        <w:rPr>
          <w:rFonts w:ascii="Arial" w:cs="Arial" w:eastAsia="Arial" w:hAnsi="Arial"/>
          <w:sz w:val="20"/>
          <w:szCs w:val="20"/>
          <w:color w:val="auto"/>
        </w:rPr>
        <w:t>Exhibit 10.23</w:t>
      </w:r>
    </w:p>
    <w:p>
      <w:pPr>
        <w:spacing w:after="0" w:line="20" w:lineRule="exact"/>
        <w:rPr>
          <w:sz w:val="20"/>
          <w:szCs w:val="20"/>
          <w:color w:val="auto"/>
        </w:rPr>
      </w:pPr>
    </w:p>
    <w:p>
      <w:pPr>
        <w:ind w:left="400" w:hanging="581"/>
        <w:spacing w:after="0" w:line="276" w:lineRule="auto"/>
        <w:tabs>
          <w:tab w:leader="none" w:pos="380"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5"/>
          <w:szCs w:val="15"/>
          <w:u w:val="single" w:color="auto"/>
          <w:color w:val="auto"/>
        </w:rPr>
        <w:t>Regulatory Matters</w:t>
      </w:r>
      <w:r>
        <w:rPr>
          <w:rFonts w:ascii="Arial" w:cs="Arial" w:eastAsia="Arial" w:hAnsi="Arial"/>
          <w:sz w:val="15"/>
          <w:szCs w:val="15"/>
          <w:color w:val="auto"/>
        </w:rPr>
        <w:t>. A copy of each Transfer Letter authorizing the transfer of ownership of the INDs and CTAs as well as the orphan drug designation owned by</w:t>
      </w:r>
      <w:r>
        <w:rPr>
          <w:rFonts w:ascii="Arial" w:cs="Arial" w:eastAsia="Arial" w:hAnsi="Arial"/>
          <w:sz w:val="15"/>
          <w:szCs w:val="15"/>
          <w:u w:val="single" w:color="auto"/>
          <w:color w:val="auto"/>
        </w:rPr>
        <w:t xml:space="preserve"> </w:t>
      </w:r>
      <w:r>
        <w:rPr>
          <w:rFonts w:ascii="Arial" w:cs="Arial" w:eastAsia="Arial" w:hAnsi="Arial"/>
          <w:sz w:val="15"/>
          <w:szCs w:val="15"/>
          <w:color w:val="auto"/>
        </w:rPr>
        <w:t>Seller to Buyer shall be delivered on the Closing Date and within ten (10) Business Days after the Closing Date, (a) Seller shall submit the Transfer Letters to the relevant Governmental Authorities and shall notify Buyer of such submission on the date submitted (providing Buyer an electronic copy of the submission with such notification) and (b) shall provide to Buyer the full regulatory file for the INDs and CTAs held by the Seller, including all available electronic meta data. Upon notification of the Seller’s submission of the Transfer Letter to the relevant Governmental Authorities, Buyer shall execute and submit to the relevant Governmental Authorities letters acknowledging Buyer’s commitment to assume ownership of the INDs and CTAs and the orphan drug designation owned by Seller. As of the Closing Date, except as otherwise set forth in this Section 7.7, Buyer shall be solely responsible for taking any actions necessary to (i) obtain any documentation required to maintain the INDs and CTAs or the orphaned drug designation owned by Seller or obtain any further authorizations under any Applicable Law, and otherwise comply with any Applicable Law with respect to regulatory authorizations. During the period between the Closing Date and the date that is that is eighteen (18) months from the Closing Date, Seller shall provide reasonable assistance as requested by Buyer in connection with Buyer’s fulfilment of its obligations under this Section 7.7. Except as set forth in any further written agreement between the Parties, as of the Closing Date, Buyer shall be solely responsible for investigating and reporting adverse experiences for the Product to any Governmental Authorities and addressing any such Governmental Authorities’ inquiries related to the safety of the Product; provided, however, that Seller shall provide reasonable assistance and cooperation to Buyer to the extent any such investigations or inquiries related to the manufacture or development of the Product prior to the Closing Date by or on behalf of Seller. Except as set forth in any further written agreement between the Parties, as of the Closing Date, Buyer shall be solely responsible for addressing any Person’s medical inquiries or complaints relating to the Product; provided, however, that Seller shall provide reasonable assistance and cooperation to Buyer to the extent any such inquiries or complaints related to the manufacture or Development of the Product prior to the Closing Date by or on behalf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-2040255</wp:posOffset>
            </wp:positionV>
            <wp:extent cx="254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12" w:lineRule="exact"/>
        <w:rPr>
          <w:sz w:val="20"/>
          <w:szCs w:val="20"/>
          <w:color w:val="auto"/>
        </w:rPr>
      </w:pPr>
    </w:p>
    <w:p>
      <w:pPr>
        <w:ind w:left="400" w:right="80" w:hanging="581"/>
        <w:spacing w:after="0" w:line="293" w:lineRule="auto"/>
        <w:tabs>
          <w:tab w:leader="none" w:pos="38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5"/>
          <w:szCs w:val="15"/>
          <w:u w:val="single" w:color="auto"/>
          <w:color w:val="auto"/>
        </w:rPr>
        <w:t>Development and Commercialization of Products after Closing</w:t>
      </w:r>
      <w:r>
        <w:rPr>
          <w:rFonts w:ascii="Arial" w:cs="Arial" w:eastAsia="Arial" w:hAnsi="Arial"/>
          <w:sz w:val="15"/>
          <w:szCs w:val="15"/>
          <w:color w:val="auto"/>
        </w:rPr>
        <w:t>. Following the Closing Date Buyer agrees to (i) use Reasonable Commercial Efforts to commence a</w:t>
      </w:r>
      <w:r>
        <w:rPr>
          <w:rFonts w:ascii="Arial" w:cs="Arial" w:eastAsia="Arial" w:hAnsi="Arial"/>
          <w:sz w:val="15"/>
          <w:szCs w:val="15"/>
          <w:u w:val="single" w:color="auto"/>
          <w:color w:val="auto"/>
        </w:rPr>
        <w:t xml:space="preserve"> </w:t>
      </w:r>
      <w:r>
        <w:rPr>
          <w:rFonts w:ascii="Arial" w:cs="Arial" w:eastAsia="Arial" w:hAnsi="Arial"/>
          <w:sz w:val="15"/>
          <w:szCs w:val="15"/>
          <w:color w:val="auto"/>
        </w:rPr>
        <w:t>[****] in accordance with the Development Plan; and (ii) use Reasonable Commercial Efforts to manufacture, Develop and Commercialize at least one Product in the United States and Europe. Buyer shall provide to Seller, semi-annually, written reports on its completed and planned Development and Commercialization activities with respect to each Product. Each such report shall include an update regarding Development activities conducted by or on behalf of Buyer (including activities conducted under the Development Plan) and progress towards achieving the Development and Regulatory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6346825</wp:posOffset>
            </wp:positionH>
            <wp:positionV relativeFrom="paragraph">
              <wp:posOffset>-558800</wp:posOffset>
            </wp:positionV>
            <wp:extent cx="260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MANUFACTURING</w:t>
      </w:r>
    </w:p>
    <w:p>
      <w:pPr>
        <w:spacing w:after="0" w:line="252" w:lineRule="exact"/>
        <w:rPr>
          <w:sz w:val="20"/>
          <w:szCs w:val="20"/>
          <w:color w:val="auto"/>
        </w:rPr>
      </w:pPr>
    </w:p>
    <w:p>
      <w:pPr>
        <w:ind w:left="400" w:right="120" w:hanging="581"/>
        <w:spacing w:after="0" w:line="279" w:lineRule="auto"/>
        <w:tabs>
          <w:tab w:leader="none" w:pos="38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5"/>
          <w:szCs w:val="15"/>
          <w:u w:val="single" w:color="auto"/>
          <w:color w:val="auto"/>
        </w:rPr>
        <w:t>Manufacturing and Quality Agreements</w:t>
      </w:r>
      <w:r>
        <w:rPr>
          <w:rFonts w:ascii="Arial" w:cs="Arial" w:eastAsia="Arial" w:hAnsi="Arial"/>
          <w:sz w:val="15"/>
          <w:szCs w:val="15"/>
          <w:color w:val="auto"/>
        </w:rPr>
        <w:t>. As part of the Technology Transition Plan described in Section 2.7, during the Transition Period, Buyer and Seller shall</w:t>
      </w:r>
      <w:r>
        <w:rPr>
          <w:rFonts w:ascii="Arial" w:cs="Arial" w:eastAsia="Arial" w:hAnsi="Arial"/>
          <w:sz w:val="15"/>
          <w:szCs w:val="15"/>
          <w:u w:val="single" w:color="auto"/>
          <w:color w:val="auto"/>
        </w:rPr>
        <w:t xml:space="preserve"> </w:t>
      </w:r>
      <w:r>
        <w:rPr>
          <w:rFonts w:ascii="Arial" w:cs="Arial" w:eastAsia="Arial" w:hAnsi="Arial"/>
          <w:sz w:val="15"/>
          <w:szCs w:val="15"/>
          <w:color w:val="auto"/>
        </w:rPr>
        <w:t>negotiate in good faith manufacturing transfer and quality agreements for the Product that will include provisions regarding the transfer of: (i) existing clinical material; (ii) all cGMP and non-cGMP bulk drug substance or partially finished drug Product, including API, along with the corresponding cell lines and any specialized and dedicated equipment (e.g., proprietary media, dedicated purification columns/filters, etc.) required for the production of Teplizumab; and (iii) the CMC and quality support and documentation necessary to label, package, release and ship the existing inventory of cGMP finished drug product vials to clinical trial sites and/or a corresponding storage and distribution subcontractor. After the Transition Period, Seller shall continue to provide support on the manufacturing transfer described in this Section 8.1 in accordance with the Technology Transition Plan and in accordance with the terms of Section 2.7 for a period of eighteen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6377305</wp:posOffset>
            </wp:positionH>
            <wp:positionV relativeFrom="paragraph">
              <wp:posOffset>-781685</wp:posOffset>
            </wp:positionV>
            <wp:extent cx="260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ind w:left="600" w:right="620" w:firstLine="2"/>
        <w:spacing w:after="0" w:line="288" w:lineRule="auto"/>
        <w:tabs>
          <w:tab w:leader="none" w:pos="91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months from the Effective Date. Costs incurred by Seller in connection with this Section 8.1 shall be subject to the cost allocation and reimbursement provisions of Section 2.7.</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INDEMNIFICATION</w:t>
      </w:r>
    </w:p>
    <w:p>
      <w:pPr>
        <w:spacing w:after="0" w:line="239"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3"/>
          <w:szCs w:val="13"/>
          <w:u w:val="single" w:color="auto"/>
          <w:color w:val="auto"/>
        </w:rPr>
        <w:t>Survival of Representations, and Warranties.</w:t>
      </w:r>
    </w:p>
    <w:p>
      <w:pPr>
        <w:spacing w:after="0" w:line="248" w:lineRule="exact"/>
        <w:rPr>
          <w:sz w:val="20"/>
          <w:szCs w:val="20"/>
          <w:color w:val="auto"/>
        </w:rPr>
      </w:pPr>
    </w:p>
    <w:p>
      <w:pPr>
        <w:ind w:left="1180" w:hanging="582"/>
        <w:spacing w:after="0" w:line="271" w:lineRule="auto"/>
        <w:tabs>
          <w:tab w:leader="none" w:pos="117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Fundamental Representations shall survive the Closing Date indefinitely and shall bind the successors and assigns of the relevant Party, whether so expressed or not, and all such representations and warranties shall inure to the benefit of the successors and assigns of the Parties hereto, whether expressed or not. The “</w:t>
      </w:r>
      <w:r>
        <w:rPr>
          <w:rFonts w:ascii="Arial" w:cs="Arial" w:eastAsia="Arial" w:hAnsi="Arial"/>
          <w:sz w:val="16"/>
          <w:szCs w:val="16"/>
          <w:b w:val="1"/>
          <w:bCs w:val="1"/>
          <w:color w:val="auto"/>
        </w:rPr>
        <w:t>Fundamental Representations</w:t>
      </w:r>
      <w:r>
        <w:rPr>
          <w:rFonts w:ascii="Arial" w:cs="Arial" w:eastAsia="Arial" w:hAnsi="Arial"/>
          <w:sz w:val="16"/>
          <w:szCs w:val="16"/>
          <w:color w:val="auto"/>
        </w:rPr>
        <w:t>” are Sections 5.1 (Corporate Organization), 5.3 (Authority of Seller); 5.4 (Non-Contravention); 5.5 (Title; Encumbrances); 5.14 (Eli Lilly Agreement; Third Party Obligations); 6.2 (Corporate Organization); 6.3 (Authority of Buyer); 6.4 (Non-Contravention) and 6.8 (Buyer Stock).</w:t>
      </w:r>
    </w:p>
    <w:p>
      <w:pPr>
        <w:spacing w:after="0" w:line="216" w:lineRule="exact"/>
        <w:rPr>
          <w:rFonts w:ascii="Arial" w:cs="Arial" w:eastAsia="Arial" w:hAnsi="Arial"/>
          <w:sz w:val="16"/>
          <w:szCs w:val="16"/>
          <w:color w:val="auto"/>
        </w:rPr>
      </w:pPr>
    </w:p>
    <w:p>
      <w:pPr>
        <w:ind w:left="1180" w:right="80" w:hanging="582"/>
        <w:spacing w:after="0" w:line="273" w:lineRule="auto"/>
        <w:tabs>
          <w:tab w:leader="none" w:pos="117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Core Representations shall survive the Closing Date for a period of five (5) years, and during such period shall bind the successors and assigns of the relevant Party, whether so expressed or not, and all such representations and warranties shall inure to the benefit of the successors and assigns of the Parties hereto, whether expressed or not. The “</w:t>
      </w:r>
      <w:r>
        <w:rPr>
          <w:rFonts w:ascii="Arial" w:cs="Arial" w:eastAsia="Arial" w:hAnsi="Arial"/>
          <w:sz w:val="16"/>
          <w:szCs w:val="16"/>
          <w:b w:val="1"/>
          <w:bCs w:val="1"/>
          <w:color w:val="auto"/>
        </w:rPr>
        <w:t>Core Representations</w:t>
      </w:r>
      <w:r>
        <w:rPr>
          <w:rFonts w:ascii="Arial" w:cs="Arial" w:eastAsia="Arial" w:hAnsi="Arial"/>
          <w:sz w:val="16"/>
          <w:szCs w:val="16"/>
          <w:color w:val="auto"/>
        </w:rPr>
        <w:t>” are Sections 5.7 (Intellectual Property); 5.10 (Regulatory Compliance); and 5.15 (Clinical Trials).</w:t>
      </w:r>
    </w:p>
    <w:p>
      <w:pPr>
        <w:spacing w:after="0" w:line="215" w:lineRule="exact"/>
        <w:rPr>
          <w:rFonts w:ascii="Arial" w:cs="Arial" w:eastAsia="Arial" w:hAnsi="Arial"/>
          <w:sz w:val="16"/>
          <w:szCs w:val="16"/>
          <w:color w:val="auto"/>
        </w:rPr>
      </w:pPr>
    </w:p>
    <w:p>
      <w:pPr>
        <w:ind w:left="1180" w:right="160" w:hanging="582"/>
        <w:spacing w:after="0" w:line="297" w:lineRule="auto"/>
        <w:tabs>
          <w:tab w:leader="none" w:pos="1167" w:val="left"/>
        </w:tabs>
        <w:numPr>
          <w:ilvl w:val="0"/>
          <w:numId w:val="232"/>
        </w:numPr>
        <w:rPr>
          <w:rFonts w:ascii="Arial" w:cs="Arial" w:eastAsia="Arial" w:hAnsi="Arial"/>
          <w:sz w:val="15"/>
          <w:szCs w:val="15"/>
          <w:color w:val="auto"/>
        </w:rPr>
      </w:pPr>
      <w:r>
        <w:rPr>
          <w:rFonts w:ascii="Arial" w:cs="Arial" w:eastAsia="Arial" w:hAnsi="Arial"/>
          <w:sz w:val="15"/>
          <w:szCs w:val="15"/>
          <w:color w:val="auto"/>
        </w:rPr>
        <w:t xml:space="preserve">Except as set forth in subsections (i) and (ii) of this Section 9.1, the representations and warranties of Seller or Buyer contained in Articles 5 and 6 or documents executed in connection herewith shall survive the Closing Date for a period of eighteen (18) months (the </w:t>
      </w:r>
      <w:r>
        <w:rPr>
          <w:rFonts w:ascii="Arial" w:cs="Arial" w:eastAsia="Arial" w:hAnsi="Arial"/>
          <w:sz w:val="15"/>
          <w:szCs w:val="15"/>
          <w:b w:val="1"/>
          <w:bCs w:val="1"/>
          <w:color w:val="auto"/>
        </w:rPr>
        <w:t>“Survival Period”</w:t>
      </w:r>
      <w:r>
        <w:rPr>
          <w:rFonts w:ascii="Arial" w:cs="Arial" w:eastAsia="Arial" w:hAnsi="Arial"/>
          <w:sz w:val="15"/>
          <w:szCs w:val="15"/>
          <w:color w:val="auto"/>
        </w:rPr>
        <w:t>) and during the Survival Period shall bind the successors and assigns of the relevant Party, whether so expressed or not, and all such representations and warranties shall inure to the benefit of the successors and assigns of the Parties hereto, whether expressed or not.</w:t>
      </w:r>
    </w:p>
    <w:p>
      <w:pPr>
        <w:spacing w:after="0" w:line="226" w:lineRule="exact"/>
        <w:rPr>
          <w:rFonts w:ascii="Arial" w:cs="Arial" w:eastAsia="Arial" w:hAnsi="Arial"/>
          <w:sz w:val="15"/>
          <w:szCs w:val="15"/>
          <w:color w:val="auto"/>
        </w:rPr>
      </w:pPr>
    </w:p>
    <w:p>
      <w:pPr>
        <w:ind w:left="1180" w:right="220" w:hanging="582"/>
        <w:spacing w:after="0" w:line="310" w:lineRule="auto"/>
        <w:tabs>
          <w:tab w:leader="none" w:pos="117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Any claim whether for indemnification or otherwise based upon a breach of any such representation or warranty and asserted prior to the termination of the Survival Period by written notice in accordance with Section 9.2 shall survive until final resolution of such claim.</w:t>
      </w:r>
    </w:p>
    <w:p>
      <w:pPr>
        <w:spacing w:after="0" w:line="200" w:lineRule="exact"/>
        <w:rPr>
          <w:sz w:val="20"/>
          <w:szCs w:val="20"/>
          <w:color w:val="auto"/>
        </w:rPr>
      </w:pPr>
    </w:p>
    <w:p>
      <w:pPr>
        <w:ind w:left="400" w:right="560" w:hanging="581"/>
        <w:spacing w:after="0" w:line="287" w:lineRule="auto"/>
        <w:tabs>
          <w:tab w:leader="none" w:pos="38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u w:val="single" w:color="auto"/>
          <w:color w:val="auto"/>
        </w:rPr>
        <w:t>Indemnification by Seller</w:t>
      </w:r>
      <w:r>
        <w:rPr>
          <w:rFonts w:ascii="Arial" w:cs="Arial" w:eastAsia="Arial" w:hAnsi="Arial"/>
          <w:sz w:val="16"/>
          <w:szCs w:val="16"/>
          <w:color w:val="auto"/>
        </w:rPr>
        <w:t>. From and after the Closing Date, Seller shall indemnify, defend and hold harmless Buyer, its Affiliates and their respective officers,</w:t>
      </w:r>
      <w:r>
        <w:rPr>
          <w:rFonts w:ascii="Arial" w:cs="Arial" w:eastAsia="Arial" w:hAnsi="Arial"/>
          <w:sz w:val="16"/>
          <w:szCs w:val="16"/>
          <w:u w:val="single" w:color="auto"/>
          <w:color w:val="auto"/>
        </w:rPr>
        <w:t xml:space="preserve"> </w:t>
      </w:r>
      <w:r>
        <w:rPr>
          <w:rFonts w:ascii="Arial" w:cs="Arial" w:eastAsia="Arial" w:hAnsi="Arial"/>
          <w:sz w:val="16"/>
          <w:szCs w:val="16"/>
          <w:color w:val="auto"/>
        </w:rPr>
        <w:t>directors, employees, agents, successors and assigns from and against any and all Damages incurred in connection with any claim, action, suit, litigation, proceeding, arbitration or investigation (whether civil, criminal, administrative, investigative, appellate or informal)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5967730</wp:posOffset>
            </wp:positionH>
            <wp:positionV relativeFrom="paragraph">
              <wp:posOffset>-309245</wp:posOffset>
            </wp:positionV>
            <wp:extent cx="254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ectPr>
          <w:pgSz w:w="11900" w:h="16838" w:orient="portrait"/>
          <w:cols w:equalWidth="0" w:num="1">
            <w:col w:w="11220"/>
          </w:cols>
          <w:pgMar w:left="320" w:top="838" w:right="359" w:bottom="1440" w:gutter="0" w:footer="0" w:header="0"/>
        </w:sectPr>
      </w:pPr>
    </w:p>
    <w:bookmarkStart w:id="275" w:name="page276"/>
    <w:bookmarkEnd w:id="275"/>
    <w:p>
      <w:pPr>
        <w:ind w:left="842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left="580" w:right="60"/>
        <w:spacing w:after="0" w:line="275" w:lineRule="auto"/>
        <w:rPr>
          <w:sz w:val="20"/>
          <w:szCs w:val="20"/>
          <w:color w:val="auto"/>
        </w:rPr>
      </w:pPr>
      <w:r>
        <w:rPr>
          <w:rFonts w:ascii="Arial" w:cs="Arial" w:eastAsia="Arial" w:hAnsi="Arial"/>
          <w:sz w:val="16"/>
          <w:szCs w:val="16"/>
          <w:color w:val="auto"/>
        </w:rPr>
        <w:t>a Third Party, including a Governmental Authority (</w:t>
      </w:r>
      <w:r>
        <w:rPr>
          <w:rFonts w:ascii="Arial" w:cs="Arial" w:eastAsia="Arial" w:hAnsi="Arial"/>
          <w:sz w:val="16"/>
          <w:szCs w:val="16"/>
          <w:b w:val="1"/>
          <w:bCs w:val="1"/>
          <w:color w:val="auto"/>
        </w:rPr>
        <w:t>“Third Party Claims”</w:t>
      </w:r>
      <w:r>
        <w:rPr>
          <w:rFonts w:ascii="Arial" w:cs="Arial" w:eastAsia="Arial" w:hAnsi="Arial"/>
          <w:sz w:val="16"/>
          <w:szCs w:val="16"/>
          <w:color w:val="auto"/>
        </w:rPr>
        <w:t>) arising out of or relating to (i) any breach of any covenant, representation or warranty of Seller in this Agreement, (ii) any Retained Liability or (iii) Seller’s fraud, gross negligence or willful misconduct.</w:t>
      </w:r>
    </w:p>
    <w:p>
      <w:pPr>
        <w:spacing w:after="0" w:line="226"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u w:val="single" w:color="auto"/>
          <w:color w:val="auto"/>
        </w:rPr>
        <w:t>Indemnification by Buyer</w:t>
      </w:r>
      <w:r>
        <w:rPr>
          <w:rFonts w:ascii="Arial" w:cs="Arial" w:eastAsia="Arial" w:hAnsi="Arial"/>
          <w:sz w:val="14"/>
          <w:szCs w:val="14"/>
          <w:color w:val="auto"/>
        </w:rPr>
        <w:t>. From and after the Closing Date, Buyer shall indemnify, defend and hold harmless Seller, its Affiliates, and their respective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-6985</wp:posOffset>
            </wp:positionV>
            <wp:extent cx="254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 w:lineRule="exact"/>
        <w:rPr>
          <w:sz w:val="20"/>
          <w:szCs w:val="20"/>
          <w:color w:val="auto"/>
        </w:rPr>
      </w:pPr>
    </w:p>
    <w:p>
      <w:pPr>
        <w:ind w:left="580" w:right="220"/>
        <w:spacing w:after="0" w:line="285" w:lineRule="auto"/>
        <w:rPr>
          <w:sz w:val="20"/>
          <w:szCs w:val="20"/>
          <w:color w:val="auto"/>
        </w:rPr>
      </w:pPr>
      <w:r>
        <w:rPr>
          <w:rFonts w:ascii="Arial" w:cs="Arial" w:eastAsia="Arial" w:hAnsi="Arial"/>
          <w:sz w:val="16"/>
          <w:szCs w:val="16"/>
          <w:color w:val="auto"/>
        </w:rPr>
        <w:t>directors, employees, agents, successors and assigns from and against any and all Damages incurred in connection with any Third Party Claims arising out of or relating to: (i) any breach of any covenant, representation or warranty of Buyer in this Agreement, (ii) any Assumed Liability or (iii) Buyer’s fraud, gross negligence or willful misconduct.</w:t>
      </w:r>
    </w:p>
    <w:p>
      <w:pPr>
        <w:spacing w:after="0" w:line="214"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5"/>
          <w:szCs w:val="15"/>
          <w:u w:val="single" w:color="auto"/>
          <w:color w:val="auto"/>
        </w:rPr>
        <w:t>Procedure</w:t>
      </w:r>
      <w:r>
        <w:rPr>
          <w:rFonts w:ascii="Arial" w:cs="Arial" w:eastAsia="Arial" w:hAnsi="Arial"/>
          <w:sz w:val="15"/>
          <w:szCs w:val="15"/>
          <w:color w:val="auto"/>
        </w:rPr>
        <w:t>. A Person intending to claim indemnification under this Article 9 (the</w:t>
      </w:r>
      <w:r>
        <w:rPr>
          <w:rFonts w:ascii="Arial" w:cs="Arial" w:eastAsia="Arial" w:hAnsi="Arial"/>
          <w:sz w:val="15"/>
          <w:szCs w:val="15"/>
          <w:u w:val="single" w:color="auto"/>
          <w:color w:val="auto"/>
        </w:rPr>
        <w:t xml:space="preserve"> </w:t>
      </w:r>
      <w:r>
        <w:rPr>
          <w:rFonts w:ascii="Arial" w:cs="Arial" w:eastAsia="Arial" w:hAnsi="Arial"/>
          <w:sz w:val="15"/>
          <w:szCs w:val="15"/>
          <w:b w:val="1"/>
          <w:bCs w:val="1"/>
          <w:color w:val="auto"/>
        </w:rPr>
        <w:t>“Indemnitee”</w:t>
      </w:r>
      <w:r>
        <w:rPr>
          <w:rFonts w:ascii="Arial" w:cs="Arial" w:eastAsia="Arial" w:hAnsi="Arial"/>
          <w:sz w:val="15"/>
          <w:szCs w:val="15"/>
          <w:color w:val="auto"/>
        </w:rPr>
        <w:t>) shall promptly provide written notice to the Party providing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-4445</wp:posOffset>
            </wp:positionV>
            <wp:extent cx="254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-4445</wp:posOffset>
            </wp:positionV>
            <wp:extent cx="260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6" w:lineRule="exact"/>
        <w:rPr>
          <w:sz w:val="20"/>
          <w:szCs w:val="20"/>
          <w:color w:val="auto"/>
        </w:rPr>
      </w:pPr>
    </w:p>
    <w:p>
      <w:pPr>
        <w:ind w:left="580" w:right="100"/>
        <w:spacing w:after="0" w:line="296" w:lineRule="auto"/>
        <w:rPr>
          <w:sz w:val="20"/>
          <w:szCs w:val="20"/>
          <w:color w:val="auto"/>
        </w:rPr>
      </w:pPr>
      <w:r>
        <w:rPr>
          <w:rFonts w:ascii="Arial" w:cs="Arial" w:eastAsia="Arial" w:hAnsi="Arial"/>
          <w:sz w:val="14"/>
          <w:szCs w:val="14"/>
          <w:color w:val="auto"/>
        </w:rPr>
        <w:t xml:space="preserve">indemnification (the </w:t>
      </w:r>
      <w:r>
        <w:rPr>
          <w:rFonts w:ascii="Arial" w:cs="Arial" w:eastAsia="Arial" w:hAnsi="Arial"/>
          <w:sz w:val="14"/>
          <w:szCs w:val="14"/>
          <w:b w:val="1"/>
          <w:bCs w:val="1"/>
          <w:color w:val="auto"/>
        </w:rPr>
        <w:t>“Indemnitor”</w:t>
      </w:r>
      <w:r>
        <w:rPr>
          <w:rFonts w:ascii="Arial" w:cs="Arial" w:eastAsia="Arial" w:hAnsi="Arial"/>
          <w:sz w:val="14"/>
          <w:szCs w:val="14"/>
          <w:color w:val="auto"/>
        </w:rPr>
        <w:t>) of any Third Party Claim with respect to which the Indemnitee intends to claim such indemnification, which notice shall include a description of the Third Party Claim, the amount thereof (if known and quantifiable) and the basis for the Third Party Claim; provided that failure of the Indemnitee to give the Indemnitor notice as set forth herein shall not relieve the Indemnitor of its obligations hereunder, except to the extent that the Indemnitor is prejudiced thereby. The Indemnitor shall have the right, in its sole discretion and at its election by written notice to the Indemnitee within fifteen (15) days after delivering notice of the Third Party Claim to the Indemnitee, to conduct the defense against such Third Party Claim in its own name, provided that the Indemnitor</w:t>
      </w:r>
    </w:p>
    <w:p>
      <w:pPr>
        <w:spacing w:after="0" w:line="3" w:lineRule="exact"/>
        <w:rPr>
          <w:sz w:val="20"/>
          <w:szCs w:val="20"/>
          <w:color w:val="auto"/>
        </w:rPr>
      </w:pPr>
    </w:p>
    <w:p>
      <w:pPr>
        <w:ind w:left="580" w:firstLine="2"/>
        <w:spacing w:after="0" w:line="280" w:lineRule="auto"/>
        <w:tabs>
          <w:tab w:leader="none" w:pos="773" w:val="left"/>
        </w:tabs>
        <w:numPr>
          <w:ilvl w:val="0"/>
          <w:numId w:val="233"/>
        </w:numPr>
        <w:rPr>
          <w:rFonts w:ascii="Arial" w:cs="Arial" w:eastAsia="Arial" w:hAnsi="Arial"/>
          <w:sz w:val="15"/>
          <w:szCs w:val="15"/>
          <w:color w:val="auto"/>
        </w:rPr>
      </w:pPr>
      <w:r>
        <w:rPr>
          <w:rFonts w:ascii="Arial" w:cs="Arial" w:eastAsia="Arial" w:hAnsi="Arial"/>
          <w:sz w:val="15"/>
          <w:szCs w:val="15"/>
          <w:color w:val="auto"/>
        </w:rPr>
        <w:t>shall keep the Indemnitee reasonably informed regarding the status of such Third Party Claim, (ii) shall provide the Indemnitee the reasonable opportunity to consult with the Indemnitor regarding the defense of such claim, and (iii) may not settle or compromise any such Third Party Claim without the prior written consent of the Indemnitee (which consent shall not be unreasonably withheld, conditioned or delayed) unless (A) such settlement or compromise involves no finding or admission of any breach by any Indemnitee of any obligation to any other Person or any violation by any Indemnitee of any Applicable Law, and (B) the sole relief provided in connection with such settlement or compromise is monetary damages that are paid in full by the Indemnitor. If the Indemnitee fails to timely give notice of such election to conduct the defense, it will be deemed to have elected not to conduct the defense of the subject Third Party Claim, and in such event the Indemnitor shall have the right, at its own cost and expense, to conduct the defense in good faith with counsel reasonably satisfactory to the Indemnitee; provided that the Indemnitor (x) shall keep the Indemnitee reasonably informed regarding the status of such Third Party Claim,</w:t>
      </w:r>
    </w:p>
    <w:p>
      <w:pPr>
        <w:spacing w:after="0" w:line="199" w:lineRule="exact"/>
        <w:rPr>
          <w:sz w:val="20"/>
          <w:szCs w:val="20"/>
          <w:color w:val="auto"/>
        </w:rPr>
      </w:pPr>
    </w:p>
    <w:p>
      <w:pPr>
        <w:jc w:val="both"/>
        <w:ind w:left="580" w:right="20" w:hanging="2"/>
        <w:spacing w:after="0" w:line="268" w:lineRule="auto"/>
        <w:tabs>
          <w:tab w:leader="none" w:pos="127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shall provide the Indemnitee the reasonable opportunity to consult with the Indemnitor regarding the defense of such claim and (z) may not settle or compromise any such Third Party Claim without the prior written consent of the Indemnitee (which consent shall not be unreasonably withheld, conditioned or delayed). The Indemnitee, its employees and agents, shall cooperate fully with the Indemnitor and its legal representative(s) in the investigation and defense of any Third Party Claim covered by this Section 9.4.</w:t>
      </w:r>
    </w:p>
    <w:p>
      <w:pPr>
        <w:spacing w:after="0" w:line="24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4"/>
          <w:szCs w:val="14"/>
          <w:u w:val="single" w:color="auto"/>
          <w:color w:val="auto"/>
        </w:rPr>
        <w:t>Limitation of Damages</w:t>
      </w:r>
      <w:r>
        <w:rPr>
          <w:rFonts w:ascii="Arial" w:cs="Arial" w:eastAsia="Arial" w:hAnsi="Arial"/>
          <w:sz w:val="14"/>
          <w:szCs w:val="14"/>
          <w:color w:val="auto"/>
        </w:rPr>
        <w:t>. The indemnification obligations of a Party under Section 9.2 or Section 9.3 and the liability of a Party for all damages whatsoever arising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6099175</wp:posOffset>
            </wp:positionH>
            <wp:positionV relativeFrom="paragraph">
              <wp:posOffset>-6985</wp:posOffset>
            </wp:positionV>
            <wp:extent cx="254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2" w:lineRule="exact"/>
        <w:rPr>
          <w:sz w:val="20"/>
          <w:szCs w:val="20"/>
          <w:color w:val="auto"/>
        </w:rPr>
      </w:pPr>
    </w:p>
    <w:p>
      <w:pPr>
        <w:ind w:left="580" w:right="120"/>
        <w:spacing w:after="0" w:line="293" w:lineRule="auto"/>
        <w:rPr>
          <w:sz w:val="20"/>
          <w:szCs w:val="20"/>
          <w:color w:val="auto"/>
        </w:rPr>
      </w:pPr>
      <w:r>
        <w:rPr>
          <w:rFonts w:ascii="Arial" w:cs="Arial" w:eastAsia="Arial" w:hAnsi="Arial"/>
          <w:sz w:val="16"/>
          <w:szCs w:val="16"/>
          <w:color w:val="auto"/>
        </w:rPr>
        <w:t>of or related to this Agreement and the instruments and agreements contemplated hereby and the transactions contemplated hereby and thereby shall be limited as follows:</w:t>
      </w:r>
    </w:p>
    <w:p>
      <w:pPr>
        <w:spacing w:after="0" w:line="212" w:lineRule="exact"/>
        <w:rPr>
          <w:sz w:val="20"/>
          <w:szCs w:val="20"/>
          <w:color w:val="auto"/>
        </w:rPr>
      </w:pPr>
    </w:p>
    <w:p>
      <w:pPr>
        <w:jc w:val="both"/>
        <w:ind w:left="1160" w:right="80" w:hanging="582"/>
        <w:spacing w:after="0" w:line="287" w:lineRule="auto"/>
        <w:tabs>
          <w:tab w:leader="none" w:pos="1152"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A Party shall not be liable to the extent an Indemnitee or the other Party receives payment from any insurer or other Third Party, but only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amounts actually received from such insurer or other Third Party. The Indemnitor shall remain liable for the balance of any Damages unpaid to the Indemnitee or the other Party.</w:t>
      </w:r>
    </w:p>
    <w:p>
      <w:pPr>
        <w:spacing w:after="0" w:line="203" w:lineRule="exact"/>
        <w:rPr>
          <w:rFonts w:ascii="Arial" w:cs="Arial" w:eastAsia="Arial" w:hAnsi="Arial"/>
          <w:sz w:val="16"/>
          <w:szCs w:val="16"/>
          <w:color w:val="auto"/>
        </w:rPr>
      </w:pPr>
    </w:p>
    <w:p>
      <w:pPr>
        <w:ind w:left="1160" w:right="100" w:hanging="582"/>
        <w:spacing w:after="0" w:line="328" w:lineRule="auto"/>
        <w:tabs>
          <w:tab w:leader="none" w:pos="1156" w:val="left"/>
        </w:tabs>
        <w:numPr>
          <w:ilvl w:val="0"/>
          <w:numId w:val="235"/>
        </w:numPr>
        <w:rPr>
          <w:rFonts w:ascii="Arial" w:cs="Arial" w:eastAsia="Arial" w:hAnsi="Arial"/>
          <w:sz w:val="15"/>
          <w:szCs w:val="15"/>
          <w:color w:val="auto"/>
        </w:rPr>
      </w:pPr>
      <w:r>
        <w:rPr>
          <w:rFonts w:ascii="Arial" w:cs="Arial" w:eastAsia="Arial" w:hAnsi="Arial"/>
          <w:sz w:val="15"/>
          <w:szCs w:val="15"/>
          <w:i w:val="1"/>
          <w:iCs w:val="1"/>
          <w:color w:val="auto"/>
        </w:rPr>
        <w:t xml:space="preserve">Negligence, Illegal Act or Willful Misconduct. </w:t>
      </w:r>
      <w:r>
        <w:rPr>
          <w:rFonts w:ascii="Arial" w:cs="Arial" w:eastAsia="Arial" w:hAnsi="Arial"/>
          <w:sz w:val="15"/>
          <w:szCs w:val="15"/>
          <w:color w:val="auto"/>
        </w:rPr>
        <w:t>A Party shall not be liable to the extent that the other Party, its Affiliates or any of their respective officers,</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employees, agents, successors and assigns caused, by the illegal conduct, gross negligence or willful misconduct, the Damages.</w:t>
      </w:r>
    </w:p>
    <w:p>
      <w:pPr>
        <w:spacing w:after="0" w:line="204"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4"/>
          <w:szCs w:val="14"/>
          <w:u w:val="single" w:color="auto"/>
          <w:color w:val="auto"/>
        </w:rPr>
        <w:t>Insurance</w:t>
      </w:r>
      <w:r>
        <w:rPr>
          <w:rFonts w:ascii="Arial" w:cs="Arial" w:eastAsia="Arial" w:hAnsi="Arial"/>
          <w:sz w:val="14"/>
          <w:szCs w:val="14"/>
          <w:color w:val="auto"/>
        </w:rPr>
        <w:t>. Buyer and Seller shall each maintain a commercial general liability insurance policy or policies to protect against potential liabilities and risk arising out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6323965</wp:posOffset>
            </wp:positionH>
            <wp:positionV relativeFrom="paragraph">
              <wp:posOffset>-6985</wp:posOffset>
            </wp:positionV>
            <wp:extent cx="260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 w:lineRule="exact"/>
        <w:rPr>
          <w:sz w:val="20"/>
          <w:szCs w:val="20"/>
          <w:color w:val="auto"/>
        </w:rPr>
      </w:pPr>
    </w:p>
    <w:p>
      <w:pPr>
        <w:jc w:val="both"/>
        <w:ind w:left="580" w:right="20"/>
        <w:spacing w:after="0" w:line="369" w:lineRule="auto"/>
        <w:rPr>
          <w:sz w:val="20"/>
          <w:szCs w:val="20"/>
          <w:color w:val="auto"/>
        </w:rPr>
      </w:pPr>
      <w:r>
        <w:rPr>
          <w:rFonts w:ascii="Arial" w:cs="Arial" w:eastAsia="Arial" w:hAnsi="Arial"/>
          <w:sz w:val="14"/>
          <w:szCs w:val="14"/>
          <w:color w:val="auto"/>
        </w:rPr>
        <w:t>this Agreement and are as are appropriate to cover the Parties’ respective indemnification obligations hereunder. Upon request, each Party shall provide certificates of insurance to the other evidencing the coverage specifies herein. Neither Party’s liability to the other is in any way limited to the extent of its insurance coverage.</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9.7</w:t>
      </w:r>
      <w:r>
        <w:rPr>
          <w:sz w:val="20"/>
          <w:szCs w:val="20"/>
          <w:color w:val="auto"/>
        </w:rPr>
        <w:tab/>
      </w:r>
      <w:r>
        <w:rPr>
          <w:rFonts w:ascii="Arial" w:cs="Arial" w:eastAsia="Arial" w:hAnsi="Arial"/>
          <w:sz w:val="15"/>
          <w:szCs w:val="15"/>
          <w:u w:val="single" w:color="auto"/>
          <w:color w:val="auto"/>
        </w:rPr>
        <w:t>Limitations on Indemnification</w:t>
      </w:r>
      <w:r>
        <w:rPr>
          <w:rFonts w:ascii="Arial" w:cs="Arial" w:eastAsia="Arial" w:hAnsi="Arial"/>
          <w:sz w:val="15"/>
          <w:szCs w:val="15"/>
          <w:color w:val="auto"/>
        </w:rPr>
        <w:t>. Notwithstanding anything to the contrary herein, (i) Seller shall not have any liability under Section 9.2 for any individual item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6159500</wp:posOffset>
            </wp:positionH>
            <wp:positionV relativeFrom="paragraph">
              <wp:posOffset>-6985</wp:posOffset>
            </wp:positionV>
            <wp:extent cx="260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 w:lineRule="exact"/>
        <w:rPr>
          <w:sz w:val="20"/>
          <w:szCs w:val="20"/>
          <w:color w:val="auto"/>
        </w:rPr>
      </w:pPr>
    </w:p>
    <w:p>
      <w:pPr>
        <w:ind w:left="580" w:right="60"/>
        <w:spacing w:after="0" w:line="295" w:lineRule="auto"/>
        <w:rPr>
          <w:sz w:val="20"/>
          <w:szCs w:val="20"/>
          <w:color w:val="auto"/>
        </w:rPr>
      </w:pPr>
      <w:r>
        <w:rPr>
          <w:rFonts w:ascii="Arial" w:cs="Arial" w:eastAsia="Arial" w:hAnsi="Arial"/>
          <w:sz w:val="14"/>
          <w:szCs w:val="14"/>
          <w:color w:val="auto"/>
        </w:rPr>
        <w:t>series of related items) where the Damages relating thereto until the aggregate damages related thereto meet or exceed [****] United States dollars ($[****]) provided that once the Damages equal or exceed [****] United States dollars ($[****]), the Seller shall be liable for all Damages from the first dollar and (ii) Seller’s aggregate liability under Section 9.2(i) (other than for breaches of Fundamental Representations or Core Representations, or for claims related to fraud, gross negligence or willful misconduct) shall in no event exceed, on a cumulative basis, [****] percent ([****]%) of the Aggregate Consideration (as determined from time to time). Notwithstanding anything to the contrary herein, (a) Buyer shall not have any liability under Section 9.3 for any individual item (or series of related items) where the Damages relating thereto until the aggregate damages related thereto meet or exceed [****] United States dollars ($[****]) provided that once the Damages equal or exceed [****] United States dollars ($[****]), the Buyer shall be liable for all Damages from the first dollar and (b) Buyer’s aggregate liability under Section 9.3(i) (other than for breaches of Fundamental Representations or Core Representations, or for claims related to fraud, gross negligence or willful misconduct) shall in no event exceed, on a cumulative basis, [****] percent ([****]%) of the Aggregate Consideration (as determined from time to time). For purposes of this Section 9.7, “</w:t>
      </w:r>
      <w:r>
        <w:rPr>
          <w:rFonts w:ascii="Arial" w:cs="Arial" w:eastAsia="Arial" w:hAnsi="Arial"/>
          <w:sz w:val="14"/>
          <w:szCs w:val="14"/>
          <w:b w:val="1"/>
          <w:bCs w:val="1"/>
          <w:color w:val="auto"/>
        </w:rPr>
        <w:t>Aggregate Consideration</w:t>
      </w:r>
      <w:r>
        <w:rPr>
          <w:rFonts w:ascii="Arial" w:cs="Arial" w:eastAsia="Arial" w:hAnsi="Arial"/>
          <w:sz w:val="14"/>
          <w:szCs w:val="14"/>
          <w:color w:val="auto"/>
        </w:rPr>
        <w:t>” means, as determined from time to time, the sum of each of the following amounts: (A) the [****],</w:t>
      </w:r>
    </w:p>
    <w:p>
      <w:pPr>
        <w:spacing w:after="0" w:line="2" w:lineRule="exact"/>
        <w:rPr>
          <w:sz w:val="20"/>
          <w:szCs w:val="20"/>
          <w:color w:val="auto"/>
        </w:rPr>
      </w:pPr>
    </w:p>
    <w:p>
      <w:pPr>
        <w:ind w:left="580" w:right="160" w:firstLine="2"/>
        <w:spacing w:after="0" w:line="295" w:lineRule="auto"/>
        <w:tabs>
          <w:tab w:leader="none" w:pos="836" w:val="left"/>
        </w:tabs>
        <w:numPr>
          <w:ilvl w:val="0"/>
          <w:numId w:val="236"/>
        </w:numPr>
        <w:rPr>
          <w:rFonts w:ascii="Arial" w:cs="Arial" w:eastAsia="Arial" w:hAnsi="Arial"/>
          <w:sz w:val="15"/>
          <w:szCs w:val="15"/>
          <w:color w:val="auto"/>
        </w:rPr>
      </w:pPr>
      <w:r>
        <w:rPr>
          <w:rFonts w:ascii="Arial" w:cs="Arial" w:eastAsia="Arial" w:hAnsi="Arial"/>
          <w:sz w:val="15"/>
          <w:szCs w:val="15"/>
          <w:color w:val="auto"/>
        </w:rPr>
        <w:t>the [****]; (C) [****] paid to Seller in accordance with Section [****]; (D) the [****]; (E) [****] paid to Seller in accordance with Section [****]; (F) the aggregate amount of [****], including consideration due to [****] in connection with the consummation of the transactions contemplated under this Agreement. Nothing in this Section 9.7 is intended to, nor shall it, limit Seller’s liability under Sections 9.2(ii) or 9.2(iii) or Buyer’s liability under Section 9.3(ii) or 9.3(iii).</w:t>
      </w:r>
    </w:p>
    <w:p>
      <w:pPr>
        <w:spacing w:after="0" w:line="200" w:lineRule="exact"/>
        <w:rPr>
          <w:sz w:val="20"/>
          <w:szCs w:val="20"/>
          <w:color w:val="auto"/>
        </w:rPr>
      </w:pPr>
    </w:p>
    <w:p>
      <w:pPr>
        <w:ind w:left="380" w:right="260" w:hanging="581"/>
        <w:spacing w:after="0" w:line="310" w:lineRule="auto"/>
        <w:tabs>
          <w:tab w:leader="none" w:pos="360" w:val="left"/>
        </w:tabs>
        <w:rPr>
          <w:sz w:val="20"/>
          <w:szCs w:val="20"/>
          <w:color w:val="auto"/>
        </w:rPr>
      </w:pPr>
      <w:r>
        <w:rPr>
          <w:rFonts w:ascii="Arial" w:cs="Arial" w:eastAsia="Arial" w:hAnsi="Arial"/>
          <w:sz w:val="16"/>
          <w:szCs w:val="16"/>
          <w:color w:val="auto"/>
        </w:rPr>
        <w:t>9.8</w:t>
      </w:r>
      <w:r>
        <w:rPr>
          <w:sz w:val="20"/>
          <w:szCs w:val="20"/>
          <w:color w:val="auto"/>
        </w:rPr>
        <w:tab/>
      </w:r>
      <w:r>
        <w:rPr>
          <w:rFonts w:ascii="Arial" w:cs="Arial" w:eastAsia="Arial" w:hAnsi="Arial"/>
          <w:sz w:val="16"/>
          <w:szCs w:val="16"/>
          <w:u w:val="single" w:color="auto"/>
          <w:color w:val="auto"/>
        </w:rPr>
        <w:t>Cap on Damages</w:t>
      </w:r>
      <w:r>
        <w:rPr>
          <w:rFonts w:ascii="Arial" w:cs="Arial" w:eastAsia="Arial" w:hAnsi="Arial"/>
          <w:sz w:val="16"/>
          <w:szCs w:val="16"/>
          <w:color w:val="auto"/>
        </w:rPr>
        <w:t>. Except for claims involving fraud, gross negligence or willful misconduct and for Seller’s indemnification obligations pursuant to Section 9.2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Buyer’s indemnification obligations pursuant to Section 9.3, each Party’s aggregate liability under this Agreement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-191770</wp:posOffset>
            </wp:positionV>
            <wp:extent cx="254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11180"/>
          </w:cols>
          <w:pgMar w:left="340" w:top="838" w:right="379" w:bottom="1440" w:gutter="0" w:footer="0" w:header="0"/>
        </w:sectPr>
      </w:pPr>
    </w:p>
    <w:bookmarkStart w:id="276" w:name="page277"/>
    <w:bookmarkEnd w:id="276"/>
    <w:p>
      <w:pPr>
        <w:ind w:left="8425"/>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left="585" w:right="80"/>
        <w:spacing w:after="0" w:line="275" w:lineRule="auto"/>
        <w:rPr>
          <w:sz w:val="20"/>
          <w:szCs w:val="20"/>
          <w:color w:val="auto"/>
        </w:rPr>
      </w:pPr>
      <w:r>
        <w:rPr>
          <w:rFonts w:ascii="Arial" w:cs="Arial" w:eastAsia="Arial" w:hAnsi="Arial"/>
          <w:sz w:val="16"/>
          <w:szCs w:val="16"/>
          <w:color w:val="auto"/>
        </w:rPr>
        <w:t>negligence) shall not exceed the aggregate amounts actually paid (and, with respect to Buyer’s liability hereunder, payable) by Buyer to Seller pursuant to Sections 3.1 through 3.5.</w:t>
      </w:r>
    </w:p>
    <w:p>
      <w:pPr>
        <w:spacing w:after="0" w:line="239" w:lineRule="exact"/>
        <w:rPr>
          <w:sz w:val="20"/>
          <w:szCs w:val="20"/>
          <w:color w:val="auto"/>
        </w:rPr>
      </w:pPr>
    </w:p>
    <w:p>
      <w:pPr>
        <w:ind w:left="5"/>
        <w:spacing w:after="0"/>
        <w:tabs>
          <w:tab w:leader="none" w:pos="364" w:val="left"/>
        </w:tabs>
        <w:rPr>
          <w:sz w:val="20"/>
          <w:szCs w:val="20"/>
          <w:color w:val="auto"/>
        </w:rPr>
      </w:pPr>
      <w:r>
        <w:rPr>
          <w:rFonts w:ascii="Arial" w:cs="Arial" w:eastAsia="Arial" w:hAnsi="Arial"/>
          <w:sz w:val="16"/>
          <w:szCs w:val="16"/>
          <w:color w:val="auto"/>
        </w:rPr>
        <w:t>9.9</w:t>
      </w:r>
      <w:r>
        <w:rPr>
          <w:sz w:val="20"/>
          <w:szCs w:val="20"/>
          <w:color w:val="auto"/>
        </w:rPr>
        <w:tab/>
      </w:r>
      <w:r>
        <w:rPr>
          <w:rFonts w:ascii="Arial" w:cs="Arial" w:eastAsia="Arial" w:hAnsi="Arial"/>
          <w:sz w:val="14"/>
          <w:szCs w:val="14"/>
          <w:u w:val="single" w:color="auto"/>
          <w:color w:val="auto"/>
        </w:rPr>
        <w:t>Set-Off</w:t>
      </w:r>
      <w:r>
        <w:rPr>
          <w:rFonts w:ascii="Arial" w:cs="Arial" w:eastAsia="Arial" w:hAnsi="Arial"/>
          <w:sz w:val="14"/>
          <w:szCs w:val="14"/>
          <w:color w:val="auto"/>
        </w:rPr>
        <w:t>. To the extent that any amount would have been payable to Buyer under Section 9.2 but for the “Aggregate Consideration” limitations set forth in Section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-6985</wp:posOffset>
            </wp:positionV>
            <wp:extent cx="254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 w:lineRule="exact"/>
        <w:rPr>
          <w:sz w:val="20"/>
          <w:szCs w:val="20"/>
          <w:color w:val="auto"/>
        </w:rPr>
      </w:pPr>
    </w:p>
    <w:p>
      <w:pPr>
        <w:ind w:left="585"/>
        <w:spacing w:after="0"/>
        <w:rPr>
          <w:sz w:val="20"/>
          <w:szCs w:val="20"/>
          <w:color w:val="auto"/>
        </w:rPr>
      </w:pPr>
      <w:r>
        <w:rPr>
          <w:rFonts w:ascii="Arial" w:cs="Arial" w:eastAsia="Arial" w:hAnsi="Arial"/>
          <w:sz w:val="16"/>
          <w:szCs w:val="16"/>
          <w:color w:val="auto"/>
        </w:rPr>
        <w:t>Buyer shall be entitled to set off such unpaid amount against the BLA Approval Milestone payment subject to the following conditions:</w:t>
      </w:r>
    </w:p>
    <w:p>
      <w:pPr>
        <w:spacing w:after="0" w:line="285" w:lineRule="exact"/>
        <w:rPr>
          <w:sz w:val="20"/>
          <w:szCs w:val="20"/>
          <w:color w:val="auto"/>
        </w:rPr>
      </w:pPr>
    </w:p>
    <w:p>
      <w:pPr>
        <w:ind w:left="1165" w:right="300" w:hanging="582"/>
        <w:spacing w:after="0" w:line="310" w:lineRule="auto"/>
        <w:tabs>
          <w:tab w:leader="none" w:pos="115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amount set off shall have been (i) agreed to by Seller or (ii) determined by an arbitrator, a court of competent jurisdiction or a Third Party mediator appointed by the Parties to make such determination; and</w:t>
      </w:r>
    </w:p>
    <w:p>
      <w:pPr>
        <w:spacing w:after="0" w:line="199" w:lineRule="exact"/>
        <w:rPr>
          <w:rFonts w:ascii="Arial" w:cs="Arial" w:eastAsia="Arial" w:hAnsi="Arial"/>
          <w:sz w:val="16"/>
          <w:szCs w:val="16"/>
          <w:color w:val="auto"/>
        </w:rPr>
      </w:pPr>
    </w:p>
    <w:p>
      <w:pPr>
        <w:ind w:left="1165" w:right="440" w:hanging="582"/>
        <w:spacing w:after="0" w:line="328" w:lineRule="auto"/>
        <w:tabs>
          <w:tab w:leader="none" w:pos="1152"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amount set-off shall not exceed the cap on damages under Section 9.7 after calculating the “Aggregate Consideration” under Section 9.7 with the inclusion of the payment of the BLA Approval Milestone payment.</w:t>
      </w:r>
    </w:p>
    <w:p>
      <w:pPr>
        <w:spacing w:after="0" w:line="154" w:lineRule="exact"/>
        <w:rPr>
          <w:rFonts w:ascii="Arial" w:cs="Arial" w:eastAsia="Arial" w:hAnsi="Arial"/>
          <w:sz w:val="16"/>
          <w:szCs w:val="16"/>
          <w:color w:val="auto"/>
        </w:rPr>
      </w:pPr>
    </w:p>
    <w:p>
      <w:pPr>
        <w:ind w:left="245" w:hanging="245"/>
        <w:spacing w:after="0"/>
        <w:tabs>
          <w:tab w:leader="none" w:pos="245"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66" w:lineRule="exact"/>
        <w:rPr>
          <w:sz w:val="20"/>
          <w:szCs w:val="20"/>
          <w:color w:val="auto"/>
        </w:rPr>
      </w:pPr>
    </w:p>
    <w:p>
      <w:pPr>
        <w:ind w:left="465" w:hanging="581"/>
        <w:spacing w:after="0" w:line="281" w:lineRule="auto"/>
        <w:tabs>
          <w:tab w:leader="none" w:pos="444"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5"/>
          <w:szCs w:val="15"/>
          <w:color w:val="auto"/>
        </w:rPr>
        <w:t>Save as otherwise provided in this Agreement, any notice, demand or other communication (</w:t>
      </w:r>
      <w:r>
        <w:rPr>
          <w:rFonts w:ascii="Arial" w:cs="Arial" w:eastAsia="Arial" w:hAnsi="Arial"/>
          <w:sz w:val="15"/>
          <w:szCs w:val="15"/>
          <w:b w:val="1"/>
          <w:bCs w:val="1"/>
          <w:color w:val="auto"/>
        </w:rPr>
        <w:t>“Notice”</w:t>
      </w:r>
      <w:r>
        <w:rPr>
          <w:rFonts w:ascii="Arial" w:cs="Arial" w:eastAsia="Arial" w:hAnsi="Arial"/>
          <w:sz w:val="15"/>
          <w:szCs w:val="15"/>
          <w:color w:val="auto"/>
        </w:rPr>
        <w:t>) to be given by either Party under, or in connection with, this Agreement shall be in writing and signed by, on behalf of, the Party giving it. Any Notice shall be served by sending it by email to the address set out in Section 10.2, and/or delivering it by registered mail or courier to the address set out in Section 10.2 and in each case marked for the attention of the relevant Party set out in Section 10.2 (or as otherwise notified from time to time in accordance with the provisions of Section</w:t>
      </w:r>
    </w:p>
    <w:p>
      <w:pPr>
        <w:spacing w:after="0" w:line="3" w:lineRule="exact"/>
        <w:rPr>
          <w:sz w:val="20"/>
          <w:szCs w:val="20"/>
          <w:color w:val="auto"/>
        </w:rPr>
      </w:pPr>
    </w:p>
    <w:p>
      <w:pPr>
        <w:ind w:left="585"/>
        <w:spacing w:after="0"/>
        <w:rPr>
          <w:sz w:val="20"/>
          <w:szCs w:val="20"/>
          <w:color w:val="auto"/>
        </w:rPr>
      </w:pPr>
      <w:r>
        <w:rPr>
          <w:rFonts w:ascii="Arial" w:cs="Arial" w:eastAsia="Arial" w:hAnsi="Arial"/>
          <w:sz w:val="16"/>
          <w:szCs w:val="16"/>
          <w:color w:val="auto"/>
        </w:rPr>
        <w:t>10.3). Any Notice so served by email and/or registered mail or courier shall be deemed to have been duly given or made as follows:</w:t>
      </w:r>
    </w:p>
    <w:p>
      <w:pPr>
        <w:spacing w:after="0" w:line="207" w:lineRule="exact"/>
        <w:rPr>
          <w:sz w:val="20"/>
          <w:szCs w:val="20"/>
          <w:color w:val="auto"/>
        </w:rPr>
      </w:pPr>
    </w:p>
    <w:p>
      <w:pPr>
        <w:ind w:left="1145" w:hanging="562"/>
        <w:spacing w:after="0"/>
        <w:tabs>
          <w:tab w:leader="none" w:pos="114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if sent by email, upon acknowledgment of receipt; or</w:t>
      </w:r>
    </w:p>
    <w:p>
      <w:pPr>
        <w:spacing w:after="0" w:line="221" w:lineRule="exact"/>
        <w:rPr>
          <w:rFonts w:ascii="Arial" w:cs="Arial" w:eastAsia="Arial" w:hAnsi="Arial"/>
          <w:sz w:val="16"/>
          <w:szCs w:val="16"/>
          <w:color w:val="auto"/>
        </w:rPr>
      </w:pPr>
    </w:p>
    <w:p>
      <w:pPr>
        <w:ind w:left="1165" w:hanging="582"/>
        <w:spacing w:after="0"/>
        <w:tabs>
          <w:tab w:leader="none" w:pos="116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 the case of delivery by registered mail, within five (5) Business Days from the date of dispatch; or</w:t>
      </w:r>
    </w:p>
    <w:p>
      <w:pPr>
        <w:spacing w:after="0" w:line="234" w:lineRule="exact"/>
        <w:rPr>
          <w:rFonts w:ascii="Arial" w:cs="Arial" w:eastAsia="Arial" w:hAnsi="Arial"/>
          <w:sz w:val="16"/>
          <w:szCs w:val="16"/>
          <w:color w:val="auto"/>
        </w:rPr>
      </w:pPr>
    </w:p>
    <w:p>
      <w:pPr>
        <w:ind w:left="1165" w:right="20" w:hanging="582"/>
        <w:spacing w:after="0" w:line="287" w:lineRule="auto"/>
        <w:tabs>
          <w:tab w:leader="none" w:pos="115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 the case of delivery by nationally recognized overnight courier service, within one (1) Business Day from date of dispatch, provided that in each case where delivery by registered mail or courier occurs after 6pm on a Business Day or on a day which is not a Business Day, service shall be deemed to occur at 9am on the next following Business Day.</w:t>
      </w:r>
    </w:p>
    <w:p>
      <w:pPr>
        <w:spacing w:after="0" w:line="217" w:lineRule="exact"/>
        <w:rPr>
          <w:sz w:val="20"/>
          <w:szCs w:val="20"/>
          <w:color w:val="auto"/>
        </w:rPr>
      </w:pPr>
    </w:p>
    <w:p>
      <w:pPr>
        <w:ind w:left="85"/>
        <w:spacing w:after="0"/>
        <w:tabs>
          <w:tab w:leader="none" w:pos="524"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3"/>
          <w:szCs w:val="13"/>
          <w:color w:val="auto"/>
        </w:rPr>
        <w:t>The addressees of the Parties for the purpose of Section 10.1 are as follows:</w:t>
      </w:r>
    </w:p>
    <w:p>
      <w:pPr>
        <w:spacing w:after="0" w:line="235" w:lineRule="exact"/>
        <w:rPr>
          <w:sz w:val="20"/>
          <w:szCs w:val="20"/>
          <w:color w:val="auto"/>
        </w:rPr>
      </w:pPr>
    </w:p>
    <w:p>
      <w:pPr>
        <w:ind w:left="1165" w:right="9480" w:hanging="578"/>
        <w:spacing w:after="0" w:line="483" w:lineRule="auto"/>
        <w:tabs>
          <w:tab w:leader="none" w:pos="922" w:val="left"/>
        </w:tabs>
        <w:numPr>
          <w:ilvl w:val="0"/>
          <w:numId w:val="240"/>
        </w:numPr>
        <w:rPr>
          <w:rFonts w:ascii="Arial" w:cs="Arial" w:eastAsia="Arial" w:hAnsi="Arial"/>
          <w:sz w:val="14"/>
          <w:szCs w:val="14"/>
          <w:color w:val="auto"/>
        </w:rPr>
      </w:pPr>
      <w:r>
        <w:rPr>
          <w:rFonts w:ascii="Arial" w:cs="Arial" w:eastAsia="Arial" w:hAnsi="Arial"/>
          <w:sz w:val="14"/>
          <w:szCs w:val="14"/>
          <w:color w:val="auto"/>
        </w:rPr>
        <w:t>Buyer Address:</w:t>
      </w:r>
    </w:p>
    <w:p>
      <w:pPr>
        <w:ind w:left="5845"/>
        <w:spacing w:after="0"/>
        <w:rPr>
          <w:sz w:val="20"/>
          <w:szCs w:val="20"/>
          <w:color w:val="auto"/>
        </w:rPr>
      </w:pPr>
      <w:r>
        <w:rPr>
          <w:rFonts w:ascii="Arial" w:cs="Arial" w:eastAsia="Arial" w:hAnsi="Arial"/>
          <w:sz w:val="16"/>
          <w:szCs w:val="16"/>
          <w:color w:val="auto"/>
        </w:rPr>
        <w:t>Provention Bio, Inc.</w:t>
      </w:r>
    </w:p>
    <w:p>
      <w:pPr>
        <w:spacing w:after="0" w:line="218" w:lineRule="exact"/>
        <w:rPr>
          <w:sz w:val="20"/>
          <w:szCs w:val="20"/>
          <w:color w:val="auto"/>
        </w:rPr>
      </w:pPr>
    </w:p>
    <w:p>
      <w:pPr>
        <w:ind w:left="5845"/>
        <w:spacing w:after="0"/>
        <w:rPr>
          <w:sz w:val="20"/>
          <w:szCs w:val="20"/>
          <w:color w:val="auto"/>
        </w:rPr>
      </w:pPr>
      <w:r>
        <w:rPr>
          <w:rFonts w:ascii="Arial" w:cs="Arial" w:eastAsia="Arial" w:hAnsi="Arial"/>
          <w:sz w:val="15"/>
          <w:szCs w:val="15"/>
          <w:color w:val="auto"/>
        </w:rPr>
        <w:t>Email: apalmer@provention.com</w:t>
      </w:r>
    </w:p>
    <w:p>
      <w:pPr>
        <w:spacing w:after="0" w:line="236" w:lineRule="exact"/>
        <w:rPr>
          <w:sz w:val="20"/>
          <w:szCs w:val="20"/>
          <w:color w:val="auto"/>
        </w:rPr>
      </w:pPr>
    </w:p>
    <w:p>
      <w:pPr>
        <w:ind w:left="5845"/>
        <w:spacing w:after="0"/>
        <w:rPr>
          <w:sz w:val="20"/>
          <w:szCs w:val="20"/>
          <w:color w:val="auto"/>
        </w:rPr>
      </w:pPr>
      <w:r>
        <w:rPr>
          <w:rFonts w:ascii="Arial" w:cs="Arial" w:eastAsia="Arial" w:hAnsi="Arial"/>
          <w:sz w:val="16"/>
          <w:szCs w:val="16"/>
          <w:color w:val="auto"/>
        </w:rPr>
        <w:t>Attention: Ashleigh Palmer</w:t>
      </w:r>
    </w:p>
    <w:p>
      <w:pPr>
        <w:sectPr>
          <w:pgSz w:w="11900" w:h="16838" w:orient="portrait"/>
          <w:cols w:equalWidth="0" w:num="1">
            <w:col w:w="11225"/>
          </w:cols>
          <w:pgMar w:left="335" w:top="838" w:right="339" w:bottom="1440" w:gutter="0" w:footer="0" w:header="0"/>
        </w:sectPr>
      </w:pPr>
    </w:p>
    <w:bookmarkStart w:id="277" w:name="page278"/>
    <w:bookmarkEnd w:id="277"/>
    <w:p>
      <w:pPr>
        <w:ind w:left="8440"/>
        <w:spacing w:after="0"/>
        <w:rPr>
          <w:sz w:val="20"/>
          <w:szCs w:val="20"/>
          <w:color w:val="auto"/>
        </w:rPr>
      </w:pPr>
      <w:r>
        <w:rPr>
          <w:rFonts w:ascii="Arial" w:cs="Arial" w:eastAsia="Arial" w:hAnsi="Arial"/>
          <w:sz w:val="20"/>
          <w:szCs w:val="20"/>
          <w:color w:val="auto"/>
        </w:rPr>
        <w:t>Exhibit 10.23</w:t>
      </w:r>
    </w:p>
    <w:p>
      <w:pPr>
        <w:spacing w:after="0" w:line="22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 xml:space="preserve">With a copy to counsel,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copy shall not constitute notice to Buyer:</w:t>
      </w:r>
    </w:p>
    <w:p>
      <w:pPr>
        <w:spacing w:after="0" w:line="275"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Lowenstein Sandler LLP</w:t>
            </w:r>
          </w:p>
        </w:tc>
      </w:tr>
      <w:tr>
        <w:trPr>
          <w:trHeight w:val="168"/>
        </w:trPr>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20" w:type="dxa"/>
            <w:vAlign w:val="bottom"/>
          </w:tcPr>
          <w:p>
            <w:pPr>
              <w:ind w:left="20"/>
              <w:spacing w:after="0" w:line="168" w:lineRule="exact"/>
              <w:rPr>
                <w:sz w:val="20"/>
                <w:szCs w:val="20"/>
                <w:color w:val="auto"/>
              </w:rPr>
            </w:pPr>
            <w:r>
              <w:rPr>
                <w:rFonts w:ascii="Arial" w:cs="Arial" w:eastAsia="Arial" w:hAnsi="Arial"/>
                <w:sz w:val="16"/>
                <w:szCs w:val="16"/>
                <w:color w:val="auto"/>
              </w:rPr>
              <w:t>1251 Avenue of the Americas</w:t>
            </w:r>
          </w:p>
        </w:tc>
      </w:tr>
      <w:tr>
        <w:trPr>
          <w:trHeight w:val="301"/>
        </w:trPr>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20" w:type="dxa"/>
            <w:vAlign w:val="bottom"/>
          </w:tcPr>
          <w:p>
            <w:pPr>
              <w:ind w:left="20"/>
              <w:spacing w:after="0" w:line="301" w:lineRule="exact"/>
              <w:rPr>
                <w:sz w:val="20"/>
                <w:szCs w:val="20"/>
                <w:color w:val="auto"/>
              </w:rPr>
            </w:pPr>
            <w:r>
              <w:rPr>
                <w:rFonts w:ascii="Arial" w:cs="Arial" w:eastAsia="Arial" w:hAnsi="Arial"/>
                <w:sz w:val="16"/>
                <w:szCs w:val="16"/>
                <w:color w:val="auto"/>
              </w:rPr>
              <w:t>17</w:t>
            </w:r>
            <w:r>
              <w:rPr>
                <w:rFonts w:ascii="Arial" w:cs="Arial" w:eastAsia="Arial" w:hAnsi="Arial"/>
                <w:sz w:val="33"/>
                <w:szCs w:val="33"/>
                <w:color w:val="auto"/>
                <w:vertAlign w:val="superscript"/>
              </w:rPr>
              <w:t>th</w:t>
            </w:r>
            <w:r>
              <w:rPr>
                <w:rFonts w:ascii="Arial" w:cs="Arial" w:eastAsia="Arial" w:hAnsi="Arial"/>
                <w:sz w:val="16"/>
                <w:szCs w:val="16"/>
                <w:color w:val="auto"/>
              </w:rPr>
              <w:t xml:space="preserve"> Floor</w:t>
            </w:r>
          </w:p>
        </w:tc>
      </w:tr>
      <w:tr>
        <w:trPr>
          <w:trHeight w:val="206"/>
        </w:trPr>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New York, NY 10020</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Email:</w:t>
            </w:r>
          </w:p>
        </w:tc>
      </w:tr>
      <w:tr>
        <w:trPr>
          <w:trHeight w:val="219"/>
        </w:trPr>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mlerner@lowenstein.com;</w:t>
            </w:r>
          </w:p>
        </w:tc>
      </w:tr>
      <w:tr>
        <w:trPr>
          <w:trHeight w:val="209"/>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hweinstein@lowenstein.com</w:t>
            </w:r>
          </w:p>
        </w:tc>
      </w:tr>
      <w:tr>
        <w:trPr>
          <w:trHeight w:val="207"/>
        </w:trPr>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Attention: Michael Lerner;</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Pr>
          <w:p>
            <w:pPr>
              <w:ind w:left="840"/>
              <w:spacing w:after="0"/>
              <w:rPr>
                <w:sz w:val="20"/>
                <w:szCs w:val="20"/>
                <w:color w:val="auto"/>
              </w:rPr>
            </w:pPr>
            <w:r>
              <w:rPr>
                <w:rFonts w:ascii="Arial" w:cs="Arial" w:eastAsia="Arial" w:hAnsi="Arial"/>
                <w:sz w:val="16"/>
                <w:szCs w:val="16"/>
                <w:color w:val="auto"/>
                <w:w w:val="98"/>
              </w:rPr>
              <w:t>Herschel Weinstein</w:t>
            </w:r>
          </w:p>
        </w:tc>
      </w:tr>
      <w:tr>
        <w:trPr>
          <w:trHeight w:val="216"/>
        </w:trPr>
        <w:tc>
          <w:tcPr>
            <w:tcW w:w="400" w:type="dxa"/>
            <w:vAlign w:val="bottom"/>
          </w:tcPr>
          <w:p>
            <w:pPr>
              <w:spacing w:after="0"/>
              <w:rPr>
                <w:sz w:val="20"/>
                <w:szCs w:val="20"/>
                <w:color w:val="auto"/>
              </w:rPr>
            </w:pPr>
            <w:r>
              <w:rPr>
                <w:rFonts w:ascii="Arial" w:cs="Arial" w:eastAsia="Arial" w:hAnsi="Arial"/>
                <w:sz w:val="16"/>
                <w:szCs w:val="16"/>
                <w:color w:val="auto"/>
              </w:rPr>
              <w:t>(ii)</w:t>
            </w:r>
          </w:p>
        </w:tc>
        <w:tc>
          <w:tcPr>
            <w:tcW w:w="940" w:type="dxa"/>
            <w:vAlign w:val="bottom"/>
          </w:tcPr>
          <w:p>
            <w:pPr>
              <w:ind w:left="180"/>
              <w:spacing w:after="0"/>
              <w:rPr>
                <w:sz w:val="20"/>
                <w:szCs w:val="20"/>
                <w:color w:val="auto"/>
              </w:rPr>
            </w:pPr>
            <w:r>
              <w:rPr>
                <w:rFonts w:ascii="Arial" w:cs="Arial" w:eastAsia="Arial" w:hAnsi="Arial"/>
                <w:sz w:val="16"/>
                <w:szCs w:val="16"/>
                <w:color w:val="auto"/>
              </w:rPr>
              <w:t>Seller</w:t>
            </w:r>
          </w:p>
        </w:tc>
        <w:tc>
          <w:tcPr>
            <w:tcW w:w="13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6"/>
                <w:szCs w:val="16"/>
                <w:color w:val="auto"/>
              </w:rPr>
              <w:t>Address:</w:t>
            </w:r>
          </w:p>
        </w:tc>
        <w:tc>
          <w:tcPr>
            <w:tcW w:w="132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MacroGenics, Inc.</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9704 Medical Centre Drive</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Rockville, MD 20850,</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Email:</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Attention: CEO</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6"/>
                <w:szCs w:val="16"/>
                <w:color w:val="auto"/>
              </w:rPr>
              <w:t>with copies to:</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MacroGenics, Inc.</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9704 Medical Center Drive</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Rockville, MD 20850</w:t>
            </w:r>
          </w:p>
        </w:tc>
      </w:tr>
      <w:tr>
        <w:trPr>
          <w:trHeight w:val="216"/>
        </w:trPr>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Attention: General Counsel</w:t>
            </w:r>
          </w:p>
        </w:tc>
      </w:tr>
    </w:tbl>
    <w:p>
      <w:pPr>
        <w:spacing w:after="0" w:line="347" w:lineRule="exact"/>
        <w:rPr>
          <w:sz w:val="20"/>
          <w:szCs w:val="20"/>
          <w:color w:val="auto"/>
        </w:rPr>
      </w:pPr>
    </w:p>
    <w:p>
      <w:pPr>
        <w:ind w:left="480" w:right="80" w:hanging="581"/>
        <w:spacing w:after="0" w:line="328" w:lineRule="auto"/>
        <w:tabs>
          <w:tab w:leader="none" w:pos="460" w:val="left"/>
        </w:tabs>
        <w:rPr>
          <w:sz w:val="20"/>
          <w:szCs w:val="20"/>
          <w:color w:val="auto"/>
        </w:rPr>
      </w:pPr>
      <w:r>
        <w:rPr>
          <w:rFonts w:ascii="Arial" w:cs="Arial" w:eastAsia="Arial" w:hAnsi="Arial"/>
          <w:sz w:val="16"/>
          <w:szCs w:val="16"/>
          <w:color w:val="auto"/>
        </w:rPr>
        <w:t>10.3</w:t>
        <w:tab/>
        <w:t>A Party may notify the other Party of a change to its name, relevant addressee, address or email address for the purposes of this Article 10, provided that such notice shall only be effective on:</w:t>
      </w:r>
    </w:p>
    <w:p>
      <w:pPr>
        <w:spacing w:after="0" w:line="172" w:lineRule="exact"/>
        <w:rPr>
          <w:sz w:val="20"/>
          <w:szCs w:val="20"/>
          <w:color w:val="auto"/>
        </w:rPr>
      </w:pPr>
    </w:p>
    <w:p>
      <w:pPr>
        <w:ind w:left="1160" w:hanging="562"/>
        <w:spacing w:after="0"/>
        <w:tabs>
          <w:tab w:leader="none" w:pos="11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date specified in the notification as the date on which the change is to take place; or</w:t>
      </w:r>
    </w:p>
    <w:p>
      <w:pPr>
        <w:spacing w:after="0" w:line="248" w:lineRule="exact"/>
        <w:rPr>
          <w:rFonts w:ascii="Arial" w:cs="Arial" w:eastAsia="Arial" w:hAnsi="Arial"/>
          <w:sz w:val="16"/>
          <w:szCs w:val="16"/>
          <w:color w:val="auto"/>
        </w:rPr>
      </w:pPr>
    </w:p>
    <w:p>
      <w:pPr>
        <w:ind w:left="1180" w:right="60" w:hanging="582"/>
        <w:spacing w:after="0" w:line="310" w:lineRule="auto"/>
        <w:tabs>
          <w:tab w:leader="none" w:pos="117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if no date is specified or the date is less than five (5) Business Days after the date on which notice is given, the date following five (5) Business Days after notice of any change has been given.</w:t>
      </w:r>
    </w:p>
    <w:p>
      <w:pPr>
        <w:spacing w:after="0" w:line="213" w:lineRule="exact"/>
        <w:rPr>
          <w:sz w:val="20"/>
          <w:szCs w:val="20"/>
          <w:color w:val="auto"/>
        </w:rPr>
      </w:pPr>
    </w:p>
    <w:p>
      <w:pPr>
        <w:ind w:left="480" w:hanging="581"/>
        <w:spacing w:after="0" w:line="346" w:lineRule="auto"/>
        <w:tabs>
          <w:tab w:leader="none" w:pos="460" w:val="left"/>
        </w:tabs>
        <w:rPr>
          <w:sz w:val="20"/>
          <w:szCs w:val="20"/>
          <w:color w:val="auto"/>
        </w:rPr>
      </w:pPr>
      <w:r>
        <w:rPr>
          <w:rFonts w:ascii="Arial" w:cs="Arial" w:eastAsia="Arial" w:hAnsi="Arial"/>
          <w:sz w:val="16"/>
          <w:szCs w:val="16"/>
          <w:color w:val="auto"/>
        </w:rPr>
        <w:t>10.4</w:t>
        <w:tab/>
        <w:t>In providing service it shall be sufficient to prove that the envelope containing such Notice was properly addressed and delivered to the address shown thereon or that the facsimile transmission was made and a facsimile confirmation report was received, as the case may be.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MISCELLANEOUS</w:t>
      </w:r>
    </w:p>
    <w:p>
      <w:pPr>
        <w:spacing w:after="0" w:line="252" w:lineRule="exact"/>
        <w:rPr>
          <w:sz w:val="20"/>
          <w:szCs w:val="20"/>
          <w:color w:val="auto"/>
        </w:rPr>
      </w:pPr>
    </w:p>
    <w:p>
      <w:pPr>
        <w:ind w:left="480" w:right="20" w:hanging="581"/>
        <w:spacing w:after="0" w:line="324" w:lineRule="auto"/>
        <w:tabs>
          <w:tab w:leader="none" w:pos="46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including all the Exhibits, sets forth the entire understanding of the Parties with respect to the subject matter hereof and cancels</w:t>
      </w:r>
      <w:r>
        <w:rPr>
          <w:rFonts w:ascii="Arial" w:cs="Arial" w:eastAsia="Arial" w:hAnsi="Arial"/>
          <w:sz w:val="14"/>
          <w:szCs w:val="14"/>
          <w:u w:val="single" w:color="auto"/>
          <w:color w:val="auto"/>
        </w:rPr>
        <w:t xml:space="preserve"> </w:t>
      </w:r>
      <w:r>
        <w:rPr>
          <w:rFonts w:ascii="Arial" w:cs="Arial" w:eastAsia="Arial" w:hAnsi="Arial"/>
          <w:sz w:val="14"/>
          <w:szCs w:val="14"/>
          <w:color w:val="auto"/>
        </w:rPr>
        <w:t>and supersedes all previous communications, representations or understandings, and agreements, whether oral or written, between the Parties relating to the subject matter hereof including the Prior Confidentiality Agreement. Information disclosed under the Prior Confidentiality Agreement shall be deemed to be Confidential Information disclosed under this Agreement and subject to the same obligations of confidentiality and use as other Confidential Information disclosed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6250305</wp:posOffset>
            </wp:positionH>
            <wp:positionV relativeFrom="paragraph">
              <wp:posOffset>-442595</wp:posOffset>
            </wp:positionV>
            <wp:extent cx="254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1" w:lineRule="exact"/>
        <w:rPr>
          <w:sz w:val="20"/>
          <w:szCs w:val="20"/>
          <w:color w:val="auto"/>
        </w:rPr>
      </w:pPr>
    </w:p>
    <w:p>
      <w:pPr>
        <w:ind w:left="480" w:right="320" w:hanging="581"/>
        <w:spacing w:after="0" w:line="346" w:lineRule="auto"/>
        <w:tabs>
          <w:tab w:leader="none" w:pos="46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No modification or amendment of any provision of this Agreement shall be valid or effective unless made in writing and signed by duly authorized</w:t>
      </w:r>
      <w:r>
        <w:rPr>
          <w:rFonts w:ascii="Arial" w:cs="Arial" w:eastAsia="Arial" w:hAnsi="Arial"/>
          <w:sz w:val="16"/>
          <w:szCs w:val="16"/>
          <w:u w:val="single" w:color="auto"/>
          <w:color w:val="auto"/>
        </w:rPr>
        <w:t xml:space="preserve"> </w:t>
      </w:r>
      <w:r>
        <w:rPr>
          <w:rFonts w:ascii="Arial" w:cs="Arial" w:eastAsia="Arial" w:hAnsi="Arial"/>
          <w:sz w:val="16"/>
          <w:szCs w:val="16"/>
          <w:color w:val="auto"/>
        </w:rPr>
        <w:t>officers of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6251575</wp:posOffset>
            </wp:positionH>
            <wp:positionV relativeFrom="paragraph">
              <wp:posOffset>-227330</wp:posOffset>
            </wp:positionV>
            <wp:extent cx="254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2" w:lineRule="exact"/>
        <w:rPr>
          <w:sz w:val="20"/>
          <w:szCs w:val="20"/>
          <w:color w:val="auto"/>
        </w:rPr>
      </w:pPr>
    </w:p>
    <w:p>
      <w:pPr>
        <w:ind w:left="480" w:hanging="581"/>
        <w:spacing w:after="0" w:line="265" w:lineRule="auto"/>
        <w:tabs>
          <w:tab w:leader="none" w:pos="46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may assign, transfer, charge or otherwise encumber this Agreement or any right, benefit or interest under it, nor transfer it without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prior written consent of the other Party provided that a Party may assign this Agreement to any Affiliate or to any successor in interest by way of merger, acquisition or sale of all or substantially all of its assets to which this Agreement relates, provided that such successor agrees in writing to be bound by the terms of this Agreement as if it were the assigning Party. Each Party agrees that, notwithstanding any provisions of this Agreement to the contrary, if this Agreement is assigned by a Party in connection with a merger, acquisition or sale of all or substantially all of its assets, such assignment shall not provide the non-assigning Party with rights or access to any intellectual property or technology of the acquirer of the assigning Party beyond that which is specifically contemplated in this Agreement. This Agreement shall be binding upon the successors and permitted assigns of the Parties. Any assignment not in accordance with this Section 11.3 shall be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6430010</wp:posOffset>
            </wp:positionH>
            <wp:positionV relativeFrom="paragraph">
              <wp:posOffset>-922020</wp:posOffset>
            </wp:positionV>
            <wp:extent cx="260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18" w:lineRule="exact"/>
        <w:rPr>
          <w:sz w:val="20"/>
          <w:szCs w:val="20"/>
          <w:color w:val="auto"/>
        </w:rPr>
      </w:pPr>
    </w:p>
    <w:p>
      <w:pPr>
        <w:ind w:left="480" w:hanging="581"/>
        <w:spacing w:after="0" w:line="279" w:lineRule="auto"/>
        <w:tabs>
          <w:tab w:leader="none" w:pos="46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under the laws of the State of Delaware, without regard to conflict of law principles.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provisions of the United Nations Convention on Contracts for the International Sale of Goods the 1974 Convention on the Limitation Period in the International Sale of Goods, as amended by that certain Protocol, done at Vienna on April 11, 1980 shall not apply to the Transaction Agreements or any subject matter hereof or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6184900</wp:posOffset>
            </wp:positionH>
            <wp:positionV relativeFrom="paragraph">
              <wp:posOffset>-433705</wp:posOffset>
            </wp:positionV>
            <wp:extent cx="260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ectPr>
          <w:pgSz w:w="11900" w:h="16838" w:orient="portrait"/>
          <w:cols w:equalWidth="0" w:num="1">
            <w:col w:w="11220"/>
          </w:cols>
          <w:pgMar w:left="320" w:top="838" w:right="359" w:bottom="1440" w:gutter="0" w:footer="0" w:header="0"/>
        </w:sectPr>
      </w:pPr>
    </w:p>
    <w:bookmarkStart w:id="278" w:name="page279"/>
    <w:bookmarkEnd w:id="278"/>
    <w:p>
      <w:pPr>
        <w:ind w:left="8420"/>
        <w:spacing w:after="0"/>
        <w:rPr>
          <w:sz w:val="20"/>
          <w:szCs w:val="20"/>
          <w:color w:val="auto"/>
        </w:rPr>
      </w:pPr>
      <w:r>
        <w:rPr>
          <w:rFonts w:ascii="Arial" w:cs="Arial" w:eastAsia="Arial" w:hAnsi="Arial"/>
          <w:sz w:val="20"/>
          <w:szCs w:val="20"/>
          <w:color w:val="auto"/>
        </w:rPr>
        <w:t>Exhibit 10.23</w:t>
      </w:r>
    </w:p>
    <w:p>
      <w:pPr>
        <w:spacing w:after="0" w:line="250" w:lineRule="exact"/>
        <w:rPr>
          <w:sz w:val="20"/>
          <w:szCs w:val="20"/>
          <w:color w:val="auto"/>
        </w:rPr>
      </w:pPr>
    </w:p>
    <w:p>
      <w:pPr>
        <w:ind w:left="460" w:right="60" w:hanging="581"/>
        <w:spacing w:after="0" w:line="279" w:lineRule="auto"/>
        <w:tabs>
          <w:tab w:leader="none" w:pos="44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of the provisions of this Agreement are held to be void or unenforceable by a court of competent jurisdiction, then such void or unenforceable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provisions shall be replaced by valid and enforceable provisions which will achieve as far as possible the economic business intentions of the Parties. However, the remainder of this Agreement will remain in full force and effect, provided that the material interests of the Parties are not affected i.e., the Parties would presumably have concluded this Agreement without the unenforceable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6337935</wp:posOffset>
            </wp:positionH>
            <wp:positionV relativeFrom="paragraph">
              <wp:posOffset>-433705</wp:posOffset>
            </wp:positionV>
            <wp:extent cx="254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4" w:lineRule="exact"/>
        <w:rPr>
          <w:sz w:val="20"/>
          <w:szCs w:val="20"/>
          <w:color w:val="auto"/>
        </w:rPr>
      </w:pPr>
    </w:p>
    <w:p>
      <w:pPr>
        <w:ind w:left="460" w:right="100" w:hanging="581"/>
        <w:spacing w:after="0" w:line="279" w:lineRule="auto"/>
        <w:tabs>
          <w:tab w:leader="none" w:pos="44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 A waiver of any default, breach or non-compliance under this Agreement is not effective unless signed by the Party granting such waiver. No waiver will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inferred from or implied by any failure to act or delay in acting by a Party in respect of any default, breach, non-observance or by anything done or omitted to be done by the other Party. The waiver by a Party of any default, breach or non-compliance under this Agreement will not operate as a waiver of that Party’s rights under this Agreement in respect of any continuing or subsequent default, breach or non-compliance.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6298565</wp:posOffset>
            </wp:positionH>
            <wp:positionV relativeFrom="paragraph">
              <wp:posOffset>-433705</wp:posOffset>
            </wp:positionV>
            <wp:extent cx="260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4" w:lineRule="exact"/>
        <w:rPr>
          <w:sz w:val="20"/>
          <w:szCs w:val="20"/>
          <w:color w:val="auto"/>
        </w:rPr>
      </w:pPr>
    </w:p>
    <w:p>
      <w:pPr>
        <w:ind w:left="460" w:right="120" w:hanging="581"/>
        <w:spacing w:after="0" w:line="303" w:lineRule="auto"/>
        <w:tabs>
          <w:tab w:leader="none" w:pos="44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5"/>
          <w:szCs w:val="15"/>
          <w:u w:val="single" w:color="auto"/>
          <w:color w:val="auto"/>
        </w:rPr>
        <w:t>Damages Limitation</w:t>
      </w:r>
      <w:r>
        <w:rPr>
          <w:rFonts w:ascii="Arial" w:cs="Arial" w:eastAsia="Arial" w:hAnsi="Arial"/>
          <w:sz w:val="15"/>
          <w:szCs w:val="15"/>
          <w:color w:val="auto"/>
        </w:rPr>
        <w:t>. EXCEPT WITH RESPECT TO THEIR RESPECTIVE INDEMNIFICATION OBLIGATIONS UNDER SECTIONS 9.2 AND 9.3 OF THIS</w:t>
      </w:r>
      <w:r>
        <w:rPr>
          <w:rFonts w:ascii="Arial" w:cs="Arial" w:eastAsia="Arial" w:hAnsi="Arial"/>
          <w:sz w:val="15"/>
          <w:szCs w:val="15"/>
          <w:u w:val="single" w:color="auto"/>
          <w:color w:val="auto"/>
        </w:rPr>
        <w:t xml:space="preserve"> </w:t>
      </w:r>
      <w:r>
        <w:rPr>
          <w:rFonts w:ascii="Arial" w:cs="Arial" w:eastAsia="Arial" w:hAnsi="Arial"/>
          <w:sz w:val="15"/>
          <w:szCs w:val="15"/>
          <w:color w:val="auto"/>
        </w:rPr>
        <w:t>AGREEMENT, IN NO EVENT SHALL EITHER PARTY BE LIABLE TO THE OTHER PARTY UNDER OR WITH RESPECT TO THIS AGREEMENT, OR ANY OTHER AGREEMENT OR INSTRUMENT CONTEMPLATED HEREBY, FOR ANY INDIRECT, INCIDENTAL, EXEMPLARY, SPECIAL, OR CONSEQUENTIAL DAMAGES, INCLUDING BUT NOT LIMITED TO LOSS OF PROFITS OR BUSINESS INTERRUPTION, OR PUNITIVE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6405880</wp:posOffset>
            </wp:positionH>
            <wp:positionV relativeFrom="paragraph">
              <wp:posOffset>-443230</wp:posOffset>
            </wp:positionV>
            <wp:extent cx="260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2" w:lineRule="exact"/>
        <w:rPr>
          <w:sz w:val="20"/>
          <w:szCs w:val="20"/>
          <w:color w:val="auto"/>
        </w:rPr>
      </w:pPr>
    </w:p>
    <w:p>
      <w:pPr>
        <w:ind w:left="460" w:right="280" w:hanging="581"/>
        <w:spacing w:after="0" w:line="328" w:lineRule="auto"/>
        <w:tabs>
          <w:tab w:leader="none" w:pos="44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provided in this Agreement, each Party hereto shall pay its own expenses and costs incidental to the preparation of this Agreement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to the consummation of the transactions contemplated hereby, including the fees for any business, legal or regulatory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-209550</wp:posOffset>
            </wp:positionV>
            <wp:extent cx="254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4"/>
          <w:szCs w:val="14"/>
          <w:u w:val="single" w:color="auto"/>
          <w:color w:val="auto"/>
        </w:rPr>
        <w:t>Relationship of the Parties</w:t>
      </w:r>
      <w:r>
        <w:rPr>
          <w:rFonts w:ascii="Arial" w:cs="Arial" w:eastAsia="Arial" w:hAnsi="Arial"/>
          <w:sz w:val="14"/>
          <w:szCs w:val="14"/>
          <w:color w:val="auto"/>
        </w:rPr>
        <w:t>. Neither Party shall be deemed an agent or representative of the other Party for any purpose, and this Agreement shall not create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6403340</wp:posOffset>
            </wp:positionH>
            <wp:positionV relativeFrom="paragraph">
              <wp:posOffset>-6985</wp:posOffset>
            </wp:positionV>
            <wp:extent cx="260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 w:lineRule="exact"/>
        <w:rPr>
          <w:sz w:val="20"/>
          <w:szCs w:val="20"/>
          <w:color w:val="auto"/>
        </w:rPr>
      </w:pPr>
    </w:p>
    <w:p>
      <w:pPr>
        <w:ind w:left="580"/>
        <w:spacing w:after="0" w:line="291" w:lineRule="auto"/>
        <w:rPr>
          <w:sz w:val="20"/>
          <w:szCs w:val="20"/>
          <w:color w:val="auto"/>
        </w:rPr>
      </w:pPr>
      <w:r>
        <w:rPr>
          <w:rFonts w:ascii="Arial" w:cs="Arial" w:eastAsia="Arial" w:hAnsi="Arial"/>
          <w:sz w:val="15"/>
          <w:szCs w:val="15"/>
          <w:color w:val="auto"/>
        </w:rPr>
        <w:t>establish an agency. Except as may be specifically provided herein, neither Party shall have any right, power, or authority, nor shall they represent themselves as having authority to assume, create or incur any expense, liability or obligation, express or implied, on behalf of the other Party, or otherwise act as an agent for the other Party for any purpose. This Agreement does not, is not intended to, and shall not be construed to, establish or create an employment, agency, partnership, joint venture or any other legal arrangement that would impose liability upon one Party for the act or failure to act of the other Party.</w:t>
      </w:r>
    </w:p>
    <w:p>
      <w:pPr>
        <w:spacing w:after="0" w:line="230" w:lineRule="exact"/>
        <w:rPr>
          <w:sz w:val="20"/>
          <w:szCs w:val="20"/>
          <w:color w:val="auto"/>
        </w:rPr>
      </w:pPr>
    </w:p>
    <w:p>
      <w:pPr>
        <w:ind w:left="540" w:right="360" w:hanging="581"/>
        <w:spacing w:after="0" w:line="328" w:lineRule="auto"/>
        <w:tabs>
          <w:tab w:leader="none" w:pos="520" w:val="left"/>
        </w:tabs>
        <w:rPr>
          <w:sz w:val="20"/>
          <w:szCs w:val="20"/>
          <w:color w:val="auto"/>
        </w:rPr>
      </w:pPr>
      <w:r>
        <w:rPr>
          <w:rFonts w:ascii="Arial" w:cs="Arial" w:eastAsia="Arial" w:hAnsi="Arial"/>
          <w:sz w:val="16"/>
          <w:szCs w:val="16"/>
          <w:color w:val="auto"/>
        </w:rPr>
        <w:t>11.10</w:t>
      </w:r>
      <w:r>
        <w:rPr>
          <w:sz w:val="20"/>
          <w:szCs w:val="20"/>
          <w:color w:val="auto"/>
        </w:rPr>
        <w:tab/>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This Agreement is neither expressly nor impliedly made for the benefit of any entity other than the Parties, and neither any Third</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Party nor any Affiliate shall have any claim against either Party on the basis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6463665</wp:posOffset>
            </wp:positionH>
            <wp:positionV relativeFrom="paragraph">
              <wp:posOffset>-209550</wp:posOffset>
            </wp:positionV>
            <wp:extent cx="260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79" w:lineRule="exact"/>
        <w:rPr>
          <w:sz w:val="20"/>
          <w:szCs w:val="20"/>
          <w:color w:val="auto"/>
        </w:rPr>
      </w:pPr>
    </w:p>
    <w:p>
      <w:pPr>
        <w:ind w:left="540" w:right="740" w:hanging="581"/>
        <w:spacing w:after="0" w:line="346" w:lineRule="auto"/>
        <w:tabs>
          <w:tab w:leader="none" w:pos="520" w:val="left"/>
        </w:tabs>
        <w:rPr>
          <w:sz w:val="20"/>
          <w:szCs w:val="20"/>
          <w:color w:val="auto"/>
        </w:rPr>
      </w:pPr>
      <w:r>
        <w:rPr>
          <w:rFonts w:ascii="Arial" w:cs="Arial" w:eastAsia="Arial" w:hAnsi="Arial"/>
          <w:sz w:val="16"/>
          <w:szCs w:val="16"/>
          <w:color w:val="auto"/>
        </w:rPr>
        <w:t>11.11</w:t>
      </w:r>
      <w:r>
        <w:rPr>
          <w:sz w:val="20"/>
          <w:szCs w:val="20"/>
          <w:color w:val="auto"/>
        </w:rPr>
        <w:tab/>
      </w:r>
      <w:r>
        <w:rPr>
          <w:rFonts w:ascii="Arial" w:cs="Arial" w:eastAsia="Arial" w:hAnsi="Arial"/>
          <w:sz w:val="16"/>
          <w:szCs w:val="16"/>
          <w:u w:val="single" w:color="auto"/>
          <w:color w:val="auto"/>
        </w:rPr>
        <w:t>Language</w:t>
      </w:r>
      <w:r>
        <w:rPr>
          <w:rFonts w:ascii="Arial" w:cs="Arial" w:eastAsia="Arial" w:hAnsi="Arial"/>
          <w:sz w:val="16"/>
          <w:szCs w:val="16"/>
          <w:color w:val="auto"/>
        </w:rPr>
        <w:t>. This Agreement has been drafted in the English language, and the English language shall control its interpretation. Any translation shall be for</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convenience purposes only and shall not be legally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-227330</wp:posOffset>
            </wp:positionV>
            <wp:extent cx="260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65" w:lineRule="exact"/>
        <w:rPr>
          <w:sz w:val="20"/>
          <w:szCs w:val="20"/>
          <w:color w:val="auto"/>
        </w:rPr>
      </w:pPr>
    </w:p>
    <w:p>
      <w:pPr>
        <w:ind w:left="540" w:right="100" w:hanging="581"/>
        <w:spacing w:after="0" w:line="328" w:lineRule="auto"/>
        <w:tabs>
          <w:tab w:leader="none" w:pos="520" w:val="left"/>
        </w:tabs>
        <w:rPr>
          <w:sz w:val="20"/>
          <w:szCs w:val="20"/>
          <w:color w:val="auto"/>
        </w:rPr>
      </w:pPr>
      <w:r>
        <w:rPr>
          <w:rFonts w:ascii="Arial" w:cs="Arial" w:eastAsia="Arial" w:hAnsi="Arial"/>
          <w:sz w:val="16"/>
          <w:szCs w:val="16"/>
          <w:color w:val="auto"/>
        </w:rPr>
        <w:t>11.12</w:t>
      </w:r>
      <w:r>
        <w:rPr>
          <w:sz w:val="20"/>
          <w:szCs w:val="20"/>
          <w:color w:val="auto"/>
        </w:rPr>
        <w:tab/>
      </w:r>
      <w:r>
        <w:rPr>
          <w:rFonts w:ascii="Arial" w:cs="Arial" w:eastAsia="Arial" w:hAnsi="Arial"/>
          <w:sz w:val="15"/>
          <w:szCs w:val="15"/>
          <w:u w:val="single" w:color="auto"/>
          <w:color w:val="auto"/>
        </w:rPr>
        <w:t>Interpretation</w:t>
      </w:r>
      <w:r>
        <w:rPr>
          <w:rFonts w:ascii="Arial" w:cs="Arial" w:eastAsia="Arial" w:hAnsi="Arial"/>
          <w:sz w:val="15"/>
          <w:szCs w:val="15"/>
          <w:color w:val="auto"/>
        </w:rPr>
        <w:t>. The Parties agree that the terms and conditions of this Agreement are the result of negotiations between the Parties and that this Agreement shall not</w:t>
      </w:r>
      <w:r>
        <w:rPr>
          <w:rFonts w:ascii="Arial" w:cs="Arial" w:eastAsia="Arial" w:hAnsi="Arial"/>
          <w:sz w:val="15"/>
          <w:szCs w:val="15"/>
          <w:u w:val="single" w:color="auto"/>
          <w:color w:val="auto"/>
        </w:rPr>
        <w:t xml:space="preserve"> </w:t>
      </w:r>
      <w:r>
        <w:rPr>
          <w:rFonts w:ascii="Arial" w:cs="Arial" w:eastAsia="Arial" w:hAnsi="Arial"/>
          <w:sz w:val="15"/>
          <w:szCs w:val="15"/>
          <w:color w:val="auto"/>
        </w:rPr>
        <w:t>be construed in favour of or against either Party by reason of the extent to which such a Party participated in the drafting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6200775</wp:posOffset>
            </wp:positionH>
            <wp:positionV relativeFrom="paragraph">
              <wp:posOffset>-189865</wp:posOffset>
            </wp:positionV>
            <wp:extent cx="254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7" w:lineRule="exact"/>
        <w:rPr>
          <w:sz w:val="20"/>
          <w:szCs w:val="20"/>
          <w:color w:val="auto"/>
        </w:rPr>
      </w:pPr>
    </w:p>
    <w:p>
      <w:pPr>
        <w:ind w:left="540" w:right="20" w:hanging="581"/>
        <w:spacing w:after="0" w:line="328" w:lineRule="auto"/>
        <w:tabs>
          <w:tab w:leader="none" w:pos="520" w:val="left"/>
        </w:tabs>
        <w:rPr>
          <w:sz w:val="20"/>
          <w:szCs w:val="20"/>
          <w:color w:val="auto"/>
        </w:rPr>
      </w:pPr>
      <w:r>
        <w:rPr>
          <w:rFonts w:ascii="Arial" w:cs="Arial" w:eastAsia="Arial" w:hAnsi="Arial"/>
          <w:sz w:val="16"/>
          <w:szCs w:val="16"/>
          <w:color w:val="auto"/>
        </w:rPr>
        <w:t>11.13</w:t>
      </w:r>
      <w:r>
        <w:rPr>
          <w:sz w:val="20"/>
          <w:szCs w:val="20"/>
          <w:color w:val="auto"/>
        </w:rPr>
        <w:tab/>
      </w:r>
      <w:r>
        <w:rPr>
          <w:rFonts w:ascii="Arial" w:cs="Arial" w:eastAsia="Arial" w:hAnsi="Arial"/>
          <w:sz w:val="16"/>
          <w:szCs w:val="16"/>
          <w:u w:val="single" w:color="auto"/>
          <w:color w:val="auto"/>
        </w:rPr>
        <w:t>Descriptive Headings</w:t>
      </w:r>
      <w:r>
        <w:rPr>
          <w:rFonts w:ascii="Arial" w:cs="Arial" w:eastAsia="Arial" w:hAnsi="Arial"/>
          <w:sz w:val="16"/>
          <w:szCs w:val="16"/>
          <w:color w:val="auto"/>
        </w:rPr>
        <w:t>. The descriptive headings of this Agreement are for convenience only and shall be of no force or effect in construing or interpreting any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-209550</wp:posOffset>
            </wp:positionV>
            <wp:extent cx="254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79" w:lineRule="exact"/>
        <w:rPr>
          <w:sz w:val="20"/>
          <w:szCs w:val="20"/>
          <w:color w:val="auto"/>
        </w:rPr>
      </w:pPr>
    </w:p>
    <w:p>
      <w:pPr>
        <w:ind w:left="540" w:right="20" w:hanging="581"/>
        <w:spacing w:after="0" w:line="287" w:lineRule="auto"/>
        <w:tabs>
          <w:tab w:leader="none" w:pos="520" w:val="left"/>
        </w:tabs>
        <w:rPr>
          <w:sz w:val="20"/>
          <w:szCs w:val="20"/>
          <w:color w:val="auto"/>
        </w:rPr>
      </w:pPr>
      <w:r>
        <w:rPr>
          <w:rFonts w:ascii="Arial" w:cs="Arial" w:eastAsia="Arial" w:hAnsi="Arial"/>
          <w:sz w:val="16"/>
          <w:szCs w:val="16"/>
          <w:color w:val="auto"/>
        </w:rPr>
        <w:t>11.14</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shall execute this Agreement in two (2) counterparts, either of which the Parties shall deem an original, but which together shall constitute</w:t>
      </w:r>
      <w:r>
        <w:rPr>
          <w:rFonts w:ascii="Arial" w:cs="Arial" w:eastAsia="Arial" w:hAnsi="Arial"/>
          <w:sz w:val="16"/>
          <w:szCs w:val="16"/>
          <w:u w:val="single" w:color="auto"/>
          <w:color w:val="auto"/>
        </w:rPr>
        <w:t xml:space="preserve"> </w:t>
      </w:r>
      <w:r>
        <w:rPr>
          <w:rFonts w:ascii="Arial" w:cs="Arial" w:eastAsia="Arial" w:hAnsi="Arial"/>
          <w:sz w:val="16"/>
          <w:szCs w:val="16"/>
          <w:color w:val="auto"/>
        </w:rPr>
        <w:t>one and the same instrument. Counterparts may be signed and delivered by facsimile or PDF file, each of which shall be binding when received by the applicable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6463665</wp:posOffset>
            </wp:positionH>
            <wp:positionV relativeFrom="paragraph">
              <wp:posOffset>-309245</wp:posOffset>
            </wp:positionV>
            <wp:extent cx="260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11220"/>
          </w:cols>
          <w:pgMar w:left="340" w:top="838" w:right="339" w:bottom="1440" w:gutter="0" w:footer="0" w:header="0"/>
        </w:sectPr>
      </w:pPr>
    </w:p>
    <w:bookmarkStart w:id="279" w:name="page280"/>
    <w:bookmarkEnd w:id="279"/>
    <w:p>
      <w:pPr>
        <w:ind w:left="8440"/>
        <w:spacing w:after="0"/>
        <w:rPr>
          <w:sz w:val="20"/>
          <w:szCs w:val="20"/>
          <w:color w:val="auto"/>
        </w:rPr>
      </w:pPr>
      <w:r>
        <w:rPr>
          <w:rFonts w:ascii="Arial" w:cs="Arial" w:eastAsia="Arial" w:hAnsi="Arial"/>
          <w:sz w:val="20"/>
          <w:szCs w:val="20"/>
          <w:color w:val="auto"/>
        </w:rPr>
        <w:t>Exhibit 10.23</w:t>
      </w: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by their duly authorized representatives as of the Closing Date.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gridSpan w:val="2"/>
          </w:tcPr>
          <w:p>
            <w:pPr>
              <w:ind w:left="20"/>
              <w:spacing w:after="0"/>
              <w:rPr>
                <w:sz w:val="20"/>
                <w:szCs w:val="20"/>
                <w:color w:val="auto"/>
              </w:rPr>
            </w:pPr>
            <w:r>
              <w:rPr>
                <w:rFonts w:ascii="Arial" w:cs="Arial" w:eastAsia="Arial" w:hAnsi="Arial"/>
                <w:sz w:val="16"/>
                <w:szCs w:val="16"/>
                <w:b w:val="1"/>
                <w:bCs w:val="1"/>
                <w:color w:val="auto"/>
              </w:rPr>
              <w:t>PROVENTION BIO, INC.:</w:t>
            </w:r>
          </w:p>
        </w:tc>
        <w:tc>
          <w:tcPr>
            <w:tcW w:w="5620" w:type="dxa"/>
            <w:vAlign w:val="bottom"/>
            <w:gridSpan w:val="2"/>
          </w:tcPr>
          <w:p>
            <w:pPr>
              <w:ind w:left="20"/>
              <w:spacing w:after="0"/>
              <w:rPr>
                <w:sz w:val="20"/>
                <w:szCs w:val="20"/>
                <w:color w:val="auto"/>
              </w:rPr>
            </w:pPr>
            <w:r>
              <w:rPr>
                <w:rFonts w:ascii="Arial" w:cs="Arial" w:eastAsia="Arial" w:hAnsi="Arial"/>
                <w:sz w:val="16"/>
                <w:szCs w:val="16"/>
                <w:b w:val="1"/>
                <w:bCs w:val="1"/>
                <w:color w:val="auto"/>
              </w:rPr>
              <w:t>MACROGENICS, INC.:</w:t>
            </w:r>
          </w:p>
        </w:tc>
      </w:tr>
      <w:tr>
        <w:trPr>
          <w:trHeight w:val="219"/>
        </w:trPr>
        <w:tc>
          <w:tcPr>
            <w:tcW w:w="580" w:type="dxa"/>
            <w:vAlign w:val="bottom"/>
          </w:tcPr>
          <w:p>
            <w:pPr>
              <w:spacing w:after="0"/>
              <w:rPr>
                <w:sz w:val="19"/>
                <w:szCs w:val="19"/>
                <w:color w:val="auto"/>
              </w:rPr>
            </w:pP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Ashleigh Palmer</w:t>
            </w:r>
          </w:p>
        </w:tc>
        <w:tc>
          <w:tcPr>
            <w:tcW w:w="580" w:type="dxa"/>
            <w:vAlign w:val="bottom"/>
          </w:tcPr>
          <w:p>
            <w:pPr>
              <w:spacing w:after="0"/>
              <w:rPr>
                <w:sz w:val="19"/>
                <w:szCs w:val="19"/>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Scott Koenig</w:t>
            </w:r>
          </w:p>
        </w:tc>
      </w:tr>
      <w:tr>
        <w:trPr>
          <w:trHeight w:val="206"/>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Name:  Ashleigh Palmer</w:t>
            </w:r>
          </w:p>
        </w:tc>
        <w:tc>
          <w:tcPr>
            <w:tcW w:w="5620" w:type="dxa"/>
            <w:vAlign w:val="bottom"/>
            <w:gridSpan w:val="2"/>
          </w:tcPr>
          <w:p>
            <w:pPr>
              <w:ind w:left="20"/>
              <w:spacing w:after="0"/>
              <w:rPr>
                <w:sz w:val="20"/>
                <w:szCs w:val="20"/>
                <w:color w:val="auto"/>
              </w:rPr>
            </w:pPr>
            <w:r>
              <w:rPr>
                <w:rFonts w:ascii="Arial" w:cs="Arial" w:eastAsia="Arial" w:hAnsi="Arial"/>
                <w:sz w:val="16"/>
                <w:szCs w:val="16"/>
                <w:color w:val="auto"/>
              </w:rPr>
              <w:t>Name:  Scott Koenig, M.D. Ph.D.</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Title: President and Chief Executive Officer</w:t>
            </w:r>
          </w:p>
        </w:tc>
        <w:tc>
          <w:tcPr>
            <w:tcW w:w="5620" w:type="dxa"/>
            <w:vAlign w:val="bottom"/>
            <w:gridSpan w:val="2"/>
          </w:tcPr>
          <w:p>
            <w:pPr>
              <w:ind w:left="20"/>
              <w:spacing w:after="0"/>
              <w:rPr>
                <w:sz w:val="20"/>
                <w:szCs w:val="20"/>
                <w:color w:val="auto"/>
              </w:rPr>
            </w:pPr>
            <w:r>
              <w:rPr>
                <w:rFonts w:ascii="Arial" w:cs="Arial" w:eastAsia="Arial" w:hAnsi="Arial"/>
                <w:sz w:val="16"/>
                <w:szCs w:val="16"/>
                <w:color w:val="auto"/>
              </w:rPr>
              <w:t>Title: President and Chief Executive Officer</w:t>
            </w:r>
          </w:p>
        </w:tc>
      </w:tr>
      <w:tr>
        <w:trPr>
          <w:trHeight w:val="276"/>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2" w:right="339" w:bottom="1440" w:gutter="0" w:footer="0" w:header="0"/>
        </w:sectPr>
      </w:pPr>
    </w:p>
    <w:bookmarkStart w:id="280" w:name="page281"/>
    <w:bookmarkEnd w:id="280"/>
    <w:p>
      <w:pPr>
        <w:ind w:left="8440"/>
        <w:spacing w:after="0"/>
        <w:rPr>
          <w:sz w:val="20"/>
          <w:szCs w:val="20"/>
          <w:color w:val="auto"/>
        </w:rPr>
      </w:pPr>
      <w:r>
        <w:rPr>
          <w:rFonts w:ascii="Arial" w:cs="Arial" w:eastAsia="Arial" w:hAnsi="Arial"/>
          <w:sz w:val="20"/>
          <w:szCs w:val="20"/>
          <w:color w:val="auto"/>
        </w:rPr>
        <w:t>Exhibit 10.23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Exhibits:</w:t>
            </w:r>
          </w:p>
        </w:tc>
        <w:tc>
          <w:tcPr>
            <w:tcW w:w="10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360" w:type="dxa"/>
            <w:vAlign w:val="bottom"/>
            <w:vMerge w:val="restart"/>
          </w:tcPr>
          <w:p>
            <w:pPr>
              <w:ind w:left="120"/>
              <w:spacing w:after="0"/>
              <w:rPr>
                <w:sz w:val="20"/>
                <w:szCs w:val="20"/>
                <w:color w:val="auto"/>
              </w:rPr>
            </w:pPr>
            <w:r>
              <w:rPr>
                <w:rFonts w:ascii="Arial" w:cs="Arial" w:eastAsia="Arial" w:hAnsi="Arial"/>
                <w:sz w:val="16"/>
                <w:szCs w:val="16"/>
                <w:color w:val="auto"/>
              </w:rPr>
              <w:t>Teplizumab</w:t>
            </w:r>
          </w:p>
        </w:tc>
        <w:tc>
          <w:tcPr>
            <w:tcW w:w="0" w:type="dxa"/>
            <w:vAlign w:val="bottom"/>
          </w:tcPr>
          <w:p>
            <w:pPr>
              <w:spacing w:after="0" w:line="20" w:lineRule="exact"/>
              <w:rPr>
                <w:sz w:val="1"/>
                <w:szCs w:val="1"/>
                <w:color w:val="auto"/>
              </w:rPr>
            </w:pPr>
          </w:p>
        </w:tc>
      </w:tr>
      <w:tr>
        <w:trPr>
          <w:trHeight w:val="210"/>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1:</w:t>
            </w:r>
          </w:p>
        </w:tc>
        <w:tc>
          <w:tcPr>
            <w:tcW w:w="10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2:</w:t>
            </w:r>
          </w:p>
        </w:tc>
        <w:tc>
          <w:tcPr>
            <w:tcW w:w="10360" w:type="dxa"/>
            <w:vAlign w:val="bottom"/>
          </w:tcPr>
          <w:p>
            <w:pPr>
              <w:ind w:left="120"/>
              <w:spacing w:after="0"/>
              <w:rPr>
                <w:sz w:val="20"/>
                <w:szCs w:val="20"/>
                <w:color w:val="auto"/>
              </w:rPr>
            </w:pPr>
            <w:r>
              <w:rPr>
                <w:rFonts w:ascii="Arial" w:cs="Arial" w:eastAsia="Arial" w:hAnsi="Arial"/>
                <w:sz w:val="16"/>
                <w:szCs w:val="16"/>
                <w:color w:val="auto"/>
              </w:rPr>
              <w:t>Product Patents; Program IP</w:t>
            </w: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3:</w:t>
            </w:r>
          </w:p>
        </w:tc>
        <w:tc>
          <w:tcPr>
            <w:tcW w:w="10360" w:type="dxa"/>
            <w:vAlign w:val="bottom"/>
          </w:tcPr>
          <w:p>
            <w:pPr>
              <w:ind w:left="120"/>
              <w:spacing w:after="0"/>
              <w:rPr>
                <w:sz w:val="20"/>
                <w:szCs w:val="20"/>
                <w:color w:val="auto"/>
              </w:rPr>
            </w:pPr>
            <w:r>
              <w:rPr>
                <w:rFonts w:ascii="Arial" w:cs="Arial" w:eastAsia="Arial" w:hAnsi="Arial"/>
                <w:sz w:val="16"/>
                <w:szCs w:val="16"/>
                <w:color w:val="auto"/>
              </w:rPr>
              <w:t>Assumed Contracts</w:t>
            </w: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4:</w:t>
            </w:r>
          </w:p>
        </w:tc>
        <w:tc>
          <w:tcPr>
            <w:tcW w:w="10360" w:type="dxa"/>
            <w:vAlign w:val="bottom"/>
          </w:tcPr>
          <w:p>
            <w:pPr>
              <w:ind w:left="120"/>
              <w:spacing w:after="0"/>
              <w:rPr>
                <w:sz w:val="20"/>
                <w:szCs w:val="20"/>
                <w:color w:val="auto"/>
              </w:rPr>
            </w:pPr>
            <w:r>
              <w:rPr>
                <w:rFonts w:ascii="Arial" w:cs="Arial" w:eastAsia="Arial" w:hAnsi="Arial"/>
                <w:sz w:val="16"/>
                <w:szCs w:val="16"/>
                <w:color w:val="auto"/>
              </w:rPr>
              <w:t>Development Plan</w:t>
            </w: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5:</w:t>
            </w:r>
          </w:p>
        </w:tc>
        <w:tc>
          <w:tcPr>
            <w:tcW w:w="10360" w:type="dxa"/>
            <w:vAlign w:val="bottom"/>
          </w:tcPr>
          <w:p>
            <w:pPr>
              <w:ind w:left="120"/>
              <w:spacing w:after="0"/>
              <w:rPr>
                <w:sz w:val="20"/>
                <w:szCs w:val="20"/>
                <w:color w:val="auto"/>
              </w:rPr>
            </w:pPr>
            <w:r>
              <w:rPr>
                <w:rFonts w:ascii="Arial" w:cs="Arial" w:eastAsia="Arial" w:hAnsi="Arial"/>
                <w:sz w:val="16"/>
                <w:szCs w:val="16"/>
                <w:color w:val="auto"/>
              </w:rPr>
              <w:t>Disclosure Schedules</w:t>
            </w: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6:</w:t>
            </w:r>
          </w:p>
        </w:tc>
        <w:tc>
          <w:tcPr>
            <w:tcW w:w="10360" w:type="dxa"/>
            <w:vAlign w:val="bottom"/>
          </w:tcPr>
          <w:p>
            <w:pPr>
              <w:ind w:left="120"/>
              <w:spacing w:after="0"/>
              <w:rPr>
                <w:sz w:val="20"/>
                <w:szCs w:val="20"/>
                <w:color w:val="auto"/>
              </w:rPr>
            </w:pPr>
            <w:r>
              <w:rPr>
                <w:rFonts w:ascii="Arial" w:cs="Arial" w:eastAsia="Arial" w:hAnsi="Arial"/>
                <w:sz w:val="16"/>
                <w:szCs w:val="16"/>
                <w:color w:val="auto"/>
              </w:rPr>
              <w:t>Bill of Sale and General Assignment Agreement</w:t>
            </w: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7:</w:t>
            </w:r>
          </w:p>
        </w:tc>
        <w:tc>
          <w:tcPr>
            <w:tcW w:w="10360" w:type="dxa"/>
            <w:vAlign w:val="bottom"/>
          </w:tcPr>
          <w:p>
            <w:pPr>
              <w:ind w:left="120"/>
              <w:spacing w:after="0"/>
              <w:rPr>
                <w:sz w:val="20"/>
                <w:szCs w:val="20"/>
                <w:color w:val="auto"/>
              </w:rPr>
            </w:pPr>
            <w:r>
              <w:rPr>
                <w:rFonts w:ascii="Arial" w:cs="Arial" w:eastAsia="Arial" w:hAnsi="Arial"/>
                <w:sz w:val="16"/>
                <w:szCs w:val="16"/>
                <w:color w:val="auto"/>
              </w:rPr>
              <w:t>Patent Assignment Agreement</w:t>
            </w: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8:</w:t>
            </w:r>
          </w:p>
        </w:tc>
        <w:tc>
          <w:tcPr>
            <w:tcW w:w="10360" w:type="dxa"/>
            <w:vAlign w:val="bottom"/>
          </w:tcPr>
          <w:p>
            <w:pPr>
              <w:ind w:left="120"/>
              <w:spacing w:after="0"/>
              <w:rPr>
                <w:sz w:val="20"/>
                <w:szCs w:val="20"/>
                <w:color w:val="auto"/>
              </w:rPr>
            </w:pPr>
            <w:r>
              <w:rPr>
                <w:rFonts w:ascii="Arial" w:cs="Arial" w:eastAsia="Arial" w:hAnsi="Arial"/>
                <w:sz w:val="16"/>
                <w:szCs w:val="16"/>
                <w:color w:val="auto"/>
              </w:rPr>
              <w:t>Transferred Materials. Transferrable Books and Records and INDs and CTAs</w:t>
            </w: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9:</w:t>
            </w:r>
          </w:p>
        </w:tc>
        <w:tc>
          <w:tcPr>
            <w:tcW w:w="10360" w:type="dxa"/>
            <w:vAlign w:val="bottom"/>
          </w:tcPr>
          <w:p>
            <w:pPr>
              <w:ind w:left="120"/>
              <w:spacing w:after="0"/>
              <w:rPr>
                <w:sz w:val="20"/>
                <w:szCs w:val="20"/>
                <w:color w:val="auto"/>
              </w:rPr>
            </w:pPr>
            <w:r>
              <w:rPr>
                <w:rFonts w:ascii="Arial" w:cs="Arial" w:eastAsia="Arial" w:hAnsi="Arial"/>
                <w:sz w:val="16"/>
                <w:szCs w:val="16"/>
                <w:color w:val="auto"/>
              </w:rPr>
              <w:t>Form of Transfer Letter</w:t>
            </w: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10:</w:t>
            </w:r>
          </w:p>
        </w:tc>
        <w:tc>
          <w:tcPr>
            <w:tcW w:w="10360" w:type="dxa"/>
            <w:vAlign w:val="bottom"/>
          </w:tcPr>
          <w:p>
            <w:pPr>
              <w:ind w:left="120"/>
              <w:spacing w:after="0"/>
              <w:rPr>
                <w:sz w:val="20"/>
                <w:szCs w:val="20"/>
                <w:color w:val="auto"/>
              </w:rPr>
            </w:pPr>
            <w:r>
              <w:rPr>
                <w:rFonts w:ascii="Arial" w:cs="Arial" w:eastAsia="Arial" w:hAnsi="Arial"/>
                <w:sz w:val="16"/>
                <w:szCs w:val="16"/>
                <w:color w:val="auto"/>
              </w:rPr>
              <w:t>Form of Warrant</w:t>
            </w: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11:</w:t>
            </w:r>
          </w:p>
        </w:tc>
        <w:tc>
          <w:tcPr>
            <w:tcW w:w="10360" w:type="dxa"/>
            <w:vAlign w:val="bottom"/>
          </w:tcPr>
          <w:p>
            <w:pPr>
              <w:ind w:left="120"/>
              <w:spacing w:after="0"/>
              <w:rPr>
                <w:sz w:val="20"/>
                <w:szCs w:val="20"/>
                <w:color w:val="auto"/>
              </w:rPr>
            </w:pPr>
            <w:r>
              <w:rPr>
                <w:rFonts w:ascii="Arial" w:cs="Arial" w:eastAsia="Arial" w:hAnsi="Arial"/>
                <w:sz w:val="16"/>
                <w:szCs w:val="16"/>
                <w:color w:val="auto"/>
              </w:rPr>
              <w:t>Form of Press Release</w:t>
            </w:r>
          </w:p>
        </w:tc>
        <w:tc>
          <w:tcPr>
            <w:tcW w:w="0" w:type="dxa"/>
            <w:vAlign w:val="bottom"/>
          </w:tcPr>
          <w:p>
            <w:pPr>
              <w:spacing w:after="0"/>
              <w:rPr>
                <w:sz w:val="1"/>
                <w:szCs w:val="1"/>
                <w:color w:val="auto"/>
              </w:rPr>
            </w:pPr>
          </w:p>
        </w:tc>
      </w:tr>
      <w:tr>
        <w:trPr>
          <w:trHeight w:val="21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Exhibit 12:</w:t>
            </w:r>
          </w:p>
        </w:tc>
        <w:tc>
          <w:tcPr>
            <w:tcW w:w="10360" w:type="dxa"/>
            <w:vAlign w:val="bottom"/>
          </w:tcPr>
          <w:p>
            <w:pPr>
              <w:ind w:left="120"/>
              <w:spacing w:after="0"/>
              <w:rPr>
                <w:sz w:val="20"/>
                <w:szCs w:val="20"/>
                <w:color w:val="auto"/>
              </w:rPr>
            </w:pPr>
            <w:r>
              <w:rPr>
                <w:rFonts w:ascii="Arial" w:cs="Arial" w:eastAsia="Arial" w:hAnsi="Arial"/>
                <w:sz w:val="16"/>
                <w:szCs w:val="16"/>
                <w:color w:val="auto"/>
              </w:rPr>
              <w:t>Form of Lock-Up Agreement</w:t>
            </w:r>
          </w:p>
        </w:tc>
        <w:tc>
          <w:tcPr>
            <w:tcW w:w="0" w:type="dxa"/>
            <w:vAlign w:val="bottom"/>
          </w:tcPr>
          <w:p>
            <w:pPr>
              <w:spacing w:after="0"/>
              <w:rPr>
                <w:sz w:val="1"/>
                <w:szCs w:val="1"/>
                <w:color w:val="auto"/>
              </w:rPr>
            </w:pPr>
          </w:p>
        </w:tc>
      </w:tr>
      <w:tr>
        <w:trPr>
          <w:trHeight w:val="219"/>
        </w:trPr>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360" w:type="dxa"/>
            <w:vAlign w:val="bottom"/>
            <w:tcBorders>
              <w:bottom w:val="single" w:sz="8" w:color="auto"/>
            </w:tcBorders>
          </w:tcPr>
          <w:p>
            <w:pPr>
              <w:ind w:left="430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bl>
    <w:p>
      <w:pPr>
        <w:sectPr>
          <w:pgSz w:w="11900" w:h="16838" w:orient="portrait"/>
          <w:cols w:equalWidth="0" w:num="1">
            <w:col w:w="11240"/>
          </w:cols>
          <w:pgMar w:left="320" w:top="838" w:right="339" w:bottom="1440" w:gutter="0" w:footer="0" w:header="0"/>
        </w:sectPr>
      </w:pPr>
    </w:p>
    <w:bookmarkStart w:id="281" w:name="page282"/>
    <w:bookmarkEnd w:id="281"/>
    <w:p>
      <w:pPr>
        <w:ind w:left="8440"/>
        <w:spacing w:after="0"/>
        <w:rPr>
          <w:sz w:val="20"/>
          <w:szCs w:val="20"/>
          <w:color w:val="auto"/>
        </w:rPr>
      </w:pPr>
      <w:r>
        <w:rPr>
          <w:rFonts w:ascii="Arial" w:cs="Arial" w:eastAsia="Arial" w:hAnsi="Arial"/>
          <w:sz w:val="20"/>
          <w:szCs w:val="20"/>
          <w:color w:val="auto"/>
        </w:rPr>
        <w:t>Exhibit 10.23</w:t>
      </w:r>
    </w:p>
    <w:p>
      <w:pPr>
        <w:ind w:left="5300"/>
        <w:spacing w:after="0"/>
        <w:rPr>
          <w:sz w:val="20"/>
          <w:szCs w:val="20"/>
          <w:color w:val="auto"/>
        </w:rPr>
      </w:pPr>
      <w:r>
        <w:rPr>
          <w:rFonts w:ascii="Arial" w:cs="Arial" w:eastAsia="Arial" w:hAnsi="Arial"/>
          <w:sz w:val="16"/>
          <w:szCs w:val="16"/>
          <w:b w:val="1"/>
          <w:bCs w:val="1"/>
          <w:color w:val="auto"/>
        </w:rPr>
        <w:t>Exhibit 1</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Teplizumab</w:t>
      </w:r>
    </w:p>
    <w:p>
      <w:pPr>
        <w:spacing w:after="0" w:line="252"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 xml:space="preserve">Teplizumab (MGA031), a recombinant, humanized, FcR non-binding, anti-CD3 monoclonal antibody described in IND# [****]. Secretion Signal Sequence </w:t>
      </w:r>
      <w:r>
        <w:rPr>
          <w:rFonts w:ascii="Arial" w:cs="Arial" w:eastAsia="Arial" w:hAnsi="Arial"/>
          <w:sz w:val="16"/>
          <w:szCs w:val="16"/>
          <w:u w:val="single" w:color="auto"/>
          <w:color w:val="auto"/>
        </w:rPr>
        <w:t>double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underlined</w:t>
      </w:r>
      <w:r>
        <w:rPr>
          <w:rFonts w:ascii="Arial" w:cs="Arial" w:eastAsia="Arial" w:hAnsi="Arial"/>
          <w:sz w:val="16"/>
          <w:szCs w:val="16"/>
          <w:color w:val="auto"/>
        </w:rPr>
        <w:t xml:space="preserve"> in lowercase letters.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Amino Acid Sequence: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Light Chain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Heavy Chain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0620"/>
          </w:cols>
          <w:pgMar w:left="320" w:top="832" w:right="95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50"/>
        </w:trPr>
        <w:tc>
          <w:tcPr>
            <w:tcW w:w="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900" w:type="dxa"/>
            <w:vAlign w:val="bottom"/>
          </w:tcPr>
          <w:p>
            <w:pPr>
              <w:ind w:left="100"/>
              <w:spacing w:after="0"/>
              <w:rPr>
                <w:sz w:val="20"/>
                <w:szCs w:val="20"/>
                <w:color w:val="auto"/>
              </w:rPr>
            </w:pPr>
            <w:r>
              <w:rPr>
                <w:rFonts w:ascii="Arial" w:cs="Arial" w:eastAsia="Arial" w:hAnsi="Arial"/>
                <w:sz w:val="20"/>
                <w:szCs w:val="20"/>
                <w:color w:val="auto"/>
              </w:rPr>
              <w:t>Exhibit 10.23</w:t>
            </w:r>
          </w:p>
        </w:tc>
      </w:tr>
      <w:tr>
        <w:trPr>
          <w:trHeight w:val="219"/>
        </w:trPr>
        <w:tc>
          <w:tcPr>
            <w:tcW w:w="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ind w:left="80"/>
              <w:spacing w:after="0"/>
              <w:rPr>
                <w:sz w:val="20"/>
                <w:szCs w:val="20"/>
                <w:color w:val="auto"/>
              </w:rPr>
            </w:pPr>
            <w:r>
              <w:rPr>
                <w:rFonts w:ascii="Arial" w:cs="Arial" w:eastAsia="Arial" w:hAnsi="Arial"/>
                <w:sz w:val="16"/>
                <w:szCs w:val="16"/>
                <w:b w:val="1"/>
                <w:bCs w:val="1"/>
                <w:color w:val="auto"/>
              </w:rPr>
              <w:t>Exhibit 2</w:t>
            </w:r>
          </w:p>
        </w:tc>
        <w:tc>
          <w:tcPr>
            <w:tcW w:w="290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20" w:type="dxa"/>
            <w:vAlign w:val="bottom"/>
            <w:gridSpan w:val="2"/>
          </w:tcPr>
          <w:p>
            <w:pPr>
              <w:ind w:left="80"/>
              <w:spacing w:after="0"/>
              <w:rPr>
                <w:sz w:val="20"/>
                <w:szCs w:val="20"/>
                <w:color w:val="auto"/>
              </w:rPr>
            </w:pPr>
            <w:r>
              <w:rPr>
                <w:rFonts w:ascii="Arial" w:cs="Arial" w:eastAsia="Arial" w:hAnsi="Arial"/>
                <w:sz w:val="16"/>
                <w:szCs w:val="16"/>
                <w:b w:val="1"/>
                <w:bCs w:val="1"/>
                <w:color w:val="auto"/>
              </w:rPr>
              <w:t>Product Patents</w:t>
            </w:r>
          </w:p>
        </w:tc>
        <w:tc>
          <w:tcPr>
            <w:tcW w:w="2900" w:type="dxa"/>
            <w:vAlign w:val="bottom"/>
          </w:tcPr>
          <w:p>
            <w:pPr>
              <w:spacing w:after="0"/>
              <w:rPr>
                <w:sz w:val="18"/>
                <w:szCs w:val="18"/>
                <w:color w:val="auto"/>
              </w:rPr>
            </w:pPr>
          </w:p>
        </w:tc>
      </w:tr>
      <w:tr>
        <w:trPr>
          <w:trHeight w:val="219"/>
        </w:trPr>
        <w:tc>
          <w:tcPr>
            <w:tcW w:w="380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24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6"/>
                <w:szCs w:val="16"/>
                <w:b w:val="1"/>
                <w:bCs w:val="1"/>
                <w:color w:val="auto"/>
              </w:rPr>
              <w:t>Country</w:t>
            </w:r>
          </w:p>
        </w:tc>
        <w:tc>
          <w:tcPr>
            <w:tcW w:w="24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Arial" w:cs="Arial" w:eastAsia="Arial" w:hAnsi="Arial"/>
                <w:sz w:val="16"/>
                <w:szCs w:val="16"/>
                <w:b w:val="1"/>
                <w:bCs w:val="1"/>
                <w:color w:val="auto"/>
                <w:w w:val="97"/>
              </w:rPr>
              <w:t>Patent / Publication No.</w:t>
            </w:r>
          </w:p>
        </w:tc>
        <w:tc>
          <w:tcPr>
            <w:tcW w:w="2900" w:type="dxa"/>
            <w:vAlign w:val="bottom"/>
          </w:tcPr>
          <w:p>
            <w:pPr>
              <w:ind w:left="720"/>
              <w:spacing w:after="0"/>
              <w:rPr>
                <w:sz w:val="20"/>
                <w:szCs w:val="20"/>
                <w:color w:val="auto"/>
              </w:rPr>
            </w:pPr>
            <w:r>
              <w:rPr>
                <w:rFonts w:ascii="Arial" w:cs="Arial" w:eastAsia="Arial" w:hAnsi="Arial"/>
                <w:sz w:val="16"/>
                <w:szCs w:val="16"/>
                <w:b w:val="1"/>
                <w:bCs w:val="1"/>
                <w:color w:val="auto"/>
              </w:rPr>
              <w:t>Serial No.</w:t>
            </w:r>
          </w:p>
        </w:tc>
      </w:tr>
      <w:tr>
        <w:trPr>
          <w:trHeight w:val="207"/>
        </w:trPr>
        <w:tc>
          <w:tcPr>
            <w:tcW w:w="60" w:type="dxa"/>
            <w:vAlign w:val="bottom"/>
          </w:tcPr>
          <w:p>
            <w:pPr>
              <w:spacing w:after="0"/>
              <w:rPr>
                <w:sz w:val="17"/>
                <w:szCs w:val="17"/>
                <w:color w:val="auto"/>
              </w:rPr>
            </w:pPr>
          </w:p>
        </w:tc>
        <w:tc>
          <w:tcPr>
            <w:tcW w:w="3740" w:type="dxa"/>
            <w:vAlign w:val="bottom"/>
            <w:tcBorders>
              <w:top w:val="single" w:sz="8" w:color="auto"/>
            </w:tcBorders>
          </w:tcPr>
          <w:p>
            <w:pPr>
              <w:jc w:val="right"/>
              <w:ind w:right="319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90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r>
      <w:tr>
        <w:trPr>
          <w:trHeight w:val="216"/>
        </w:trPr>
        <w:tc>
          <w:tcPr>
            <w:tcW w:w="3800" w:type="dxa"/>
            <w:vAlign w:val="bottom"/>
            <w:gridSpan w:val="2"/>
          </w:tcPr>
          <w:p>
            <w:pPr>
              <w:spacing w:after="0"/>
              <w:rPr>
                <w:sz w:val="20"/>
                <w:szCs w:val="20"/>
                <w:color w:val="auto"/>
              </w:rPr>
            </w:pPr>
            <w:r>
              <w:rPr>
                <w:rFonts w:ascii="Arial" w:cs="Arial" w:eastAsia="Arial" w:hAnsi="Arial"/>
                <w:sz w:val="16"/>
                <w:szCs w:val="16"/>
                <w:color w:val="auto"/>
              </w:rPr>
              <w:t>[****]</w:t>
            </w:r>
          </w:p>
        </w:tc>
        <w:tc>
          <w:tcPr>
            <w:tcW w:w="2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90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16"/>
        </w:trPr>
        <w:tc>
          <w:tcPr>
            <w:tcW w:w="3800" w:type="dxa"/>
            <w:vAlign w:val="bottom"/>
            <w:gridSpan w:val="2"/>
          </w:tcPr>
          <w:p>
            <w:pPr>
              <w:spacing w:after="0"/>
              <w:rPr>
                <w:sz w:val="20"/>
                <w:szCs w:val="20"/>
                <w:color w:val="auto"/>
              </w:rPr>
            </w:pPr>
            <w:r>
              <w:rPr>
                <w:rFonts w:ascii="Arial" w:cs="Arial" w:eastAsia="Arial" w:hAnsi="Arial"/>
                <w:sz w:val="16"/>
                <w:szCs w:val="16"/>
                <w:color w:val="auto"/>
              </w:rPr>
              <w:t>[****]</w:t>
            </w:r>
          </w:p>
        </w:tc>
        <w:tc>
          <w:tcPr>
            <w:tcW w:w="2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90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16"/>
        </w:trPr>
        <w:tc>
          <w:tcPr>
            <w:tcW w:w="3800" w:type="dxa"/>
            <w:vAlign w:val="bottom"/>
            <w:gridSpan w:val="2"/>
          </w:tcPr>
          <w:p>
            <w:pPr>
              <w:spacing w:after="0"/>
              <w:rPr>
                <w:sz w:val="20"/>
                <w:szCs w:val="20"/>
                <w:color w:val="auto"/>
              </w:rPr>
            </w:pPr>
            <w:r>
              <w:rPr>
                <w:rFonts w:ascii="Arial" w:cs="Arial" w:eastAsia="Arial" w:hAnsi="Arial"/>
                <w:sz w:val="16"/>
                <w:szCs w:val="16"/>
                <w:color w:val="auto"/>
              </w:rPr>
              <w:t>[****]</w:t>
            </w:r>
          </w:p>
        </w:tc>
        <w:tc>
          <w:tcPr>
            <w:tcW w:w="2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90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16"/>
        </w:trPr>
        <w:tc>
          <w:tcPr>
            <w:tcW w:w="3800" w:type="dxa"/>
            <w:vAlign w:val="bottom"/>
            <w:gridSpan w:val="2"/>
          </w:tcPr>
          <w:p>
            <w:pPr>
              <w:spacing w:after="0"/>
              <w:rPr>
                <w:sz w:val="20"/>
                <w:szCs w:val="20"/>
                <w:color w:val="auto"/>
              </w:rPr>
            </w:pPr>
            <w:r>
              <w:rPr>
                <w:rFonts w:ascii="Arial" w:cs="Arial" w:eastAsia="Arial" w:hAnsi="Arial"/>
                <w:sz w:val="16"/>
                <w:szCs w:val="16"/>
                <w:color w:val="auto"/>
              </w:rPr>
              <w:t>[****]</w:t>
            </w:r>
          </w:p>
        </w:tc>
        <w:tc>
          <w:tcPr>
            <w:tcW w:w="2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90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16"/>
        </w:trPr>
        <w:tc>
          <w:tcPr>
            <w:tcW w:w="3800" w:type="dxa"/>
            <w:vAlign w:val="bottom"/>
            <w:gridSpan w:val="2"/>
          </w:tcPr>
          <w:p>
            <w:pPr>
              <w:spacing w:after="0"/>
              <w:rPr>
                <w:sz w:val="20"/>
                <w:szCs w:val="20"/>
                <w:color w:val="auto"/>
              </w:rPr>
            </w:pPr>
            <w:r>
              <w:rPr>
                <w:rFonts w:ascii="Arial" w:cs="Arial" w:eastAsia="Arial" w:hAnsi="Arial"/>
                <w:sz w:val="16"/>
                <w:szCs w:val="16"/>
                <w:color w:val="auto"/>
              </w:rPr>
              <w:t>[****]</w:t>
            </w:r>
          </w:p>
        </w:tc>
        <w:tc>
          <w:tcPr>
            <w:tcW w:w="2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90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16"/>
        </w:trPr>
        <w:tc>
          <w:tcPr>
            <w:tcW w:w="3800" w:type="dxa"/>
            <w:vAlign w:val="bottom"/>
            <w:gridSpan w:val="2"/>
          </w:tcPr>
          <w:p>
            <w:pPr>
              <w:spacing w:after="0"/>
              <w:rPr>
                <w:sz w:val="20"/>
                <w:szCs w:val="20"/>
                <w:color w:val="auto"/>
              </w:rPr>
            </w:pPr>
            <w:r>
              <w:rPr>
                <w:rFonts w:ascii="Arial" w:cs="Arial" w:eastAsia="Arial" w:hAnsi="Arial"/>
                <w:sz w:val="16"/>
                <w:szCs w:val="16"/>
                <w:color w:val="auto"/>
              </w:rPr>
              <w:t>[****]</w:t>
            </w:r>
          </w:p>
        </w:tc>
        <w:tc>
          <w:tcPr>
            <w:tcW w:w="2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90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16"/>
        </w:trPr>
        <w:tc>
          <w:tcPr>
            <w:tcW w:w="3800" w:type="dxa"/>
            <w:vAlign w:val="bottom"/>
            <w:gridSpan w:val="2"/>
          </w:tcPr>
          <w:p>
            <w:pPr>
              <w:spacing w:after="0"/>
              <w:rPr>
                <w:sz w:val="20"/>
                <w:szCs w:val="20"/>
                <w:color w:val="auto"/>
              </w:rPr>
            </w:pPr>
            <w:r>
              <w:rPr>
                <w:rFonts w:ascii="Arial" w:cs="Arial" w:eastAsia="Arial" w:hAnsi="Arial"/>
                <w:sz w:val="16"/>
                <w:szCs w:val="16"/>
                <w:color w:val="auto"/>
              </w:rPr>
              <w:t>[****]</w:t>
            </w:r>
          </w:p>
        </w:tc>
        <w:tc>
          <w:tcPr>
            <w:tcW w:w="2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0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90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424"/>
        </w:trPr>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20"/>
          </w:cols>
          <w:pgMar w:left="340" w:top="838" w:right="339" w:bottom="1440" w:gutter="0" w:footer="0" w:header="0"/>
        </w:sectPr>
      </w:pPr>
    </w:p>
    <w:bookmarkStart w:id="283" w:name="page284"/>
    <w:bookmarkEnd w:id="283"/>
    <w:p>
      <w:pPr>
        <w:jc w:val="right"/>
        <w:ind w:right="639"/>
        <w:spacing w:after="0"/>
        <w:rPr>
          <w:sz w:val="20"/>
          <w:szCs w:val="20"/>
          <w:color w:val="auto"/>
        </w:rPr>
      </w:pPr>
      <w:r>
        <w:rPr>
          <w:rFonts w:ascii="Arial" w:cs="Arial" w:eastAsia="Arial" w:hAnsi="Arial"/>
          <w:sz w:val="20"/>
          <w:szCs w:val="20"/>
          <w:color w:val="auto"/>
        </w:rPr>
        <w:t>Exhibit 10.23</w:t>
      </w:r>
    </w:p>
    <w:p>
      <w:pPr>
        <w:ind w:left="5300"/>
        <w:spacing w:after="0"/>
        <w:rPr>
          <w:sz w:val="20"/>
          <w:szCs w:val="20"/>
          <w:color w:val="auto"/>
        </w:rPr>
      </w:pPr>
      <w:r>
        <w:rPr>
          <w:rFonts w:ascii="Arial" w:cs="Arial" w:eastAsia="Arial" w:hAnsi="Arial"/>
          <w:sz w:val="16"/>
          <w:szCs w:val="16"/>
          <w:b w:val="1"/>
          <w:bCs w:val="1"/>
          <w:color w:val="auto"/>
        </w:rPr>
        <w:t>Exhibit 3</w:t>
      </w:r>
    </w:p>
    <w:p>
      <w:pPr>
        <w:spacing w:after="0" w:line="203" w:lineRule="exact"/>
        <w:rPr>
          <w:sz w:val="20"/>
          <w:szCs w:val="20"/>
          <w:color w:val="auto"/>
        </w:rPr>
      </w:pPr>
    </w:p>
    <w:p>
      <w:pPr>
        <w:ind w:left="6500"/>
        <w:spacing w:after="0"/>
        <w:rPr>
          <w:sz w:val="20"/>
          <w:szCs w:val="20"/>
          <w:color w:val="auto"/>
        </w:rPr>
      </w:pPr>
      <w:r>
        <w:rPr>
          <w:rFonts w:ascii="Arial" w:cs="Arial" w:eastAsia="Arial" w:hAnsi="Arial"/>
          <w:sz w:val="16"/>
          <w:szCs w:val="16"/>
          <w:b w:val="1"/>
          <w:bCs w:val="1"/>
          <w:color w:val="auto"/>
        </w:rPr>
        <w:t>Assumed Contracts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0139"/>
          </w:cols>
          <w:pgMar w:left="320" w:top="832" w:right="1440" w:bottom="1440" w:gutter="0" w:footer="0" w:header="0"/>
        </w:sectPr>
      </w:pPr>
    </w:p>
    <w:bookmarkStart w:id="284" w:name="page285"/>
    <w:bookmarkEnd w:id="284"/>
    <w:p>
      <w:pPr>
        <w:jc w:val="right"/>
        <w:ind w:right="639"/>
        <w:spacing w:after="0"/>
        <w:rPr>
          <w:sz w:val="20"/>
          <w:szCs w:val="20"/>
          <w:color w:val="auto"/>
        </w:rPr>
      </w:pPr>
      <w:r>
        <w:rPr>
          <w:rFonts w:ascii="Arial" w:cs="Arial" w:eastAsia="Arial" w:hAnsi="Arial"/>
          <w:sz w:val="20"/>
          <w:szCs w:val="20"/>
          <w:color w:val="auto"/>
        </w:rPr>
        <w:t>Exhibit 10.23</w:t>
      </w:r>
    </w:p>
    <w:p>
      <w:pPr>
        <w:jc w:val="center"/>
        <w:ind w:right="-1100"/>
        <w:spacing w:after="0"/>
        <w:rPr>
          <w:sz w:val="20"/>
          <w:szCs w:val="20"/>
          <w:color w:val="auto"/>
        </w:rPr>
      </w:pPr>
      <w:r>
        <w:rPr>
          <w:rFonts w:ascii="Arial" w:cs="Arial" w:eastAsia="Arial" w:hAnsi="Arial"/>
          <w:sz w:val="16"/>
          <w:szCs w:val="16"/>
          <w:b w:val="1"/>
          <w:bCs w:val="1"/>
          <w:color w:val="auto"/>
        </w:rPr>
        <w:t>Exhibit 4</w:t>
      </w:r>
    </w:p>
    <w:p>
      <w:pPr>
        <w:spacing w:after="0" w:line="203"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Development Plan</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Treatment for patients with recent-onset T1D to preserve beta-cell function and insulin secretion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0139"/>
          </w:cols>
          <w:pgMar w:left="320" w:top="832" w:right="1440" w:bottom="1440" w:gutter="0" w:footer="0" w:header="0"/>
        </w:sectPr>
      </w:pPr>
    </w:p>
    <w:bookmarkStart w:id="285" w:name="page286"/>
    <w:bookmarkEnd w:id="285"/>
    <w:p>
      <w:pPr>
        <w:jc w:val="right"/>
        <w:ind w:right="639"/>
        <w:spacing w:after="0"/>
        <w:rPr>
          <w:sz w:val="20"/>
          <w:szCs w:val="20"/>
          <w:color w:val="auto"/>
        </w:rPr>
      </w:pPr>
      <w:r>
        <w:rPr>
          <w:rFonts w:ascii="Arial" w:cs="Arial" w:eastAsia="Arial" w:hAnsi="Arial"/>
          <w:sz w:val="20"/>
          <w:szCs w:val="20"/>
          <w:color w:val="auto"/>
        </w:rPr>
        <w:t>Exhibit 10.23</w:t>
      </w:r>
    </w:p>
    <w:p>
      <w:pPr>
        <w:ind w:left="5300"/>
        <w:spacing w:after="0"/>
        <w:rPr>
          <w:sz w:val="20"/>
          <w:szCs w:val="20"/>
          <w:color w:val="auto"/>
        </w:rPr>
      </w:pPr>
      <w:r>
        <w:rPr>
          <w:rFonts w:ascii="Arial" w:cs="Arial" w:eastAsia="Arial" w:hAnsi="Arial"/>
          <w:sz w:val="16"/>
          <w:szCs w:val="16"/>
          <w:b w:val="1"/>
          <w:bCs w:val="1"/>
          <w:color w:val="auto"/>
        </w:rPr>
        <w:t>Exhibit 5</w:t>
      </w:r>
    </w:p>
    <w:p>
      <w:pPr>
        <w:spacing w:after="0" w:line="203"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Disclosure Schedules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0139"/>
          </w:cols>
          <w:pgMar w:left="320" w:top="832" w:right="1440" w:bottom="1440" w:gutter="0" w:footer="0" w:header="0"/>
        </w:sectPr>
      </w:pPr>
    </w:p>
    <w:bookmarkStart w:id="286" w:name="page287"/>
    <w:bookmarkEnd w:id="286"/>
    <w:p>
      <w:pPr>
        <w:ind w:left="8440"/>
        <w:spacing w:after="0"/>
        <w:rPr>
          <w:sz w:val="20"/>
          <w:szCs w:val="20"/>
          <w:color w:val="auto"/>
        </w:rPr>
      </w:pPr>
      <w:r>
        <w:rPr>
          <w:rFonts w:ascii="Arial" w:cs="Arial" w:eastAsia="Arial" w:hAnsi="Arial"/>
          <w:sz w:val="20"/>
          <w:szCs w:val="20"/>
          <w:color w:val="auto"/>
        </w:rPr>
        <w:t>Exhibit 10.23</w:t>
      </w:r>
    </w:p>
    <w:p>
      <w:pPr>
        <w:jc w:val="center"/>
        <w:ind w:right="-59"/>
        <w:spacing w:after="0"/>
        <w:rPr>
          <w:sz w:val="20"/>
          <w:szCs w:val="20"/>
          <w:color w:val="auto"/>
        </w:rPr>
      </w:pPr>
      <w:r>
        <w:rPr>
          <w:rFonts w:ascii="Arial" w:cs="Arial" w:eastAsia="Arial" w:hAnsi="Arial"/>
          <w:sz w:val="16"/>
          <w:szCs w:val="16"/>
          <w:b w:val="1"/>
          <w:bCs w:val="1"/>
          <w:color w:val="auto"/>
        </w:rPr>
        <w:t>Exhibit 6</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Bill of Sale and General Assignment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BILL OF SALE AND GENERAL ASSIGNMENT AGREEMENT</w:t>
      </w:r>
    </w:p>
    <w:p>
      <w:pPr>
        <w:spacing w:after="0" w:line="235" w:lineRule="exact"/>
        <w:rPr>
          <w:sz w:val="20"/>
          <w:szCs w:val="20"/>
          <w:color w:val="auto"/>
        </w:rPr>
      </w:pPr>
    </w:p>
    <w:p>
      <w:pPr>
        <w:jc w:val="both"/>
        <w:ind w:right="80" w:firstLine="583"/>
        <w:spacing w:after="0" w:line="305" w:lineRule="auto"/>
        <w:rPr>
          <w:sz w:val="20"/>
          <w:szCs w:val="20"/>
          <w:color w:val="auto"/>
        </w:rPr>
      </w:pPr>
      <w:r>
        <w:rPr>
          <w:rFonts w:ascii="Arial" w:cs="Arial" w:eastAsia="Arial" w:hAnsi="Arial"/>
          <w:sz w:val="15"/>
          <w:szCs w:val="15"/>
          <w:color w:val="auto"/>
        </w:rPr>
        <w:t xml:space="preserve">This Bill of Sale and General Assignment Agreement (this “Agreement”) is made and entered into effective as of the ___ day of May, 2018 (the “Effective Date”) by and between </w:t>
      </w:r>
      <w:r>
        <w:rPr>
          <w:rFonts w:ascii="Arial" w:cs="Arial" w:eastAsia="Arial" w:hAnsi="Arial"/>
          <w:sz w:val="15"/>
          <w:szCs w:val="15"/>
          <w:b w:val="1"/>
          <w:bCs w:val="1"/>
          <w:color w:val="auto"/>
        </w:rPr>
        <w:t>PROVENTION BIO, INC.,</w:t>
      </w:r>
      <w:r>
        <w:rPr>
          <w:rFonts w:ascii="Arial" w:cs="Arial" w:eastAsia="Arial" w:hAnsi="Arial"/>
          <w:sz w:val="15"/>
          <w:szCs w:val="15"/>
          <w:color w:val="auto"/>
        </w:rPr>
        <w:t xml:space="preserve"> a Delaware corporation, having its principal place of business at (hereinafter “</w:t>
      </w:r>
      <w:r>
        <w:rPr>
          <w:rFonts w:ascii="Arial" w:cs="Arial" w:eastAsia="Arial" w:hAnsi="Arial"/>
          <w:sz w:val="15"/>
          <w:szCs w:val="15"/>
          <w:b w:val="1"/>
          <w:bCs w:val="1"/>
          <w:color w:val="auto"/>
        </w:rPr>
        <w:t>Provention</w:t>
      </w:r>
      <w:r>
        <w:rPr>
          <w:rFonts w:ascii="Arial" w:cs="Arial" w:eastAsia="Arial" w:hAnsi="Arial"/>
          <w:sz w:val="15"/>
          <w:szCs w:val="15"/>
          <w:color w:val="auto"/>
        </w:rPr>
        <w:t xml:space="preserve">”) and </w:t>
      </w:r>
      <w:r>
        <w:rPr>
          <w:rFonts w:ascii="Arial" w:cs="Arial" w:eastAsia="Arial" w:hAnsi="Arial"/>
          <w:sz w:val="15"/>
          <w:szCs w:val="15"/>
          <w:b w:val="1"/>
          <w:bCs w:val="1"/>
          <w:color w:val="auto"/>
        </w:rPr>
        <w:t>MACROGENICS, INC.,</w:t>
      </w:r>
      <w:r>
        <w:rPr>
          <w:rFonts w:ascii="Arial" w:cs="Arial" w:eastAsia="Arial" w:hAnsi="Arial"/>
          <w:sz w:val="15"/>
          <w:szCs w:val="15"/>
          <w:color w:val="auto"/>
        </w:rPr>
        <w:t xml:space="preserve"> a Delaware corporation having its principal place of business at 9704 Medical Center Drive, Rockville, MD 20850 (hereinafter </w:t>
      </w:r>
      <w:r>
        <w:rPr>
          <w:rFonts w:ascii="Arial" w:cs="Arial" w:eastAsia="Arial" w:hAnsi="Arial"/>
          <w:sz w:val="15"/>
          <w:szCs w:val="15"/>
          <w:b w:val="1"/>
          <w:bCs w:val="1"/>
          <w:color w:val="auto"/>
        </w:rPr>
        <w:t>“MacroGenics”</w:t>
      </w:r>
      <w:r>
        <w:rPr>
          <w:rFonts w:ascii="Arial" w:cs="Arial" w:eastAsia="Arial" w:hAnsi="Arial"/>
          <w:sz w:val="15"/>
          <w:szCs w:val="15"/>
          <w:color w:val="auto"/>
        </w:rPr>
        <w:t>).</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MacroGenics and Provention are parties to that certain Asset Purchase Agreement, dated as of May ____, 2018 (the “Asset Purchase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231" w:lineRule="exact"/>
        <w:rPr>
          <w:sz w:val="20"/>
          <w:szCs w:val="20"/>
          <w:color w:val="auto"/>
        </w:rPr>
      </w:pPr>
    </w:p>
    <w:p>
      <w:pPr>
        <w:jc w:val="both"/>
        <w:ind w:firstLine="583"/>
        <w:spacing w:after="0" w:line="299"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in connection with the consummation of the transactions contemplated by the Asset Purchase Agreement, (i) MacroGenics shall sell, transfer, convey</w:t>
      </w:r>
      <w:r>
        <w:rPr>
          <w:rFonts w:ascii="Arial" w:cs="Arial" w:eastAsia="Arial" w:hAnsi="Arial"/>
          <w:sz w:val="15"/>
          <w:szCs w:val="15"/>
          <w:b w:val="1"/>
          <w:bCs w:val="1"/>
          <w:color w:val="auto"/>
        </w:rPr>
        <w:t xml:space="preserve"> </w:t>
      </w:r>
      <w:r>
        <w:rPr>
          <w:rFonts w:ascii="Arial" w:cs="Arial" w:eastAsia="Arial" w:hAnsi="Arial"/>
          <w:sz w:val="15"/>
          <w:szCs w:val="15"/>
          <w:color w:val="auto"/>
        </w:rPr>
        <w:t>and assign to Provention all of MacroGenics’ right, title, and interest in and to the Purchased Assets, and Provention shall purchase from MacroGenics all of MacroGenics’ right, title, and interest in and to the Purchased Assets, and (ii) MacroGenics shall assign to Provention and Provention has agreed to assume all of the Assumed Liabilities, each to be effective as of the Closing Date, subject to the terms and conditions of the Asset Purchase Agreement.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for good and valuable consideration, the receipt and sufficiency of which are hereby acknowledged, and intending to be legally bound,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MacroGenics and Provention (each a “Party” and collectively, the “Parties”) agree as follows:</w:t>
      </w:r>
    </w:p>
    <w:p>
      <w:pPr>
        <w:spacing w:after="0" w:line="262" w:lineRule="exact"/>
        <w:rPr>
          <w:sz w:val="20"/>
          <w:szCs w:val="20"/>
          <w:color w:val="auto"/>
        </w:rPr>
      </w:pPr>
    </w:p>
    <w:p>
      <w:pPr>
        <w:ind w:right="20" w:firstLine="598"/>
        <w:spacing w:after="0" w:line="297" w:lineRule="auto"/>
        <w:tabs>
          <w:tab w:leader="none" w:pos="1292" w:val="left"/>
        </w:tabs>
        <w:numPr>
          <w:ilvl w:val="0"/>
          <w:numId w:val="242"/>
        </w:numPr>
        <w:rPr>
          <w:rFonts w:ascii="Arial" w:cs="Arial" w:eastAsia="Arial" w:hAnsi="Arial"/>
          <w:sz w:val="15"/>
          <w:szCs w:val="15"/>
          <w:color w:val="auto"/>
        </w:rPr>
      </w:pPr>
      <w:r>
        <w:rPr>
          <w:rFonts w:ascii="Arial" w:cs="Arial" w:eastAsia="Arial" w:hAnsi="Arial"/>
          <w:sz w:val="15"/>
          <w:szCs w:val="15"/>
          <w:u w:val="single" w:color="auto"/>
          <w:color w:val="auto"/>
        </w:rPr>
        <w:t>Sale, Assignment, and Assumption</w:t>
      </w:r>
      <w:r>
        <w:rPr>
          <w:rFonts w:ascii="Arial" w:cs="Arial" w:eastAsia="Arial" w:hAnsi="Arial"/>
          <w:sz w:val="15"/>
          <w:szCs w:val="15"/>
          <w:color w:val="auto"/>
        </w:rPr>
        <w:t>. To be effective as of the Closing Date, and pursuant to the terms and subject to the conditions of the Asset Purchase Agreement, MacroGenics (i) sells, transfers, conveys and assigns to Provention all of MacroGenics’ right, title, and interest in and to the Purchased Assets and (ii) assigns the Assumed Liabilities to Provention. Provention (x) accepts such sale, transfer, conveyance and assignment of MacroGenics’ right, title, and interest in and to the Purchased Assets, and (y) assumes and agrees to pay, perform and discharge as and when due, as applicable, all of the Assumed Liabilities.</w:t>
      </w:r>
    </w:p>
    <w:p>
      <w:pPr>
        <w:spacing w:after="0" w:line="199" w:lineRule="exact"/>
        <w:rPr>
          <w:rFonts w:ascii="Arial" w:cs="Arial" w:eastAsia="Arial" w:hAnsi="Arial"/>
          <w:sz w:val="15"/>
          <w:szCs w:val="15"/>
          <w:color w:val="auto"/>
        </w:rPr>
      </w:pPr>
    </w:p>
    <w:p>
      <w:pPr>
        <w:ind w:right="20" w:firstLine="598"/>
        <w:spacing w:after="0" w:line="271" w:lineRule="auto"/>
        <w:tabs>
          <w:tab w:leader="none" w:pos="1292"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Terms of the Agreement</w:t>
      </w:r>
      <w:r>
        <w:rPr>
          <w:rFonts w:ascii="Arial" w:cs="Arial" w:eastAsia="Arial" w:hAnsi="Arial"/>
          <w:sz w:val="16"/>
          <w:szCs w:val="16"/>
          <w:color w:val="auto"/>
        </w:rPr>
        <w:t>. Nothing contained in this Agreement shall be deemed to modify, limit, expand, supersede, or amend any rights or obligations of MacroGenics or Provention under the Asset Purchase Agreement. This Agreement is intended only to effect the sale, assignment, transfer and conveyance of the Purchased Assets to Provention by MacroGenics and assumption of the Assumed Liabilities by Provention, all in accordance with the terms and conditions of the Asset Purchase Agreement. To the extent any conflict arises between any of the terms and provisions of this Agreement and any of the terms and provisions of the Asset Purchase Agreement, the terms and provisions of the Asset Purchase Agreement shall govern and control.</w:t>
      </w:r>
    </w:p>
    <w:p>
      <w:pPr>
        <w:sectPr>
          <w:pgSz w:w="11900" w:h="16838" w:orient="portrait"/>
          <w:cols w:equalWidth="0" w:num="1">
            <w:col w:w="11180"/>
          </w:cols>
          <w:pgMar w:left="320" w:top="832" w:right="399" w:bottom="1440" w:gutter="0" w:footer="0" w:header="0"/>
        </w:sectPr>
      </w:pPr>
    </w:p>
    <w:bookmarkStart w:id="287" w:name="page288"/>
    <w:bookmarkEnd w:id="287"/>
    <w:p>
      <w:pPr>
        <w:ind w:left="8440"/>
        <w:spacing w:after="0"/>
        <w:rPr>
          <w:sz w:val="20"/>
          <w:szCs w:val="20"/>
          <w:color w:val="auto"/>
        </w:rPr>
      </w:pPr>
      <w:r>
        <w:rPr>
          <w:rFonts w:ascii="Arial" w:cs="Arial" w:eastAsia="Arial" w:hAnsi="Arial"/>
          <w:sz w:val="20"/>
          <w:szCs w:val="20"/>
          <w:color w:val="auto"/>
        </w:rPr>
        <w:t>Exhibit 10.23</w:t>
      </w:r>
    </w:p>
    <w:p>
      <w:pPr>
        <w:spacing w:after="0" w:line="20" w:lineRule="exact"/>
        <w:rPr>
          <w:sz w:val="20"/>
          <w:szCs w:val="20"/>
          <w:color w:val="auto"/>
        </w:rPr>
      </w:pPr>
    </w:p>
    <w:p>
      <w:pPr>
        <w:ind w:right="380" w:firstLine="598"/>
        <w:spacing w:after="0" w:line="292" w:lineRule="auto"/>
        <w:tabs>
          <w:tab w:leader="none" w:pos="1292"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Nothing herein expressed or implied is intended to confer upon any person, other than the Parties and their respective successors and assigns, any rights, remedies, obligations, or liabilities.</w:t>
      </w:r>
    </w:p>
    <w:p>
      <w:pPr>
        <w:spacing w:after="0" w:line="199" w:lineRule="exact"/>
        <w:rPr>
          <w:rFonts w:ascii="Arial" w:cs="Arial" w:eastAsia="Arial" w:hAnsi="Arial"/>
          <w:sz w:val="16"/>
          <w:szCs w:val="16"/>
          <w:color w:val="auto"/>
        </w:rPr>
      </w:pPr>
    </w:p>
    <w:p>
      <w:pPr>
        <w:jc w:val="both"/>
        <w:ind w:firstLine="598"/>
        <w:spacing w:after="0" w:line="279" w:lineRule="auto"/>
        <w:tabs>
          <w:tab w:leader="none" w:pos="1292"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Asset Purchase Agreement (and the schedules and exhibits thereto) and the other documents executed in connection therewith, sets forth the entire agreement between the Parties with respect to the subject matter hereof, and cancels or supersedes all previous communications, representations, understandings, agreements, and arrangements between the Parties, written or oral, to the extent they relate in any way to the subject matter hereof.</w:t>
      </w:r>
    </w:p>
    <w:p>
      <w:pPr>
        <w:spacing w:after="0" w:line="210" w:lineRule="exact"/>
        <w:rPr>
          <w:rFonts w:ascii="Arial" w:cs="Arial" w:eastAsia="Arial" w:hAnsi="Arial"/>
          <w:sz w:val="16"/>
          <w:szCs w:val="16"/>
          <w:color w:val="auto"/>
        </w:rPr>
      </w:pPr>
    </w:p>
    <w:p>
      <w:pPr>
        <w:jc w:val="both"/>
        <w:ind w:firstLine="598"/>
        <w:spacing w:after="0" w:line="273" w:lineRule="auto"/>
        <w:tabs>
          <w:tab w:leader="none" w:pos="1292"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Agreement that is invalid or unenforceable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such provision shall be interpreted to be only so broad as is enforceable.</w:t>
      </w:r>
    </w:p>
    <w:p>
      <w:pPr>
        <w:spacing w:after="0" w:line="229" w:lineRule="exact"/>
        <w:rPr>
          <w:rFonts w:ascii="Arial" w:cs="Arial" w:eastAsia="Arial" w:hAnsi="Arial"/>
          <w:sz w:val="16"/>
          <w:szCs w:val="16"/>
          <w:color w:val="auto"/>
        </w:rPr>
      </w:pPr>
    </w:p>
    <w:p>
      <w:pPr>
        <w:ind w:right="140" w:firstLine="598"/>
        <w:spacing w:after="0" w:line="310" w:lineRule="auto"/>
        <w:tabs>
          <w:tab w:leader="none" w:pos="1292"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substantive law of the State of Delaware without regard to conflict of law principles.</w:t>
      </w:r>
    </w:p>
    <w:p>
      <w:pPr>
        <w:spacing w:after="0" w:line="199" w:lineRule="exact"/>
        <w:rPr>
          <w:rFonts w:ascii="Arial" w:cs="Arial" w:eastAsia="Arial" w:hAnsi="Arial"/>
          <w:sz w:val="16"/>
          <w:szCs w:val="16"/>
          <w:color w:val="auto"/>
        </w:rPr>
      </w:pPr>
    </w:p>
    <w:p>
      <w:pPr>
        <w:jc w:val="both"/>
        <w:ind w:firstLine="598"/>
        <w:spacing w:after="0" w:line="283" w:lineRule="auto"/>
        <w:tabs>
          <w:tab w:leader="none" w:pos="1292"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multiple counterparts, each of which shall be an original, but all of which together shall constitute one and the same agreement. This Agreement, any and all agreements and instruments executed and delivered in accordance herewith, along with any amendments hereto or thereto, to the extent signed and delivered by means of a facsimile machine or email delivery of a “.pdf” or similar format data file, shall be treated in all manner and respects and for all purposes as an original signature, agreement or instrument and shall be considered to have the same binding legal effect as if it were the original signed version thereof delivered in person. No Party hereto shall raise the use of a facsimile machine or e-mail delivery of a “.pdf” or similar format data file to deliver a signature to this Agreement or any amendment hereto or the fact that such signature was transmitted or communicated through the use of a facsimile machine or e-mail delivery of a “.pdf” or similar format data file as a defense to the formation or enforceability of a contract and each Party hereto forever waives any such defense.</w:t>
      </w:r>
    </w:p>
    <w:p>
      <w:pPr>
        <w:spacing w:after="0" w:line="196" w:lineRule="exact"/>
        <w:rPr>
          <w:rFonts w:ascii="Arial" w:cs="Arial" w:eastAsia="Arial" w:hAnsi="Arial"/>
          <w:sz w:val="15"/>
          <w:szCs w:val="15"/>
          <w:color w:val="auto"/>
        </w:rPr>
      </w:pPr>
    </w:p>
    <w:p>
      <w:pPr>
        <w:ind w:left="760" w:hanging="158"/>
        <w:spacing w:after="0"/>
        <w:tabs>
          <w:tab w:leader="none" w:pos="760"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This Agreement may be amended by the Parties at any time only by a written instrument signed by each of the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Parties.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11240"/>
          </w:cols>
          <w:pgMar w:left="320" w:top="838" w:right="339" w:bottom="1440" w:gutter="0" w:footer="0" w:header="0"/>
        </w:sectPr>
      </w:pPr>
    </w:p>
    <w:bookmarkStart w:id="288" w:name="page289"/>
    <w:bookmarkEnd w:id="288"/>
    <w:p>
      <w:pPr>
        <w:jc w:val="right"/>
        <w:ind w:right="639"/>
        <w:spacing w:after="0"/>
        <w:rPr>
          <w:sz w:val="20"/>
          <w:szCs w:val="20"/>
          <w:color w:val="auto"/>
        </w:rPr>
      </w:pPr>
      <w:r>
        <w:rPr>
          <w:rFonts w:ascii="Arial" w:cs="Arial" w:eastAsia="Arial" w:hAnsi="Arial"/>
          <w:sz w:val="20"/>
          <w:szCs w:val="20"/>
          <w:color w:val="auto"/>
        </w:rPr>
        <w:t>Exhibit 10.23</w:t>
      </w:r>
    </w:p>
    <w:p>
      <w:pPr>
        <w:spacing w:after="0"/>
        <w:rPr>
          <w:sz w:val="20"/>
          <w:szCs w:val="20"/>
          <w:color w:val="auto"/>
        </w:rPr>
      </w:pPr>
      <w:r>
        <w:rPr>
          <w:rFonts w:ascii="Arial" w:cs="Arial" w:eastAsia="Arial" w:hAnsi="Arial"/>
          <w:sz w:val="15"/>
          <w:szCs w:val="15"/>
          <w:color w:val="auto"/>
        </w:rPr>
        <w:t>IN WITNESS WHEREOF, each of the Parties is signing this Agreement as of the Effective Date.</w:t>
      </w:r>
    </w:p>
    <w:p>
      <w:pPr>
        <w:spacing w:after="0" w:line="206" w:lineRule="exact"/>
        <w:rPr>
          <w:sz w:val="20"/>
          <w:szCs w:val="20"/>
          <w:color w:val="auto"/>
        </w:rPr>
      </w:pPr>
    </w:p>
    <w:p>
      <w:pPr>
        <w:ind w:left="4560"/>
        <w:spacing w:after="0"/>
        <w:rPr>
          <w:sz w:val="20"/>
          <w:szCs w:val="20"/>
          <w:color w:val="auto"/>
        </w:rPr>
      </w:pPr>
      <w:r>
        <w:rPr>
          <w:rFonts w:ascii="Arial" w:cs="Arial" w:eastAsia="Arial" w:hAnsi="Arial"/>
          <w:sz w:val="16"/>
          <w:szCs w:val="16"/>
          <w:b w:val="1"/>
          <w:bCs w:val="1"/>
          <w:u w:val="single" w:color="auto"/>
          <w:color w:val="auto"/>
        </w:rPr>
        <w:t>MACROGENICS</w:t>
      </w:r>
      <w:r>
        <w:rPr>
          <w:rFonts w:ascii="Arial" w:cs="Arial" w:eastAsia="Arial" w:hAnsi="Arial"/>
          <w:sz w:val="16"/>
          <w:szCs w:val="16"/>
          <w:b w:val="1"/>
          <w:bCs w:val="1"/>
          <w:color w:val="auto"/>
        </w:rPr>
        <w:t>:</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MacroGenics, Inc.</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Title:</w:t>
      </w:r>
    </w:p>
    <w:p>
      <w:pPr>
        <w:spacing w:after="0" w:line="217" w:lineRule="exact"/>
        <w:rPr>
          <w:sz w:val="20"/>
          <w:szCs w:val="20"/>
          <w:color w:val="auto"/>
        </w:rPr>
      </w:pPr>
    </w:p>
    <w:p>
      <w:pPr>
        <w:ind w:left="4560"/>
        <w:spacing w:after="0"/>
        <w:rPr>
          <w:sz w:val="20"/>
          <w:szCs w:val="20"/>
          <w:color w:val="auto"/>
        </w:rPr>
      </w:pPr>
      <w:r>
        <w:rPr>
          <w:rFonts w:ascii="Arial" w:cs="Arial" w:eastAsia="Arial" w:hAnsi="Arial"/>
          <w:sz w:val="16"/>
          <w:szCs w:val="16"/>
          <w:b w:val="1"/>
          <w:bCs w:val="1"/>
          <w:u w:val="single" w:color="auto"/>
          <w:color w:val="auto"/>
        </w:rPr>
        <w:t>PROVENTION</w:t>
      </w:r>
      <w:r>
        <w:rPr>
          <w:rFonts w:ascii="Arial" w:cs="Arial" w:eastAsia="Arial" w:hAnsi="Arial"/>
          <w:sz w:val="16"/>
          <w:szCs w:val="16"/>
          <w:b w:val="1"/>
          <w:bCs w:val="1"/>
          <w:color w:val="auto"/>
        </w:rPr>
        <w:t>:</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Provention Bio, Inc.</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0139"/>
          </w:cols>
          <w:pgMar w:left="320" w:top="826" w:right="1440" w:bottom="1440" w:gutter="0" w:footer="0" w:header="0"/>
        </w:sectPr>
      </w:pPr>
    </w:p>
    <w:bookmarkStart w:id="289" w:name="page290"/>
    <w:bookmarkEnd w:id="289"/>
    <w:p>
      <w:pPr>
        <w:ind w:left="8440"/>
        <w:spacing w:after="0"/>
        <w:rPr>
          <w:sz w:val="20"/>
          <w:szCs w:val="20"/>
          <w:color w:val="auto"/>
        </w:rPr>
      </w:pPr>
      <w:r>
        <w:rPr>
          <w:rFonts w:ascii="Arial" w:cs="Arial" w:eastAsia="Arial" w:hAnsi="Arial"/>
          <w:sz w:val="20"/>
          <w:szCs w:val="20"/>
          <w:color w:val="auto"/>
        </w:rPr>
        <w:t>Exhibit 10.23</w:t>
      </w:r>
    </w:p>
    <w:p>
      <w:pPr>
        <w:jc w:val="center"/>
        <w:ind w:right="-19"/>
        <w:spacing w:after="0"/>
        <w:rPr>
          <w:sz w:val="20"/>
          <w:szCs w:val="20"/>
          <w:color w:val="auto"/>
        </w:rPr>
      </w:pPr>
      <w:r>
        <w:rPr>
          <w:rFonts w:ascii="Arial" w:cs="Arial" w:eastAsia="Arial" w:hAnsi="Arial"/>
          <w:sz w:val="16"/>
          <w:szCs w:val="16"/>
          <w:b w:val="1"/>
          <w:bCs w:val="1"/>
          <w:color w:val="auto"/>
        </w:rPr>
        <w:t>Exhibit 7</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Patent Assignment Agreement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PATENT ASSIGNMENT AGREEMENT</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This Patent Assignment Agreement (this “Agreement”) is made and entered into effective as of the ____ day of May, 2018 (the “Effective</w:t>
      </w:r>
    </w:p>
    <w:p>
      <w:pPr>
        <w:spacing w:after="0" w:line="231" w:lineRule="exact"/>
        <w:rPr>
          <w:sz w:val="20"/>
          <w:szCs w:val="20"/>
          <w:color w:val="auto"/>
        </w:rPr>
      </w:pPr>
    </w:p>
    <w:p>
      <w:pPr>
        <w:ind w:right="160"/>
        <w:spacing w:after="0" w:line="315" w:lineRule="auto"/>
        <w:rPr>
          <w:sz w:val="20"/>
          <w:szCs w:val="20"/>
          <w:color w:val="auto"/>
        </w:rPr>
      </w:pPr>
      <w:r>
        <w:rPr>
          <w:rFonts w:ascii="Arial" w:cs="Arial" w:eastAsia="Arial" w:hAnsi="Arial"/>
          <w:sz w:val="15"/>
          <w:szCs w:val="15"/>
          <w:color w:val="auto"/>
        </w:rPr>
        <w:t xml:space="preserve">Date”) by and between </w:t>
      </w:r>
      <w:r>
        <w:rPr>
          <w:rFonts w:ascii="Arial" w:cs="Arial" w:eastAsia="Arial" w:hAnsi="Arial"/>
          <w:sz w:val="15"/>
          <w:szCs w:val="15"/>
          <w:b w:val="1"/>
          <w:bCs w:val="1"/>
          <w:color w:val="auto"/>
        </w:rPr>
        <w:t>PROVENTION BIO, INC.,</w:t>
      </w:r>
      <w:r>
        <w:rPr>
          <w:rFonts w:ascii="Arial" w:cs="Arial" w:eastAsia="Arial" w:hAnsi="Arial"/>
          <w:sz w:val="15"/>
          <w:szCs w:val="15"/>
          <w:color w:val="auto"/>
        </w:rPr>
        <w:t xml:space="preserve"> a Delaware Corporation, having its principal place of business at (hereinafter “</w:t>
      </w:r>
      <w:r>
        <w:rPr>
          <w:rFonts w:ascii="Arial" w:cs="Arial" w:eastAsia="Arial" w:hAnsi="Arial"/>
          <w:sz w:val="15"/>
          <w:szCs w:val="15"/>
          <w:b w:val="1"/>
          <w:bCs w:val="1"/>
          <w:color w:val="auto"/>
        </w:rPr>
        <w:t>Provention</w:t>
      </w:r>
      <w:r>
        <w:rPr>
          <w:rFonts w:ascii="Arial" w:cs="Arial" w:eastAsia="Arial" w:hAnsi="Arial"/>
          <w:sz w:val="15"/>
          <w:szCs w:val="15"/>
          <w:color w:val="auto"/>
        </w:rPr>
        <w:t xml:space="preserve">”) and </w:t>
      </w:r>
      <w:r>
        <w:rPr>
          <w:rFonts w:ascii="Arial" w:cs="Arial" w:eastAsia="Arial" w:hAnsi="Arial"/>
          <w:sz w:val="15"/>
          <w:szCs w:val="15"/>
          <w:b w:val="1"/>
          <w:bCs w:val="1"/>
          <w:color w:val="auto"/>
        </w:rPr>
        <w:t>MACROGENICS,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INC., </w:t>
      </w:r>
      <w:r>
        <w:rPr>
          <w:rFonts w:ascii="Arial" w:cs="Arial" w:eastAsia="Arial" w:hAnsi="Arial"/>
          <w:sz w:val="15"/>
          <w:szCs w:val="15"/>
          <w:color w:val="auto"/>
        </w:rPr>
        <w:t>a Delaware corporation having its principal place of business at 9704 Medical Center Drive, Rockville, MD 20850 (hereinafter “</w:t>
      </w:r>
      <w:r>
        <w:rPr>
          <w:rFonts w:ascii="Arial" w:cs="Arial" w:eastAsia="Arial" w:hAnsi="Arial"/>
          <w:sz w:val="15"/>
          <w:szCs w:val="15"/>
          <w:b w:val="1"/>
          <w:bCs w:val="1"/>
          <w:color w:val="auto"/>
        </w:rPr>
        <w:t>MacroGenics</w:t>
      </w:r>
      <w:r>
        <w:rPr>
          <w:rFonts w:ascii="Arial" w:cs="Arial" w:eastAsia="Arial" w:hAnsi="Arial"/>
          <w:sz w:val="15"/>
          <w:szCs w:val="15"/>
          <w:color w:val="auto"/>
        </w:rPr>
        <w:t>”).</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MacroGenics and Provention are parties to that certain Asset Purchase Agreement, dated as of May ____, 2018 pursuant to</w:t>
      </w:r>
    </w:p>
    <w:p>
      <w:pPr>
        <w:spacing w:after="0" w:line="239"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 xml:space="preserve">which MacroGenics shall transfer, convey, assign and deliver to Provention all of MacroGenics’ rights, title and interests in all patent applications and issued patents that are identified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attached hereto, or claim priority to any patent application listed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(collectively, the “</w:t>
      </w:r>
      <w:r>
        <w:rPr>
          <w:rFonts w:ascii="Arial" w:cs="Arial" w:eastAsia="Arial" w:hAnsi="Arial"/>
          <w:sz w:val="15"/>
          <w:szCs w:val="15"/>
          <w:b w:val="1"/>
          <w:bCs w:val="1"/>
          <w:color w:val="auto"/>
        </w:rPr>
        <w:t>Assigned Patents</w:t>
      </w:r>
      <w:r>
        <w:rPr>
          <w:rFonts w:ascii="Arial" w:cs="Arial" w:eastAsia="Arial" w:hAnsi="Arial"/>
          <w:sz w:val="15"/>
          <w:szCs w:val="15"/>
          <w:color w:val="auto"/>
        </w:rPr>
        <w:t>”).</w:t>
      </w:r>
    </w:p>
    <w:p>
      <w:pPr>
        <w:spacing w:after="0" w:line="186" w:lineRule="exact"/>
        <w:rPr>
          <w:sz w:val="20"/>
          <w:szCs w:val="20"/>
          <w:color w:val="auto"/>
        </w:rPr>
      </w:pPr>
    </w:p>
    <w:p>
      <w:pPr>
        <w:ind w:right="240" w:firstLine="1167"/>
        <w:spacing w:after="0" w:line="316"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are hereby acknowledged, and intending to be legally</w:t>
      </w:r>
      <w:r>
        <w:rPr>
          <w:rFonts w:ascii="Arial" w:cs="Arial" w:eastAsia="Arial" w:hAnsi="Arial"/>
          <w:sz w:val="16"/>
          <w:szCs w:val="16"/>
          <w:b w:val="1"/>
          <w:bCs w:val="1"/>
          <w:color w:val="auto"/>
        </w:rPr>
        <w:t xml:space="preserve"> </w:t>
      </w:r>
      <w:r>
        <w:rPr>
          <w:rFonts w:ascii="Arial" w:cs="Arial" w:eastAsia="Arial" w:hAnsi="Arial"/>
          <w:sz w:val="16"/>
          <w:szCs w:val="16"/>
          <w:color w:val="auto"/>
        </w:rPr>
        <w:t>bound, MacroGenics and Provention (each a “Party” and collectively, the “Parties”) agree as follows:</w:t>
      </w:r>
    </w:p>
    <w:p>
      <w:pPr>
        <w:spacing w:after="0" w:line="195" w:lineRule="exact"/>
        <w:rPr>
          <w:sz w:val="20"/>
          <w:szCs w:val="20"/>
          <w:color w:val="auto"/>
        </w:rPr>
      </w:pPr>
    </w:p>
    <w:p>
      <w:pPr>
        <w:ind w:firstLine="1174"/>
        <w:spacing w:after="0" w:line="282" w:lineRule="auto"/>
        <w:rPr>
          <w:sz w:val="20"/>
          <w:szCs w:val="20"/>
          <w:color w:val="auto"/>
        </w:rPr>
      </w:pPr>
      <w:r>
        <w:rPr>
          <w:rFonts w:ascii="Arial" w:cs="Arial" w:eastAsia="Arial" w:hAnsi="Arial"/>
          <w:sz w:val="15"/>
          <w:szCs w:val="15"/>
          <w:color w:val="auto"/>
        </w:rPr>
        <w:t>1.</w:t>
      </w:r>
      <w:r>
        <w:rPr>
          <w:rFonts w:ascii="Arial" w:cs="Arial" w:eastAsia="Arial" w:hAnsi="Arial"/>
          <w:sz w:val="15"/>
          <w:szCs w:val="15"/>
          <w:u w:val="single" w:color="auto"/>
          <w:color w:val="auto"/>
        </w:rPr>
        <w:t>Patent Assignment</w:t>
      </w:r>
      <w:r>
        <w:rPr>
          <w:rFonts w:ascii="Arial" w:cs="Arial" w:eastAsia="Arial" w:hAnsi="Arial"/>
          <w:sz w:val="15"/>
          <w:szCs w:val="15"/>
          <w:color w:val="auto"/>
        </w:rPr>
        <w:t>. MacroGenics hereby conveys, transfers, and assigns to Provention, its successors and assigns, MacroGenics’ entire right, title and interest for the United States, its territories and possession, and all foreign countries in and to the Assigned Patents and all rights, claims and privileges pertaining thereto, including without limitation, all inventions and discoveries disclosed therein, certificates of invention and applications for certificates of invention, and any substitutions, reissues, reexaminations, divisions, renewals, extensions, provisionals, continuations, continuations-in-part, continued prosecution applications, and corresponding foreign patents and patent applications and foreign counterparts thereof, and any and all rights to sue and recover for claims and remedies against and collect damages and other recoveries for past, present and future infringements of any or all of the foregoing, and rights for priority and protection of interests therein under the laws of any jurisdiction and hereby grants to Provention the right to apply, obtain and hold in its own name for patents or inventor’s certificates and related rights heretofore or hereafter filed in any and all countries, including, without limitation, the right to prosecute and maintain the same and all rights to claim priority based thereon, all patents granted thereon and all reissues, extensions and renewals thereof.</w:t>
      </w:r>
    </w:p>
    <w:p>
      <w:pPr>
        <w:spacing w:after="0" w:line="214" w:lineRule="exact"/>
        <w:rPr>
          <w:sz w:val="20"/>
          <w:szCs w:val="20"/>
          <w:color w:val="auto"/>
        </w:rPr>
      </w:pPr>
    </w:p>
    <w:p>
      <w:pPr>
        <w:ind w:right="140" w:firstLine="1174"/>
        <w:spacing w:after="0" w:line="278" w:lineRule="auto"/>
        <w:rPr>
          <w:sz w:val="20"/>
          <w:szCs w:val="20"/>
          <w:color w:val="auto"/>
        </w:rPr>
      </w:pPr>
      <w:r>
        <w:rPr>
          <w:rFonts w:ascii="Arial" w:cs="Arial" w:eastAsia="Arial" w:hAnsi="Arial"/>
          <w:sz w:val="16"/>
          <w:szCs w:val="16"/>
          <w:color w:val="auto"/>
        </w:rPr>
        <w:t>2.</w:t>
      </w:r>
      <w:r>
        <w:rPr>
          <w:rFonts w:ascii="Arial" w:cs="Arial" w:eastAsia="Arial" w:hAnsi="Arial"/>
          <w:sz w:val="16"/>
          <w:szCs w:val="16"/>
          <w:u w:val="single" w:color="auto"/>
          <w:color w:val="auto"/>
        </w:rPr>
        <w:t>Authorization</w:t>
      </w:r>
      <w:r>
        <w:rPr>
          <w:rFonts w:ascii="Arial" w:cs="Arial" w:eastAsia="Arial" w:hAnsi="Arial"/>
          <w:sz w:val="16"/>
          <w:szCs w:val="16"/>
          <w:color w:val="auto"/>
        </w:rPr>
        <w:t>. MacroGenics authorizes and requests the Commissioner of Patents and Trademarks of the United States, and any other official throughout the world whose duty is to register and record ownership in patent registrations and applications for registration of patents, to record Provention as the assignee and owner of any and all right in the Assigned Patents.</w:t>
      </w:r>
    </w:p>
    <w:p>
      <w:pPr>
        <w:sectPr>
          <w:pgSz w:w="11900" w:h="16838" w:orient="portrait"/>
          <w:cols w:equalWidth="0" w:num="1">
            <w:col w:w="11220"/>
          </w:cols>
          <w:pgMar w:left="320" w:top="832" w:right="359" w:bottom="1440" w:gutter="0" w:footer="0" w:header="0"/>
        </w:sectPr>
      </w:pPr>
    </w:p>
    <w:bookmarkStart w:id="290" w:name="page291"/>
    <w:bookmarkEnd w:id="290"/>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firstLine="1174"/>
        <w:spacing w:after="0" w:line="277" w:lineRule="auto"/>
        <w:rPr>
          <w:sz w:val="20"/>
          <w:szCs w:val="20"/>
          <w:color w:val="auto"/>
        </w:rPr>
      </w:pPr>
      <w:r>
        <w:rPr>
          <w:rFonts w:ascii="Arial" w:cs="Arial" w:eastAsia="Arial" w:hAnsi="Arial"/>
          <w:sz w:val="15"/>
          <w:szCs w:val="15"/>
          <w:color w:val="auto"/>
        </w:rPr>
        <w:t>3.</w:t>
      </w:r>
      <w:r>
        <w:rPr>
          <w:rFonts w:ascii="Arial" w:cs="Arial" w:eastAsia="Arial" w:hAnsi="Arial"/>
          <w:sz w:val="15"/>
          <w:szCs w:val="15"/>
          <w:u w:val="single" w:color="auto"/>
          <w:color w:val="auto"/>
        </w:rPr>
        <w:t>Miscellaneous</w:t>
      </w:r>
      <w:r>
        <w:rPr>
          <w:rFonts w:ascii="Arial" w:cs="Arial" w:eastAsia="Arial" w:hAnsi="Arial"/>
          <w:sz w:val="15"/>
          <w:szCs w:val="15"/>
          <w:color w:val="auto"/>
        </w:rPr>
        <w:t>. This Assignment will be binding upon and inure to the benefit of the Parties hereto and their respective successors and permitted assigns, each of which such successors and permitted assigns will be deemed to be a Party hereto for all purposes hereof. This Assignment and any of the terms contained herein may be amended or modified by MacroGenics and Provention only in writing. This Assignment is executed by, and shall be binding upon, MacroGenics and Provention and their respective successors and assigns, for the uses and purposes set forth and referred to above, effective immediately upon its delivery to Provention. This Assignment shall be governed by and construed in accordance with the laws of the State of Delaware, without regard to conflict of law principles. This Agreement may be executed in multiple counterparts, each of which shall be an original, but all of which together shall constitute one and the same agreement. This Agreement, any and all agreements and instruments executed and delivered in accordance herewith, along with any amendments hereto or thereto, to the extent signed and delivered by means of a facsimile machine or email delivery of a “.pdf” or similar format data file, shall be treated in all manner and respects and for all purposes as an original signature, agreement or instrument and shall be considered to have the same binding legal effect as if it were the original signed version thereof delivered in person. No Party hereto shall raise the use of a facsimile machine or email delivery of a “.pdf” or similar format data file to deliver a signature to this Agreement or any amendment hereto or the fact that such signature was transmitted or communicated through the use of a facsimile machine or e-mail delivery of a “.pdf” or similar format date file as a defense to the formation or enforceability of a contract and each Party hereto forever waives any such defense.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11240"/>
          </w:cols>
          <w:pgMar w:left="320" w:top="838" w:right="339" w:bottom="1440" w:gutter="0" w:footer="0" w:header="0"/>
        </w:sectPr>
      </w:pPr>
    </w:p>
    <w:bookmarkStart w:id="291" w:name="page292"/>
    <w:bookmarkEnd w:id="291"/>
    <w:p>
      <w:pPr>
        <w:jc w:val="right"/>
        <w:ind w:right="639"/>
        <w:spacing w:after="0"/>
        <w:rPr>
          <w:sz w:val="20"/>
          <w:szCs w:val="20"/>
          <w:color w:val="auto"/>
        </w:rPr>
      </w:pPr>
      <w:r>
        <w:rPr>
          <w:rFonts w:ascii="Arial" w:cs="Arial" w:eastAsia="Arial" w:hAnsi="Arial"/>
          <w:sz w:val="20"/>
          <w:szCs w:val="20"/>
          <w:color w:val="auto"/>
        </w:rPr>
        <w:t>Exhibit 10.23</w:t>
      </w:r>
    </w:p>
    <w:p>
      <w:pPr>
        <w:spacing w:after="0"/>
        <w:rPr>
          <w:sz w:val="20"/>
          <w:szCs w:val="20"/>
          <w:color w:val="auto"/>
        </w:rPr>
      </w:pPr>
      <w:r>
        <w:rPr>
          <w:rFonts w:ascii="Arial" w:cs="Arial" w:eastAsia="Arial" w:hAnsi="Arial"/>
          <w:sz w:val="16"/>
          <w:szCs w:val="16"/>
          <w:color w:val="auto"/>
        </w:rPr>
        <w:t>IN WITNESS WHEREOF, each of the Parties is signing this Agreement as of the Effective Date.</w:t>
      </w:r>
    </w:p>
    <w:p>
      <w:pPr>
        <w:spacing w:after="0" w:line="203" w:lineRule="exact"/>
        <w:rPr>
          <w:sz w:val="20"/>
          <w:szCs w:val="20"/>
          <w:color w:val="auto"/>
        </w:rPr>
      </w:pPr>
    </w:p>
    <w:p>
      <w:pPr>
        <w:ind w:left="5160"/>
        <w:spacing w:after="0"/>
        <w:rPr>
          <w:sz w:val="20"/>
          <w:szCs w:val="20"/>
          <w:color w:val="auto"/>
        </w:rPr>
      </w:pPr>
      <w:r>
        <w:rPr>
          <w:rFonts w:ascii="Arial" w:cs="Arial" w:eastAsia="Arial" w:hAnsi="Arial"/>
          <w:sz w:val="16"/>
          <w:szCs w:val="16"/>
          <w:b w:val="1"/>
          <w:bCs w:val="1"/>
          <w:u w:val="single" w:color="auto"/>
          <w:color w:val="auto"/>
        </w:rPr>
        <w:t>MACROGENICS</w:t>
      </w:r>
      <w:r>
        <w:rPr>
          <w:rFonts w:ascii="Arial" w:cs="Arial" w:eastAsia="Arial" w:hAnsi="Arial"/>
          <w:sz w:val="16"/>
          <w:szCs w:val="16"/>
          <w:b w:val="1"/>
          <w:bCs w:val="1"/>
          <w:color w:val="auto"/>
        </w:rPr>
        <w:t>:</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MacroGenics, Inc.</w:t>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By:</w:t>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6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64"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0139"/>
          </w:cols>
          <w:pgMar w:left="320" w:top="832"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STATE OF 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ectPr>
          <w:pgSz w:w="11900" w:h="16838" w:orient="portrait"/>
          <w:cols w:equalWidth="0" w:num="2">
            <w:col w:w="1900" w:space="180"/>
            <w:col w:w="8059"/>
          </w:cols>
          <w:pgMar w:left="320" w:top="832" w:right="1440" w:bottom="1440" w:gutter="0" w:footer="0" w:header="0"/>
          <w:type w:val="continuous"/>
        </w:sectPr>
      </w:pPr>
    </w:p>
    <w:p>
      <w:pPr>
        <w:spacing w:after="0" w:line="26"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}ss:</w:t>
      </w:r>
    </w:p>
    <w:p>
      <w:pPr>
        <w:sectPr>
          <w:pgSz w:w="11900" w:h="16838" w:orient="portrait"/>
          <w:cols w:equalWidth="0" w:num="1">
            <w:col w:w="10139"/>
          </w:cols>
          <w:pgMar w:left="320" w:top="832" w:right="1440" w:bottom="1440" w:gutter="0" w:footer="0" w:header="0"/>
          <w:type w:val="continuous"/>
        </w:sectPr>
      </w:pPr>
    </w:p>
    <w:p>
      <w:pPr>
        <w:spacing w:after="0" w:line="235" w:lineRule="exact"/>
        <w:rPr>
          <w:sz w:val="20"/>
          <w:szCs w:val="20"/>
          <w:color w:val="auto"/>
        </w:rPr>
      </w:pPr>
    </w:p>
    <w:p>
      <w:pPr>
        <w:spacing w:after="0"/>
        <w:tabs>
          <w:tab w:leader="none" w:pos="5840" w:val="left"/>
        </w:tabs>
        <w:rPr>
          <w:sz w:val="20"/>
          <w:szCs w:val="20"/>
          <w:color w:val="auto"/>
        </w:rPr>
      </w:pPr>
      <w:r>
        <w:rPr>
          <w:rFonts w:ascii="Arial" w:cs="Arial" w:eastAsia="Arial" w:hAnsi="Arial"/>
          <w:sz w:val="16"/>
          <w:szCs w:val="16"/>
          <w:color w:val="auto"/>
        </w:rPr>
        <w:t>COUNTY OF __________</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73" w:lineRule="exact"/>
        <w:rPr>
          <w:sz w:val="20"/>
          <w:szCs w:val="20"/>
          <w:color w:val="auto"/>
        </w:rPr>
      </w:pPr>
    </w:p>
    <w:p>
      <w:pPr>
        <w:spacing w:after="0"/>
        <w:tabs>
          <w:tab w:leader="none" w:pos="340" w:val="left"/>
          <w:tab w:leader="none" w:pos="700" w:val="left"/>
          <w:tab w:leader="none" w:pos="1520" w:val="left"/>
          <w:tab w:leader="none" w:pos="1920" w:val="left"/>
          <w:tab w:leader="none" w:pos="2220" w:val="left"/>
          <w:tab w:leader="none" w:pos="3420" w:val="left"/>
          <w:tab w:leader="none" w:pos="3720" w:val="left"/>
          <w:tab w:leader="none" w:pos="4080" w:val="left"/>
          <w:tab w:leader="none" w:pos="4520" w:val="left"/>
          <w:tab w:leader="none" w:pos="5200" w:val="left"/>
          <w:tab w:leader="none" w:pos="5780" w:val="left"/>
          <w:tab w:leader="none" w:pos="6180" w:val="left"/>
        </w:tabs>
        <w:rPr>
          <w:sz w:val="20"/>
          <w:szCs w:val="20"/>
          <w:color w:val="auto"/>
        </w:rPr>
      </w:pPr>
      <w:r>
        <w:rPr>
          <w:rFonts w:ascii="Arial" w:cs="Arial" w:eastAsia="Arial" w:hAnsi="Arial"/>
          <w:sz w:val="16"/>
          <w:szCs w:val="16"/>
          <w:color w:val="auto"/>
        </w:rPr>
        <w:t>On</w:t>
        <w:tab/>
        <w:t>the</w:t>
        <w:tab/>
        <w:t>________</w:t>
        <w:tab/>
        <w:t>day</w:t>
        <w:tab/>
        <w:t>of</w:t>
        <w:tab/>
        <w:t>_____________</w:t>
        <w:tab/>
        <w:t>in</w:t>
        <w:tab/>
        <w:t>the</w:t>
        <w:tab/>
        <w:t>year</w:t>
        <w:tab/>
        <w:t>20____,</w:t>
        <w:tab/>
        <w:t>before</w:t>
        <w:tab/>
        <w:t>me,</w:t>
      </w:r>
      <w:r>
        <w:rPr>
          <w:sz w:val="20"/>
          <w:szCs w:val="20"/>
          <w:color w:val="auto"/>
        </w:rPr>
        <w:tab/>
      </w:r>
      <w:r>
        <w:rPr>
          <w:rFonts w:ascii="Arial" w:cs="Arial" w:eastAsia="Arial" w:hAnsi="Arial"/>
          <w:sz w:val="14"/>
          <w:szCs w:val="14"/>
          <w:color w:val="auto"/>
        </w:rPr>
        <w:t>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980" w:val="left"/>
          <w:tab w:leader="none" w:pos="1820" w:val="left"/>
        </w:tabs>
        <w:rPr>
          <w:sz w:val="20"/>
          <w:szCs w:val="20"/>
          <w:color w:val="auto"/>
        </w:rPr>
      </w:pPr>
      <w:r>
        <w:rPr>
          <w:rFonts w:ascii="Arial" w:cs="Arial" w:eastAsia="Arial" w:hAnsi="Arial"/>
          <w:sz w:val="16"/>
          <w:szCs w:val="16"/>
          <w:color w:val="auto"/>
        </w:rPr>
        <w:t>undersigned,</w:t>
        <w:tab/>
        <w:t>personally</w:t>
      </w:r>
      <w:r>
        <w:rPr>
          <w:sz w:val="20"/>
          <w:szCs w:val="20"/>
          <w:color w:val="auto"/>
        </w:rPr>
        <w:tab/>
      </w:r>
      <w:r>
        <w:rPr>
          <w:rFonts w:ascii="Arial" w:cs="Arial" w:eastAsia="Arial" w:hAnsi="Arial"/>
          <w:sz w:val="13"/>
          <w:szCs w:val="13"/>
          <w:color w:val="auto"/>
        </w:rPr>
        <w:t>appeared</w:t>
      </w:r>
    </w:p>
    <w:p>
      <w:pPr>
        <w:sectPr>
          <w:pgSz w:w="11900" w:h="16838" w:orient="portrait"/>
          <w:cols w:equalWidth="0" w:num="2">
            <w:col w:w="6400" w:space="160"/>
            <w:col w:w="3579"/>
          </w:cols>
          <w:pgMar w:left="320" w:top="832" w:right="1440" w:bottom="1440" w:gutter="0" w:footer="0" w:header="0"/>
          <w:type w:val="continuous"/>
        </w:sectPr>
      </w:pPr>
    </w:p>
    <w:bookmarkStart w:id="292" w:name="page293"/>
    <w:bookmarkEnd w:id="292"/>
    <w:p>
      <w:pPr>
        <w:ind w:left="8440"/>
        <w:spacing w:after="0"/>
        <w:rPr>
          <w:sz w:val="20"/>
          <w:szCs w:val="20"/>
          <w:color w:val="auto"/>
        </w:rPr>
      </w:pPr>
      <w:r>
        <w:rPr>
          <w:rFonts w:ascii="Arial" w:cs="Arial" w:eastAsia="Arial" w:hAnsi="Arial"/>
          <w:sz w:val="20"/>
          <w:szCs w:val="20"/>
          <w:color w:val="auto"/>
        </w:rPr>
        <w:t>Exhibit 10.23</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 personally known to me or proved to me on the basis of satisfactory evidence to be the individual(s) whose</w:t>
      </w:r>
    </w:p>
    <w:p>
      <w:pPr>
        <w:spacing w:after="0" w:line="2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Notary Public, State of _________________</w:t>
      </w:r>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Printed Name:</w:t>
      </w:r>
    </w:p>
    <w:p>
      <w:pPr>
        <w:spacing w:after="0" w:line="221"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Commission #:</w:t>
      </w:r>
    </w:p>
    <w:p>
      <w:pPr>
        <w:sectPr>
          <w:pgSz w:w="11900" w:h="16838" w:orient="portrait"/>
          <w:cols w:equalWidth="0" w:num="1">
            <w:col w:w="10780"/>
          </w:cols>
          <w:pgMar w:left="320" w:top="838" w:right="799" w:bottom="1440" w:gutter="0" w:footer="0" w:header="0"/>
        </w:sectPr>
      </w:pPr>
    </w:p>
    <w:bookmarkStart w:id="293" w:name="page294"/>
    <w:bookmarkEnd w:id="293"/>
    <w:p>
      <w:pPr>
        <w:jc w:val="right"/>
        <w:ind w:right="639"/>
        <w:spacing w:after="0"/>
        <w:rPr>
          <w:sz w:val="20"/>
          <w:szCs w:val="20"/>
          <w:color w:val="auto"/>
        </w:rPr>
      </w:pPr>
      <w:r>
        <w:rPr>
          <w:rFonts w:ascii="Arial" w:cs="Arial" w:eastAsia="Arial" w:hAnsi="Arial"/>
          <w:sz w:val="20"/>
          <w:szCs w:val="20"/>
          <w:color w:val="auto"/>
        </w:rPr>
        <w:t>Exhibit 10.23</w:t>
      </w:r>
    </w:p>
    <w:p>
      <w:pPr>
        <w:ind w:left="5160"/>
        <w:spacing w:after="0"/>
        <w:rPr>
          <w:sz w:val="20"/>
          <w:szCs w:val="20"/>
          <w:color w:val="auto"/>
        </w:rPr>
      </w:pPr>
      <w:r>
        <w:rPr>
          <w:rFonts w:ascii="Arial" w:cs="Arial" w:eastAsia="Arial" w:hAnsi="Arial"/>
          <w:sz w:val="16"/>
          <w:szCs w:val="16"/>
          <w:b w:val="1"/>
          <w:bCs w:val="1"/>
          <w:u w:val="single" w:color="auto"/>
          <w:color w:val="auto"/>
        </w:rPr>
        <w:t>PROVENTION</w:t>
      </w:r>
      <w:r>
        <w:rPr>
          <w:rFonts w:ascii="Arial" w:cs="Arial" w:eastAsia="Arial" w:hAnsi="Arial"/>
          <w:sz w:val="16"/>
          <w:szCs w:val="16"/>
          <w:b w:val="1"/>
          <w:bCs w:val="1"/>
          <w:color w:val="auto"/>
        </w:rPr>
        <w:t>:</w:t>
      </w: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Provention Bio, Inc.</w:t>
      </w:r>
    </w:p>
    <w:p>
      <w:pPr>
        <w:spacing w:after="0" w:line="22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By:</w:t>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6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64"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0139"/>
          </w:cols>
          <w:pgMar w:left="320" w:top="832"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STATE OF 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ectPr>
          <w:pgSz w:w="11900" w:h="16838" w:orient="portrait"/>
          <w:cols w:equalWidth="0" w:num="2">
            <w:col w:w="1900" w:space="180"/>
            <w:col w:w="8059"/>
          </w:cols>
          <w:pgMar w:left="320" w:top="832" w:right="1440" w:bottom="1440" w:gutter="0" w:footer="0" w:header="0"/>
          <w:type w:val="continuous"/>
        </w:sectPr>
      </w:pPr>
    </w:p>
    <w:p>
      <w:pPr>
        <w:spacing w:after="0" w:line="39"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}ss:</w:t>
      </w:r>
    </w:p>
    <w:p>
      <w:pPr>
        <w:sectPr>
          <w:pgSz w:w="11900" w:h="16838" w:orient="portrait"/>
          <w:cols w:equalWidth="0" w:num="1">
            <w:col w:w="10139"/>
          </w:cols>
          <w:pgMar w:left="320" w:top="832" w:right="1440"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COUNTY OF __________</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4199"/>
        <w:spacing w:after="0"/>
        <w:rPr>
          <w:sz w:val="20"/>
          <w:szCs w:val="20"/>
          <w:color w:val="auto"/>
        </w:rPr>
      </w:pPr>
      <w:r>
        <w:rPr>
          <w:rFonts w:ascii="Arial" w:cs="Arial" w:eastAsia="Arial" w:hAnsi="Arial"/>
          <w:sz w:val="14"/>
          <w:szCs w:val="14"/>
          <w:color w:val="auto"/>
        </w:rPr>
        <w:t>}</w:t>
      </w:r>
    </w:p>
    <w:p>
      <w:pPr>
        <w:spacing w:after="0" w:line="220" w:lineRule="exact"/>
        <w:rPr>
          <w:sz w:val="20"/>
          <w:szCs w:val="20"/>
          <w:color w:val="auto"/>
        </w:rPr>
      </w:pPr>
    </w:p>
    <w:p>
      <w:pPr>
        <w:sectPr>
          <w:pgSz w:w="11900" w:h="16838" w:orient="portrait"/>
          <w:cols w:equalWidth="0" w:num="2">
            <w:col w:w="5140" w:space="720"/>
            <w:col w:w="4279"/>
          </w:cols>
          <w:pgMar w:left="320" w:top="832" w:right="1440" w:bottom="1440" w:gutter="0" w:footer="0" w:header="0"/>
          <w:type w:val="continuous"/>
        </w:sectPr>
      </w:pPr>
    </w:p>
    <w:p>
      <w:pPr>
        <w:spacing w:after="0" w:line="276" w:lineRule="exact"/>
        <w:rPr>
          <w:sz w:val="20"/>
          <w:szCs w:val="20"/>
          <w:color w:val="auto"/>
        </w:rPr>
      </w:pPr>
    </w:p>
    <w:p>
      <w:pPr>
        <w:spacing w:after="0"/>
        <w:tabs>
          <w:tab w:leader="none" w:pos="340" w:val="left"/>
          <w:tab w:leader="none" w:pos="700" w:val="left"/>
          <w:tab w:leader="none" w:pos="1520" w:val="left"/>
          <w:tab w:leader="none" w:pos="1920" w:val="left"/>
          <w:tab w:leader="none" w:pos="2220" w:val="left"/>
          <w:tab w:leader="none" w:pos="3420" w:val="left"/>
          <w:tab w:leader="none" w:pos="3720" w:val="left"/>
          <w:tab w:leader="none" w:pos="4080" w:val="left"/>
          <w:tab w:leader="none" w:pos="4520" w:val="left"/>
          <w:tab w:leader="none" w:pos="5200" w:val="left"/>
          <w:tab w:leader="none" w:pos="5780" w:val="left"/>
          <w:tab w:leader="none" w:pos="6180" w:val="left"/>
          <w:tab w:leader="none" w:pos="6540" w:val="left"/>
          <w:tab w:leader="none" w:pos="7540" w:val="left"/>
          <w:tab w:leader="none" w:pos="8380" w:val="left"/>
        </w:tabs>
        <w:rPr>
          <w:sz w:val="20"/>
          <w:szCs w:val="20"/>
          <w:color w:val="auto"/>
        </w:rPr>
      </w:pPr>
      <w:r>
        <w:rPr>
          <w:rFonts w:ascii="Arial" w:cs="Arial" w:eastAsia="Arial" w:hAnsi="Arial"/>
          <w:sz w:val="16"/>
          <w:szCs w:val="16"/>
          <w:color w:val="auto"/>
        </w:rPr>
        <w:t>On</w:t>
        <w:tab/>
        <w:t>the</w:t>
        <w:tab/>
        <w:t>________</w:t>
        <w:tab/>
        <w:t>day</w:t>
        <w:tab/>
        <w:t>of</w:t>
        <w:tab/>
        <w:t>_____________</w:t>
        <w:tab/>
        <w:t>in</w:t>
        <w:tab/>
        <w:t>the</w:t>
        <w:tab/>
        <w:t>year</w:t>
        <w:tab/>
        <w:t>20____,</w:t>
        <w:tab/>
        <w:t>before</w:t>
        <w:tab/>
        <w:t>me,</w:t>
        <w:tab/>
        <w:t>the</w:t>
        <w:tab/>
        <w:t>undersigned,</w:t>
        <w:tab/>
        <w:t>personally</w:t>
      </w:r>
      <w:r>
        <w:rPr>
          <w:sz w:val="20"/>
          <w:szCs w:val="20"/>
          <w:color w:val="auto"/>
        </w:rPr>
        <w:tab/>
      </w:r>
      <w:r>
        <w:rPr>
          <w:rFonts w:ascii="Arial" w:cs="Arial" w:eastAsia="Arial" w:hAnsi="Arial"/>
          <w:sz w:val="13"/>
          <w:szCs w:val="13"/>
          <w:color w:val="auto"/>
        </w:rPr>
        <w:t>appeared</w:t>
      </w:r>
    </w:p>
    <w:p>
      <w:pPr>
        <w:sectPr>
          <w:pgSz w:w="11900" w:h="16838" w:orient="portrait"/>
          <w:cols w:equalWidth="0" w:num="1">
            <w:col w:w="10139"/>
          </w:cols>
          <w:pgMar w:left="320" w:top="832" w:right="1440" w:bottom="1440" w:gutter="0" w:footer="0" w:header="0"/>
          <w:type w:val="continuous"/>
        </w:sectPr>
      </w:pPr>
    </w:p>
    <w:bookmarkStart w:id="294" w:name="page295"/>
    <w:bookmarkEnd w:id="294"/>
    <w:p>
      <w:pPr>
        <w:ind w:left="8440"/>
        <w:spacing w:after="0"/>
        <w:rPr>
          <w:sz w:val="20"/>
          <w:szCs w:val="20"/>
          <w:color w:val="auto"/>
        </w:rPr>
      </w:pPr>
      <w:r>
        <w:rPr>
          <w:rFonts w:ascii="Arial" w:cs="Arial" w:eastAsia="Arial" w:hAnsi="Arial"/>
          <w:sz w:val="20"/>
          <w:szCs w:val="20"/>
          <w:color w:val="auto"/>
        </w:rPr>
        <w:t>Exhibit 10.23</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 personally known to me or proved to me on the basis of satisfactory evidence to be the individual(s) whose</w:t>
      </w:r>
    </w:p>
    <w:p>
      <w:pPr>
        <w:spacing w:after="0" w:line="2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Notary Public, State of _________________</w:t>
      </w:r>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Printed Name:</w:t>
      </w:r>
    </w:p>
    <w:p>
      <w:pPr>
        <w:spacing w:after="0" w:line="221"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Commission #:</w:t>
      </w:r>
    </w:p>
    <w:p>
      <w:pPr>
        <w:sectPr>
          <w:pgSz w:w="11900" w:h="16838" w:orient="portrait"/>
          <w:cols w:equalWidth="0" w:num="1">
            <w:col w:w="10780"/>
          </w:cols>
          <w:pgMar w:left="320" w:top="838" w:right="79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50"/>
        </w:trPr>
        <w:tc>
          <w:tcPr>
            <w:tcW w:w="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240" w:type="dxa"/>
            <w:vAlign w:val="bottom"/>
          </w:tcPr>
          <w:p>
            <w:pPr>
              <w:jc w:val="right"/>
              <w:ind w:right="1653"/>
              <w:spacing w:after="0"/>
              <w:rPr>
                <w:sz w:val="20"/>
                <w:szCs w:val="20"/>
                <w:color w:val="auto"/>
              </w:rPr>
            </w:pPr>
            <w:r>
              <w:rPr>
                <w:rFonts w:ascii="Arial" w:cs="Arial" w:eastAsia="Arial" w:hAnsi="Arial"/>
                <w:sz w:val="20"/>
                <w:szCs w:val="20"/>
                <w:color w:val="auto"/>
              </w:rPr>
              <w:t>Exhibit 10.23</w:t>
            </w:r>
          </w:p>
        </w:tc>
      </w:tr>
      <w:tr>
        <w:trPr>
          <w:trHeight w:val="219"/>
        </w:trPr>
        <w:tc>
          <w:tcPr>
            <w:tcW w:w="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Pr>
          <w:p>
            <w:pPr>
              <w:ind w:left="380"/>
              <w:spacing w:after="0"/>
              <w:rPr>
                <w:sz w:val="20"/>
                <w:szCs w:val="20"/>
                <w:color w:val="auto"/>
              </w:rPr>
            </w:pPr>
            <w:r>
              <w:rPr>
                <w:rFonts w:ascii="Arial" w:cs="Arial" w:eastAsia="Arial" w:hAnsi="Arial"/>
                <w:sz w:val="16"/>
                <w:szCs w:val="16"/>
                <w:b w:val="1"/>
                <w:bCs w:val="1"/>
                <w:color w:val="auto"/>
              </w:rPr>
              <w:t>Schedule A</w:t>
            </w:r>
          </w:p>
        </w:tc>
        <w:tc>
          <w:tcPr>
            <w:tcW w:w="3240" w:type="dxa"/>
            <w:vAlign w:val="bottom"/>
          </w:tcPr>
          <w:p>
            <w:pPr>
              <w:spacing w:after="0"/>
              <w:rPr>
                <w:sz w:val="19"/>
                <w:szCs w:val="19"/>
                <w:color w:val="auto"/>
              </w:rPr>
            </w:pPr>
          </w:p>
        </w:tc>
      </w:tr>
      <w:tr>
        <w:trPr>
          <w:trHeight w:val="219"/>
        </w:trPr>
        <w:tc>
          <w:tcPr>
            <w:tcW w:w="2920" w:type="dxa"/>
            <w:vAlign w:val="bottom"/>
            <w:gridSpan w:val="2"/>
          </w:tcPr>
          <w:p>
            <w:pPr>
              <w:jc w:val="right"/>
              <w:ind w:right="2519"/>
              <w:spacing w:after="0"/>
              <w:rPr>
                <w:sz w:val="20"/>
                <w:szCs w:val="20"/>
                <w:color w:val="auto"/>
              </w:rPr>
            </w:pPr>
            <w:r>
              <w:rPr>
                <w:rFonts w:ascii="Arial" w:cs="Arial" w:eastAsia="Arial" w:hAnsi="Arial"/>
                <w:sz w:val="16"/>
                <w:szCs w:val="16"/>
                <w:b w:val="1"/>
                <w:bCs w:val="1"/>
                <w:color w:val="auto"/>
                <w:w w:val="91"/>
              </w:rPr>
              <w:t>Title</w:t>
            </w:r>
          </w:p>
        </w:tc>
        <w:tc>
          <w:tcPr>
            <w:tcW w:w="24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Country</w:t>
            </w: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Patent / Publication No.</w:t>
            </w:r>
          </w:p>
        </w:tc>
        <w:tc>
          <w:tcPr>
            <w:tcW w:w="3240" w:type="dxa"/>
            <w:vAlign w:val="bottom"/>
          </w:tcPr>
          <w:p>
            <w:pPr>
              <w:jc w:val="right"/>
              <w:ind w:right="1633"/>
              <w:spacing w:after="0"/>
              <w:rPr>
                <w:sz w:val="20"/>
                <w:szCs w:val="20"/>
                <w:color w:val="auto"/>
              </w:rPr>
            </w:pPr>
            <w:r>
              <w:rPr>
                <w:rFonts w:ascii="Arial" w:cs="Arial" w:eastAsia="Arial" w:hAnsi="Arial"/>
                <w:sz w:val="16"/>
                <w:szCs w:val="16"/>
                <w:b w:val="1"/>
                <w:bCs w:val="1"/>
                <w:color w:val="auto"/>
              </w:rPr>
              <w:t>Serial No.</w:t>
            </w:r>
          </w:p>
        </w:tc>
      </w:tr>
      <w:tr>
        <w:trPr>
          <w:trHeight w:val="207"/>
        </w:trPr>
        <w:tc>
          <w:tcPr>
            <w:tcW w:w="60" w:type="dxa"/>
            <w:vAlign w:val="bottom"/>
          </w:tcPr>
          <w:p>
            <w:pPr>
              <w:spacing w:after="0"/>
              <w:rPr>
                <w:sz w:val="17"/>
                <w:szCs w:val="17"/>
                <w:color w:val="auto"/>
              </w:rPr>
            </w:pPr>
          </w:p>
        </w:tc>
        <w:tc>
          <w:tcPr>
            <w:tcW w:w="2860" w:type="dxa"/>
            <w:vAlign w:val="bottom"/>
            <w:tcBorders>
              <w:top w:val="single" w:sz="8" w:color="auto"/>
            </w:tcBorders>
          </w:tcPr>
          <w:p>
            <w:pPr>
              <w:jc w:val="right"/>
              <w:ind w:right="23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240" w:type="dxa"/>
            <w:vAlign w:val="bottom"/>
            <w:tcBorders>
              <w:top w:val="single" w:sz="8" w:color="auto"/>
            </w:tcBorders>
          </w:tcPr>
          <w:p>
            <w:pPr>
              <w:jc w:val="right"/>
              <w:ind w:right="1893"/>
              <w:spacing w:after="0"/>
              <w:rPr>
                <w:sz w:val="20"/>
                <w:szCs w:val="20"/>
                <w:color w:val="auto"/>
              </w:rPr>
            </w:pPr>
            <w:r>
              <w:rPr>
                <w:rFonts w:ascii="Arial" w:cs="Arial" w:eastAsia="Arial" w:hAnsi="Arial"/>
                <w:sz w:val="16"/>
                <w:szCs w:val="16"/>
                <w:color w:val="auto"/>
              </w:rPr>
              <w:t>[****]</w:t>
            </w:r>
          </w:p>
        </w:tc>
      </w:tr>
      <w:tr>
        <w:trPr>
          <w:trHeight w:val="276"/>
        </w:trPr>
        <w:tc>
          <w:tcPr>
            <w:tcW w:w="6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20"/>
          </w:cols>
          <w:pgMar w:left="340" w:top="838" w:right="339" w:bottom="1440" w:gutter="0" w:footer="0" w:header="0"/>
        </w:sectPr>
      </w:pPr>
    </w:p>
    <w:bookmarkStart w:id="296" w:name="page297"/>
    <w:bookmarkEnd w:id="296"/>
    <w:p>
      <w:pPr>
        <w:ind w:left="8440"/>
        <w:spacing w:after="0"/>
        <w:rPr>
          <w:sz w:val="20"/>
          <w:szCs w:val="20"/>
          <w:color w:val="auto"/>
        </w:rPr>
      </w:pPr>
      <w:r>
        <w:rPr>
          <w:rFonts w:ascii="Arial" w:cs="Arial" w:eastAsia="Arial" w:hAnsi="Arial"/>
          <w:sz w:val="20"/>
          <w:szCs w:val="20"/>
          <w:color w:val="auto"/>
        </w:rPr>
        <w:t>Exhibit 10.23</w:t>
      </w:r>
    </w:p>
    <w:p>
      <w:pPr>
        <w:jc w:val="center"/>
        <w:ind w:right="-19"/>
        <w:spacing w:after="0"/>
        <w:rPr>
          <w:sz w:val="20"/>
          <w:szCs w:val="20"/>
          <w:color w:val="auto"/>
        </w:rPr>
      </w:pPr>
      <w:r>
        <w:rPr>
          <w:rFonts w:ascii="Arial" w:cs="Arial" w:eastAsia="Arial" w:hAnsi="Arial"/>
          <w:sz w:val="16"/>
          <w:szCs w:val="16"/>
          <w:b w:val="1"/>
          <w:bCs w:val="1"/>
          <w:color w:val="auto"/>
        </w:rPr>
        <w:t>Exhibit 8</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Transferred Documentation and Biological and Chemical Materials and Reagents</w:t>
      </w:r>
    </w:p>
    <w:p>
      <w:pPr>
        <w:spacing w:after="0" w:line="239" w:lineRule="exact"/>
        <w:rPr>
          <w:sz w:val="20"/>
          <w:szCs w:val="20"/>
          <w:color w:val="auto"/>
        </w:rPr>
      </w:pPr>
    </w:p>
    <w:p>
      <w:pPr>
        <w:spacing w:after="0" w:line="335" w:lineRule="auto"/>
        <w:rPr>
          <w:sz w:val="20"/>
          <w:szCs w:val="20"/>
          <w:color w:val="auto"/>
        </w:rPr>
      </w:pPr>
      <w:r>
        <w:rPr>
          <w:rFonts w:ascii="Arial" w:cs="Arial" w:eastAsia="Arial" w:hAnsi="Arial"/>
          <w:sz w:val="14"/>
          <w:szCs w:val="14"/>
          <w:color w:val="auto"/>
        </w:rPr>
        <w:t>The items on this list are anticipated to be transferred by the Seller as soon as practicable using Commercially Reasonable Efforts during the Transition Period. Items that are not transferred during the Transition Period shall be transferred by the Seller during the remainder of the eighteen (18) months after the Effective Date using Commercially Reasonable Efforts to the extent available and feasible. Electronic documentation shall be transferred in formats to be mutually agreed upon by both Parties.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Documentation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220"/>
          </w:cols>
          <w:pgMar w:left="320" w:top="832" w:right="359" w:bottom="1440" w:gutter="0" w:footer="0" w:header="0"/>
        </w:sectPr>
      </w:pPr>
    </w:p>
    <w:bookmarkStart w:id="297" w:name="page298"/>
    <w:bookmarkEnd w:id="297"/>
    <w:p>
      <w:pPr>
        <w:ind w:left="8440"/>
        <w:spacing w:after="0"/>
        <w:rPr>
          <w:sz w:val="20"/>
          <w:szCs w:val="20"/>
          <w:color w:val="auto"/>
        </w:rPr>
      </w:pPr>
      <w:r>
        <w:rPr>
          <w:rFonts w:ascii="Arial" w:cs="Arial" w:eastAsia="Arial" w:hAnsi="Arial"/>
          <w:sz w:val="20"/>
          <w:szCs w:val="20"/>
          <w:color w:val="auto"/>
        </w:rPr>
        <w:t>Exhibit 10.23</w:t>
      </w:r>
    </w:p>
    <w:p>
      <w:pPr>
        <w:jc w:val="center"/>
        <w:spacing w:after="0"/>
        <w:rPr>
          <w:sz w:val="20"/>
          <w:szCs w:val="20"/>
          <w:color w:val="auto"/>
        </w:rPr>
      </w:pPr>
      <w:r>
        <w:rPr>
          <w:rFonts w:ascii="Arial" w:cs="Arial" w:eastAsia="Arial" w:hAnsi="Arial"/>
          <w:sz w:val="16"/>
          <w:szCs w:val="16"/>
          <w:b w:val="1"/>
          <w:bCs w:val="1"/>
          <w:color w:val="auto"/>
        </w:rPr>
        <w:t>Exhibit 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Transfer Letter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color w:val="auto"/>
        </w:rPr>
        <w:t>ATTN:</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260"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4"/>
          <w:szCs w:val="14"/>
          <w:b w:val="1"/>
          <w:bCs w:val="1"/>
          <w:color w:val="auto"/>
        </w:rPr>
        <w:t>Transfer of IND Ownership and Notification of New Regulatory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Contact </w:t>
      </w:r>
      <w:r>
        <w:rPr>
          <w:rFonts w:ascii="Arial" w:cs="Arial" w:eastAsia="Arial" w:hAnsi="Arial"/>
          <w:sz w:val="16"/>
          <w:szCs w:val="16"/>
          <w:color w:val="auto"/>
        </w:rPr>
        <w:t>IND No. [****] SEQ No.: XXXX</w:t>
      </w:r>
    </w:p>
    <w:p>
      <w:pPr>
        <w:ind w:left="600"/>
        <w:spacing w:after="0"/>
        <w:rPr>
          <w:sz w:val="20"/>
          <w:szCs w:val="20"/>
          <w:color w:val="auto"/>
        </w:rPr>
      </w:pPr>
      <w:r>
        <w:rPr>
          <w:rFonts w:ascii="Arial" w:cs="Arial" w:eastAsia="Arial" w:hAnsi="Arial"/>
          <w:sz w:val="16"/>
          <w:szCs w:val="16"/>
          <w:color w:val="auto"/>
        </w:rPr>
        <w:t>Teplizumab (MGA031), Humanized Anti-Human CD3 Monoclonal Antibody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Dear Dr. [****] :</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Reference is made to IND [****] and IND [****] for teplizumab, Humanized Anti-Human CD3 Monoclonal Antibody. IND [****] is active to evaluate teplizumab in the treatment of people with recent-onset Type 1 Diabetes Mellitus (T1DM). IND [****] is active to evaluate teplizumab in the prevention/delay of diagnosis of T1DM in people at risk for developing T1DM. A similar letter is being submitted to IND [****].</w:t>
      </w:r>
    </w:p>
    <w:p>
      <w:pPr>
        <w:spacing w:after="0" w:line="231"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As of &lt;insert date&gt; , Provention Bio, &lt;insert address&gt; has acquired the worldwide development and commercialization rights to teplizumab from MacroGenics, Inc., 9640 Medical Center Drive, Rockville, MD 20850 USA.</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On behalf of MacroGenics, I am authorizing the Food and Drug Administration to transfer ownership and responsibility for IND [****] effective as of &lt;insert date&gt; to:</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Provention Bio</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&lt;insert date&gt;</w:t>
      </w:r>
    </w:p>
    <w:p>
      <w:pPr>
        <w:spacing w:after="0" w:line="235" w:lineRule="exact"/>
        <w:rPr>
          <w:sz w:val="20"/>
          <w:szCs w:val="20"/>
          <w:color w:val="auto"/>
        </w:rPr>
      </w:pPr>
    </w:p>
    <w:p>
      <w:pPr>
        <w:ind w:right="680"/>
        <w:spacing w:after="0" w:line="266" w:lineRule="auto"/>
        <w:rPr>
          <w:sz w:val="20"/>
          <w:szCs w:val="20"/>
          <w:color w:val="auto"/>
        </w:rPr>
      </w:pPr>
      <w:r>
        <w:rPr>
          <w:rFonts w:ascii="Arial" w:cs="Arial" w:eastAsia="Arial" w:hAnsi="Arial"/>
          <w:sz w:val="16"/>
          <w:szCs w:val="16"/>
          <w:color w:val="auto"/>
        </w:rPr>
        <w:t>A complete copy of the IND, including all correspondence from the Agency, has been provided to Provention Bio and upon their acceptance of this IND, all future correspondence regarding this IND should be addressed to Provention Bio. The Regulatory contact for Provention Bio is: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&lt;insert Provention Bio’s Regulatory Authorized Sponsor&gt;</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&lt;insert address, phone number and email address&gt;</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Provention Bio will submit a letter of acknowledgement and acceptance of the IND transfer and regulatory responsibilities under a separate correspondence to the Division.</w:t>
      </w:r>
    </w:p>
    <w:p>
      <w:pPr>
        <w:spacing w:after="0" w:line="298" w:lineRule="exact"/>
        <w:rPr>
          <w:sz w:val="20"/>
          <w:szCs w:val="20"/>
          <w:color w:val="auto"/>
        </w:rPr>
      </w:pPr>
    </w:p>
    <w:p>
      <w:pPr>
        <w:ind w:right="660"/>
        <w:spacing w:after="0" w:line="310" w:lineRule="auto"/>
        <w:rPr>
          <w:sz w:val="20"/>
          <w:szCs w:val="20"/>
          <w:color w:val="auto"/>
        </w:rPr>
      </w:pPr>
      <w:r>
        <w:rPr>
          <w:rFonts w:ascii="Arial" w:cs="Arial" w:eastAsia="Arial" w:hAnsi="Arial"/>
          <w:sz w:val="16"/>
          <w:szCs w:val="16"/>
          <w:color w:val="auto"/>
        </w:rPr>
        <w:t>If you have any questions regarding this submission, please do not hesitate to contact me at [****], or you may contact [****]. Please contact [****] for electronic submission-related questions. Thank you.</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[See appended electronic signature page.]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240"/>
          </w:cols>
          <w:pgMar w:left="320" w:top="832" w:right="339" w:bottom="1440" w:gutter="0" w:footer="0" w:header="0"/>
        </w:sectPr>
      </w:pPr>
    </w:p>
    <w:bookmarkStart w:id="298" w:name="page299"/>
    <w:bookmarkEnd w:id="298"/>
    <w:p>
      <w:pPr>
        <w:ind w:left="8440"/>
        <w:spacing w:after="0"/>
        <w:rPr>
          <w:sz w:val="20"/>
          <w:szCs w:val="20"/>
          <w:color w:val="auto"/>
        </w:rPr>
      </w:pPr>
      <w:r>
        <w:rPr>
          <w:rFonts w:ascii="Arial" w:cs="Arial" w:eastAsia="Arial" w:hAnsi="Arial"/>
          <w:sz w:val="20"/>
          <w:szCs w:val="20"/>
          <w:color w:val="auto"/>
        </w:rPr>
        <w:t>Exhibit 10.23</w:t>
      </w:r>
    </w:p>
    <w:p>
      <w:pPr>
        <w:jc w:val="center"/>
        <w:spacing w:after="0"/>
        <w:rPr>
          <w:sz w:val="20"/>
          <w:szCs w:val="20"/>
          <w:color w:val="auto"/>
        </w:rPr>
      </w:pPr>
      <w:r>
        <w:rPr>
          <w:rFonts w:ascii="Arial" w:cs="Arial" w:eastAsia="Arial" w:hAnsi="Arial"/>
          <w:sz w:val="16"/>
          <w:szCs w:val="16"/>
          <w:b w:val="1"/>
          <w:bCs w:val="1"/>
          <w:color w:val="auto"/>
        </w:rPr>
        <w:t>Exhibit 10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Warrant</w:t>
      </w:r>
    </w:p>
    <w:p>
      <w:pPr>
        <w:spacing w:after="0" w:line="218" w:lineRule="exact"/>
        <w:rPr>
          <w:sz w:val="20"/>
          <w:szCs w:val="20"/>
          <w:color w:val="auto"/>
        </w:rPr>
      </w:pPr>
    </w:p>
    <w:p>
      <w:pPr>
        <w:ind w:left="8700"/>
        <w:spacing w:after="0"/>
        <w:rPr>
          <w:sz w:val="20"/>
          <w:szCs w:val="20"/>
          <w:color w:val="auto"/>
        </w:rPr>
      </w:pPr>
      <w:r>
        <w:rPr>
          <w:rFonts w:ascii="Arial" w:cs="Arial" w:eastAsia="Arial" w:hAnsi="Arial"/>
          <w:sz w:val="15"/>
          <w:szCs w:val="15"/>
          <w:b w:val="1"/>
          <w:bCs w:val="1"/>
          <w:color w:val="auto"/>
        </w:rPr>
        <w:t>Warrant Number ____</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THE WARRANT REPRESENTED BY THIS CERTIFICATE AND THE SECURITIES ISSUABLE UPON EXERCISE HEREOF HAVE NOT BEEN REGISTERED UNDER THE SECURITIES ACT OF 1933, AS AMENDED (THE “SECURITIES ACT”) OR THE SECURITIES LAWS OF ANY STATE OR OTHER JURISDICTION. THIS WARRANT AND THE SECURITIES ISSUABLE UPON EXERCISE HEREOF MAY NOT BE OFFERED, SOLD, PLEDGED, ASSIGNED OR OTHERWISE TRANSFERRED UNLESS (1) SUCH TRANSACTION IS MADE PURSUANT TO AN EFFECTIVE REGISTRATION STATEMENT FILED UNDER THE SECURITIES ACT AND THE APPLICABLE SECURITIES LAWS OF ANY STATE OR OTHER JURISDICTION OR (2) THE COMPANY IS PROVIDED WITH AN OPINION OF COUNSEL, SATISFACTORY TO THE COMPANY, STATING THAT SUCH TRANSACTION IS IN COMPLIANCE WITH EXEMPTIONS FROM REGISTRATION UNDER THE SECURITIES ACT AND SUCH OTHER APPLICABLE LAWS. NO TRANSFER OF ANY INTEREST IN THIS WARRANT OR THE SECURITIES ISSUABLE UPON EXERCISE HEREOF MAY BE EFFECTED WITHOUT FIRST SURRENDERING THIS WARRANT OR SUCH SECURITIES, AS THE CASE MAY BE, TO THE COMPANY OR ITS TRANSFER AGENT, IF 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Warrant to Purchase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Shares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Herein Described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May __, 2018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TO PURCHASE COMMON STOCK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PROVENTION BIO, INC.</w:t>
      </w:r>
    </w:p>
    <w:p>
      <w:pPr>
        <w:spacing w:after="0" w:line="239"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6"/>
          <w:szCs w:val="16"/>
          <w:color w:val="auto"/>
        </w:rPr>
        <w:t>This is to certify that, for value received, MacroGenics, Inc., or a proper assignee (the “Holder”), is entitled to purchase up to 2,162,389 shares (“Warrant Shares”) of common stock, $0.0001 par value per share (the “Common Stock”), of Provention Bio, Inc., a Delaware corporation (the “Company”), subject to the provisions of this Warrant. This Warrant shall be exercisable at Two Dollars and Fifty Cents ($2.50) per share (the “Exercise Price”). This Warrant also is subject to the following terms and conditions:</w:t>
      </w:r>
    </w:p>
    <w:p>
      <w:pPr>
        <w:spacing w:after="0" w:line="202" w:lineRule="exact"/>
        <w:rPr>
          <w:sz w:val="20"/>
          <w:szCs w:val="20"/>
          <w:color w:val="auto"/>
        </w:rPr>
      </w:pPr>
    </w:p>
    <w:p>
      <w:pPr>
        <w:ind w:left="760" w:hanging="153"/>
        <w:spacing w:after="0"/>
        <w:tabs>
          <w:tab w:leader="none" w:pos="76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Exercise and Payment; Exchange</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jc w:val="both"/>
        <w:ind w:firstLine="1699"/>
        <w:spacing w:after="0" w:line="280" w:lineRule="auto"/>
        <w:tabs>
          <w:tab w:leader="none" w:pos="1938" w:val="left"/>
        </w:tabs>
        <w:numPr>
          <w:ilvl w:val="1"/>
          <w:numId w:val="245"/>
        </w:numPr>
        <w:rPr>
          <w:rFonts w:ascii="Arial" w:cs="Arial" w:eastAsia="Arial" w:hAnsi="Arial"/>
          <w:sz w:val="15"/>
          <w:szCs w:val="15"/>
          <w:color w:val="auto"/>
        </w:rPr>
      </w:pPr>
      <w:r>
        <w:rPr>
          <w:rFonts w:ascii="Arial" w:cs="Arial" w:eastAsia="Arial" w:hAnsi="Arial"/>
          <w:sz w:val="15"/>
          <w:szCs w:val="15"/>
          <w:color w:val="auto"/>
        </w:rPr>
        <w:t>This Warrant may be exercised in whole or in part at any time from and after the date hereof (the “Commencement Date”) through the close of business on May __, 2025 (the “Expiration Date”), at which time this Warrant shall expire and become void, but if such date is a day on which federal or state chartered banking institutions located in the State of New York are authorized to close, then on the next succeeding day which shall not be such a day. Exercise (“Exercise”) shall be by presentation and surrender to the Company, or at the office of any transfer agent designated by the Company (the “Transfer Agent”), of (i) this Warrant, (ii) the attached exercise form properly executed, and (iii) a certified or official bank check for the Exercise Price for the number of Warrant Shares specified in the exercise form. If this Warrant is exercised in part only, the Company or the Transfer Agent shall, upon surrender of the Warrant, execute and deliver a new Warrant evidencing the rights of the Holder to purchase the remaining number of Warrant Shares purchasable hereunder. Upon receipt by the Company of this Warrant, the properly executed exercise form, and payment as aforesaid, the Holder shall be deemed to be the holder of record of the Common Stock issuable upon such exercise, notwithstanding that the stock transfer books of the Company shall then be closed or that certificates representing such Warrant Shares shall not then be actually delivered to the Holder. Under no circumstance shall the Company be required to make any cash payments or net cash settlement to the Holder in lieu of delivery of the Warrant Shares.</w:t>
      </w:r>
    </w:p>
    <w:p>
      <w:pPr>
        <w:sectPr>
          <w:pgSz w:w="11900" w:h="16838" w:orient="portrait"/>
          <w:cols w:equalWidth="0" w:num="1">
            <w:col w:w="11240"/>
          </w:cols>
          <w:pgMar w:left="320" w:top="832" w:right="339" w:bottom="1440" w:gutter="0" w:footer="0" w:header="0"/>
        </w:sectPr>
      </w:pPr>
    </w:p>
    <w:bookmarkStart w:id="299" w:name="page300"/>
    <w:bookmarkEnd w:id="299"/>
    <w:p>
      <w:pPr>
        <w:ind w:left="842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jc w:val="both"/>
        <w:ind w:left="-20" w:firstLine="1182"/>
        <w:spacing w:after="0" w:line="267" w:lineRule="auto"/>
        <w:tabs>
          <w:tab w:leader="none" w:pos="192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In lieu of exercising this Warrant for cash pursuant to Section 2(a), if the fair market value of one Warrant Share is greater than the Exercise Price (at the date of calculation as set forth below), the Holder may elect to receive a number of Warrant Shares equal to the value of this Warrant (or of any portion of this Warrant being canceled) by Exercise of this Warrant, in which event the Company shall issue to the Holder that number of Warrant Shares computed using the following formula:</w:t>
      </w:r>
    </w:p>
    <w:p>
      <w:pPr>
        <w:spacing w:after="0" w:line="261" w:lineRule="exact"/>
        <w:rPr>
          <w:sz w:val="20"/>
          <w:szCs w:val="20"/>
          <w:color w:val="auto"/>
        </w:rPr>
      </w:pPr>
    </w:p>
    <w:p>
      <w:pPr>
        <w:ind w:left="4540" w:hanging="520"/>
        <w:spacing w:after="0"/>
        <w:tabs>
          <w:tab w:leader="none" w:pos="454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Y (A – B)</w:t>
      </w:r>
    </w:p>
    <w:p>
      <w:pPr>
        <w:spacing w:after="0" w:line="45" w:lineRule="exact"/>
        <w:rPr>
          <w:rFonts w:ascii="Arial" w:cs="Arial" w:eastAsia="Arial" w:hAnsi="Arial"/>
          <w:sz w:val="16"/>
          <w:szCs w:val="16"/>
          <w:color w:val="auto"/>
        </w:rPr>
      </w:pPr>
    </w:p>
    <w:p>
      <w:pPr>
        <w:ind w:left="5300"/>
        <w:spacing w:after="0"/>
        <w:rPr>
          <w:rFonts w:ascii="Arial" w:cs="Arial" w:eastAsia="Arial" w:hAnsi="Arial"/>
          <w:sz w:val="16"/>
          <w:szCs w:val="16"/>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-127000</wp:posOffset>
            </wp:positionV>
            <wp:extent cx="6597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Where:</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X = The number of Warrant Shares to be issued to the Holder</w:t>
      </w:r>
    </w:p>
    <w:p>
      <w:pPr>
        <w:spacing w:after="0" w:line="248" w:lineRule="exact"/>
        <w:rPr>
          <w:sz w:val="20"/>
          <w:szCs w:val="20"/>
          <w:color w:val="auto"/>
        </w:rPr>
      </w:pPr>
    </w:p>
    <w:p>
      <w:pPr>
        <w:ind w:left="1760" w:right="60"/>
        <w:spacing w:after="0" w:line="310" w:lineRule="auto"/>
        <w:rPr>
          <w:sz w:val="20"/>
          <w:szCs w:val="20"/>
          <w:color w:val="auto"/>
        </w:rPr>
      </w:pPr>
      <w:r>
        <w:rPr>
          <w:rFonts w:ascii="Arial" w:cs="Arial" w:eastAsia="Arial" w:hAnsi="Arial"/>
          <w:sz w:val="16"/>
          <w:szCs w:val="16"/>
          <w:color w:val="auto"/>
        </w:rPr>
        <w:t>Y = The number of Shares purchasable under this Warrant or, if only a portion of the Warrant is being exercised, the portion of the Warrant being canceled (at the date of such calculation)</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A = The fair market value of one Warrant Share (at the date of such calculation)</w:t>
      </w:r>
    </w:p>
    <w:p>
      <w:pPr>
        <w:spacing w:after="0" w:line="221"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B = The Exercise Price (as adjusted to the date of such calculation)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purposes of the calculation above, the fair market value of one Warrant Share shall be determined as set forth in Section 3(a) – (c) below.</w:t>
      </w:r>
    </w:p>
    <w:p>
      <w:pPr>
        <w:spacing w:after="0" w:line="248" w:lineRule="exact"/>
        <w:rPr>
          <w:sz w:val="20"/>
          <w:szCs w:val="20"/>
          <w:color w:val="auto"/>
        </w:rPr>
      </w:pPr>
    </w:p>
    <w:p>
      <w:pPr>
        <w:ind w:left="-20" w:right="560" w:firstLine="1718"/>
        <w:spacing w:after="0" w:line="328" w:lineRule="auto"/>
        <w:tabs>
          <w:tab w:leader="none" w:pos="1919"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Conditions to Exercise or Exchange</w:t>
      </w:r>
      <w:r>
        <w:rPr>
          <w:rFonts w:ascii="Arial" w:cs="Arial" w:eastAsia="Arial" w:hAnsi="Arial"/>
          <w:sz w:val="16"/>
          <w:szCs w:val="16"/>
          <w:color w:val="auto"/>
        </w:rPr>
        <w:t>. The restrictions in Section 7 shall apply, to the extent applicable by their terms, to any exercise or exchange of this Warrant permitted by this Section 1.</w:t>
      </w:r>
    </w:p>
    <w:p>
      <w:pPr>
        <w:spacing w:after="0" w:line="172" w:lineRule="exact"/>
        <w:rPr>
          <w:rFonts w:ascii="Arial" w:cs="Arial" w:eastAsia="Arial" w:hAnsi="Arial"/>
          <w:sz w:val="16"/>
          <w:szCs w:val="16"/>
          <w:color w:val="auto"/>
        </w:rPr>
      </w:pPr>
    </w:p>
    <w:p>
      <w:pPr>
        <w:jc w:val="both"/>
        <w:ind w:left="-20" w:firstLine="590"/>
        <w:spacing w:after="0" w:line="287" w:lineRule="auto"/>
        <w:tabs>
          <w:tab w:leader="none" w:pos="1264"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Company shall, at all times until the expiration of this Warrant, reserve for issuance and delivery upon exercise of this Warrant the number of Warrant Shares which shall be required for issuance and delivery upon exercise of this Warrant. Upon issuance, all Warrant Shares will be validly issued and outstanding, fully paid and non-assessable, and free from all taxes, liens and charges with respect to the issuance thereof.</w:t>
      </w:r>
    </w:p>
    <w:p>
      <w:pPr>
        <w:sectPr>
          <w:pgSz w:w="11900" w:h="16838" w:orient="portrait"/>
          <w:cols w:equalWidth="0" w:num="1">
            <w:col w:w="11220"/>
          </w:cols>
          <w:pgMar w:left="340" w:top="838" w:right="339" w:bottom="1440" w:gutter="0" w:footer="0" w:header="0"/>
        </w:sectPr>
      </w:pPr>
    </w:p>
    <w:bookmarkStart w:id="300" w:name="page301"/>
    <w:bookmarkEnd w:id="300"/>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jc w:val="both"/>
        <w:ind w:firstLine="590"/>
        <w:spacing w:after="0" w:line="278" w:lineRule="auto"/>
        <w:tabs>
          <w:tab w:leader="none" w:pos="1284"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Fractional Interests</w:t>
      </w:r>
      <w:r>
        <w:rPr>
          <w:rFonts w:ascii="Arial" w:cs="Arial" w:eastAsia="Arial" w:hAnsi="Arial"/>
          <w:sz w:val="16"/>
          <w:szCs w:val="16"/>
          <w:color w:val="auto"/>
        </w:rPr>
        <w:t>. The Company shall not issue any fractional shares or scrip representing fractional shares upon the exercise or exchange of this Warrant. With respect to any fraction of a share resulting from the exercise or exchange hereof, the Company shall pay to the Holder an amount in cash equal to such fraction multiplied by the current fair market value per share of Common Stock, determined as follows:</w:t>
      </w:r>
    </w:p>
    <w:p>
      <w:pPr>
        <w:spacing w:after="0" w:line="210" w:lineRule="exact"/>
        <w:rPr>
          <w:rFonts w:ascii="Arial" w:cs="Arial" w:eastAsia="Arial" w:hAnsi="Arial"/>
          <w:sz w:val="16"/>
          <w:szCs w:val="16"/>
          <w:color w:val="auto"/>
        </w:rPr>
      </w:pPr>
    </w:p>
    <w:p>
      <w:pPr>
        <w:jc w:val="both"/>
        <w:ind w:firstLine="1718"/>
        <w:spacing w:after="0" w:line="287" w:lineRule="auto"/>
        <w:tabs>
          <w:tab w:leader="none" w:pos="194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If the Common Stock is listed on a national securities exchange or admitted to unlisted trading privileges on such an exchange, the current fair market value shall be the last reported sale price of the Common Stock on such exchange on the last business day prior to the date of exercise of this Warrant or if no such sale is made on such day, the mean of the closing bid and asked prices for such day on such exchange;</w:t>
      </w:r>
    </w:p>
    <w:p>
      <w:pPr>
        <w:spacing w:after="0" w:line="203" w:lineRule="exact"/>
        <w:rPr>
          <w:rFonts w:ascii="Arial" w:cs="Arial" w:eastAsia="Arial" w:hAnsi="Arial"/>
          <w:sz w:val="16"/>
          <w:szCs w:val="16"/>
          <w:color w:val="auto"/>
        </w:rPr>
      </w:pPr>
    </w:p>
    <w:p>
      <w:pPr>
        <w:ind w:right="20" w:firstLine="1718"/>
        <w:spacing w:after="0" w:line="389" w:lineRule="auto"/>
        <w:tabs>
          <w:tab w:leader="none" w:pos="1939" w:val="left"/>
        </w:tabs>
        <w:numPr>
          <w:ilvl w:val="1"/>
          <w:numId w:val="250"/>
        </w:numPr>
        <w:rPr>
          <w:rFonts w:ascii="Arial" w:cs="Arial" w:eastAsia="Arial" w:hAnsi="Arial"/>
          <w:sz w:val="14"/>
          <w:szCs w:val="14"/>
          <w:color w:val="auto"/>
        </w:rPr>
      </w:pPr>
      <w:r>
        <w:rPr>
          <w:rFonts w:ascii="Arial" w:cs="Arial" w:eastAsia="Arial" w:hAnsi="Arial"/>
          <w:sz w:val="14"/>
          <w:szCs w:val="14"/>
          <w:color w:val="auto"/>
        </w:rPr>
        <w:t>If the Common Stock is not so listed or admitted to unlisted trading privileges on a national securities exchange, the current fair market value shall be the mean of the last bid and asked prices reported on the last business day prior to the date of the exercise of this Warrant by the OTC Markets Group, Inc.; or</w:t>
      </w:r>
    </w:p>
    <w:p>
      <w:pPr>
        <w:spacing w:after="0" w:line="139" w:lineRule="exact"/>
        <w:rPr>
          <w:rFonts w:ascii="Arial" w:cs="Arial" w:eastAsia="Arial" w:hAnsi="Arial"/>
          <w:sz w:val="14"/>
          <w:szCs w:val="14"/>
          <w:color w:val="auto"/>
        </w:rPr>
      </w:pPr>
    </w:p>
    <w:p>
      <w:pPr>
        <w:jc w:val="both"/>
        <w:ind w:firstLine="1718"/>
        <w:spacing w:after="0" w:line="287" w:lineRule="auto"/>
        <w:tabs>
          <w:tab w:leader="none" w:pos="194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If the Common Stock is not so listed or admitted to unlisted trading privileges on a national securities exchange and bid and asked prices are not so reported, the current fair market value shall be an amount, not less than book value, determined in such reasonable manner as may be prescribed by the Company in good faith.</w:t>
      </w:r>
    </w:p>
    <w:p>
      <w:pPr>
        <w:spacing w:after="0" w:line="230" w:lineRule="exact"/>
        <w:rPr>
          <w:rFonts w:ascii="Arial" w:cs="Arial" w:eastAsia="Arial" w:hAnsi="Arial"/>
          <w:sz w:val="16"/>
          <w:szCs w:val="16"/>
          <w:color w:val="auto"/>
        </w:rPr>
      </w:pPr>
    </w:p>
    <w:p>
      <w:pPr>
        <w:ind w:right="180" w:firstLine="590"/>
        <w:spacing w:after="0" w:line="347" w:lineRule="auto"/>
        <w:tabs>
          <w:tab w:leader="none" w:pos="1284" w:val="left"/>
        </w:tabs>
        <w:numPr>
          <w:ilvl w:val="0"/>
          <w:numId w:val="250"/>
        </w:numPr>
        <w:rPr>
          <w:rFonts w:ascii="Arial" w:cs="Arial" w:eastAsia="Arial" w:hAnsi="Arial"/>
          <w:sz w:val="15"/>
          <w:szCs w:val="15"/>
          <w:color w:val="auto"/>
        </w:rPr>
      </w:pPr>
      <w:r>
        <w:rPr>
          <w:rFonts w:ascii="Arial" w:cs="Arial" w:eastAsia="Arial" w:hAnsi="Arial"/>
          <w:sz w:val="15"/>
          <w:szCs w:val="15"/>
          <w:u w:val="single" w:color="auto"/>
          <w:color w:val="auto"/>
        </w:rPr>
        <w:t>No Rights as Shareholder</w:t>
      </w:r>
      <w:r>
        <w:rPr>
          <w:rFonts w:ascii="Arial" w:cs="Arial" w:eastAsia="Arial" w:hAnsi="Arial"/>
          <w:sz w:val="15"/>
          <w:szCs w:val="15"/>
          <w:color w:val="auto"/>
        </w:rPr>
        <w:t>. This Warrant shall not entitle the Holder to any rights as a shareholder of the Company, either at law or in equity. The rights of the Holder are limited to those expressed in this Warrant and are not enforceable against the Company except to the extent set forth herein.</w:t>
      </w:r>
    </w:p>
    <w:p>
      <w:pPr>
        <w:spacing w:after="0" w:line="149" w:lineRule="exact"/>
        <w:rPr>
          <w:rFonts w:ascii="Arial" w:cs="Arial" w:eastAsia="Arial" w:hAnsi="Arial"/>
          <w:sz w:val="15"/>
          <w:szCs w:val="15"/>
          <w:color w:val="auto"/>
        </w:rPr>
      </w:pPr>
    </w:p>
    <w:p>
      <w:pPr>
        <w:ind w:left="740" w:hanging="150"/>
        <w:spacing w:after="0"/>
        <w:tabs>
          <w:tab w:leader="none" w:pos="740"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Adjustments in Number and Exercise Price of Warrant Shares</w:t>
      </w:r>
      <w:r>
        <w:rPr>
          <w:rFonts w:ascii="Arial" w:cs="Arial" w:eastAsia="Arial" w:hAnsi="Arial"/>
          <w:sz w:val="16"/>
          <w:szCs w:val="16"/>
          <w:color w:val="auto"/>
        </w:rPr>
        <w:t>.</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5.1 The number of shares of Common Stock for which this Warrant may be exercised and the Exercise Price therefor shall be subject to adjustment as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62" w:lineRule="exact"/>
        <w:rPr>
          <w:sz w:val="20"/>
          <w:szCs w:val="20"/>
          <w:color w:val="auto"/>
        </w:rPr>
      </w:pPr>
    </w:p>
    <w:p>
      <w:pPr>
        <w:jc w:val="both"/>
        <w:ind w:firstLine="1718"/>
        <w:spacing w:after="0" w:line="324" w:lineRule="auto"/>
        <w:tabs>
          <w:tab w:leader="none" w:pos="1944" w:val="left"/>
        </w:tabs>
        <w:numPr>
          <w:ilvl w:val="0"/>
          <w:numId w:val="251"/>
        </w:numPr>
        <w:rPr>
          <w:rFonts w:ascii="Arial" w:cs="Arial" w:eastAsia="Arial" w:hAnsi="Arial"/>
          <w:sz w:val="14"/>
          <w:szCs w:val="14"/>
          <w:color w:val="auto"/>
        </w:rPr>
      </w:pPr>
      <w:r>
        <w:rPr>
          <w:rFonts w:ascii="Arial" w:cs="Arial" w:eastAsia="Arial" w:hAnsi="Arial"/>
          <w:sz w:val="14"/>
          <w:szCs w:val="14"/>
          <w:color w:val="auto"/>
        </w:rPr>
        <w:t>If the Company is recapitalized through the subdivision or combination of its outstanding shares of Common Stock into a larger or smaller number of shares, the number of Warrant Shares shall be increased or reduced, as of the record date for such recapitalization, in the same proportion as the increase or decrease in the outstanding shares of Common Stock, and the Exercise Price shall be adjusted so that the aggregate amount payable for the purchase of all of the Warrant Shares issuable hereunder immediately after the record date for such recapitalization shall equal the aggregate amount so payable immediately before such record date.</w:t>
      </w:r>
    </w:p>
    <w:p>
      <w:pPr>
        <w:spacing w:after="0" w:line="183" w:lineRule="exact"/>
        <w:rPr>
          <w:rFonts w:ascii="Arial" w:cs="Arial" w:eastAsia="Arial" w:hAnsi="Arial"/>
          <w:sz w:val="14"/>
          <w:szCs w:val="14"/>
          <w:color w:val="auto"/>
        </w:rPr>
      </w:pPr>
    </w:p>
    <w:p>
      <w:pPr>
        <w:jc w:val="both"/>
        <w:ind w:firstLine="1718"/>
        <w:spacing w:after="0" w:line="266" w:lineRule="auto"/>
        <w:tabs>
          <w:tab w:leader="none" w:pos="193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If the Company declares a dividend on Common Stock payable in Common Stock or securities convertible into Common Stock, the number of shares of Common Stock for which this Warrant may be exercised shall be increased as of the record date for determining which holders of Common Stock shall be entitled to receive such dividend, in proportion to the increase in the number of outstanding shares (and shares of Common Stock issuable upon conversion of all such securities convertible into Common Stock) of Common Stock as a result of such dividend, and the Exercise Price shall be adjusted so that the aggregate amount payable for the purchase of all the Warrant Shares issuable hereunder immediately after the record date for such dividend shall equal the aggregate amount so payable immediately before such record date.</w:t>
      </w:r>
    </w:p>
    <w:p>
      <w:pPr>
        <w:sectPr>
          <w:pgSz w:w="11900" w:h="16838" w:orient="portrait"/>
          <w:cols w:equalWidth="0" w:num="1">
            <w:col w:w="11240"/>
          </w:cols>
          <w:pgMar w:left="320" w:top="838" w:right="339" w:bottom="1440" w:gutter="0" w:footer="0" w:header="0"/>
        </w:sectPr>
      </w:pPr>
    </w:p>
    <w:bookmarkStart w:id="301" w:name="page302"/>
    <w:bookmarkEnd w:id="301"/>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jc w:val="both"/>
        <w:ind w:firstLine="1718"/>
        <w:spacing w:after="0" w:line="266" w:lineRule="auto"/>
        <w:tabs>
          <w:tab w:leader="none" w:pos="194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If the Company distributes to holders of its Common Stock, other than as part of its dissolution or liquidation or the winding up of its affairs, any evidence of indebtedness or any of its assets (other than cash, Common Stock or securities convertible into Common Stock), the Company shall give written notice to the Holder of any such distribution at least fifteen (15) days prior to the proposed record date in order to permit the Holder to exercise this Warrant on or before the record date. There shall be no adjustment in the number of shares of Common Stock for which this Warrant may be exercised, or in the Exercise Price, by virtue of any such distribution.</w:t>
      </w:r>
    </w:p>
    <w:p>
      <w:pPr>
        <w:spacing w:after="0" w:line="221" w:lineRule="exact"/>
        <w:rPr>
          <w:rFonts w:ascii="Arial" w:cs="Arial" w:eastAsia="Arial" w:hAnsi="Arial"/>
          <w:sz w:val="16"/>
          <w:szCs w:val="16"/>
          <w:color w:val="auto"/>
        </w:rPr>
      </w:pPr>
    </w:p>
    <w:p>
      <w:pPr>
        <w:jc w:val="both"/>
        <w:ind w:firstLine="1718"/>
        <w:spacing w:after="0" w:line="273" w:lineRule="auto"/>
        <w:tabs>
          <w:tab w:leader="none" w:pos="193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If the Company offers rights or warrants to the holders of Common Stock which entitle them to subscribe to or purchase additional Common Stock or securities convertible into Common Stock, the Company shall give written notice of any such proposed offering to the Holder at least fifteen (15) days prior to the proposed record date in order to permit the Holder to exercise this Warrant on or before such record date. There shall be no adjustment in the number of shares of Common Stock for which this Warrant may be exercised, or in the Exercise Price, by virtue of any such distribution.</w:t>
      </w:r>
    </w:p>
    <w:p>
      <w:pPr>
        <w:spacing w:after="0" w:line="215" w:lineRule="exact"/>
        <w:rPr>
          <w:rFonts w:ascii="Arial" w:cs="Arial" w:eastAsia="Arial" w:hAnsi="Arial"/>
          <w:sz w:val="16"/>
          <w:szCs w:val="16"/>
          <w:color w:val="auto"/>
        </w:rPr>
      </w:pPr>
    </w:p>
    <w:p>
      <w:pPr>
        <w:jc w:val="both"/>
        <w:ind w:firstLine="1718"/>
        <w:spacing w:after="0" w:line="287" w:lineRule="auto"/>
        <w:tabs>
          <w:tab w:leader="none" w:pos="194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If the event, as a result of which an adjustment is made under paragraph (a) or (b) above, does not occur, then any adjustments in the Exercise Price or number of shares issuable that were made in accordance with such paragraph (a) or (b) shall be adjusted to the Exercise Price and number of shares as were in effect immediately prior to the record date for such event.</w:t>
      </w:r>
    </w:p>
    <w:p>
      <w:pPr>
        <w:spacing w:after="0" w:line="217" w:lineRule="exact"/>
        <w:rPr>
          <w:sz w:val="20"/>
          <w:szCs w:val="20"/>
          <w:color w:val="auto"/>
        </w:rPr>
      </w:pPr>
    </w:p>
    <w:p>
      <w:pPr>
        <w:jc w:val="both"/>
        <w:ind w:firstLine="1143"/>
        <w:spacing w:after="0" w:line="278" w:lineRule="auto"/>
        <w:rPr>
          <w:sz w:val="20"/>
          <w:szCs w:val="20"/>
          <w:color w:val="auto"/>
        </w:rPr>
      </w:pPr>
      <w:r>
        <w:rPr>
          <w:rFonts w:ascii="Arial" w:cs="Arial" w:eastAsia="Arial" w:hAnsi="Arial"/>
          <w:sz w:val="15"/>
          <w:szCs w:val="15"/>
          <w:color w:val="auto"/>
        </w:rPr>
        <w:t>5.2 In the event of any reorganization or reclassification of the outstanding shares of Common Stock (other than a change in par value or from no par value to par value, or from par value to no par value, or as a result of a subdivision or combination) or in the event of any consolidation or merger of the Company with another entity after which the Company is not the surviving entity, at any time prior to the expiration of this Warrant, upon subsequent exercise of this Warrant the Holder shall have the right to receive the same kind and number of shares of common stock and other securities, cash or other property as would have been distributed to the Holder upon such reorganization, reclassification, consolidation or merger had the Holder exercised this Warrant immediately prior to such reorganization, reclassification, consolidation or merger, appropriately adjusted for any subsequent event described in this Section 5. The Holder shall pay upon such exercise the Exercise Price that otherwise would have been payable pursuant to the terms of this Warrant. If any such reorganization, reclassification, consolidation or merger results in a cash distribution in excess of the then applicable Exercise Price, the Holder may, at the Holder’s option, exercise this Warrant without making payment of the Exercise Price, and in such case the Company shall, upon distribution to the Holder, consider the Exercise Price to have been paid in full, and in making settlement to the Holder, shall deduct an amount equal to the Exercise Price from the amount payable to the Holder.</w:t>
      </w:r>
    </w:p>
    <w:p>
      <w:pPr>
        <w:sectPr>
          <w:pgSz w:w="11900" w:h="16838" w:orient="portrait"/>
          <w:cols w:equalWidth="0" w:num="1">
            <w:col w:w="11240"/>
          </w:cols>
          <w:pgMar w:left="320" w:top="838" w:right="339" w:bottom="1440" w:gutter="0" w:footer="0" w:header="0"/>
        </w:sectPr>
      </w:pPr>
    </w:p>
    <w:bookmarkStart w:id="302" w:name="page303"/>
    <w:bookmarkEnd w:id="302"/>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jc w:val="both"/>
        <w:ind w:firstLine="1143"/>
        <w:spacing w:after="0" w:line="280" w:lineRule="auto"/>
        <w:rPr>
          <w:sz w:val="20"/>
          <w:szCs w:val="20"/>
          <w:color w:val="auto"/>
        </w:rPr>
      </w:pPr>
      <w:r>
        <w:rPr>
          <w:rFonts w:ascii="Arial" w:cs="Arial" w:eastAsia="Arial" w:hAnsi="Arial"/>
          <w:sz w:val="15"/>
          <w:szCs w:val="15"/>
          <w:color w:val="auto"/>
        </w:rPr>
        <w:t>5.3 If the Company shall, at any time before the expiration of this Warrant, dissolve, liquidate or wind up its affairs, the Holder shall have the right to receive upon exercise of this Warrant, in lieu of the shares of Common Stock of the Company that the Holder otherwise would have been entitled to receive, the same kind and amount of assets as would have been issued, distributed or paid to the Holder upon any such dissolution, liquidation or winding up with respect to such Common Stock receivable upon exercise of this Warrant on the date for determining those entitled to receive any such distribution. If any such dissolution, liquidation or winding up results in any cash distribution in excess of the Exercise Price provided by this Warrant, the Holder may, at the Holder’s option, exercise this Warrant without making payment of the Exercise Price and, in such case, the Company shall, upon distribution to the Holder, consider the Exercise Price to have been paid in full and, in making settlement to the Holder, shall deduct an amount equal to the Exercise Price from the amount payable to the Holder.</w:t>
      </w:r>
    </w:p>
    <w:p>
      <w:pPr>
        <w:spacing w:after="0" w:line="211" w:lineRule="exact"/>
        <w:rPr>
          <w:sz w:val="20"/>
          <w:szCs w:val="20"/>
          <w:color w:val="auto"/>
        </w:rPr>
      </w:pPr>
    </w:p>
    <w:p>
      <w:pPr>
        <w:jc w:val="both"/>
        <w:ind w:firstLine="590"/>
        <w:spacing w:after="0" w:line="280" w:lineRule="auto"/>
        <w:tabs>
          <w:tab w:leader="none" w:pos="1284" w:val="left"/>
        </w:tabs>
        <w:numPr>
          <w:ilvl w:val="0"/>
          <w:numId w:val="253"/>
        </w:numPr>
        <w:rPr>
          <w:rFonts w:ascii="Arial" w:cs="Arial" w:eastAsia="Arial" w:hAnsi="Arial"/>
          <w:sz w:val="15"/>
          <w:szCs w:val="15"/>
          <w:color w:val="auto"/>
        </w:rPr>
      </w:pPr>
      <w:r>
        <w:rPr>
          <w:rFonts w:ascii="Arial" w:cs="Arial" w:eastAsia="Arial" w:hAnsi="Arial"/>
          <w:sz w:val="15"/>
          <w:szCs w:val="15"/>
          <w:u w:val="single" w:color="auto"/>
          <w:color w:val="auto"/>
        </w:rPr>
        <w:t>Notices to Holder</w:t>
      </w:r>
      <w:r>
        <w:rPr>
          <w:rFonts w:ascii="Arial" w:cs="Arial" w:eastAsia="Arial" w:hAnsi="Arial"/>
          <w:sz w:val="15"/>
          <w:szCs w:val="15"/>
          <w:color w:val="auto"/>
        </w:rPr>
        <w:t>. So long as this Warrant shall be outstanding (a) if the Company shall pay any dividends or make any distribution upon the Common Stock otherwise than in cash or (b) if the Company shall offer generally to the holders of Common Stock the right to subscribe to or purchase any shares of any class of Common Stock or securities convertible into Common Stock or any similar rights or (c) if there shall be any capital reorganization of the Company in which the Company is not the surviving entity, recapitalization of the capital stock of the Company, consolidation or merger of the Company with or into another corporation, sale, lease or other transfer of all or substantially all of the property and assets of the Company, or voluntary or involuntary dissolution, liquidation or winding up of the Company, then in such event, the Company shall cause to be mailed to the Holder, at least thirty (30) days prior to the relevant date described below (or such shorter period as is reasonably possible if thirty (30) days is not reasonably possible), a notice containing a description of the proposed action and stating the date or expected date on which a record of the Company’s shareholders is to be taken for the purpose of any such dividend, distribution of rights, or such reclassification, reorganization, consolidation, merger, conveyance, lease or transfer, dissolution, liquidation or winding up is to take place and the date or expected date, if any is to be fixed, as of which the holders of Common Stock of record shall be entitled to exchange their shares of Common Stock for securities or other property deliverable upon such event.</w:t>
      </w:r>
    </w:p>
    <w:p>
      <w:pPr>
        <w:spacing w:after="0" w:line="188" w:lineRule="exact"/>
        <w:rPr>
          <w:rFonts w:ascii="Arial" w:cs="Arial" w:eastAsia="Arial" w:hAnsi="Arial"/>
          <w:sz w:val="15"/>
          <w:szCs w:val="15"/>
          <w:color w:val="auto"/>
        </w:rPr>
      </w:pPr>
    </w:p>
    <w:p>
      <w:pPr>
        <w:ind w:left="740" w:hanging="150"/>
        <w:spacing w:after="0"/>
        <w:tabs>
          <w:tab w:leader="none" w:pos="74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Transfer, Exercise, Exchange, Assignment or Loss of Warrant, Warrant Shares or Other Securities</w:t>
      </w:r>
      <w:r>
        <w:rPr>
          <w:rFonts w:ascii="Arial" w:cs="Arial" w:eastAsia="Arial" w:hAnsi="Arial"/>
          <w:sz w:val="16"/>
          <w:szCs w:val="16"/>
          <w:color w:val="auto"/>
        </w:rPr>
        <w:t>.</w:t>
      </w:r>
    </w:p>
    <w:p>
      <w:pPr>
        <w:spacing w:after="0" w:line="235" w:lineRule="exact"/>
        <w:rPr>
          <w:sz w:val="20"/>
          <w:szCs w:val="20"/>
          <w:color w:val="auto"/>
        </w:rPr>
      </w:pPr>
    </w:p>
    <w:p>
      <w:pPr>
        <w:jc w:val="both"/>
        <w:ind w:firstLine="1143"/>
        <w:spacing w:after="0" w:line="283" w:lineRule="auto"/>
        <w:rPr>
          <w:sz w:val="20"/>
          <w:szCs w:val="20"/>
          <w:color w:val="auto"/>
        </w:rPr>
      </w:pPr>
      <w:r>
        <w:rPr>
          <w:rFonts w:ascii="Arial" w:cs="Arial" w:eastAsia="Arial" w:hAnsi="Arial"/>
          <w:sz w:val="15"/>
          <w:szCs w:val="15"/>
          <w:color w:val="auto"/>
        </w:rPr>
        <w:t>7.1 This Warrant may be transferred, exercised, exchanged or assigned (“transferred”), in whole or in part, subject to the following restrictions. This Warrant and the Warrant Shares or any other securities (“Other Securities”) received upon exercise of this Warrant shall be subject to restrictions on transferability until registered under the Securities Act of 1933, as amended (the “Securities Act”), unless an exemption from registration is available. Until this Warrant and the Warrant Shares or Other Securities are so registered or exempt from registration, this Warrant and any certificate for Warrant Shares or Other Securities issued or issuable upon exercise of this Warrant shall contain a legend on the face thereof, in form and substance satisfactory to counsel for the Company, stating that this Warrant, the Warrant Shares or Other Securities may not be sold, transferred or otherwise disposed of unless, in the opinion of counsel satisfactory to the Company, which may be counsel to the Company, that this Warrant, the Warrant Shares or Other Securities may be transferred without such registration. This Warrant and the Warrant Shares or Other Securities may also be subject to restrictions on transferability under applicable state securities or blue sky laws.</w:t>
      </w:r>
    </w:p>
    <w:p>
      <w:pPr>
        <w:sectPr>
          <w:pgSz w:w="11900" w:h="16838" w:orient="portrait"/>
          <w:cols w:equalWidth="0" w:num="1">
            <w:col w:w="11240"/>
          </w:cols>
          <w:pgMar w:left="320" w:top="838" w:right="339" w:bottom="1440" w:gutter="0" w:footer="0" w:header="0"/>
        </w:sectPr>
      </w:pPr>
    </w:p>
    <w:bookmarkStart w:id="303" w:name="page304"/>
    <w:bookmarkEnd w:id="303"/>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jc w:val="both"/>
        <w:ind w:firstLine="1143"/>
        <w:spacing w:after="0" w:line="267" w:lineRule="auto"/>
        <w:rPr>
          <w:sz w:val="20"/>
          <w:szCs w:val="20"/>
          <w:color w:val="auto"/>
        </w:rPr>
      </w:pPr>
      <w:r>
        <w:rPr>
          <w:rFonts w:ascii="Arial" w:cs="Arial" w:eastAsia="Arial" w:hAnsi="Arial"/>
          <w:sz w:val="16"/>
          <w:szCs w:val="16"/>
          <w:color w:val="auto"/>
        </w:rPr>
        <w:t>7.2 Any transfer permitted hereunder shall be made by surrender of this Warrant to the Company or to the Transfer Agent at its offices with a duly executed request to transfer the Warrant, which shall provide adequate information to effect such transfer and shall be accompanied by funds sufficient to pay any transfer taxes applicable. The Company or Transfer Agent shall, without charge, execute and deliver a new Warrant in the name of the transferee named in such transfer request, and this Warrant promptly shall be cancelled.</w:t>
      </w:r>
    </w:p>
    <w:p>
      <w:pPr>
        <w:spacing w:after="0" w:line="220" w:lineRule="exact"/>
        <w:rPr>
          <w:sz w:val="20"/>
          <w:szCs w:val="20"/>
          <w:color w:val="auto"/>
        </w:rPr>
      </w:pPr>
    </w:p>
    <w:p>
      <w:pPr>
        <w:jc w:val="both"/>
        <w:ind w:firstLine="1143"/>
        <w:spacing w:after="0" w:line="305" w:lineRule="auto"/>
        <w:rPr>
          <w:sz w:val="20"/>
          <w:szCs w:val="20"/>
          <w:color w:val="auto"/>
        </w:rPr>
      </w:pPr>
      <w:r>
        <w:rPr>
          <w:rFonts w:ascii="Arial" w:cs="Arial" w:eastAsia="Arial" w:hAnsi="Arial"/>
          <w:sz w:val="15"/>
          <w:szCs w:val="15"/>
          <w:color w:val="auto"/>
        </w:rPr>
        <w:t>7.3 Upon receipt by the Company of evidence satisfactory to it of loss, theft, destruction or mutilation of this Warrant and, in the case of loss, theft or destruction, of reasonable satisfactory indemnification, or, in the case of mutilation, upon surrender of this Warrant, the Company will execute and deliver, or instruct the Transfer Agent to execute and deliver, a new Warrant of like tenor and date, any such lost, stolen or destroyed Warrant thereupon shall become void.</w:t>
      </w:r>
    </w:p>
    <w:p>
      <w:pPr>
        <w:spacing w:after="0" w:line="206" w:lineRule="exact"/>
        <w:rPr>
          <w:sz w:val="20"/>
          <w:szCs w:val="20"/>
          <w:color w:val="auto"/>
        </w:rPr>
      </w:pPr>
    </w:p>
    <w:p>
      <w:pPr>
        <w:ind w:left="1300" w:hanging="710"/>
        <w:spacing w:after="0"/>
        <w:tabs>
          <w:tab w:leader="none" w:pos="1300"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the Holder</w:t>
      </w:r>
      <w:r>
        <w:rPr>
          <w:rFonts w:ascii="Arial" w:cs="Arial" w:eastAsia="Arial" w:hAnsi="Arial"/>
          <w:sz w:val="14"/>
          <w:szCs w:val="14"/>
          <w:color w:val="auto"/>
        </w:rPr>
        <w:t>. The Holder hereby represents and warrants to the Company with respect to the issuance of the Warrant as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75" w:lineRule="exact"/>
        <w:rPr>
          <w:sz w:val="20"/>
          <w:szCs w:val="20"/>
          <w:color w:val="auto"/>
        </w:rPr>
      </w:pPr>
    </w:p>
    <w:p>
      <w:pPr>
        <w:ind w:right="20" w:firstLine="1143"/>
        <w:spacing w:after="0" w:line="31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Legends</w:t>
      </w:r>
      <w:r>
        <w:rPr>
          <w:rFonts w:ascii="Arial" w:cs="Arial" w:eastAsia="Arial" w:hAnsi="Arial"/>
          <w:sz w:val="16"/>
          <w:szCs w:val="16"/>
          <w:color w:val="auto"/>
        </w:rPr>
        <w:t>. The Holder understands and acknowledges that the certificate(s) evidencing the securities issued by the Company will be imprinted with a restrictive legend as referenced in Section 7.1 above.</w:t>
      </w:r>
    </w:p>
    <w:p>
      <w:pPr>
        <w:spacing w:after="0" w:line="200" w:lineRule="exact"/>
        <w:rPr>
          <w:sz w:val="20"/>
          <w:szCs w:val="20"/>
          <w:color w:val="auto"/>
        </w:rPr>
      </w:pPr>
    </w:p>
    <w:p>
      <w:pPr>
        <w:jc w:val="both"/>
        <w:ind w:firstLine="1143"/>
        <w:spacing w:after="0" w:line="28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Access to Data</w:t>
      </w:r>
      <w:r>
        <w:rPr>
          <w:rFonts w:ascii="Arial" w:cs="Arial" w:eastAsia="Arial" w:hAnsi="Arial"/>
          <w:sz w:val="16"/>
          <w:szCs w:val="16"/>
          <w:color w:val="auto"/>
        </w:rPr>
        <w:t>. The Holder has had an opportunity to discuss the Company’s business, management, and financial affairs with the Company’s management and the opportunity to review the Company’s facilities and business plans. The Holder has also had an opportunity to ask questions of officers of the Company, which questions were answered to its satisfaction.</w:t>
      </w:r>
    </w:p>
    <w:p>
      <w:pPr>
        <w:spacing w:after="0" w:line="217" w:lineRule="exact"/>
        <w:rPr>
          <w:sz w:val="20"/>
          <w:szCs w:val="20"/>
          <w:color w:val="auto"/>
        </w:rPr>
      </w:pPr>
    </w:p>
    <w:p>
      <w:pPr>
        <w:jc w:val="both"/>
        <w:ind w:firstLine="1143"/>
        <w:spacing w:after="0" w:line="31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Authorization.</w:t>
      </w:r>
      <w:r>
        <w:rPr>
          <w:rFonts w:ascii="Arial" w:cs="Arial" w:eastAsia="Arial" w:hAnsi="Arial"/>
          <w:sz w:val="16"/>
          <w:szCs w:val="16"/>
          <w:color w:val="auto"/>
        </w:rPr>
        <w:t xml:space="preserve"> This Warrant and the agreements contemplated hereby, when executed and delivered by the Holder, will constitute a valid and legally binding obligation of the Holder, enforceable in accordance with their respective terms.</w:t>
      </w:r>
    </w:p>
    <w:p>
      <w:pPr>
        <w:spacing w:after="0" w:line="200" w:lineRule="exact"/>
        <w:rPr>
          <w:sz w:val="20"/>
          <w:szCs w:val="20"/>
          <w:color w:val="auto"/>
        </w:rPr>
      </w:pPr>
    </w:p>
    <w:p>
      <w:pPr>
        <w:jc w:val="both"/>
        <w:ind w:firstLine="1143"/>
        <w:spacing w:after="0" w:line="328"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Brokers or Finders</w:t>
      </w:r>
      <w:r>
        <w:rPr>
          <w:rFonts w:ascii="Arial" w:cs="Arial" w:eastAsia="Arial" w:hAnsi="Arial"/>
          <w:sz w:val="15"/>
          <w:szCs w:val="15"/>
          <w:color w:val="auto"/>
        </w:rPr>
        <w:t>. The Company has not incurred, and will not incur, directly or indirectly, as a result of any action taken by such Holder, any liability for brokerage or finders’ fees or agents’ commissions or any similar charges in connection with this Warrant or any transaction contemplated hereby.</w:t>
      </w:r>
    </w:p>
    <w:p>
      <w:pPr>
        <w:spacing w:after="0" w:line="190" w:lineRule="exact"/>
        <w:rPr>
          <w:sz w:val="20"/>
          <w:szCs w:val="20"/>
          <w:color w:val="auto"/>
        </w:rPr>
      </w:pPr>
    </w:p>
    <w:p>
      <w:pPr>
        <w:jc w:val="both"/>
        <w:ind w:firstLine="590"/>
        <w:spacing w:after="0" w:line="283" w:lineRule="auto"/>
        <w:tabs>
          <w:tab w:leader="none" w:pos="1284" w:val="left"/>
        </w:tabs>
        <w:numPr>
          <w:ilvl w:val="0"/>
          <w:numId w:val="255"/>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demands or other communications hereunder shall be in writing and shall be deemed to have been duly given, if delivered in person or mailed, certified, return-receipt requested, postage prepaid to the address previously provided to the other party, or sent by fax or email (to the extent stated below). Either party hereto may from time to time, by written notice to the other party, designate a different address. If any notice or other document is sent by certified or registered mail, return receipt requested, postage prepaid, properly addressed as aforementioned, the same shall be deemed delivered seventy-two (72) hours after mailing thereof. If any notice is sent by fax or email, it will be deemed to have been delivered on the date the fax or email thereof is actually received, provided the original thereof is sent by certified mail, in the manner set forth above, within twenty-four (24) hours after the fax or email is sent.</w:t>
      </w:r>
    </w:p>
    <w:p>
      <w:pPr>
        <w:sectPr>
          <w:pgSz w:w="11900" w:h="16838" w:orient="portrait"/>
          <w:cols w:equalWidth="0" w:num="1">
            <w:col w:w="11240"/>
          </w:cols>
          <w:pgMar w:left="320" w:top="838" w:right="339" w:bottom="1440" w:gutter="0" w:footer="0" w:header="0"/>
        </w:sectPr>
      </w:pPr>
    </w:p>
    <w:bookmarkStart w:id="304" w:name="page305"/>
    <w:bookmarkEnd w:id="304"/>
    <w:p>
      <w:pPr>
        <w:ind w:left="8240"/>
        <w:spacing w:after="0"/>
        <w:rPr>
          <w:sz w:val="20"/>
          <w:szCs w:val="20"/>
          <w:color w:val="auto"/>
        </w:rPr>
      </w:pPr>
      <w:r>
        <w:rPr>
          <w:rFonts w:ascii="Arial" w:cs="Arial" w:eastAsia="Arial" w:hAnsi="Arial"/>
          <w:sz w:val="20"/>
          <w:szCs w:val="20"/>
          <w:color w:val="auto"/>
        </w:rPr>
        <w:t>Exhibit 10.23</w:t>
      </w:r>
    </w:p>
    <w:p>
      <w:pPr>
        <w:spacing w:after="0" w:line="20" w:lineRule="exact"/>
        <w:rPr>
          <w:sz w:val="20"/>
          <w:szCs w:val="20"/>
          <w:color w:val="auto"/>
        </w:rPr>
      </w:pPr>
    </w:p>
    <w:p>
      <w:pPr>
        <w:ind w:left="-200" w:firstLine="590"/>
        <w:spacing w:after="0" w:line="292" w:lineRule="auto"/>
        <w:tabs>
          <w:tab w:leader="none" w:pos="1111"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Any provision of this Warrant may be amended or the observance thereof may be waived (either generally or in a particular instance and either retroactively or prospectively), only with the mutual written consent of the Company and the Holder.</w:t>
      </w:r>
    </w:p>
    <w:p>
      <w:pPr>
        <w:spacing w:after="0" w:line="186" w:lineRule="exact"/>
        <w:rPr>
          <w:rFonts w:ascii="Arial" w:cs="Arial" w:eastAsia="Arial" w:hAnsi="Arial"/>
          <w:sz w:val="16"/>
          <w:szCs w:val="16"/>
          <w:color w:val="auto"/>
        </w:rPr>
      </w:pPr>
    </w:p>
    <w:p>
      <w:pPr>
        <w:ind w:left="600" w:hanging="228"/>
        <w:spacing w:after="0"/>
        <w:tabs>
          <w:tab w:leader="none" w:pos="60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shall be governed by and construed in accordance with the laws of the State of New York.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10860"/>
          </w:cols>
          <w:pgMar w:left="520" w:top="838" w:right="519" w:bottom="1440" w:gutter="0" w:footer="0" w:header="0"/>
        </w:sectPr>
      </w:pPr>
    </w:p>
    <w:bookmarkStart w:id="305" w:name="page306"/>
    <w:bookmarkEnd w:id="305"/>
    <w:p>
      <w:pPr>
        <w:ind w:left="7840"/>
        <w:spacing w:after="0"/>
        <w:rPr>
          <w:sz w:val="20"/>
          <w:szCs w:val="20"/>
          <w:color w:val="auto"/>
        </w:rPr>
      </w:pPr>
      <w:r>
        <w:rPr>
          <w:rFonts w:ascii="Arial" w:cs="Arial" w:eastAsia="Arial" w:hAnsi="Arial"/>
          <w:sz w:val="20"/>
          <w:szCs w:val="20"/>
          <w:color w:val="auto"/>
        </w:rPr>
        <w:t>Exhibit 10.23</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Company has caused this Warrant to be executed by its officer thereunto duly authorized as of the date first above indicated.</w:t>
      </w:r>
    </w:p>
    <w:p>
      <w:pPr>
        <w:spacing w:after="0" w:line="253"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PROVENTION BIO, INC.</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0080"/>
          </w:cols>
          <w:pgMar w:left="920" w:top="838" w:right="899" w:bottom="1440" w:gutter="0" w:footer="0" w:header="0"/>
        </w:sectPr>
      </w:pPr>
    </w:p>
    <w:bookmarkStart w:id="306" w:name="page307"/>
    <w:bookmarkEnd w:id="306"/>
    <w:p>
      <w:pPr>
        <w:ind w:left="8440"/>
        <w:spacing w:after="0"/>
        <w:rPr>
          <w:sz w:val="20"/>
          <w:szCs w:val="20"/>
          <w:color w:val="auto"/>
        </w:rPr>
      </w:pPr>
      <w:r>
        <w:rPr>
          <w:rFonts w:ascii="Arial" w:cs="Arial" w:eastAsia="Arial" w:hAnsi="Arial"/>
          <w:sz w:val="20"/>
          <w:szCs w:val="20"/>
          <w:color w:val="auto"/>
        </w:rPr>
        <w:t>Exhibit 10.23</w:t>
      </w:r>
    </w:p>
    <w:p>
      <w:pPr>
        <w:jc w:val="center"/>
        <w:spacing w:after="0"/>
        <w:rPr>
          <w:sz w:val="20"/>
          <w:szCs w:val="20"/>
          <w:color w:val="auto"/>
        </w:rPr>
      </w:pPr>
      <w:r>
        <w:rPr>
          <w:rFonts w:ascii="Arial" w:cs="Arial" w:eastAsia="Arial" w:hAnsi="Arial"/>
          <w:sz w:val="16"/>
          <w:szCs w:val="16"/>
          <w:b w:val="1"/>
          <w:bCs w:val="1"/>
          <w:color w:val="auto"/>
        </w:rPr>
        <w:t>FORM OF EXERCISE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executed upon exercise of Warrant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print)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undersigned hereby irrevocably elects to exercise the right, represented by this Warrant Number _____certificate, to __________ shares of</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common stock, $0.0001 par value per share (“Common Stock”) of Provention Bio, Inc. (the “Company”) and herewith [tenders payment for such shares of Common Stock to the order of the Company the amount of $[●] per share in accordance with the terms hereof/elects to exercise this Warrant pursuant to Section 2(b) of the attached Warrant]. The undersigned requests that a certificate for such shares of Common Stock be registered in the name of</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 whose address is __________________________________________. If said number of shares of Common Stock is less</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than all of the shares of Common Stock purchasable hereunder, the undersigned requests that a new Warrant Certificate representing the remaining balance of the shares of Common Stock be registered in the name of _______________________________, whose address is</w:t>
      </w:r>
    </w:p>
    <w:p>
      <w:pPr>
        <w:spacing w:after="0" w:line="185" w:lineRule="exact"/>
        <w:rPr>
          <w:sz w:val="20"/>
          <w:szCs w:val="20"/>
          <w:color w:val="auto"/>
        </w:rPr>
      </w:pPr>
    </w:p>
    <w:p>
      <w:pPr>
        <w:spacing w:after="0"/>
        <w:tabs>
          <w:tab w:leader="none" w:pos="3440" w:val="left"/>
          <w:tab w:leader="none" w:pos="3820" w:val="left"/>
          <w:tab w:leader="none" w:pos="4240" w:val="left"/>
          <w:tab w:leader="none" w:pos="4680" w:val="left"/>
          <w:tab w:leader="none" w:pos="5360" w:val="left"/>
          <w:tab w:leader="none" w:pos="6220" w:val="left"/>
          <w:tab w:leader="none" w:pos="6520" w:val="left"/>
          <w:tab w:leader="none" w:pos="7300" w:val="left"/>
          <w:tab w:leader="none" w:pos="8840" w:val="left"/>
          <w:tab w:leader="none" w:pos="9420" w:val="left"/>
          <w:tab w:leader="none" w:pos="10080" w:val="left"/>
        </w:tabs>
        <w:rPr>
          <w:sz w:val="20"/>
          <w:szCs w:val="20"/>
          <w:color w:val="auto"/>
        </w:rPr>
      </w:pPr>
      <w:r>
        <w:rPr>
          <w:rFonts w:ascii="Arial" w:cs="Arial" w:eastAsia="Arial" w:hAnsi="Arial"/>
          <w:sz w:val="16"/>
          <w:szCs w:val="16"/>
          <w:color w:val="auto"/>
        </w:rPr>
        <w:t>________________________________________,</w:t>
        <w:tab/>
        <w:t>and</w:t>
        <w:tab/>
        <w:t>that</w:t>
        <w:tab/>
        <w:t>such</w:t>
        <w:tab/>
        <w:t>Warrant</w:t>
        <w:tab/>
        <w:t>Certificate</w:t>
        <w:tab/>
        <w:t>be</w:t>
        <w:tab/>
        <w:t>delivered</w:t>
        <w:tab/>
        <w:t>to_______________,</w:t>
        <w:tab/>
        <w:t>whose</w:t>
        <w:tab/>
        <w:t>address</w:t>
      </w:r>
      <w:r>
        <w:rPr>
          <w:sz w:val="20"/>
          <w:szCs w:val="20"/>
          <w:color w:val="auto"/>
        </w:rPr>
        <w:tab/>
      </w:r>
      <w:r>
        <w:rPr>
          <w:rFonts w:ascii="Arial" w:cs="Arial" w:eastAsia="Arial" w:hAnsi="Arial"/>
          <w:sz w:val="13"/>
          <w:szCs w:val="13"/>
          <w:color w:val="auto"/>
        </w:rPr>
        <w:t>is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Representations of the undersigned</w:t>
      </w:r>
      <w:r>
        <w:rPr>
          <w:rFonts w:ascii="Arial" w:cs="Arial" w:eastAsia="Arial" w:hAnsi="Arial"/>
          <w:sz w:val="16"/>
          <w:szCs w:val="16"/>
          <w:color w:val="auto"/>
        </w:rPr>
        <w:t>.</w:t>
      </w:r>
    </w:p>
    <w:p>
      <w:pPr>
        <w:spacing w:after="0" w:line="248" w:lineRule="exact"/>
        <w:rPr>
          <w:sz w:val="20"/>
          <w:szCs w:val="20"/>
          <w:color w:val="auto"/>
        </w:rPr>
      </w:pPr>
    </w:p>
    <w:p>
      <w:pPr>
        <w:ind w:left="900" w:right="440" w:hanging="302"/>
        <w:spacing w:after="0" w:line="310" w:lineRule="auto"/>
        <w:tabs>
          <w:tab w:leader="none" w:pos="89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undersigned acknowledges that the undersigned has received, read and understood the Warrant and agrees to abide by and be bound by its terms and conditions.</w:t>
      </w:r>
    </w:p>
    <w:p>
      <w:pPr>
        <w:spacing w:after="0" w:line="199" w:lineRule="exact"/>
        <w:rPr>
          <w:rFonts w:ascii="Arial" w:cs="Arial" w:eastAsia="Arial" w:hAnsi="Arial"/>
          <w:sz w:val="16"/>
          <w:szCs w:val="16"/>
          <w:color w:val="auto"/>
        </w:rPr>
      </w:pPr>
    </w:p>
    <w:p>
      <w:pPr>
        <w:ind w:left="900" w:right="220" w:hanging="302"/>
        <w:spacing w:after="0" w:line="328" w:lineRule="auto"/>
        <w:tabs>
          <w:tab w:leader="none" w:pos="89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 The undersigned has such knowledge and experience in business and financial matters that the undersigned is capable of evaluating the Company and the proposed activities thereof, and the risks and merits of this prospective investment.</w:t>
      </w:r>
    </w:p>
    <w:p>
      <w:pPr>
        <w:spacing w:after="0" w:line="159" w:lineRule="exact"/>
        <w:rPr>
          <w:sz w:val="20"/>
          <w:szCs w:val="20"/>
          <w:color w:val="auto"/>
        </w:rPr>
      </w:pPr>
    </w:p>
    <w:p>
      <w:pPr>
        <w:ind w:left="4760" w:hanging="129"/>
        <w:spacing w:after="0"/>
        <w:tabs>
          <w:tab w:leader="none" w:pos="476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 YES [ ] NO</w:t>
      </w:r>
    </w:p>
    <w:p>
      <w:pPr>
        <w:spacing w:after="0" w:line="248" w:lineRule="exact"/>
        <w:rPr>
          <w:rFonts w:ascii="Arial" w:cs="Arial" w:eastAsia="Arial" w:hAnsi="Arial"/>
          <w:sz w:val="16"/>
          <w:szCs w:val="16"/>
          <w:color w:val="auto"/>
        </w:rPr>
      </w:pPr>
    </w:p>
    <w:p>
      <w:pPr>
        <w:ind w:left="900" w:right="40" w:hanging="10"/>
        <w:spacing w:after="0" w:line="310" w:lineRule="auto"/>
        <w:tabs>
          <w:tab w:leader="none" w:pos="130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If “No”, the undersigned is represented by a “purchaser representative,” as that term is defined in the Securities Act of 1933, as amended (the “Securities Act”) and Regulation D thereunder.</w:t>
      </w:r>
    </w:p>
    <w:p>
      <w:pPr>
        <w:spacing w:after="0" w:line="173" w:lineRule="exact"/>
        <w:rPr>
          <w:sz w:val="20"/>
          <w:szCs w:val="20"/>
          <w:color w:val="auto"/>
        </w:rPr>
      </w:pPr>
    </w:p>
    <w:p>
      <w:pPr>
        <w:ind w:left="4760" w:hanging="129"/>
        <w:spacing w:after="0"/>
        <w:tabs>
          <w:tab w:leader="none" w:pos="4760" w:val="left"/>
        </w:tabs>
        <w:numPr>
          <w:ilvl w:val="2"/>
          <w:numId w:val="260"/>
        </w:numPr>
        <w:rPr>
          <w:rFonts w:ascii="Arial" w:cs="Arial" w:eastAsia="Arial" w:hAnsi="Arial"/>
          <w:sz w:val="16"/>
          <w:szCs w:val="16"/>
          <w:color w:val="auto"/>
        </w:rPr>
      </w:pPr>
      <w:r>
        <w:rPr>
          <w:rFonts w:ascii="Arial" w:cs="Arial" w:eastAsia="Arial" w:hAnsi="Arial"/>
          <w:sz w:val="16"/>
          <w:szCs w:val="16"/>
          <w:color w:val="auto"/>
        </w:rPr>
        <w:t>] YES [ ] NO</w:t>
      </w:r>
    </w:p>
    <w:p>
      <w:pPr>
        <w:spacing w:after="0" w:line="221" w:lineRule="exact"/>
        <w:rPr>
          <w:rFonts w:ascii="Arial" w:cs="Arial" w:eastAsia="Arial" w:hAnsi="Arial"/>
          <w:sz w:val="16"/>
          <w:szCs w:val="16"/>
          <w:color w:val="auto"/>
        </w:rPr>
      </w:pPr>
    </w:p>
    <w:p>
      <w:pPr>
        <w:ind w:left="880" w:hanging="282"/>
        <w:spacing w:after="0"/>
        <w:tabs>
          <w:tab w:leader="none" w:pos="8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 The undersigned is an “accredited investor,” as that term is defined in the Securities Act and Rule 501 of Regulation D thereunder.</w:t>
      </w:r>
    </w:p>
    <w:p>
      <w:pPr>
        <w:spacing w:after="0" w:line="221" w:lineRule="exact"/>
        <w:rPr>
          <w:rFonts w:ascii="Arial" w:cs="Arial" w:eastAsia="Arial" w:hAnsi="Arial"/>
          <w:sz w:val="16"/>
          <w:szCs w:val="16"/>
          <w:color w:val="auto"/>
        </w:rPr>
      </w:pPr>
    </w:p>
    <w:p>
      <w:pPr>
        <w:ind w:left="4760" w:hanging="126"/>
        <w:spacing w:after="0"/>
        <w:tabs>
          <w:tab w:leader="none" w:pos="4760" w:val="left"/>
        </w:tabs>
        <w:numPr>
          <w:ilvl w:val="2"/>
          <w:numId w:val="260"/>
        </w:numPr>
        <w:rPr>
          <w:rFonts w:ascii="Arial" w:cs="Arial" w:eastAsia="Arial" w:hAnsi="Arial"/>
          <w:sz w:val="16"/>
          <w:szCs w:val="16"/>
          <w:color w:val="auto"/>
        </w:rPr>
      </w:pPr>
      <w:r>
        <w:rPr>
          <w:rFonts w:ascii="Arial" w:cs="Arial" w:eastAsia="Arial" w:hAnsi="Arial"/>
          <w:sz w:val="16"/>
          <w:szCs w:val="16"/>
          <w:color w:val="auto"/>
        </w:rPr>
        <w:t>] YES [ ] NO</w:t>
      </w:r>
    </w:p>
    <w:p>
      <w:pPr>
        <w:spacing w:after="0" w:line="221" w:lineRule="exact"/>
        <w:rPr>
          <w:rFonts w:ascii="Arial" w:cs="Arial" w:eastAsia="Arial" w:hAnsi="Arial"/>
          <w:sz w:val="16"/>
          <w:szCs w:val="16"/>
          <w:color w:val="auto"/>
        </w:rPr>
      </w:pPr>
    </w:p>
    <w:p>
      <w:pPr>
        <w:ind w:left="1120" w:hanging="230"/>
        <w:spacing w:after="0"/>
        <w:tabs>
          <w:tab w:leader="none" w:pos="112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If “Yes,” the undersigned comes within the following category of that definition (check one and complete the blanks as applicable):</w:t>
      </w:r>
    </w:p>
    <w:p>
      <w:pPr>
        <w:spacing w:after="0" w:line="235" w:lineRule="exact"/>
        <w:rPr>
          <w:sz w:val="20"/>
          <w:szCs w:val="20"/>
          <w:color w:val="auto"/>
        </w:rPr>
      </w:pPr>
    </w:p>
    <w:p>
      <w:pPr>
        <w:ind w:left="1460" w:right="60" w:hanging="278"/>
        <w:spacing w:after="0" w:line="318" w:lineRule="auto"/>
        <w:tabs>
          <w:tab w:leader="none" w:pos="1460" w:val="left"/>
        </w:tabs>
        <w:numPr>
          <w:ilvl w:val="0"/>
          <w:numId w:val="261"/>
        </w:numPr>
        <w:rPr>
          <w:rFonts w:ascii="Arial" w:cs="Arial" w:eastAsia="Arial" w:hAnsi="Arial"/>
          <w:sz w:val="14"/>
          <w:szCs w:val="14"/>
          <w:color w:val="auto"/>
        </w:rPr>
      </w:pPr>
      <w:r>
        <w:rPr>
          <w:rFonts w:ascii="Arial" w:cs="Arial" w:eastAsia="Arial" w:hAnsi="Arial"/>
          <w:sz w:val="14"/>
          <w:szCs w:val="14"/>
          <w:color w:val="auto"/>
        </w:rPr>
        <w:t>] 1. The undersigned is a natural person whose present net worth (or whose joint net worth with his or her spouse), excluding the value of the undersigned’s primary residence, exceeds $1,000,000. For purposes of calculating the undersigned’s present net worth, the undersigned has included the following as liabilities: (i) any indebtedness that is secured by the undersigned’s primary residence in excess of the estimated fair market value of the undersigned’s primary residence at the time of the sale of the shares, and (ii) any incremental debt secured by the undersigned’s primary residence that was incurred in the 60 days before the sale of the shares, other than as a result of the acquisition of the undersigned’s primary residence.</w:t>
      </w:r>
    </w:p>
    <w:p>
      <w:pPr>
        <w:sectPr>
          <w:pgSz w:w="11900" w:h="16838" w:orient="portrait"/>
          <w:cols w:equalWidth="0" w:num="1">
            <w:col w:w="11240"/>
          </w:cols>
          <w:pgMar w:left="320" w:top="832" w:right="339" w:bottom="1440" w:gutter="0" w:footer="0" w:header="0"/>
        </w:sectPr>
      </w:pPr>
    </w:p>
    <w:bookmarkStart w:id="307" w:name="page308"/>
    <w:bookmarkEnd w:id="307"/>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ind w:left="1460" w:right="420" w:hanging="278"/>
        <w:spacing w:after="0" w:line="278" w:lineRule="auto"/>
        <w:tabs>
          <w:tab w:leader="none" w:pos="14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2. The undersigned is a natural person who had individual income in excess of $200,000 in each of the last two years or joint income with the undersigned’s spouse in excess of $300,000 during such two years, and the undersigned reasonably expects to have the same income level in the current year.</w:t>
      </w:r>
    </w:p>
    <w:p>
      <w:pPr>
        <w:spacing w:after="0" w:line="19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 ] 3. The undersigned is an officer or director of the Company.</w:t>
      </w:r>
    </w:p>
    <w:p>
      <w:pPr>
        <w:spacing w:after="0" w:line="248" w:lineRule="exact"/>
        <w:rPr>
          <w:sz w:val="20"/>
          <w:szCs w:val="20"/>
          <w:color w:val="auto"/>
        </w:rPr>
      </w:pPr>
    </w:p>
    <w:p>
      <w:pPr>
        <w:ind w:left="1460" w:right="140" w:hanging="278"/>
        <w:spacing w:after="0" w:line="310" w:lineRule="auto"/>
        <w:tabs>
          <w:tab w:leader="none" w:pos="14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4. The undersigned is a corporation or partnership not formed for the specific purpose of acquiring the securities offered, with total assets in excess of $5,000,000.</w:t>
      </w:r>
    </w:p>
    <w:p>
      <w:pPr>
        <w:spacing w:after="0" w:line="200" w:lineRule="exact"/>
        <w:rPr>
          <w:sz w:val="20"/>
          <w:szCs w:val="20"/>
          <w:color w:val="auto"/>
        </w:rPr>
      </w:pPr>
    </w:p>
    <w:p>
      <w:pPr>
        <w:ind w:left="1460" w:right="20" w:hanging="278"/>
        <w:spacing w:after="0" w:line="293" w:lineRule="auto"/>
        <w:tabs>
          <w:tab w:leader="none" w:pos="146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5. The undersigned is a trust with total assets in excess of $5,000,000 whose purchase is directed by a person with such knowledge and experience in financial and business matters that such person is capable of evaluating the merits and risks of the prospective investment.</w:t>
      </w:r>
    </w:p>
    <w:p>
      <w:pPr>
        <w:spacing w:after="0" w:line="199" w:lineRule="exact"/>
        <w:rPr>
          <w:sz w:val="20"/>
          <w:szCs w:val="20"/>
          <w:color w:val="auto"/>
        </w:rPr>
      </w:pPr>
    </w:p>
    <w:p>
      <w:pPr>
        <w:ind w:left="1320" w:hanging="138"/>
        <w:spacing w:after="0"/>
        <w:tabs>
          <w:tab w:leader="none" w:pos="132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6. The undersigned is an entity, all of whose equity owners are accredited investors under paragraphs 1, 2, 3, 4 or 5, above.</w:t>
      </w:r>
    </w:p>
    <w:p>
      <w:pPr>
        <w:spacing w:after="0" w:line="234" w:lineRule="exact"/>
        <w:rPr>
          <w:rFonts w:ascii="Arial" w:cs="Arial" w:eastAsia="Arial" w:hAnsi="Arial"/>
          <w:sz w:val="16"/>
          <w:szCs w:val="16"/>
          <w:color w:val="auto"/>
        </w:rPr>
      </w:pPr>
    </w:p>
    <w:p>
      <w:pPr>
        <w:jc w:val="both"/>
        <w:ind w:left="900" w:hanging="302"/>
        <w:spacing w:after="0" w:line="273" w:lineRule="auto"/>
        <w:tabs>
          <w:tab w:leader="none" w:pos="89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undersigned understands that the shares purchased hereunder have not been registered under the Securities Act, in reliance upon the exemption from the registration requirements under the Securities Act pursuant to Section 4(a)(2) of the Securities Act and Rule 506 of Regulation D thereunder; and, therefore, that the undersigned must bear the economic risk of the investment for an indefinite period of time since the securities cannot be sold, transferred or assigned to any person or entity without compliance with the provisions of the Securities Act.</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Submitted by:</w:t>
            </w:r>
          </w:p>
        </w:tc>
        <w:tc>
          <w:tcPr>
            <w:tcW w:w="4440" w:type="dxa"/>
            <w:vAlign w:val="bottom"/>
          </w:tcPr>
          <w:p>
            <w:pPr>
              <w:spacing w:after="0"/>
              <w:rPr>
                <w:sz w:val="17"/>
                <w:szCs w:val="17"/>
                <w:color w:val="auto"/>
              </w:rPr>
            </w:pP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Accepted by Provention Bio, Inc.:</w:t>
            </w:r>
          </w:p>
        </w:tc>
      </w:tr>
      <w:tr>
        <w:trPr>
          <w:trHeight w:val="219"/>
        </w:trPr>
        <w:tc>
          <w:tcPr>
            <w:tcW w:w="1060" w:type="dxa"/>
            <w:vAlign w:val="bottom"/>
          </w:tcPr>
          <w:p>
            <w:pPr>
              <w:spacing w:after="0"/>
              <w:rPr>
                <w:sz w:val="20"/>
                <w:szCs w:val="20"/>
                <w:color w:val="auto"/>
              </w:rPr>
            </w:pPr>
            <w:r>
              <w:rPr>
                <w:rFonts w:ascii="Arial" w:cs="Arial" w:eastAsia="Arial" w:hAnsi="Arial"/>
                <w:sz w:val="16"/>
                <w:szCs w:val="16"/>
                <w:color w:val="auto"/>
              </w:rPr>
              <w:t>By:</w:t>
            </w:r>
          </w:p>
        </w:tc>
        <w:tc>
          <w:tcPr>
            <w:tcW w:w="4440" w:type="dxa"/>
            <w:vAlign w:val="bottom"/>
          </w:tcPr>
          <w:p>
            <w:pPr>
              <w:spacing w:after="0"/>
              <w:rPr>
                <w:sz w:val="19"/>
                <w:szCs w:val="19"/>
                <w:color w:val="auto"/>
              </w:rPr>
            </w:pP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By:</w:t>
            </w:r>
          </w:p>
        </w:tc>
      </w:tr>
      <w:tr>
        <w:trPr>
          <w:trHeight w:val="196"/>
        </w:trPr>
        <w:tc>
          <w:tcPr>
            <w:tcW w:w="1060" w:type="dxa"/>
            <w:vAlign w:val="bottom"/>
          </w:tcPr>
          <w:p>
            <w:pPr>
              <w:spacing w:after="0"/>
              <w:rPr>
                <w:sz w:val="20"/>
                <w:szCs w:val="20"/>
                <w:color w:val="auto"/>
              </w:rPr>
            </w:pPr>
            <w:r>
              <w:rPr>
                <w:rFonts w:ascii="Arial" w:cs="Arial" w:eastAsia="Arial" w:hAnsi="Arial"/>
                <w:sz w:val="16"/>
                <w:szCs w:val="16"/>
                <w:color w:val="auto"/>
              </w:rPr>
              <w:t>Date:</w:t>
            </w:r>
          </w:p>
        </w:tc>
        <w:tc>
          <w:tcPr>
            <w:tcW w:w="4440" w:type="dxa"/>
            <w:vAlign w:val="bottom"/>
            <w:tcBorders>
              <w:top w:val="single" w:sz="8" w:color="auto"/>
              <w:bottom w:val="single" w:sz="8" w:color="auto"/>
            </w:tcBorders>
          </w:tcPr>
          <w:p>
            <w:pPr>
              <w:spacing w:after="0"/>
              <w:rPr>
                <w:sz w:val="17"/>
                <w:szCs w:val="17"/>
                <w:color w:val="auto"/>
              </w:rPr>
            </w:pPr>
          </w:p>
        </w:tc>
        <w:tc>
          <w:tcPr>
            <w:tcW w:w="780" w:type="dxa"/>
            <w:vAlign w:val="bottom"/>
          </w:tcPr>
          <w:p>
            <w:pPr>
              <w:ind w:left="220"/>
              <w:spacing w:after="0"/>
              <w:rPr>
                <w:sz w:val="20"/>
                <w:szCs w:val="20"/>
                <w:color w:val="auto"/>
              </w:rPr>
            </w:pPr>
            <w:r>
              <w:rPr>
                <w:rFonts w:ascii="Arial" w:cs="Arial" w:eastAsia="Arial" w:hAnsi="Arial"/>
                <w:sz w:val="16"/>
                <w:szCs w:val="16"/>
                <w:color w:val="auto"/>
              </w:rPr>
              <w:t>Date:</w:t>
            </w:r>
          </w:p>
        </w:tc>
        <w:tc>
          <w:tcPr>
            <w:tcW w:w="4940" w:type="dxa"/>
            <w:vAlign w:val="bottom"/>
            <w:tcBorders>
              <w:top w:val="single" w:sz="8" w:color="auto"/>
              <w:bottom w:val="single" w:sz="8" w:color="auto"/>
            </w:tcBorders>
          </w:tcPr>
          <w:p>
            <w:pPr>
              <w:spacing w:after="0"/>
              <w:rPr>
                <w:sz w:val="17"/>
                <w:szCs w:val="17"/>
                <w:color w:val="auto"/>
              </w:rPr>
            </w:pPr>
          </w:p>
        </w:tc>
      </w:tr>
      <w:tr>
        <w:trPr>
          <w:trHeight w:val="193"/>
        </w:trPr>
        <w:tc>
          <w:tcPr>
            <w:tcW w:w="1060" w:type="dxa"/>
            <w:vAlign w:val="bottom"/>
          </w:tcPr>
          <w:p>
            <w:pPr>
              <w:spacing w:after="0"/>
              <w:rPr>
                <w:sz w:val="20"/>
                <w:szCs w:val="20"/>
                <w:color w:val="auto"/>
              </w:rPr>
            </w:pPr>
            <w:r>
              <w:rPr>
                <w:rFonts w:ascii="Arial" w:cs="Arial" w:eastAsia="Arial" w:hAnsi="Arial"/>
                <w:sz w:val="16"/>
                <w:szCs w:val="16"/>
                <w:color w:val="auto"/>
              </w:rPr>
              <w:t>SS/Tax ID:</w:t>
            </w:r>
          </w:p>
        </w:tc>
        <w:tc>
          <w:tcPr>
            <w:tcW w:w="4440" w:type="dxa"/>
            <w:vAlign w:val="bottom"/>
            <w:tcBorders>
              <w:bottom w:val="single" w:sz="8" w:color="auto"/>
            </w:tcBorders>
          </w:tcPr>
          <w:p>
            <w:pPr>
              <w:spacing w:after="0"/>
              <w:rPr>
                <w:sz w:val="16"/>
                <w:szCs w:val="16"/>
                <w:color w:val="auto"/>
              </w:rPr>
            </w:pPr>
          </w:p>
        </w:tc>
        <w:tc>
          <w:tcPr>
            <w:tcW w:w="780" w:type="dxa"/>
            <w:vAlign w:val="bottom"/>
          </w:tcPr>
          <w:p>
            <w:pPr>
              <w:ind w:left="220"/>
              <w:spacing w:after="0"/>
              <w:rPr>
                <w:sz w:val="20"/>
                <w:szCs w:val="20"/>
                <w:color w:val="auto"/>
              </w:rPr>
            </w:pPr>
            <w:r>
              <w:rPr>
                <w:rFonts w:ascii="Arial" w:cs="Arial" w:eastAsia="Arial" w:hAnsi="Arial"/>
                <w:sz w:val="16"/>
                <w:szCs w:val="16"/>
                <w:color w:val="auto"/>
              </w:rPr>
              <w:t>Tax ID:</w:t>
            </w:r>
          </w:p>
        </w:tc>
        <w:tc>
          <w:tcPr>
            <w:tcW w:w="4940" w:type="dxa"/>
            <w:vAlign w:val="bottom"/>
            <w:tcBorders>
              <w:bottom w:val="single" w:sz="8" w:color="auto"/>
            </w:tcBorders>
          </w:tcPr>
          <w:p>
            <w:pPr>
              <w:spacing w:after="0"/>
              <w:rPr>
                <w:sz w:val="16"/>
                <w:szCs w:val="16"/>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6"/>
                <w:szCs w:val="16"/>
                <w:color w:val="auto"/>
              </w:rPr>
              <w:t>Telephone:</w:t>
            </w:r>
          </w:p>
        </w:tc>
        <w:tc>
          <w:tcPr>
            <w:tcW w:w="444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199"/>
        </w:trPr>
        <w:tc>
          <w:tcPr>
            <w:tcW w:w="1060" w:type="dxa"/>
            <w:vAlign w:val="bottom"/>
          </w:tcPr>
          <w:p>
            <w:pPr>
              <w:spacing w:after="0"/>
              <w:rPr>
                <w:sz w:val="20"/>
                <w:szCs w:val="20"/>
                <w:color w:val="auto"/>
              </w:rPr>
            </w:pPr>
            <w:r>
              <w:rPr>
                <w:rFonts w:ascii="Arial" w:cs="Arial" w:eastAsia="Arial" w:hAnsi="Arial"/>
                <w:sz w:val="16"/>
                <w:szCs w:val="16"/>
                <w:color w:val="auto"/>
              </w:rPr>
              <w:t>Email:</w:t>
            </w:r>
          </w:p>
        </w:tc>
        <w:tc>
          <w:tcPr>
            <w:tcW w:w="444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940" w:type="dxa"/>
            <w:vAlign w:val="bottom"/>
          </w:tcPr>
          <w:p>
            <w:pPr>
              <w:spacing w:after="0"/>
              <w:rPr>
                <w:sz w:val="17"/>
                <w:szCs w:val="17"/>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(Signature must conform in all respects to name of holder as specified on the face of the Warrant Certificate.)</w:t>
      </w:r>
    </w:p>
    <w:p>
      <w:pPr>
        <w:sectPr>
          <w:pgSz w:w="11900" w:h="16838" w:orient="portrait"/>
          <w:cols w:equalWidth="0" w:num="1">
            <w:col w:w="11240"/>
          </w:cols>
          <w:pgMar w:left="320" w:top="838" w:right="339" w:bottom="1440" w:gutter="0" w:footer="0" w:header="0"/>
        </w:sectPr>
      </w:pPr>
    </w:p>
    <w:bookmarkStart w:id="308" w:name="page309"/>
    <w:bookmarkEnd w:id="308"/>
    <w:p>
      <w:pPr>
        <w:jc w:val="right"/>
        <w:ind w:right="639"/>
        <w:spacing w:after="0"/>
        <w:rPr>
          <w:sz w:val="20"/>
          <w:szCs w:val="20"/>
          <w:color w:val="auto"/>
        </w:rPr>
      </w:pPr>
      <w:r>
        <w:rPr>
          <w:rFonts w:ascii="Arial" w:cs="Arial" w:eastAsia="Arial" w:hAnsi="Arial"/>
          <w:sz w:val="20"/>
          <w:szCs w:val="20"/>
          <w:color w:val="auto"/>
        </w:rPr>
        <w:t>Exhibit 10.23</w:t>
      </w:r>
    </w:p>
    <w:p>
      <w:pPr>
        <w:jc w:val="center"/>
        <w:ind w:right="19"/>
        <w:spacing w:after="0"/>
        <w:rPr>
          <w:sz w:val="20"/>
          <w:szCs w:val="20"/>
          <w:color w:val="auto"/>
        </w:rPr>
      </w:pPr>
      <w:r>
        <w:rPr>
          <w:rFonts w:ascii="Arial" w:cs="Arial" w:eastAsia="Arial" w:hAnsi="Arial"/>
          <w:sz w:val="16"/>
          <w:szCs w:val="16"/>
          <w:b w:val="1"/>
          <w:bCs w:val="1"/>
          <w:color w:val="auto"/>
        </w:rPr>
        <w:t>Exhibit 11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Press Release</w:t>
      </w:r>
    </w:p>
    <w:p>
      <w:pPr>
        <w:sectPr>
          <w:pgSz w:w="11900" w:h="16838" w:orient="portrait"/>
          <w:cols w:equalWidth="0" w:num="1">
            <w:col w:w="9019"/>
          </w:cols>
          <w:pgMar w:left="1440" w:top="832" w:right="1440" w:bottom="1440" w:gutter="0" w:footer="0" w:header="0"/>
        </w:sectPr>
      </w:pPr>
    </w:p>
    <w:bookmarkStart w:id="309" w:name="page310"/>
    <w:bookmarkEnd w:id="309"/>
    <w:p>
      <w:pPr>
        <w:ind w:left="8440"/>
        <w:spacing w:after="0"/>
        <w:rPr>
          <w:sz w:val="20"/>
          <w:szCs w:val="20"/>
          <w:color w:val="auto"/>
        </w:rPr>
      </w:pPr>
      <w:r>
        <w:rPr>
          <w:rFonts w:ascii="Arial" w:cs="Arial" w:eastAsia="Arial" w:hAnsi="Arial"/>
          <w:sz w:val="20"/>
          <w:szCs w:val="20"/>
          <w:color w:val="auto"/>
        </w:rPr>
        <w:t>Exhibit 10.23</w:t>
      </w:r>
    </w:p>
    <w:p>
      <w:pPr>
        <w:jc w:val="center"/>
        <w:spacing w:after="0"/>
        <w:rPr>
          <w:sz w:val="20"/>
          <w:szCs w:val="20"/>
          <w:color w:val="auto"/>
        </w:rPr>
      </w:pPr>
      <w:r>
        <w:rPr>
          <w:rFonts w:ascii="Arial" w:cs="Arial" w:eastAsia="Arial" w:hAnsi="Arial"/>
          <w:sz w:val="16"/>
          <w:szCs w:val="16"/>
          <w:b w:val="1"/>
          <w:bCs w:val="1"/>
          <w:color w:val="auto"/>
        </w:rPr>
        <w:t>Exhibit 12</w:t>
      </w:r>
    </w:p>
    <w:p>
      <w:pPr>
        <w:spacing w:after="0" w:line="203"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Form of Lock-Up Agreement</w:t>
      </w: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PROVENTION BIO, INC.</w:t>
      </w:r>
    </w:p>
    <w:p>
      <w:pPr>
        <w:spacing w:after="0" w:line="221"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May __, 2018</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MDB Capital Group,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2425 Cedar Springs Road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Dallas, Texas 75201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u w:val="single" w:color="auto"/>
          <w:color w:val="auto"/>
        </w:rPr>
        <w:t>Provention Bio, Inc. - Lock-Up Agreement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31" w:lineRule="exact"/>
        <w:rPr>
          <w:sz w:val="20"/>
          <w:szCs w:val="20"/>
          <w:color w:val="auto"/>
        </w:rPr>
      </w:pPr>
    </w:p>
    <w:p>
      <w:pPr>
        <w:jc w:val="both"/>
        <w:ind w:firstLine="583"/>
        <w:spacing w:after="0" w:line="299" w:lineRule="auto"/>
        <w:rPr>
          <w:sz w:val="20"/>
          <w:szCs w:val="20"/>
          <w:color w:val="auto"/>
        </w:rPr>
      </w:pPr>
      <w:r>
        <w:rPr>
          <w:rFonts w:ascii="Arial" w:cs="Arial" w:eastAsia="Arial" w:hAnsi="Arial"/>
          <w:sz w:val="15"/>
          <w:szCs w:val="15"/>
          <w:color w:val="auto"/>
        </w:rPr>
        <w:t>This Lock-Up Agreement is being delivered to you in connection with the Warrants (the “</w:t>
      </w:r>
      <w:r>
        <w:rPr>
          <w:rFonts w:ascii="Arial" w:cs="Arial" w:eastAsia="Arial" w:hAnsi="Arial"/>
          <w:sz w:val="15"/>
          <w:szCs w:val="15"/>
          <w:b w:val="1"/>
          <w:bCs w:val="1"/>
          <w:color w:val="auto"/>
        </w:rPr>
        <w:t>Warrants</w:t>
      </w:r>
      <w:r>
        <w:rPr>
          <w:rFonts w:ascii="Arial" w:cs="Arial" w:eastAsia="Arial" w:hAnsi="Arial"/>
          <w:sz w:val="15"/>
          <w:szCs w:val="15"/>
          <w:color w:val="auto"/>
        </w:rPr>
        <w:t>”), each dated as of May __, 2018 between Provention Bio,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and MacroGenics, Inc., a Delaware corporation (the “</w:t>
      </w:r>
      <w:r>
        <w:rPr>
          <w:rFonts w:ascii="Arial" w:cs="Arial" w:eastAsia="Arial" w:hAnsi="Arial"/>
          <w:sz w:val="15"/>
          <w:szCs w:val="15"/>
          <w:b w:val="1"/>
          <w:bCs w:val="1"/>
          <w:color w:val="auto"/>
        </w:rPr>
        <w:t>Subscriber</w:t>
      </w:r>
      <w:r>
        <w:rPr>
          <w:rFonts w:ascii="Arial" w:cs="Arial" w:eastAsia="Arial" w:hAnsi="Arial"/>
          <w:sz w:val="15"/>
          <w:szCs w:val="15"/>
          <w:color w:val="auto"/>
        </w:rPr>
        <w:t>”), in which Subscriber desires to acquire warrants exercisable into an aggregate of 2,432,688 shares of Common Stock, par value $0.0001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of the Company in consideration of the Company’s and Subscriber’s entry into an Asset Purchase Agreement and License Agreement, each dated as of May __, 2018.</w:t>
      </w:r>
    </w:p>
    <w:p>
      <w:pPr>
        <w:spacing w:after="0" w:line="193" w:lineRule="exact"/>
        <w:rPr>
          <w:sz w:val="20"/>
          <w:szCs w:val="20"/>
          <w:color w:val="auto"/>
        </w:rPr>
      </w:pPr>
    </w:p>
    <w:p>
      <w:pPr>
        <w:jc w:val="both"/>
        <w:ind w:firstLine="583"/>
        <w:spacing w:after="0" w:line="264" w:lineRule="auto"/>
        <w:rPr>
          <w:sz w:val="20"/>
          <w:szCs w:val="20"/>
          <w:color w:val="auto"/>
        </w:rPr>
      </w:pPr>
      <w:r>
        <w:rPr>
          <w:rFonts w:ascii="Arial" w:cs="Arial" w:eastAsia="Arial" w:hAnsi="Arial"/>
          <w:sz w:val="16"/>
          <w:szCs w:val="16"/>
          <w:color w:val="auto"/>
        </w:rPr>
        <w:t>In order to induce MDB Capital Group, LLC (“</w:t>
      </w:r>
      <w:r>
        <w:rPr>
          <w:rFonts w:ascii="Arial" w:cs="Arial" w:eastAsia="Arial" w:hAnsi="Arial"/>
          <w:sz w:val="16"/>
          <w:szCs w:val="16"/>
          <w:b w:val="1"/>
          <w:bCs w:val="1"/>
          <w:color w:val="auto"/>
        </w:rPr>
        <w:t>MDB</w:t>
      </w:r>
      <w:r>
        <w:rPr>
          <w:rFonts w:ascii="Arial" w:cs="Arial" w:eastAsia="Arial" w:hAnsi="Arial"/>
          <w:sz w:val="16"/>
          <w:szCs w:val="16"/>
          <w:color w:val="auto"/>
        </w:rPr>
        <w:t xml:space="preserve">”) to locate investors to participate in an initial public offering by the Company, the undersigned agrees that, </w:t>
      </w:r>
      <w:r>
        <w:rPr>
          <w:rFonts w:ascii="Arial" w:cs="Arial" w:eastAsia="Arial" w:hAnsi="Arial"/>
          <w:sz w:val="16"/>
          <w:szCs w:val="16"/>
          <w:i w:val="1"/>
          <w:iCs w:val="1"/>
          <w:color w:val="auto"/>
        </w:rPr>
        <w:t xml:space="preserve">commencing </w:t>
      </w:r>
      <w:r>
        <w:rPr>
          <w:rFonts w:ascii="Arial" w:cs="Arial" w:eastAsia="Arial" w:hAnsi="Arial"/>
          <w:sz w:val="16"/>
          <w:szCs w:val="16"/>
          <w:color w:val="auto"/>
        </w:rPr>
        <w:t>on the earlier of (a) the date of the final prospectus relating to the Company’s initial public offering of its Common Stock (the “</w:t>
      </w:r>
      <w:r>
        <w:rPr>
          <w:rFonts w:ascii="Arial" w:cs="Arial" w:eastAsia="Arial" w:hAnsi="Arial"/>
          <w:sz w:val="16"/>
          <w:szCs w:val="16"/>
          <w:b w:val="1"/>
          <w:bCs w:val="1"/>
          <w:color w:val="auto"/>
        </w:rPr>
        <w:t>IPO</w:t>
      </w:r>
      <w:r>
        <w:rPr>
          <w:rFonts w:ascii="Arial" w:cs="Arial" w:eastAsia="Arial" w:hAnsi="Arial"/>
          <w:sz w:val="16"/>
          <w:szCs w:val="16"/>
          <w:color w:val="auto"/>
        </w:rPr>
        <w:t>”) and (b) the listing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Common Stock on an exchange or any tier of The NASDAQ Stock Market or New York Stock Exchange and </w:t>
      </w:r>
      <w:r>
        <w:rPr>
          <w:rFonts w:ascii="Arial" w:cs="Arial" w:eastAsia="Arial" w:hAnsi="Arial"/>
          <w:sz w:val="16"/>
          <w:szCs w:val="16"/>
          <w:i w:val="1"/>
          <w:iCs w:val="1"/>
          <w:color w:val="auto"/>
        </w:rPr>
        <w:t>ending</w:t>
      </w:r>
      <w:r>
        <w:rPr>
          <w:rFonts w:ascii="Arial" w:cs="Arial" w:eastAsia="Arial" w:hAnsi="Arial"/>
          <w:sz w:val="16"/>
          <w:szCs w:val="16"/>
          <w:color w:val="auto"/>
        </w:rPr>
        <w:t xml:space="preserve"> on the date that is 12 months thereafter (the “</w:t>
      </w:r>
      <w:r>
        <w:rPr>
          <w:rFonts w:ascii="Arial" w:cs="Arial" w:eastAsia="Arial" w:hAnsi="Arial"/>
          <w:sz w:val="16"/>
          <w:szCs w:val="16"/>
          <w:b w:val="1"/>
          <w:bCs w:val="1"/>
          <w:color w:val="auto"/>
        </w:rPr>
        <w:t>Lock-Up Period</w:t>
      </w:r>
      <w:r>
        <w:rPr>
          <w:rFonts w:ascii="Arial" w:cs="Arial" w:eastAsia="Arial" w:hAnsi="Arial"/>
          <w:sz w:val="16"/>
          <w:szCs w:val="16"/>
          <w:color w:val="auto"/>
        </w:rPr>
        <w:t>”), the undersigned will not, and will cause all affiliates (as defined in Rule 144 promulgated under the Securities Act of 1933 Act, as amended) of the undersigned not to, (i) lend; offer; pledge; sell; contract to sell; sell any option or contract to purchase; purchase any option or contract to sell; grant any option, right, or warrant to purchase; or otherwise transfer or dispose of, directly or indirectly, any shares of Common Stock, or securities exercisable or convertible into shares of Common Stock, held as of the date hereof (the “</w:t>
      </w:r>
      <w:r>
        <w:rPr>
          <w:rFonts w:ascii="Arial" w:cs="Arial" w:eastAsia="Arial" w:hAnsi="Arial"/>
          <w:sz w:val="16"/>
          <w:szCs w:val="16"/>
          <w:b w:val="1"/>
          <w:bCs w:val="1"/>
          <w:color w:val="auto"/>
        </w:rPr>
        <w:t>Subscriber’s Shares</w:t>
      </w:r>
      <w:r>
        <w:rPr>
          <w:rFonts w:ascii="Arial" w:cs="Arial" w:eastAsia="Arial" w:hAnsi="Arial"/>
          <w:sz w:val="16"/>
          <w:szCs w:val="16"/>
          <w:color w:val="auto"/>
        </w:rPr>
        <w:t>”) or (ii) enter into any swap or other arrangement that transfers to another, in whole or in part, any of the economic consequences of ownership of the Subscriber’s Shares, whether any such transaction described in clause (i) or (ii) above is to be settled by delivery of Common Stock or other securities, in cash, or otherwise.</w:t>
      </w:r>
    </w:p>
    <w:p>
      <w:pPr>
        <w:spacing w:after="0" w:line="208" w:lineRule="exact"/>
        <w:rPr>
          <w:sz w:val="20"/>
          <w:szCs w:val="20"/>
          <w:color w:val="auto"/>
        </w:rPr>
      </w:pPr>
    </w:p>
    <w:p>
      <w:pPr>
        <w:jc w:val="both"/>
        <w:ind w:firstLine="583"/>
        <w:spacing w:after="0" w:line="271" w:lineRule="auto"/>
        <w:rPr>
          <w:sz w:val="20"/>
          <w:szCs w:val="20"/>
          <w:color w:val="auto"/>
        </w:rPr>
      </w:pPr>
      <w:r>
        <w:rPr>
          <w:rFonts w:ascii="Arial" w:cs="Arial" w:eastAsia="Arial" w:hAnsi="Arial"/>
          <w:sz w:val="16"/>
          <w:szCs w:val="16"/>
          <w:color w:val="auto"/>
        </w:rPr>
        <w:t>The foregoing restriction is expressly agreed to preclude the undersigned, and any affiliate of the undersigned from engaging in any hedging or other transaction which is designed to or which reasonably could be expected to lead to or result in a sale or disposition of the Subscriber’s Shares even if the Subscriber’s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Subscriber’s Shares or with respect to any security that includes, relates to, or derives any significant part of its value from the Subscriber’s Shares.</w:t>
      </w:r>
    </w:p>
    <w:p>
      <w:pPr>
        <w:sectPr>
          <w:pgSz w:w="11900" w:h="16838" w:orient="portrait"/>
          <w:cols w:equalWidth="0" w:num="1">
            <w:col w:w="11240"/>
          </w:cols>
          <w:pgMar w:left="320" w:top="832" w:right="339" w:bottom="1440" w:gutter="0" w:footer="0" w:header="0"/>
        </w:sectPr>
      </w:pPr>
    </w:p>
    <w:bookmarkStart w:id="310" w:name="page311"/>
    <w:bookmarkEnd w:id="310"/>
    <w:p>
      <w:pPr>
        <w:ind w:left="8440"/>
        <w:spacing w:after="0"/>
        <w:rPr>
          <w:sz w:val="20"/>
          <w:szCs w:val="20"/>
          <w:color w:val="auto"/>
        </w:rPr>
      </w:pPr>
      <w:r>
        <w:rPr>
          <w:rFonts w:ascii="Arial" w:cs="Arial" w:eastAsia="Arial" w:hAnsi="Arial"/>
          <w:sz w:val="20"/>
          <w:szCs w:val="20"/>
          <w:color w:val="auto"/>
        </w:rPr>
        <w:t>Exhibit 10.23</w:t>
      </w:r>
    </w:p>
    <w:p>
      <w:pPr>
        <w:spacing w:after="0" w:line="20" w:lineRule="exact"/>
        <w:rPr>
          <w:sz w:val="20"/>
          <w:szCs w:val="20"/>
          <w:color w:val="auto"/>
        </w:rPr>
      </w:pPr>
    </w:p>
    <w:p>
      <w:pPr>
        <w:ind w:right="220" w:firstLine="583"/>
        <w:spacing w:after="0" w:line="292" w:lineRule="auto"/>
        <w:rPr>
          <w:sz w:val="20"/>
          <w:szCs w:val="20"/>
          <w:color w:val="auto"/>
        </w:rPr>
      </w:pPr>
      <w:r>
        <w:rPr>
          <w:rFonts w:ascii="Arial" w:cs="Arial" w:eastAsia="Arial" w:hAnsi="Arial"/>
          <w:sz w:val="16"/>
          <w:szCs w:val="16"/>
          <w:color w:val="auto"/>
        </w:rPr>
        <w:t>Notwithstanding the foregoing, the undersigned may transfer the Subscriber’s Shares, provided that in case of items (i) through (v) below, any such transfer shall not involve a disposition for value, and provided further that any transferee shall agree to be bound by the terms of this Lock-up Agreement:</w:t>
      </w:r>
    </w:p>
    <w:p>
      <w:pPr>
        <w:spacing w:after="0" w:line="186" w:lineRule="exact"/>
        <w:rPr>
          <w:sz w:val="20"/>
          <w:szCs w:val="20"/>
          <w:color w:val="auto"/>
        </w:rPr>
      </w:pPr>
    </w:p>
    <w:p>
      <w:pPr>
        <w:ind w:left="200" w:hanging="185"/>
        <w:spacing w:after="0"/>
        <w:tabs>
          <w:tab w:leader="none" w:pos="20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bona fide gift or gifts or by will or intestate succession upon the death of the undersigned; or</w:t>
      </w:r>
    </w:p>
    <w:p>
      <w:pPr>
        <w:spacing w:after="0" w:line="221" w:lineRule="exact"/>
        <w:rPr>
          <w:rFonts w:ascii="Arial" w:cs="Arial" w:eastAsia="Arial" w:hAnsi="Arial"/>
          <w:sz w:val="16"/>
          <w:szCs w:val="16"/>
          <w:color w:val="auto"/>
        </w:rPr>
      </w:pPr>
    </w:p>
    <w:p>
      <w:pPr>
        <w:ind w:left="260" w:hanging="245"/>
        <w:spacing w:after="0"/>
        <w:tabs>
          <w:tab w:leader="none" w:pos="26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to any trust for the direct or indirect benefit of the undersigned or the immediate family of the undersigned; or</w:t>
      </w:r>
    </w:p>
    <w:p>
      <w:pPr>
        <w:spacing w:after="0" w:line="221" w:lineRule="exact"/>
        <w:rPr>
          <w:rFonts w:ascii="Arial" w:cs="Arial" w:eastAsia="Arial" w:hAnsi="Arial"/>
          <w:sz w:val="16"/>
          <w:szCs w:val="16"/>
          <w:color w:val="auto"/>
        </w:rPr>
      </w:pPr>
    </w:p>
    <w:p>
      <w:pPr>
        <w:ind w:left="280" w:hanging="265"/>
        <w:spacing w:after="0"/>
        <w:tabs>
          <w:tab w:leader="none" w:pos="2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if the undersigned is a trust, any distribution to a beneficiary of the trust or to the estate of a beneficiary of such trust and such transfer is not for value; or</w:t>
      </w:r>
    </w:p>
    <w:p>
      <w:pPr>
        <w:spacing w:after="0" w:line="248" w:lineRule="exact"/>
        <w:rPr>
          <w:rFonts w:ascii="Arial" w:cs="Arial" w:eastAsia="Arial" w:hAnsi="Arial"/>
          <w:sz w:val="16"/>
          <w:szCs w:val="16"/>
          <w:color w:val="auto"/>
        </w:rPr>
      </w:pPr>
    </w:p>
    <w:p>
      <w:pPr>
        <w:ind w:right="360" w:firstLine="15"/>
        <w:spacing w:after="0" w:line="328" w:lineRule="auto"/>
        <w:tabs>
          <w:tab w:leader="none" w:pos="646"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as a distribution or transfer to stockholders, members, limited partners, or other securityholders of the undersigned or to regular employees of the undersigned whether or not for value; or</w:t>
      </w:r>
    </w:p>
    <w:p>
      <w:pPr>
        <w:spacing w:after="0" w:line="185" w:lineRule="exact"/>
        <w:rPr>
          <w:rFonts w:ascii="Arial" w:cs="Arial" w:eastAsia="Arial" w:hAnsi="Arial"/>
          <w:sz w:val="16"/>
          <w:szCs w:val="16"/>
          <w:color w:val="auto"/>
        </w:rPr>
      </w:pPr>
    </w:p>
    <w:p>
      <w:pPr>
        <w:ind w:right="300" w:firstLine="15"/>
        <w:spacing w:after="0" w:line="347" w:lineRule="auto"/>
        <w:tabs>
          <w:tab w:leader="none" w:pos="641" w:val="left"/>
        </w:tabs>
        <w:numPr>
          <w:ilvl w:val="0"/>
          <w:numId w:val="266"/>
        </w:numPr>
        <w:rPr>
          <w:rFonts w:ascii="Arial" w:cs="Arial" w:eastAsia="Arial" w:hAnsi="Arial"/>
          <w:sz w:val="15"/>
          <w:szCs w:val="15"/>
          <w:color w:val="auto"/>
        </w:rPr>
      </w:pPr>
      <w:r>
        <w:rPr>
          <w:rFonts w:ascii="Arial" w:cs="Arial" w:eastAsia="Arial" w:hAnsi="Arial"/>
          <w:sz w:val="15"/>
          <w:szCs w:val="15"/>
          <w:color w:val="auto"/>
        </w:rPr>
        <w:t>to any corporation, partnership, limited liability company or other entity all of the beneficial ownership interests of which are held by the undersigned or to the undersigned’s affiliates or to any investment fund or other entity controlled or managed by or under common control with the undersigned.</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For purposes of this Lock-Up Agreement, “immediate family” shall mean any relationship by blood, marriage or adoption, not more remote than first cousin.</w:t>
      </w:r>
    </w:p>
    <w:p>
      <w:pPr>
        <w:spacing w:after="0" w:line="2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Notwithstanding anything contrary in this Lock-Up Agreement, (i) the undersigned may exercise warrants to purchase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underlying shares of Common Stock shall continue to be subject to the restrictions on transfer set forth in this letter agreement, (ii) the undersigned can enter into a sales plan pursuant to Rule 10b5-1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provided that no sales, dispositions or other transfers of the Subscriber’s Shares may be made under such plan during the Lock-Up Period and no public announcement or filing under the Exchange Act regarding the establishment of such plan shall be required of or voluntarily made by or on behalf of the undersigned or the Company;</w:t>
      </w:r>
    </w:p>
    <w:p>
      <w:pPr>
        <w:spacing w:after="0" w:line="219" w:lineRule="exact"/>
        <w:rPr>
          <w:sz w:val="20"/>
          <w:szCs w:val="20"/>
          <w:color w:val="auto"/>
        </w:rPr>
      </w:pPr>
    </w:p>
    <w:p>
      <w:pPr>
        <w:jc w:val="both"/>
        <w:ind w:firstLine="15"/>
        <w:spacing w:after="0" w:line="284" w:lineRule="auto"/>
        <w:tabs>
          <w:tab w:leader="none" w:pos="641" w:val="left"/>
        </w:tabs>
        <w:numPr>
          <w:ilvl w:val="0"/>
          <w:numId w:val="267"/>
        </w:numPr>
        <w:rPr>
          <w:rFonts w:ascii="Arial" w:cs="Arial" w:eastAsia="Arial" w:hAnsi="Arial"/>
          <w:sz w:val="15"/>
          <w:szCs w:val="15"/>
          <w:color w:val="auto"/>
        </w:rPr>
      </w:pPr>
      <w:r>
        <w:rPr>
          <w:rFonts w:ascii="Arial" w:cs="Arial" w:eastAsia="Arial" w:hAnsi="Arial"/>
          <w:sz w:val="15"/>
          <w:szCs w:val="15"/>
          <w:color w:val="auto"/>
        </w:rPr>
        <w:t>nothing in this Lock-Up Agreement shall prevent the transfer of securities of the Company pursuant to a bona fide third party tender offer, merger, consolidation or other similar transaction made to all holders of Common Stock, provided that in the event that the tender offer, merger, consolidation or other such transaction is not completed, the Subscriber’s Shares shall remain subject to the restrictions contained in this Lock-Up Agreement, and (iv) nothing in this Lock-Up Agreement shall prevent the transfer of the Subscriber’s Shares with the written consent of MDB and the agreement of the transferee that it will be subject to the restrictions contained herein.</w:t>
      </w:r>
    </w:p>
    <w:p>
      <w:pPr>
        <w:spacing w:after="0" w:line="206" w:lineRule="exact"/>
        <w:rPr>
          <w:sz w:val="20"/>
          <w:szCs w:val="20"/>
          <w:color w:val="auto"/>
        </w:rPr>
      </w:pPr>
    </w:p>
    <w:p>
      <w:pPr>
        <w:jc w:val="both"/>
        <w:ind w:firstLine="583"/>
        <w:spacing w:after="0" w:line="281" w:lineRule="auto"/>
        <w:rPr>
          <w:sz w:val="20"/>
          <w:szCs w:val="20"/>
          <w:color w:val="auto"/>
        </w:rPr>
      </w:pPr>
      <w:r>
        <w:rPr>
          <w:rFonts w:ascii="Arial" w:cs="Arial" w:eastAsia="Arial" w:hAnsi="Arial"/>
          <w:sz w:val="16"/>
          <w:szCs w:val="16"/>
          <w:color w:val="auto"/>
        </w:rPr>
        <w:t>In order to enforce this covenant, the Company shall impose stop-transfer instructions preventing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from effecting any actions in violation of this Lock-Up Agreement. The undersigned agrees and consents to the entry of stop transfer instructions with the Company’s Transfer Agent and registrar against the transfer of the Undersigned’s Shares except in compliance with the foregoing restrictions. The Company is a third party beneficiary of this provision.</w:t>
      </w:r>
    </w:p>
    <w:p>
      <w:pPr>
        <w:sectPr>
          <w:pgSz w:w="11900" w:h="16838" w:orient="portrait"/>
          <w:cols w:equalWidth="0" w:num="1">
            <w:col w:w="11240"/>
          </w:cols>
          <w:pgMar w:left="320" w:top="838" w:right="339" w:bottom="1440" w:gutter="0" w:footer="0" w:header="0"/>
        </w:sectPr>
      </w:pPr>
    </w:p>
    <w:bookmarkStart w:id="311" w:name="page312"/>
    <w:bookmarkEnd w:id="311"/>
    <w:p>
      <w:pPr>
        <w:ind w:left="8440"/>
        <w:spacing w:after="0"/>
        <w:rPr>
          <w:sz w:val="20"/>
          <w:szCs w:val="20"/>
          <w:color w:val="auto"/>
        </w:rPr>
      </w:pPr>
      <w:r>
        <w:rPr>
          <w:rFonts w:ascii="Arial" w:cs="Arial" w:eastAsia="Arial" w:hAnsi="Arial"/>
          <w:sz w:val="20"/>
          <w:szCs w:val="20"/>
          <w:color w:val="auto"/>
        </w:rPr>
        <w:t>Exhibit 10.23</w:t>
      </w:r>
    </w:p>
    <w:p>
      <w:pPr>
        <w:spacing w:after="0" w:line="7" w:lineRule="exact"/>
        <w:rPr>
          <w:sz w:val="20"/>
          <w:szCs w:val="20"/>
          <w:color w:val="auto"/>
        </w:rPr>
      </w:pPr>
    </w:p>
    <w:p>
      <w:pPr>
        <w:jc w:val="both"/>
        <w:ind w:firstLine="583"/>
        <w:spacing w:after="0" w:line="288" w:lineRule="auto"/>
        <w:rPr>
          <w:sz w:val="20"/>
          <w:szCs w:val="20"/>
          <w:color w:val="auto"/>
        </w:rPr>
      </w:pPr>
      <w:r>
        <w:rPr>
          <w:rFonts w:ascii="Arial" w:cs="Arial" w:eastAsia="Arial" w:hAnsi="Arial"/>
          <w:sz w:val="15"/>
          <w:szCs w:val="15"/>
          <w:color w:val="auto"/>
        </w:rPr>
        <w:t>The undersigned acknowledges that the execution, delivery and performance of this Lock-Up Agreement is a material inducement to MDB and the Company to complete the transactions contemplated by the Subscription Agreement and the Private Placement, and that MDB and the Company shall each be entitled to specific performance of the undersigned’s obligations hereunder. The undersigned hereby represents that the undersigned has the power and authority to execute, deliver and perform this Lock-Up Agreement, that the undersigned has received adequate consideration therefor and that the undersigned will indirectly benefit from the closing of the transactions contemplated by the Subscription Agreement entered into in connection with the Private Placement.</w:t>
      </w:r>
    </w:p>
    <w:p>
      <w:pPr>
        <w:spacing w:after="0" w:line="220" w:lineRule="exact"/>
        <w:rPr>
          <w:sz w:val="20"/>
          <w:szCs w:val="20"/>
          <w:color w:val="auto"/>
        </w:rPr>
      </w:pPr>
    </w:p>
    <w:p>
      <w:pPr>
        <w:jc w:val="both"/>
        <w:ind w:firstLine="583"/>
        <w:spacing w:after="0" w:line="310" w:lineRule="auto"/>
        <w:rPr>
          <w:sz w:val="20"/>
          <w:szCs w:val="20"/>
          <w:color w:val="auto"/>
        </w:rPr>
      </w:pPr>
      <w:r>
        <w:rPr>
          <w:rFonts w:ascii="Arial" w:cs="Arial" w:eastAsia="Arial" w:hAnsi="Arial"/>
          <w:sz w:val="16"/>
          <w:szCs w:val="16"/>
          <w:color w:val="auto"/>
        </w:rPr>
        <w:t>The undersigned understands and agrees that this Lock-Up Agreement is irrevocable and shall be binding upon the undersigned’s heirs, legal representatives, successors, and assigns.</w:t>
      </w:r>
    </w:p>
    <w:p>
      <w:pPr>
        <w:spacing w:after="0" w:line="200" w:lineRule="exact"/>
        <w:rPr>
          <w:sz w:val="20"/>
          <w:szCs w:val="20"/>
          <w:color w:val="auto"/>
        </w:rPr>
      </w:pPr>
    </w:p>
    <w:p>
      <w:pPr>
        <w:jc w:val="both"/>
        <w:ind w:firstLine="583"/>
        <w:spacing w:after="0" w:line="328" w:lineRule="auto"/>
        <w:rPr>
          <w:sz w:val="20"/>
          <w:szCs w:val="20"/>
          <w:color w:val="auto"/>
        </w:rPr>
      </w:pPr>
      <w:r>
        <w:rPr>
          <w:rFonts w:ascii="Arial" w:cs="Arial" w:eastAsia="Arial" w:hAnsi="Arial"/>
          <w:sz w:val="16"/>
          <w:szCs w:val="16"/>
          <w:color w:val="auto"/>
        </w:rPr>
        <w:t>At the discretion of MDB some or all of the Subscriber’s Shares may be released from the restrictions of this Lock-Up Agreement, and the Company will take the required action to permit the securities so released to be free of the restrictions of this Lock-Up Agreement.</w:t>
      </w:r>
    </w:p>
    <w:p>
      <w:pPr>
        <w:spacing w:after="0" w:line="186" w:lineRule="exact"/>
        <w:rPr>
          <w:sz w:val="20"/>
          <w:szCs w:val="20"/>
          <w:color w:val="auto"/>
        </w:rPr>
      </w:pPr>
    </w:p>
    <w:p>
      <w:pPr>
        <w:jc w:val="both"/>
        <w:ind w:firstLine="583"/>
        <w:spacing w:after="0" w:line="310" w:lineRule="auto"/>
        <w:rPr>
          <w:sz w:val="20"/>
          <w:szCs w:val="20"/>
          <w:color w:val="auto"/>
        </w:rPr>
      </w:pPr>
      <w:r>
        <w:rPr>
          <w:rFonts w:ascii="Arial" w:cs="Arial" w:eastAsia="Arial" w:hAnsi="Arial"/>
          <w:sz w:val="16"/>
          <w:szCs w:val="16"/>
          <w:color w:val="auto"/>
        </w:rPr>
        <w:t>This Lock-Up Agreement may be executed in two counterparts, each of which shall be deemed an original but both of which shall be considered one and the same instrument.</w:t>
      </w:r>
    </w:p>
    <w:p>
      <w:pPr>
        <w:spacing w:after="0" w:line="200" w:lineRule="exact"/>
        <w:rPr>
          <w:sz w:val="20"/>
          <w:szCs w:val="20"/>
          <w:color w:val="auto"/>
        </w:rPr>
      </w:pPr>
    </w:p>
    <w:p>
      <w:pPr>
        <w:jc w:val="both"/>
        <w:ind w:firstLine="583"/>
        <w:spacing w:after="0" w:line="297" w:lineRule="auto"/>
        <w:rPr>
          <w:sz w:val="20"/>
          <w:szCs w:val="20"/>
          <w:color w:val="auto"/>
        </w:rPr>
      </w:pPr>
      <w:r>
        <w:rPr>
          <w:rFonts w:ascii="Arial" w:cs="Arial" w:eastAsia="Arial" w:hAnsi="Arial"/>
          <w:sz w:val="15"/>
          <w:szCs w:val="15"/>
          <w:color w:val="auto"/>
        </w:rPr>
        <w:t>This Lock-Up Agreement will be governed by and construed in accordance with the laws of the 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Lock-Up Agreement, even if under such jurisdiction’s choice of law or conflict of law analysis, the substantive law of some other jurisdiction would ordinarily apply.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[Remainder of page intentionally left blank. Signature Page to Follow.]</w:t>
      </w:r>
    </w:p>
    <w:p>
      <w:pPr>
        <w:sectPr>
          <w:pgSz w:w="11900" w:h="16838" w:orient="portrait"/>
          <w:cols w:equalWidth="0" w:num="1">
            <w:col w:w="11240"/>
          </w:cols>
          <w:pgMar w:left="320" w:top="838" w:right="339" w:bottom="1440" w:gutter="0" w:footer="0" w:header="0"/>
        </w:sectPr>
      </w:pPr>
    </w:p>
    <w:bookmarkStart w:id="312" w:name="page313"/>
    <w:bookmarkEnd w:id="312"/>
    <w:p>
      <w:pPr>
        <w:jc w:val="right"/>
        <w:ind w:right="639"/>
        <w:spacing w:after="0"/>
        <w:rPr>
          <w:sz w:val="20"/>
          <w:szCs w:val="20"/>
          <w:color w:val="auto"/>
        </w:rPr>
      </w:pPr>
      <w:r>
        <w:rPr>
          <w:rFonts w:ascii="Arial" w:cs="Arial" w:eastAsia="Arial" w:hAnsi="Arial"/>
          <w:sz w:val="20"/>
          <w:szCs w:val="20"/>
          <w:color w:val="auto"/>
        </w:rPr>
        <w:t>Exhibit 10.23</w:t>
      </w:r>
    </w:p>
    <w:tbl>
      <w:tblPr>
        <w:tblLayout w:type="fixed"/>
        <w:tblInd w:w="0" w:type="dxa"/>
        <w:tblCellMar>
          <w:top w:w="0" w:type="dxa"/>
          <w:left w:w="0" w:type="dxa"/>
          <w:bottom w:w="0" w:type="dxa"/>
          <w:right w:w="0" w:type="dxa"/>
        </w:tblCellMar>
      </w:tblPr>
      <w:tr>
        <w:trPr>
          <w:trHeight w:val="206"/>
        </w:trPr>
        <w:tc>
          <w:tcPr>
            <w:tcW w:w="3940" w:type="dxa"/>
            <w:vAlign w:val="bottom"/>
          </w:tcPr>
          <w:p>
            <w:pPr>
              <w:ind w:left="660"/>
              <w:spacing w:after="0"/>
              <w:rPr>
                <w:sz w:val="20"/>
                <w:szCs w:val="20"/>
                <w:color w:val="auto"/>
              </w:rPr>
            </w:pPr>
            <w:r>
              <w:rPr>
                <w:rFonts w:ascii="Arial" w:cs="Arial" w:eastAsia="Arial" w:hAnsi="Arial"/>
                <w:sz w:val="16"/>
                <w:szCs w:val="16"/>
                <w:color w:val="auto"/>
              </w:rPr>
              <w:t>Very truly yours,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8"/>
        </w:trPr>
        <w:tc>
          <w:tcPr>
            <w:tcW w:w="3940" w:type="dxa"/>
            <w:vAlign w:val="bottom"/>
          </w:tcPr>
          <w:p>
            <w:pPr>
              <w:spacing w:after="0"/>
              <w:rPr>
                <w:sz w:val="24"/>
                <w:szCs w:val="24"/>
                <w:color w:val="auto"/>
              </w:rPr>
            </w:pPr>
          </w:p>
        </w:tc>
        <w:tc>
          <w:tcPr>
            <w:tcW w:w="3760" w:type="dxa"/>
            <w:vAlign w:val="bottom"/>
          </w:tcPr>
          <w:p>
            <w:pPr>
              <w:ind w:left="1960"/>
              <w:spacing w:after="0"/>
              <w:rPr>
                <w:sz w:val="20"/>
                <w:szCs w:val="20"/>
                <w:color w:val="auto"/>
              </w:rPr>
            </w:pPr>
            <w:r>
              <w:rPr>
                <w:rFonts w:ascii="Arial" w:cs="Arial" w:eastAsia="Arial" w:hAnsi="Arial"/>
                <w:sz w:val="16"/>
                <w:szCs w:val="16"/>
                <w:color w:val="auto"/>
                <w:w w:val="90"/>
              </w:rPr>
              <w:t>Exact Name of Shareholder</w:t>
            </w:r>
          </w:p>
        </w:tc>
        <w:tc>
          <w:tcPr>
            <w:tcW w:w="0" w:type="dxa"/>
            <w:vAlign w:val="bottom"/>
          </w:tcPr>
          <w:p>
            <w:pPr>
              <w:spacing w:after="0"/>
              <w:rPr>
                <w:sz w:val="1"/>
                <w:szCs w:val="1"/>
                <w:color w:val="auto"/>
              </w:rPr>
            </w:pPr>
          </w:p>
        </w:tc>
      </w:tr>
      <w:tr>
        <w:trPr>
          <w:trHeight w:val="891"/>
        </w:trPr>
        <w:tc>
          <w:tcPr>
            <w:tcW w:w="3940" w:type="dxa"/>
            <w:vAlign w:val="bottom"/>
          </w:tcPr>
          <w:p>
            <w:pPr>
              <w:spacing w:after="0"/>
              <w:rPr>
                <w:sz w:val="24"/>
                <w:szCs w:val="24"/>
                <w:color w:val="auto"/>
              </w:rPr>
            </w:pPr>
          </w:p>
        </w:tc>
        <w:tc>
          <w:tcPr>
            <w:tcW w:w="3760" w:type="dxa"/>
            <w:vAlign w:val="bottom"/>
          </w:tcPr>
          <w:p>
            <w:pPr>
              <w:ind w:left="1960"/>
              <w:spacing w:after="0"/>
              <w:rPr>
                <w:sz w:val="20"/>
                <w:szCs w:val="20"/>
                <w:color w:val="auto"/>
              </w:rPr>
            </w:pPr>
            <w:r>
              <w:rPr>
                <w:rFonts w:ascii="Arial" w:cs="Arial" w:eastAsia="Arial" w:hAnsi="Arial"/>
                <w:sz w:val="16"/>
                <w:szCs w:val="16"/>
                <w:color w:val="auto"/>
              </w:rPr>
              <w:t>Authorized Signature</w:t>
            </w:r>
          </w:p>
        </w:tc>
        <w:tc>
          <w:tcPr>
            <w:tcW w:w="0" w:type="dxa"/>
            <w:vAlign w:val="bottom"/>
          </w:tcPr>
          <w:p>
            <w:pPr>
              <w:spacing w:after="0"/>
              <w:rPr>
                <w:sz w:val="1"/>
                <w:szCs w:val="1"/>
                <w:color w:val="auto"/>
              </w:rPr>
            </w:pPr>
          </w:p>
        </w:tc>
      </w:tr>
      <w:tr>
        <w:trPr>
          <w:trHeight w:val="891"/>
        </w:trPr>
        <w:tc>
          <w:tcPr>
            <w:tcW w:w="3940" w:type="dxa"/>
            <w:vAlign w:val="bottom"/>
            <w:vMerge w:val="restart"/>
          </w:tcPr>
          <w:p>
            <w:pPr>
              <w:spacing w:after="0"/>
              <w:rPr>
                <w:sz w:val="20"/>
                <w:szCs w:val="20"/>
                <w:color w:val="auto"/>
              </w:rPr>
            </w:pPr>
            <w:r>
              <w:rPr>
                <w:rFonts w:ascii="Arial" w:cs="Arial" w:eastAsia="Arial" w:hAnsi="Arial"/>
                <w:sz w:val="16"/>
                <w:szCs w:val="16"/>
                <w:color w:val="auto"/>
              </w:rPr>
              <w:t>Agreed to and Acknowledged:</w:t>
            </w:r>
          </w:p>
        </w:tc>
        <w:tc>
          <w:tcPr>
            <w:tcW w:w="3760" w:type="dxa"/>
            <w:vAlign w:val="bottom"/>
          </w:tcPr>
          <w:p>
            <w:pPr>
              <w:ind w:left="1960"/>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81"/>
        </w:trPr>
        <w:tc>
          <w:tcPr>
            <w:tcW w:w="394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MDB CAPITAL GROUP,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0139"/>
          </w:cols>
          <w:pgMar w:left="320" w:top="832" w:right="1440" w:bottom="1440" w:gutter="0" w:footer="0" w:header="0"/>
        </w:sectPr>
      </w:pPr>
    </w:p>
    <w:bookmarkStart w:id="313" w:name="page314"/>
    <w:bookmarkEnd w:id="313"/>
    <w:p>
      <w:pPr>
        <w:ind w:left="7320"/>
        <w:spacing w:after="0"/>
        <w:rPr>
          <w:sz w:val="20"/>
          <w:szCs w:val="20"/>
          <w:color w:val="auto"/>
        </w:rPr>
      </w:pPr>
      <w:r>
        <w:rPr>
          <w:rFonts w:ascii="Arial" w:cs="Arial" w:eastAsia="Arial" w:hAnsi="Arial"/>
          <w:sz w:val="18"/>
          <w:szCs w:val="18"/>
          <w:color w:val="auto"/>
        </w:rPr>
        <w:t>Exhibit 10.23</w:t>
      </w:r>
    </w:p>
    <w:p>
      <w:pPr>
        <w:sectPr>
          <w:pgSz w:w="11900" w:h="16838" w:orient="portrait"/>
          <w:cols w:equalWidth="0" w:num="1">
            <w:col w:w="9019"/>
          </w:cols>
          <w:pgMar w:left="1440" w:top="838" w:right="1440" w:bottom="1440" w:gutter="0" w:footer="0" w:header="0"/>
        </w:sectPr>
      </w:pPr>
    </w:p>
    <w:bookmarkStart w:id="314" w:name="page315"/>
    <w:bookmarkEnd w:id="314"/>
    <w:p>
      <w:pPr>
        <w:jc w:val="right"/>
        <w:spacing w:after="0"/>
        <w:rPr>
          <w:sz w:val="20"/>
          <w:szCs w:val="20"/>
          <w:color w:val="auto"/>
        </w:rPr>
      </w:pPr>
      <w:r>
        <w:rPr>
          <w:rFonts w:ascii="Arial" w:cs="Arial" w:eastAsia="Arial" w:hAnsi="Arial"/>
          <w:sz w:val="20"/>
          <w:szCs w:val="20"/>
          <w:color w:val="auto"/>
        </w:rPr>
        <w:t>Exhibit.10.24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line="239" w:lineRule="auto"/>
        <w:rPr>
          <w:sz w:val="20"/>
          <w:szCs w:val="20"/>
          <w:color w:val="auto"/>
        </w:rPr>
      </w:pPr>
      <w:r>
        <w:rPr>
          <w:rFonts w:ascii="Arial" w:cs="Arial" w:eastAsia="Arial" w:hAnsi="Arial"/>
          <w:sz w:val="14"/>
          <w:szCs w:val="14"/>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9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NO. 1 TO ASSET PURCHASE AGREEMENT</w:t>
      </w:r>
    </w:p>
    <w:p>
      <w:pPr>
        <w:spacing w:after="0" w:line="233" w:lineRule="exact"/>
        <w:rPr>
          <w:sz w:val="20"/>
          <w:szCs w:val="20"/>
          <w:color w:val="auto"/>
        </w:rPr>
      </w:pPr>
    </w:p>
    <w:p>
      <w:pPr>
        <w:jc w:val="both"/>
        <w:ind w:left="200" w:right="100" w:firstLine="656"/>
        <w:spacing w:after="0" w:line="280" w:lineRule="auto"/>
        <w:rPr>
          <w:sz w:val="20"/>
          <w:szCs w:val="20"/>
          <w:color w:val="auto"/>
        </w:rPr>
      </w:pPr>
      <w:r>
        <w:rPr>
          <w:rFonts w:ascii="Arial" w:cs="Arial" w:eastAsia="Arial" w:hAnsi="Arial"/>
          <w:sz w:val="19"/>
          <w:szCs w:val="19"/>
          <w:color w:val="auto"/>
        </w:rPr>
        <w:t>This Amendment No. 1 to the Asset Purchase Agreement (this “</w:t>
      </w:r>
      <w:r>
        <w:rPr>
          <w:rFonts w:ascii="Arial" w:cs="Arial" w:eastAsia="Arial" w:hAnsi="Arial"/>
          <w:sz w:val="19"/>
          <w:szCs w:val="19"/>
          <w:b w:val="1"/>
          <w:bCs w:val="1"/>
          <w:color w:val="auto"/>
        </w:rPr>
        <w:t>Amendment No. 1</w:t>
      </w:r>
      <w:r>
        <w:rPr>
          <w:rFonts w:ascii="Arial" w:cs="Arial" w:eastAsia="Arial" w:hAnsi="Arial"/>
          <w:sz w:val="19"/>
          <w:szCs w:val="19"/>
          <w:color w:val="auto"/>
        </w:rPr>
        <w:t>”), by and between MacroGenics, Inc.</w:t>
      </w:r>
      <w:r>
        <w:rPr>
          <w:rFonts w:ascii="Arial" w:cs="Arial" w:eastAsia="Arial" w:hAnsi="Arial"/>
          <w:sz w:val="19"/>
          <w:szCs w:val="19"/>
          <w:b w:val="1"/>
          <w:bCs w:val="1"/>
          <w:color w:val="auto"/>
        </w:rPr>
        <w:t>,</w:t>
      </w:r>
      <w:r>
        <w:rPr>
          <w:rFonts w:ascii="Arial" w:cs="Arial" w:eastAsia="Arial" w:hAnsi="Arial"/>
          <w:sz w:val="19"/>
          <w:szCs w:val="19"/>
          <w:color w:val="auto"/>
        </w:rPr>
        <w:t xml:space="preserve"> a Delaware corporation, having its principal place of business at 9704 Medical Center Drive, Rockville, MD 20850 (“</w:t>
      </w:r>
      <w:r>
        <w:rPr>
          <w:rFonts w:ascii="Arial" w:cs="Arial" w:eastAsia="Arial" w:hAnsi="Arial"/>
          <w:sz w:val="19"/>
          <w:szCs w:val="19"/>
          <w:b w:val="1"/>
          <w:bCs w:val="1"/>
          <w:color w:val="auto"/>
        </w:rPr>
        <w:t>Seller</w:t>
      </w:r>
      <w:r>
        <w:rPr>
          <w:rFonts w:ascii="Arial" w:cs="Arial" w:eastAsia="Arial" w:hAnsi="Arial"/>
          <w:sz w:val="19"/>
          <w:szCs w:val="19"/>
          <w:color w:val="auto"/>
        </w:rPr>
        <w:t>”), and Provention Bio, Inc., a Delaware corporation, having its principal place of business at 55 Broad Street, 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Floor, Red Bank, NJ 07701 (“</w:t>
      </w:r>
      <w:r>
        <w:rPr>
          <w:rFonts w:ascii="Arial" w:cs="Arial" w:eastAsia="Arial" w:hAnsi="Arial"/>
          <w:sz w:val="19"/>
          <w:szCs w:val="19"/>
          <w:b w:val="1"/>
          <w:bCs w:val="1"/>
          <w:color w:val="auto"/>
        </w:rPr>
        <w:t>Buyer</w:t>
      </w:r>
      <w:r>
        <w:rPr>
          <w:rFonts w:ascii="Arial" w:cs="Arial" w:eastAsia="Arial" w:hAnsi="Arial"/>
          <w:sz w:val="19"/>
          <w:szCs w:val="19"/>
          <w:color w:val="auto"/>
        </w:rPr>
        <w:t>”), together with Seller, the “</w:t>
      </w:r>
      <w:r>
        <w:rPr>
          <w:rFonts w:ascii="Arial" w:cs="Arial" w:eastAsia="Arial" w:hAnsi="Arial"/>
          <w:sz w:val="19"/>
          <w:szCs w:val="19"/>
          <w:b w:val="1"/>
          <w:bCs w:val="1"/>
          <w:color w:val="auto"/>
        </w:rPr>
        <w:t>Parties</w:t>
      </w:r>
      <w:r>
        <w:rPr>
          <w:rFonts w:ascii="Arial" w:cs="Arial" w:eastAsia="Arial" w:hAnsi="Arial"/>
          <w:sz w:val="19"/>
          <w:szCs w:val="19"/>
          <w:color w:val="auto"/>
        </w:rPr>
        <w:t>” and each separately, a “</w:t>
      </w:r>
      <w:r>
        <w:rPr>
          <w:rFonts w:ascii="Arial" w:cs="Arial" w:eastAsia="Arial" w:hAnsi="Arial"/>
          <w:sz w:val="19"/>
          <w:szCs w:val="19"/>
          <w:b w:val="1"/>
          <w:bCs w:val="1"/>
          <w:color w:val="auto"/>
        </w:rPr>
        <w:t>Party</w:t>
      </w:r>
      <w:r>
        <w:rPr>
          <w:rFonts w:ascii="Arial" w:cs="Arial" w:eastAsia="Arial" w:hAnsi="Arial"/>
          <w:sz w:val="19"/>
          <w:szCs w:val="19"/>
          <w:color w:val="auto"/>
        </w:rPr>
        <w:t>”), and is meant to amend that certain Asset Purchase Agreement, dated as of May 7, 2018, between Seller and Buyer (the “</w:t>
      </w:r>
      <w:r>
        <w:rPr>
          <w:rFonts w:ascii="Arial" w:cs="Arial" w:eastAsia="Arial" w:hAnsi="Arial"/>
          <w:sz w:val="19"/>
          <w:szCs w:val="19"/>
          <w:b w:val="1"/>
          <w:bCs w:val="1"/>
          <w:color w:val="auto"/>
        </w:rPr>
        <w:t>Agreement</w:t>
      </w:r>
      <w:r>
        <w:rPr>
          <w:rFonts w:ascii="Arial" w:cs="Arial" w:eastAsia="Arial" w:hAnsi="Arial"/>
          <w:sz w:val="19"/>
          <w:szCs w:val="19"/>
          <w:color w:val="auto"/>
        </w:rPr>
        <w:t>”). Capitalized terms used and not otherwise defined herein shall have the meanings ascribed to such terms in the Agreement.</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WHEREAS, the FDA granted a first Regulatory Approval for the Product on November 17, 2022; and</w:t>
      </w:r>
    </w:p>
    <w:p>
      <w:pPr>
        <w:spacing w:after="0" w:line="24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WHEREAS, the Parties have agreed to revise the payment terms for achievement of the BLA Approval Milestone;</w:t>
      </w:r>
    </w:p>
    <w:p>
      <w:pPr>
        <w:spacing w:after="0" w:line="295" w:lineRule="exact"/>
        <w:rPr>
          <w:sz w:val="20"/>
          <w:szCs w:val="20"/>
          <w:color w:val="auto"/>
        </w:rPr>
      </w:pPr>
    </w:p>
    <w:p>
      <w:pPr>
        <w:jc w:val="both"/>
        <w:ind w:left="180" w:right="120" w:firstLine="650"/>
        <w:spacing w:after="0" w:line="287" w:lineRule="auto"/>
        <w:rPr>
          <w:sz w:val="20"/>
          <w:szCs w:val="20"/>
          <w:color w:val="auto"/>
        </w:rPr>
      </w:pPr>
      <w:r>
        <w:rPr>
          <w:rFonts w:ascii="Arial" w:cs="Arial" w:eastAsia="Arial" w:hAnsi="Arial"/>
          <w:sz w:val="21"/>
          <w:szCs w:val="21"/>
          <w:color w:val="auto"/>
        </w:rPr>
        <w:t>NOW, THEREFORE, IN CONSIDERATION of the mutual covenants contained herein, and for other good and valuable consideration the receipt and adequacy of which are hereby acknowledged, the Parties agree as follows:</w:t>
      </w:r>
    </w:p>
    <w:p>
      <w:pPr>
        <w:spacing w:after="0" w:line="321" w:lineRule="exact"/>
        <w:rPr>
          <w:sz w:val="20"/>
          <w:szCs w:val="20"/>
          <w:color w:val="auto"/>
        </w:rPr>
      </w:pPr>
    </w:p>
    <w:p>
      <w:pPr>
        <w:ind w:left="360" w:hanging="312"/>
        <w:spacing w:after="0"/>
        <w:tabs>
          <w:tab w:leader="none" w:pos="36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This Amendment No. 1 shall be effective on November 30, 2022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360" w:hanging="312"/>
        <w:spacing w:after="0"/>
        <w:tabs>
          <w:tab w:leader="none" w:pos="36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The Parties agree that the Agreement shall be amended from and after the Amendment Effective Date as follows:</w:t>
      </w:r>
    </w:p>
    <w:p>
      <w:pPr>
        <w:spacing w:after="0" w:line="265" w:lineRule="exact"/>
        <w:rPr>
          <w:rFonts w:ascii="Arial" w:cs="Arial" w:eastAsia="Arial" w:hAnsi="Arial"/>
          <w:sz w:val="21"/>
          <w:szCs w:val="21"/>
          <w:color w:val="auto"/>
        </w:rPr>
      </w:pPr>
    </w:p>
    <w:p>
      <w:pPr>
        <w:ind w:left="700" w:hanging="325"/>
        <w:spacing w:after="0"/>
        <w:tabs>
          <w:tab w:leader="none" w:pos="700" w:val="left"/>
        </w:tabs>
        <w:numPr>
          <w:ilvl w:val="1"/>
          <w:numId w:val="268"/>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b w:val="1"/>
          <w:bCs w:val="1"/>
          <w:color w:val="auto"/>
        </w:rPr>
        <w:t>Change of Control</w:t>
      </w:r>
      <w:r>
        <w:rPr>
          <w:rFonts w:ascii="Arial" w:cs="Arial" w:eastAsia="Arial" w:hAnsi="Arial"/>
          <w:sz w:val="19"/>
          <w:szCs w:val="19"/>
          <w:color w:val="auto"/>
        </w:rPr>
        <w:t>” and its following definition are hereby added to Section 1.1 of the Agreement:</w:t>
      </w:r>
    </w:p>
    <w:p>
      <w:pPr>
        <w:spacing w:after="0" w:line="267" w:lineRule="exact"/>
        <w:rPr>
          <w:rFonts w:ascii="Arial" w:cs="Arial" w:eastAsia="Arial" w:hAnsi="Arial"/>
          <w:sz w:val="19"/>
          <w:szCs w:val="19"/>
          <w:color w:val="auto"/>
        </w:rPr>
      </w:pPr>
    </w:p>
    <w:p>
      <w:pPr>
        <w:jc w:val="both"/>
        <w:ind w:left="700" w:right="100"/>
        <w:spacing w:after="0" w:line="273" w:lineRule="auto"/>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that (a) (i) any Third Party acquires the beneficial ownership of any voting security of Buyer, or (ii) if the percentage ownership of a Third Party in the voting securities of Buyer is increased through stock redemption, cancellation or other recapitalization, and, in the case of (i) and (ii),after such acquisition or increase such Third Party is the beneficial owner of voting securities representing more than fifty percent (50%) of the total voting power of all of the then outstanding voting securities of Buyer; (b) a merger, consolidation, recapitalization, or reorganization of Buyer is consummated that would result in stockholders or equity holders of Buyer immediately prior to such transaction ceasing to own more than fifty percent (50%) of the outstanding securities of the surviving entity (or its parent entity) immediately following such transaction; or (c) the sale or transfer to a Third Party of all or substantially all of Buyer’s assets taken as a</w:t>
      </w:r>
    </w:p>
    <w:p>
      <w:pPr>
        <w:sectPr>
          <w:pgSz w:w="11900" w:h="16838" w:orient="portrait"/>
          <w:cols w:equalWidth="0" w:num="1">
            <w:col w:w="11180"/>
          </w:cols>
          <w:pgMar w:left="380" w:top="595" w:right="339" w:bottom="1440" w:gutter="0" w:footer="0" w:header="0"/>
        </w:sectPr>
      </w:pPr>
    </w:p>
    <w:bookmarkStart w:id="315" w:name="page316"/>
    <w:bookmarkEnd w:id="3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329" w:right="20"/>
        <w:spacing w:after="0" w:line="276" w:lineRule="auto"/>
        <w:rPr>
          <w:sz w:val="20"/>
          <w:szCs w:val="20"/>
          <w:color w:val="auto"/>
        </w:rPr>
      </w:pPr>
      <w:r>
        <w:rPr>
          <w:rFonts w:ascii="Arial" w:cs="Arial" w:eastAsia="Arial" w:hAnsi="Arial"/>
          <w:sz w:val="21"/>
          <w:szCs w:val="21"/>
          <w:color w:val="auto"/>
        </w:rPr>
        <w:t>whole or which relate to this Agreement is effected. Notwithstanding the foregoing, the following will not constitute a Change of Control: (i) a sale of capital stock to underwriters in an underwritten public offering of Buyer’s capital stock solely for the purpose of financing, or (ii) the acquisition of securities of Buyer by any Person or group of Persons that acquires Buyer’s securities in a transaction or series of related transactions the primary purpose of which is to obtain financing for Buyer through the issuance of equity securities.</w:t>
      </w:r>
    </w:p>
    <w:p>
      <w:pPr>
        <w:spacing w:after="0" w:line="353" w:lineRule="exact"/>
        <w:rPr>
          <w:sz w:val="20"/>
          <w:szCs w:val="20"/>
          <w:color w:val="auto"/>
        </w:rPr>
      </w:pPr>
    </w:p>
    <w:p>
      <w:pPr>
        <w:ind w:left="329" w:right="440" w:hanging="328"/>
        <w:spacing w:after="0" w:line="276" w:lineRule="auto"/>
        <w:tabs>
          <w:tab w:leader="none" w:pos="32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The defined term “Payment Acceleration Event” and its following definition are hereby added to Section 1.1 of the Agreement:</w:t>
      </w:r>
    </w:p>
    <w:p>
      <w:pPr>
        <w:spacing w:after="0" w:line="168" w:lineRule="exact"/>
        <w:rPr>
          <w:rFonts w:ascii="Arial" w:cs="Arial" w:eastAsia="Arial" w:hAnsi="Arial"/>
          <w:sz w:val="22"/>
          <w:szCs w:val="22"/>
          <w:color w:val="auto"/>
        </w:rPr>
      </w:pPr>
    </w:p>
    <w:p>
      <w:pPr>
        <w:ind w:left="329"/>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Acceleration Event</w:t>
      </w:r>
      <w:r>
        <w:rPr>
          <w:rFonts w:ascii="Arial" w:cs="Arial" w:eastAsia="Arial" w:hAnsi="Arial"/>
          <w:sz w:val="22"/>
          <w:szCs w:val="22"/>
          <w:color w:val="auto"/>
        </w:rPr>
        <w:t>” means a Change of Control.</w:t>
      </w:r>
    </w:p>
    <w:p>
      <w:pPr>
        <w:spacing w:after="0" w:line="225" w:lineRule="exact"/>
        <w:rPr>
          <w:rFonts w:ascii="Arial" w:cs="Arial" w:eastAsia="Arial" w:hAnsi="Arial"/>
          <w:sz w:val="22"/>
          <w:szCs w:val="22"/>
          <w:color w:val="auto"/>
        </w:rPr>
      </w:pPr>
    </w:p>
    <w:p>
      <w:pPr>
        <w:ind w:left="309" w:hanging="309"/>
        <w:spacing w:after="0"/>
        <w:tabs>
          <w:tab w:leader="none" w:pos="309" w:val="left"/>
        </w:tabs>
        <w:numPr>
          <w:ilvl w:val="0"/>
          <w:numId w:val="269"/>
        </w:numPr>
        <w:rPr>
          <w:rFonts w:ascii="Arial" w:cs="Arial" w:eastAsia="Arial" w:hAnsi="Arial"/>
          <w:sz w:val="22"/>
          <w:szCs w:val="22"/>
          <w:color w:val="auto"/>
        </w:rPr>
      </w:pPr>
      <w:r>
        <w:rPr>
          <w:rFonts w:ascii="Arial" w:cs="Arial" w:eastAsia="Arial" w:hAnsi="Arial"/>
          <w:sz w:val="22"/>
          <w:szCs w:val="22"/>
          <w:color w:val="auto"/>
        </w:rPr>
        <w:t>Section 3.2 is hereby deleted and replaced with the following text:</w:t>
      </w:r>
    </w:p>
    <w:p>
      <w:pPr>
        <w:spacing w:after="0" w:line="246" w:lineRule="exact"/>
        <w:rPr>
          <w:rFonts w:ascii="Arial" w:cs="Arial" w:eastAsia="Arial" w:hAnsi="Arial"/>
          <w:sz w:val="22"/>
          <w:szCs w:val="22"/>
          <w:color w:val="auto"/>
        </w:rPr>
      </w:pPr>
    </w:p>
    <w:p>
      <w:pPr>
        <w:jc w:val="both"/>
        <w:ind w:left="329"/>
        <w:spacing w:after="0" w:line="273" w:lineRule="auto"/>
        <w:rPr>
          <w:rFonts w:ascii="Arial" w:cs="Arial" w:eastAsia="Arial" w:hAnsi="Arial"/>
          <w:sz w:val="22"/>
          <w:szCs w:val="22"/>
          <w:color w:val="auto"/>
        </w:rPr>
      </w:pPr>
      <w:r>
        <w:rPr>
          <w:rFonts w:ascii="Arial" w:cs="Arial" w:eastAsia="Arial" w:hAnsi="Arial"/>
          <w:sz w:val="21"/>
          <w:szCs w:val="21"/>
          <w:u w:val="single" w:color="auto"/>
          <w:color w:val="auto"/>
        </w:rPr>
        <w:t>Development and Regulatory Milestones</w:t>
      </w:r>
      <w:r>
        <w:rPr>
          <w:rFonts w:ascii="Arial" w:cs="Arial" w:eastAsia="Arial" w:hAnsi="Arial"/>
          <w:sz w:val="21"/>
          <w:szCs w:val="21"/>
          <w:i w:val="1"/>
          <w:iCs w:val="1"/>
          <w:color w:val="auto"/>
        </w:rPr>
        <w:t>.</w:t>
      </w:r>
      <w:r>
        <w:rPr>
          <w:rFonts w:ascii="Arial" w:cs="Arial" w:eastAsia="Arial" w:hAnsi="Arial"/>
          <w:sz w:val="21"/>
          <w:szCs w:val="21"/>
          <w:color w:val="auto"/>
        </w:rPr>
        <w:t xml:space="preserve"> Buyer shall pay (which payments shall not be creditable against any other obligations of Buyer hereunder) a non-refundable payment for each of the milestone events set forth in this Section 3.2 (each a </w:t>
      </w:r>
      <w:r>
        <w:rPr>
          <w:rFonts w:ascii="Arial" w:cs="Arial" w:eastAsia="Arial" w:hAnsi="Arial"/>
          <w:sz w:val="21"/>
          <w:szCs w:val="21"/>
          <w:b w:val="1"/>
          <w:bCs w:val="1"/>
          <w:color w:val="auto"/>
        </w:rPr>
        <w:t>“Development and Regulatory Milestone”</w:t>
      </w:r>
      <w:r>
        <w:rPr>
          <w:rFonts w:ascii="Arial" w:cs="Arial" w:eastAsia="Arial" w:hAnsi="Arial"/>
          <w:sz w:val="21"/>
          <w:szCs w:val="21"/>
          <w:color w:val="auto"/>
        </w:rPr>
        <w:t>), whether the Development and Regulatory Milestone is achieved by Buyer, its Affiliates or Licensees, or any Third Party acting on behalf of Buyer, its Affiliates or Licensees. Payment for each of the Development and Regulatory Milestones shall be made only once regardless of how many times a Product achieves the corresponding Development and Regulatory Milestone, and no payment shall be due for any Development and Regulatory Milestone which is not achieved. The Development and Regulatory Milestones shall be as follows:</w:t>
      </w:r>
    </w:p>
    <w:p>
      <w:pPr>
        <w:spacing w:after="0" w:line="200" w:lineRule="exact"/>
        <w:rPr>
          <w:sz w:val="20"/>
          <w:szCs w:val="20"/>
          <w:color w:val="auto"/>
        </w:rPr>
      </w:pPr>
    </w:p>
    <w:p>
      <w:pPr>
        <w:spacing w:after="0" w:line="263" w:lineRule="exact"/>
        <w:rPr>
          <w:sz w:val="20"/>
          <w:szCs w:val="20"/>
          <w:color w:val="auto"/>
        </w:rPr>
      </w:pPr>
    </w:p>
    <w:tbl>
      <w:tblPr>
        <w:tblLayout w:type="fixed"/>
        <w:tblInd w:w="579" w:type="dxa"/>
        <w:tblCellMar>
          <w:top w:w="0" w:type="dxa"/>
          <w:left w:w="0" w:type="dxa"/>
          <w:bottom w:w="0" w:type="dxa"/>
          <w:right w:w="0" w:type="dxa"/>
        </w:tblCellMar>
      </w:tblPr>
      <w:tr>
        <w:trPr>
          <w:trHeight w:val="295"/>
        </w:trPr>
        <w:tc>
          <w:tcPr>
            <w:tcW w:w="44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Development and Regulatory Milestone</w:t>
            </w:r>
          </w:p>
        </w:tc>
        <w:tc>
          <w:tcPr>
            <w:tcW w:w="41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Payment</w:t>
            </w:r>
          </w:p>
        </w:tc>
      </w:tr>
      <w:tr>
        <w:trPr>
          <w:trHeight w:val="289"/>
        </w:trPr>
        <w:tc>
          <w:tcPr>
            <w:tcW w:w="44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w:t>
            </w:r>
          </w:p>
        </w:tc>
        <w:tc>
          <w:tcPr>
            <w:tcW w:w="4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w:t>
            </w:r>
          </w:p>
        </w:tc>
      </w:tr>
      <w:tr>
        <w:trPr>
          <w:trHeight w:val="44"/>
        </w:trPr>
        <w:tc>
          <w:tcPr>
            <w:tcW w:w="4400" w:type="dxa"/>
            <w:vAlign w:val="bottom"/>
            <w:tcBorders>
              <w:left w:val="single" w:sz="8" w:color="auto"/>
              <w:bottom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r>
      <w:tr>
        <w:trPr>
          <w:trHeight w:val="263"/>
        </w:trPr>
        <w:tc>
          <w:tcPr>
            <w:tcW w:w="44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w:t>
            </w:r>
          </w:p>
        </w:tc>
        <w:tc>
          <w:tcPr>
            <w:tcW w:w="4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t>
            </w:r>
          </w:p>
        </w:tc>
      </w:tr>
      <w:tr>
        <w:trPr>
          <w:trHeight w:val="263"/>
        </w:trPr>
        <w:tc>
          <w:tcPr>
            <w:tcW w:w="44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w:t>
            </w:r>
          </w:p>
        </w:tc>
        <w:tc>
          <w:tcPr>
            <w:tcW w:w="4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t>
            </w:r>
          </w:p>
        </w:tc>
      </w:tr>
      <w:tr>
        <w:trPr>
          <w:trHeight w:val="264"/>
        </w:trPr>
        <w:tc>
          <w:tcPr>
            <w:tcW w:w="44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w:t>
            </w:r>
          </w:p>
        </w:tc>
        <w:tc>
          <w:tcPr>
            <w:tcW w:w="4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t>
            </w:r>
          </w:p>
        </w:tc>
      </w:tr>
      <w:tr>
        <w:trPr>
          <w:trHeight w:val="263"/>
        </w:trPr>
        <w:tc>
          <w:tcPr>
            <w:tcW w:w="44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w:t>
            </w:r>
          </w:p>
        </w:tc>
        <w:tc>
          <w:tcPr>
            <w:tcW w:w="4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t>
            </w:r>
          </w:p>
        </w:tc>
      </w:tr>
    </w:tbl>
    <w:p>
      <w:pPr>
        <w:sectPr>
          <w:pgSz w:w="11900" w:h="16838" w:orient="portrait"/>
          <w:cols w:equalWidth="0" w:num="1">
            <w:col w:w="10709"/>
          </w:cols>
          <w:pgMar w:left="751" w:top="1440" w:right="439" w:bottom="1440" w:gutter="0" w:footer="0" w:header="0"/>
        </w:sectPr>
      </w:pPr>
    </w:p>
    <w:bookmarkStart w:id="316" w:name="page317"/>
    <w:bookmarkEnd w:id="3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902" w:type="dxa"/>
        <w:tblCellMar>
          <w:top w:w="0" w:type="dxa"/>
          <w:left w:w="0" w:type="dxa"/>
          <w:bottom w:w="0" w:type="dxa"/>
          <w:right w:w="0" w:type="dxa"/>
        </w:tblCellMar>
      </w:tblPr>
      <w:tr>
        <w:trPr>
          <w:trHeight w:val="284"/>
        </w:trPr>
        <w:tc>
          <w:tcPr>
            <w:tcW w:w="4400" w:type="dxa"/>
            <w:vAlign w:val="bottom"/>
            <w:tcBorders>
              <w:top w:val="single" w:sz="8" w:color="auto"/>
              <w:left w:val="single" w:sz="8" w:color="auto"/>
              <w:bottom w:val="single" w:sz="8" w:color="auto"/>
              <w:right w:val="single" w:sz="8" w:color="auto"/>
            </w:tcBorders>
          </w:tcPr>
          <w:p>
            <w:pPr>
              <w:jc w:val="right"/>
              <w:ind w:right="3692"/>
              <w:spacing w:after="0"/>
              <w:rPr>
                <w:sz w:val="20"/>
                <w:szCs w:val="20"/>
                <w:color w:val="auto"/>
              </w:rPr>
            </w:pPr>
            <w:r>
              <w:rPr>
                <w:rFonts w:ascii="Arial" w:cs="Arial" w:eastAsia="Arial" w:hAnsi="Arial"/>
                <w:sz w:val="22"/>
                <w:szCs w:val="22"/>
                <w:color w:val="auto"/>
              </w:rPr>
              <w:t>[***]</w:t>
            </w:r>
          </w:p>
        </w:tc>
        <w:tc>
          <w:tcPr>
            <w:tcW w:w="4140" w:type="dxa"/>
            <w:vAlign w:val="bottom"/>
            <w:tcBorders>
              <w:top w:val="single" w:sz="8" w:color="auto"/>
              <w:bottom w:val="single" w:sz="8" w:color="auto"/>
              <w:right w:val="single" w:sz="8" w:color="auto"/>
            </w:tcBorders>
          </w:tcPr>
          <w:p>
            <w:pPr>
              <w:jc w:val="right"/>
              <w:ind w:right="345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652"/>
        <w:spacing w:after="0" w:line="261" w:lineRule="auto"/>
        <w:rPr>
          <w:sz w:val="20"/>
          <w:szCs w:val="20"/>
          <w:color w:val="auto"/>
        </w:rPr>
      </w:pPr>
      <w:r>
        <w:rPr>
          <w:rFonts w:ascii="Arial" w:cs="Arial" w:eastAsia="Arial" w:hAnsi="Arial"/>
          <w:sz w:val="22"/>
          <w:szCs w:val="22"/>
          <w:color w:val="auto"/>
        </w:rPr>
        <w:t>Buyer shall provide Seller with written notice within thirty (30) days after the achievement of the corresponding Development and Regulatory Milestone. The payment pertaining to each Development and Regulatory Milestone, other than the BLA Approval Milestone Payment which shall be governed in accordance with Section 3.2(a), shall be made by Buyer to Seller within ninety (90) days after the achievement of the corresponding Development and Regulatory Milestone.</w:t>
      </w:r>
    </w:p>
    <w:p>
      <w:pPr>
        <w:spacing w:after="0" w:line="204" w:lineRule="exact"/>
        <w:rPr>
          <w:sz w:val="20"/>
          <w:szCs w:val="20"/>
          <w:color w:val="auto"/>
        </w:rPr>
      </w:pPr>
    </w:p>
    <w:p>
      <w:pPr>
        <w:ind w:left="632" w:hanging="309"/>
        <w:spacing w:after="0"/>
        <w:tabs>
          <w:tab w:leader="none" w:pos="632"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following text is hereby added to the Agreement as new Section 3.2(a):</w:t>
      </w:r>
    </w:p>
    <w:p>
      <w:pPr>
        <w:spacing w:after="0" w:line="246" w:lineRule="exact"/>
        <w:rPr>
          <w:rFonts w:ascii="Arial" w:cs="Arial" w:eastAsia="Arial" w:hAnsi="Arial"/>
          <w:sz w:val="22"/>
          <w:szCs w:val="22"/>
          <w:color w:val="auto"/>
        </w:rPr>
      </w:pPr>
    </w:p>
    <w:p>
      <w:pPr>
        <w:ind w:left="652" w:right="20"/>
        <w:spacing w:after="0" w:line="301" w:lineRule="auto"/>
        <w:rPr>
          <w:rFonts w:ascii="Arial" w:cs="Arial" w:eastAsia="Arial" w:hAnsi="Arial"/>
          <w:sz w:val="22"/>
          <w:szCs w:val="22"/>
          <w:color w:val="auto"/>
        </w:rPr>
      </w:pPr>
      <w:r>
        <w:rPr>
          <w:rFonts w:ascii="Arial" w:cs="Arial" w:eastAsia="Arial" w:hAnsi="Arial"/>
          <w:sz w:val="21"/>
          <w:szCs w:val="21"/>
          <w:u w:val="single" w:color="auto"/>
          <w:color w:val="auto"/>
        </w:rPr>
        <w:t>Payment of BLA Approval Milestone</w:t>
      </w:r>
      <w:r>
        <w:rPr>
          <w:rFonts w:ascii="Arial" w:cs="Arial" w:eastAsia="Arial" w:hAnsi="Arial"/>
          <w:sz w:val="21"/>
          <w:szCs w:val="21"/>
          <w:color w:val="auto"/>
        </w:rPr>
        <w:t>. The Parties acknowledge and agree that the BLA Approval Milestone was achieved. Buyer shall pay Seller the BLA Approval Milestone payment in four (4) installments as follows:</w:t>
      </w:r>
    </w:p>
    <w:p>
      <w:pPr>
        <w:spacing w:after="0" w:line="177" w:lineRule="exact"/>
        <w:rPr>
          <w:rFonts w:ascii="Arial" w:cs="Arial" w:eastAsia="Arial" w:hAnsi="Arial"/>
          <w:sz w:val="22"/>
          <w:szCs w:val="22"/>
          <w:color w:val="auto"/>
        </w:rPr>
      </w:pPr>
    </w:p>
    <w:p>
      <w:pPr>
        <w:ind w:left="1292" w:hanging="439"/>
        <w:spacing w:after="0"/>
        <w:tabs>
          <w:tab w:leader="none" w:pos="1292" w:val="left"/>
        </w:tabs>
        <w:numPr>
          <w:ilvl w:val="1"/>
          <w:numId w:val="270"/>
        </w:numPr>
        <w:rPr>
          <w:rFonts w:ascii="Arial" w:cs="Arial" w:eastAsia="Arial" w:hAnsi="Arial"/>
          <w:sz w:val="22"/>
          <w:szCs w:val="22"/>
          <w:color w:val="auto"/>
        </w:rPr>
      </w:pPr>
      <w:r>
        <w:rPr>
          <w:rFonts w:ascii="Arial" w:cs="Arial" w:eastAsia="Arial" w:hAnsi="Arial"/>
          <w:sz w:val="22"/>
          <w:szCs w:val="22"/>
          <w:color w:val="auto"/>
        </w:rPr>
        <w:t>an initial payment of Fifteen Million United States dollars ($15,000,000) by November 30, 2022;</w:t>
      </w:r>
    </w:p>
    <w:p>
      <w:pPr>
        <w:spacing w:after="0" w:line="21" w:lineRule="exact"/>
        <w:rPr>
          <w:rFonts w:ascii="Arial" w:cs="Arial" w:eastAsia="Arial" w:hAnsi="Arial"/>
          <w:sz w:val="22"/>
          <w:szCs w:val="22"/>
          <w:color w:val="auto"/>
        </w:rPr>
      </w:pPr>
    </w:p>
    <w:p>
      <w:pPr>
        <w:ind w:left="1292" w:hanging="504"/>
        <w:spacing w:after="0"/>
        <w:tabs>
          <w:tab w:leader="none" w:pos="1292" w:val="left"/>
        </w:tabs>
        <w:numPr>
          <w:ilvl w:val="1"/>
          <w:numId w:val="270"/>
        </w:numPr>
        <w:rPr>
          <w:rFonts w:ascii="Arial" w:cs="Arial" w:eastAsia="Arial" w:hAnsi="Arial"/>
          <w:sz w:val="22"/>
          <w:szCs w:val="22"/>
          <w:color w:val="auto"/>
        </w:rPr>
      </w:pPr>
      <w:r>
        <w:rPr>
          <w:rFonts w:ascii="Arial" w:cs="Arial" w:eastAsia="Arial" w:hAnsi="Arial"/>
          <w:sz w:val="22"/>
          <w:szCs w:val="22"/>
          <w:color w:val="auto"/>
        </w:rPr>
        <w:t>a further Fifteen Million United States dollars ($15,000,000) by March 1, 2023;</w:t>
      </w:r>
    </w:p>
    <w:p>
      <w:pPr>
        <w:spacing w:after="0" w:line="17" w:lineRule="exact"/>
        <w:rPr>
          <w:rFonts w:ascii="Arial" w:cs="Arial" w:eastAsia="Arial" w:hAnsi="Arial"/>
          <w:sz w:val="22"/>
          <w:szCs w:val="22"/>
          <w:color w:val="auto"/>
        </w:rPr>
      </w:pPr>
    </w:p>
    <w:p>
      <w:pPr>
        <w:ind w:left="1292" w:hanging="567"/>
        <w:spacing w:after="0"/>
        <w:tabs>
          <w:tab w:leader="none" w:pos="1292" w:val="left"/>
        </w:tabs>
        <w:numPr>
          <w:ilvl w:val="1"/>
          <w:numId w:val="270"/>
        </w:numPr>
        <w:rPr>
          <w:rFonts w:ascii="Arial" w:cs="Arial" w:eastAsia="Arial" w:hAnsi="Arial"/>
          <w:sz w:val="22"/>
          <w:szCs w:val="22"/>
          <w:color w:val="auto"/>
        </w:rPr>
      </w:pPr>
      <w:r>
        <w:rPr>
          <w:rFonts w:ascii="Arial" w:cs="Arial" w:eastAsia="Arial" w:hAnsi="Arial"/>
          <w:sz w:val="22"/>
          <w:szCs w:val="22"/>
          <w:color w:val="auto"/>
        </w:rPr>
        <w:t>a further Fifteen Million United States dollars ($15,000,000) by June 1, 2023; and</w:t>
      </w:r>
    </w:p>
    <w:p>
      <w:pPr>
        <w:spacing w:after="0" w:line="17" w:lineRule="exact"/>
        <w:rPr>
          <w:sz w:val="20"/>
          <w:szCs w:val="20"/>
          <w:color w:val="auto"/>
        </w:rPr>
      </w:pPr>
    </w:p>
    <w:p>
      <w:pPr>
        <w:ind w:left="1292" w:right="2580" w:hanging="554"/>
        <w:spacing w:after="0" w:line="259" w:lineRule="auto"/>
        <w:tabs>
          <w:tab w:leader="none" w:pos="1266" w:val="left"/>
        </w:tabs>
        <w:numPr>
          <w:ilvl w:val="2"/>
          <w:numId w:val="271"/>
        </w:numPr>
        <w:rPr>
          <w:rFonts w:ascii="Arial" w:cs="Arial" w:eastAsia="Arial" w:hAnsi="Arial"/>
          <w:sz w:val="22"/>
          <w:szCs w:val="22"/>
          <w:color w:val="auto"/>
        </w:rPr>
      </w:pPr>
      <w:r>
        <w:rPr>
          <w:rFonts w:ascii="Arial" w:cs="Arial" w:eastAsia="Arial" w:hAnsi="Arial"/>
          <w:sz w:val="22"/>
          <w:szCs w:val="22"/>
          <w:color w:val="auto"/>
        </w:rPr>
        <w:t>a further Fifteen Million United States dollars ($15,000,000) by September 1, 2023 (together, the “</w:t>
      </w:r>
      <w:r>
        <w:rPr>
          <w:rFonts w:ascii="Arial" w:cs="Arial" w:eastAsia="Arial" w:hAnsi="Arial"/>
          <w:sz w:val="22"/>
          <w:szCs w:val="22"/>
          <w:b w:val="1"/>
          <w:bCs w:val="1"/>
          <w:color w:val="auto"/>
        </w:rPr>
        <w:t>BLA Approval Payments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632" w:hanging="309"/>
        <w:spacing w:after="0"/>
        <w:tabs>
          <w:tab w:leader="none" w:pos="632" w:val="left"/>
        </w:tabs>
        <w:numPr>
          <w:ilvl w:val="1"/>
          <w:numId w:val="272"/>
        </w:numPr>
        <w:rPr>
          <w:rFonts w:ascii="Arial" w:cs="Arial" w:eastAsia="Arial" w:hAnsi="Arial"/>
          <w:sz w:val="22"/>
          <w:szCs w:val="22"/>
          <w:color w:val="auto"/>
        </w:rPr>
      </w:pPr>
      <w:r>
        <w:rPr>
          <w:rFonts w:ascii="Arial" w:cs="Arial" w:eastAsia="Arial" w:hAnsi="Arial"/>
          <w:sz w:val="22"/>
          <w:szCs w:val="22"/>
          <w:color w:val="auto"/>
        </w:rPr>
        <w:t>The following text is hereby added to the Agreement as new Section 3.2(b):</w:t>
      </w:r>
    </w:p>
    <w:p>
      <w:pPr>
        <w:spacing w:after="0" w:line="233" w:lineRule="exact"/>
        <w:rPr>
          <w:rFonts w:ascii="Arial" w:cs="Arial" w:eastAsia="Arial" w:hAnsi="Arial"/>
          <w:sz w:val="22"/>
          <w:szCs w:val="22"/>
          <w:color w:val="auto"/>
        </w:rPr>
      </w:pPr>
    </w:p>
    <w:p>
      <w:pPr>
        <w:jc w:val="both"/>
        <w:ind w:left="652"/>
        <w:spacing w:after="0" w:line="262" w:lineRule="auto"/>
        <w:rPr>
          <w:rFonts w:ascii="Arial" w:cs="Arial" w:eastAsia="Arial" w:hAnsi="Arial"/>
          <w:sz w:val="22"/>
          <w:szCs w:val="22"/>
          <w:color w:val="auto"/>
        </w:rPr>
      </w:pPr>
      <w:r>
        <w:rPr>
          <w:rFonts w:ascii="Arial" w:cs="Arial" w:eastAsia="Arial" w:hAnsi="Arial"/>
          <w:sz w:val="22"/>
          <w:szCs w:val="22"/>
          <w:u w:val="single" w:color="auto"/>
          <w:color w:val="auto"/>
        </w:rPr>
        <w:t>Acceleration of BLA Approval Payments</w:t>
      </w:r>
      <w:r>
        <w:rPr>
          <w:rFonts w:ascii="Arial" w:cs="Arial" w:eastAsia="Arial" w:hAnsi="Arial"/>
          <w:sz w:val="22"/>
          <w:szCs w:val="22"/>
          <w:color w:val="auto"/>
        </w:rPr>
        <w:t>. On or at any time after the occurrence of a Payment Acceleration Event, Seller may by notice to Buyer declare that all or part of the outstanding BLA Approval Payments, together with accrued interest, and all other amounts accrued or outstanding under this Agreement be due and payable, at which time they shall become due and payable [***].</w:t>
      </w:r>
    </w:p>
    <w:p>
      <w:pPr>
        <w:spacing w:after="0" w:line="204" w:lineRule="exact"/>
        <w:rPr>
          <w:rFonts w:ascii="Arial" w:cs="Arial" w:eastAsia="Arial" w:hAnsi="Arial"/>
          <w:sz w:val="22"/>
          <w:szCs w:val="22"/>
          <w:color w:val="auto"/>
        </w:rPr>
      </w:pPr>
    </w:p>
    <w:p>
      <w:pPr>
        <w:ind w:left="652" w:hanging="329"/>
        <w:spacing w:after="0"/>
        <w:tabs>
          <w:tab w:leader="none" w:pos="652" w:val="left"/>
        </w:tabs>
        <w:numPr>
          <w:ilvl w:val="1"/>
          <w:numId w:val="272"/>
        </w:numPr>
        <w:rPr>
          <w:rFonts w:ascii="Arial" w:cs="Arial" w:eastAsia="Arial" w:hAnsi="Arial"/>
          <w:sz w:val="22"/>
          <w:szCs w:val="22"/>
          <w:color w:val="auto"/>
        </w:rPr>
      </w:pPr>
      <w:r>
        <w:rPr>
          <w:rFonts w:ascii="Arial" w:cs="Arial" w:eastAsia="Arial" w:hAnsi="Arial"/>
          <w:sz w:val="22"/>
          <w:szCs w:val="22"/>
          <w:color w:val="auto"/>
        </w:rPr>
        <w:t>The following text is hereby added to the Agreement in Section 3.5:</w:t>
      </w:r>
    </w:p>
    <w:p>
      <w:pPr>
        <w:spacing w:after="0" w:line="233" w:lineRule="exact"/>
        <w:rPr>
          <w:rFonts w:ascii="Arial" w:cs="Arial" w:eastAsia="Arial" w:hAnsi="Arial"/>
          <w:sz w:val="22"/>
          <w:szCs w:val="22"/>
          <w:color w:val="auto"/>
        </w:rPr>
      </w:pPr>
    </w:p>
    <w:p>
      <w:pPr>
        <w:jc w:val="both"/>
        <w:ind w:left="652"/>
        <w:spacing w:after="0" w:line="358" w:lineRule="auto"/>
        <w:rPr>
          <w:rFonts w:ascii="Arial" w:cs="Arial" w:eastAsia="Arial" w:hAnsi="Arial"/>
          <w:sz w:val="22"/>
          <w:szCs w:val="22"/>
          <w:color w:val="auto"/>
        </w:rPr>
      </w:pPr>
      <w:r>
        <w:rPr>
          <w:rFonts w:ascii="Arial" w:cs="Arial" w:eastAsia="Arial" w:hAnsi="Arial"/>
          <w:sz w:val="19"/>
          <w:szCs w:val="19"/>
          <w:color w:val="auto"/>
        </w:rPr>
        <w:t>Notwithstanding anything contained in the Agreement to the contrary, the [***] with respect to the Product, Teplizumab; provided, that no [***]; provided, further, that [***] may be [***] that may become due pursuant to [***].</w:t>
      </w:r>
    </w:p>
    <w:p>
      <w:pPr>
        <w:spacing w:after="0" w:line="131" w:lineRule="exact"/>
        <w:rPr>
          <w:rFonts w:ascii="Arial" w:cs="Arial" w:eastAsia="Arial" w:hAnsi="Arial"/>
          <w:sz w:val="22"/>
          <w:szCs w:val="22"/>
          <w:color w:val="auto"/>
        </w:rPr>
      </w:pPr>
    </w:p>
    <w:p>
      <w:pPr>
        <w:jc w:val="both"/>
        <w:ind w:left="332" w:hanging="332"/>
        <w:spacing w:after="0" w:line="262" w:lineRule="auto"/>
        <w:tabs>
          <w:tab w:leader="none" w:pos="323"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The Agreement (including Amendment No. 1), as supplemented and modified by this Amendment No. 1, together with the exhibits thereto, contains the entire understanding of the Parties with respect to the subject matter hereof and supersedes all prior agreements and understandings, oral or written, with respect to such matters, which the Parties acknowledge have been merged into the Agreement.</w:t>
      </w:r>
    </w:p>
    <w:p>
      <w:pPr>
        <w:sectPr>
          <w:pgSz w:w="11900" w:h="16838" w:orient="portrait"/>
          <w:cols w:equalWidth="0" w:num="1">
            <w:col w:w="11032"/>
          </w:cols>
          <w:pgMar w:left="428" w:top="1440" w:right="439" w:bottom="1440" w:gutter="0" w:footer="0" w:header="0"/>
        </w:sectPr>
      </w:pPr>
    </w:p>
    <w:bookmarkStart w:id="317" w:name="page318"/>
    <w:bookmarkEnd w:id="3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32" w:right="20" w:hanging="332"/>
        <w:spacing w:after="0" w:line="358" w:lineRule="auto"/>
        <w:tabs>
          <w:tab w:leader="none" w:pos="323"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Amendment No. 1 shall be governed by and construed under the laws of the State of Delaware, without giving effect to any choice of law principles that would require the application of the laws of a different state.</w:t>
      </w:r>
    </w:p>
    <w:p>
      <w:pPr>
        <w:spacing w:after="0" w:line="131" w:lineRule="exact"/>
        <w:rPr>
          <w:rFonts w:ascii="Arial" w:cs="Arial" w:eastAsia="Arial" w:hAnsi="Arial"/>
          <w:sz w:val="19"/>
          <w:szCs w:val="19"/>
          <w:color w:val="auto"/>
        </w:rPr>
      </w:pPr>
    </w:p>
    <w:p>
      <w:pPr>
        <w:jc w:val="both"/>
        <w:ind w:left="332" w:right="20" w:hanging="332"/>
        <w:spacing w:after="0" w:line="262" w:lineRule="auto"/>
        <w:tabs>
          <w:tab w:leader="none" w:pos="323"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xml:space="preserve"> This Amendment No. 1 may be executed in two (2) or more counterparts, each of which shall be deemed an original, but all of which together shall constitute one and the same instrument. This Amendment No. 1 may be executed by .pdf or other electronically transmitted signatures and such signatures shall be deemed to bind each Party as if they were the original signatures.</w:t>
      </w:r>
    </w:p>
    <w:p>
      <w:pPr>
        <w:spacing w:after="0" w:line="231" w:lineRule="exact"/>
        <w:rPr>
          <w:rFonts w:ascii="Arial" w:cs="Arial" w:eastAsia="Arial" w:hAnsi="Arial"/>
          <w:sz w:val="22"/>
          <w:szCs w:val="22"/>
          <w:color w:val="auto"/>
        </w:rPr>
      </w:pPr>
    </w:p>
    <w:p>
      <w:pPr>
        <w:ind w:left="332" w:hanging="332"/>
        <w:spacing w:after="0" w:line="276" w:lineRule="auto"/>
        <w:tabs>
          <w:tab w:leader="none" w:pos="323"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Remaining Provisions of the Agreement.</w:t>
      </w:r>
      <w:r>
        <w:rPr>
          <w:rFonts w:ascii="Arial" w:cs="Arial" w:eastAsia="Arial" w:hAnsi="Arial"/>
          <w:sz w:val="22"/>
          <w:szCs w:val="22"/>
          <w:color w:val="auto"/>
        </w:rPr>
        <w:t xml:space="preserve"> Except as expressly provided herein, each of the other provisions of the Agreement shall remain in full force and effect.</w:t>
      </w:r>
    </w:p>
    <w:p>
      <w:pPr>
        <w:spacing w:after="0" w:line="214" w:lineRule="exact"/>
        <w:rPr>
          <w:rFonts w:ascii="Arial" w:cs="Arial" w:eastAsia="Arial" w:hAnsi="Arial"/>
          <w:sz w:val="22"/>
          <w:szCs w:val="22"/>
          <w:color w:val="auto"/>
        </w:rPr>
      </w:pPr>
    </w:p>
    <w:p>
      <w:pPr>
        <w:jc w:val="both"/>
        <w:ind w:left="332" w:hanging="332"/>
        <w:spacing w:after="0" w:line="266" w:lineRule="auto"/>
        <w:tabs>
          <w:tab w:leader="none" w:pos="323"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References.</w:t>
      </w:r>
      <w:r>
        <w:rPr>
          <w:rFonts w:ascii="Arial" w:cs="Arial" w:eastAsia="Arial" w:hAnsi="Arial"/>
          <w:sz w:val="22"/>
          <w:szCs w:val="22"/>
          <w:color w:val="auto"/>
        </w:rPr>
        <w:t xml:space="preserve"> Upon the effectiveness of this Amendment No. 1, on and after the date hereof, each reference in the Agreement to “this Agreement,” “hereunder,” “hereof,” “herein” or words of like import shall mean and be a reference to the Agreement, as amended hereby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032"/>
          </w:cols>
          <w:pgMar w:left="428" w:top="1440" w:right="439" w:bottom="1440" w:gutter="0" w:footer="0" w:header="0"/>
        </w:sectPr>
      </w:pPr>
    </w:p>
    <w:bookmarkStart w:id="318" w:name="page319"/>
    <w:bookmarkEnd w:id="3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301" w:lineRule="auto"/>
        <w:rPr>
          <w:sz w:val="20"/>
          <w:szCs w:val="20"/>
          <w:color w:val="auto"/>
        </w:rPr>
      </w:pPr>
      <w:r>
        <w:rPr>
          <w:rFonts w:ascii="Arial" w:cs="Arial" w:eastAsia="Arial" w:hAnsi="Arial"/>
          <w:sz w:val="21"/>
          <w:szCs w:val="21"/>
          <w:color w:val="auto"/>
        </w:rPr>
        <w:t>IN WITNESS WHEREOF, the Parties hereto have caused this Amendment No. 1 to the Asset Purchase Agreement to be duly executed by their respective authorized signatories effective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MACROGENICS,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tabs>
          <w:tab w:leader="none" w:pos="3280" w:val="left"/>
        </w:tabs>
        <w:rPr>
          <w:sz w:val="20"/>
          <w:szCs w:val="20"/>
          <w:color w:val="auto"/>
        </w:rPr>
      </w:pPr>
      <w:r>
        <w:rPr>
          <w:rFonts w:ascii="Arial" w:cs="Arial" w:eastAsia="Arial" w:hAnsi="Arial"/>
          <w:sz w:val="22"/>
          <w:szCs w:val="22"/>
          <w:color w:val="auto"/>
        </w:rPr>
        <w:t>By: /s/ Scott Koenig, M.D., Ph.D.</w:t>
      </w:r>
      <w:r>
        <w:rPr>
          <w:sz w:val="20"/>
          <w:szCs w:val="20"/>
          <w:color w:val="auto"/>
        </w:rPr>
        <w:tab/>
      </w:r>
      <w:r>
        <w:rPr>
          <w:rFonts w:ascii="Arial" w:cs="Arial" w:eastAsia="Arial" w:hAnsi="Arial"/>
          <w:sz w:val="19"/>
          <w:szCs w:val="19"/>
          <w:color w:val="auto"/>
        </w:rPr>
        <w:t>Name: Scott Koenig,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-17780</wp:posOffset>
            </wp:positionV>
            <wp:extent cx="17602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1760220" cy="8255"/>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PROVENTION BIO, INC.</w:t>
      </w:r>
    </w:p>
    <w:p>
      <w:pPr>
        <w:spacing w:after="0" w:line="200" w:lineRule="exact"/>
        <w:rPr>
          <w:sz w:val="20"/>
          <w:szCs w:val="20"/>
          <w:color w:val="auto"/>
        </w:rPr>
      </w:pPr>
    </w:p>
    <w:p>
      <w:pPr>
        <w:spacing w:after="0" w:line="282" w:lineRule="exact"/>
        <w:rPr>
          <w:sz w:val="20"/>
          <w:szCs w:val="20"/>
          <w:color w:val="auto"/>
        </w:rPr>
      </w:pPr>
    </w:p>
    <w:p>
      <w:pPr>
        <w:ind w:left="100"/>
        <w:spacing w:after="0"/>
        <w:tabs>
          <w:tab w:leader="none" w:pos="2420" w:val="left"/>
        </w:tabs>
        <w:rPr>
          <w:sz w:val="20"/>
          <w:szCs w:val="20"/>
          <w:color w:val="auto"/>
        </w:rPr>
      </w:pPr>
      <w:r>
        <w:rPr>
          <w:rFonts w:ascii="Arial" w:cs="Arial" w:eastAsia="Arial" w:hAnsi="Arial"/>
          <w:sz w:val="22"/>
          <w:szCs w:val="22"/>
          <w:color w:val="auto"/>
        </w:rPr>
        <w:t>By: /s/ Ashleigh Palmer</w:t>
      </w:r>
      <w:r>
        <w:rPr>
          <w:sz w:val="20"/>
          <w:szCs w:val="20"/>
          <w:color w:val="auto"/>
        </w:rPr>
        <w:tab/>
      </w:r>
      <w:r>
        <w:rPr>
          <w:rFonts w:ascii="Arial" w:cs="Arial" w:eastAsia="Arial" w:hAnsi="Arial"/>
          <w:sz w:val="19"/>
          <w:szCs w:val="19"/>
          <w:color w:val="auto"/>
        </w:rPr>
        <w:t>Name: Ashleigh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-17780</wp:posOffset>
            </wp:positionV>
            <wp:extent cx="12192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Title: President and Chief Executive Officer</w:t>
      </w:r>
    </w:p>
    <w:p>
      <w:pPr>
        <w:sectPr>
          <w:pgSz w:w="11900" w:h="16838" w:orient="portrait"/>
          <w:cols w:equalWidth="0" w:num="1">
            <w:col w:w="11020"/>
          </w:cols>
          <w:pgMar w:left="420" w:top="1440" w:right="459" w:bottom="1440" w:gutter="0" w:footer="0" w:header="0"/>
        </w:sectPr>
      </w:pPr>
    </w:p>
    <w:bookmarkStart w:id="319" w:name="page320"/>
    <w:bookmarkEnd w:id="319"/>
    <w:p>
      <w:pPr>
        <w:jc w:val="right"/>
        <w:spacing w:after="0"/>
        <w:rPr>
          <w:sz w:val="20"/>
          <w:szCs w:val="20"/>
          <w:color w:val="auto"/>
        </w:rPr>
      </w:pPr>
      <w:r>
        <w:rPr>
          <w:rFonts w:ascii="Arial" w:cs="Arial" w:eastAsia="Arial" w:hAnsi="Arial"/>
          <w:sz w:val="22"/>
          <w:szCs w:val="22"/>
          <w:b w:val="1"/>
          <w:bCs w:val="1"/>
          <w:color w:val="auto"/>
        </w:rPr>
        <w:t>Exhibit.10.25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LEASE</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111111"/>
        </w:rPr>
        <w:t xml:space="preserve">THIS LEASE </w:t>
      </w:r>
      <w:r>
        <w:rPr>
          <w:rFonts w:ascii="Arial" w:cs="Arial" w:eastAsia="Arial" w:hAnsi="Arial"/>
          <w:sz w:val="21"/>
          <w:szCs w:val="21"/>
          <w:color w:val="000000"/>
        </w:rPr>
        <w:t>(this “</w:t>
      </w:r>
      <w:r>
        <w:rPr>
          <w:rFonts w:ascii="Arial" w:cs="Arial" w:eastAsia="Arial" w:hAnsi="Arial"/>
          <w:sz w:val="21"/>
          <w:szCs w:val="21"/>
          <w:u w:val="single" w:color="auto"/>
          <w:color w:val="000000"/>
        </w:rPr>
        <w:t>Lease</w:t>
      </w:r>
      <w:r>
        <w:rPr>
          <w:rFonts w:ascii="Arial" w:cs="Arial" w:eastAsia="Arial" w:hAnsi="Arial"/>
          <w:sz w:val="21"/>
          <w:szCs w:val="21"/>
          <w:color w:val="000000"/>
        </w:rPr>
        <w:t>”)</w:t>
      </w:r>
      <w:r>
        <w:rPr>
          <w:rFonts w:ascii="Arial" w:cs="Arial" w:eastAsia="Arial" w:hAnsi="Arial"/>
          <w:sz w:val="21"/>
          <w:szCs w:val="21"/>
          <w:color w:val="111111"/>
        </w:rPr>
        <w:t xml:space="preserve"> is </w:t>
      </w:r>
      <w:r>
        <w:rPr>
          <w:rFonts w:ascii="Arial" w:cs="Arial" w:eastAsia="Arial" w:hAnsi="Arial"/>
          <w:sz w:val="21"/>
          <w:szCs w:val="21"/>
          <w:color w:val="000000"/>
        </w:rPr>
        <w:t>entered</w:t>
      </w:r>
      <w:r>
        <w:rPr>
          <w:rFonts w:ascii="Arial" w:cs="Arial" w:eastAsia="Arial" w:hAnsi="Arial"/>
          <w:sz w:val="21"/>
          <w:szCs w:val="21"/>
          <w:color w:val="111111"/>
        </w:rPr>
        <w:t xml:space="preserve"> into </w:t>
      </w:r>
      <w:r>
        <w:rPr>
          <w:rFonts w:ascii="Arial" w:cs="Arial" w:eastAsia="Arial" w:hAnsi="Arial"/>
          <w:sz w:val="21"/>
          <w:szCs w:val="21"/>
          <w:color w:val="000000"/>
        </w:rPr>
        <w:t>as of</w:t>
      </w:r>
      <w:r>
        <w:rPr>
          <w:rFonts w:ascii="Arial" w:cs="Arial" w:eastAsia="Arial" w:hAnsi="Arial"/>
          <w:sz w:val="21"/>
          <w:szCs w:val="21"/>
          <w:color w:val="111111"/>
        </w:rPr>
        <w:t xml:space="preserve"> this </w:t>
      </w:r>
      <w:r>
        <w:rPr>
          <w:rFonts w:ascii="Arial" w:cs="Arial" w:eastAsia="Arial" w:hAnsi="Arial"/>
          <w:sz w:val="21"/>
          <w:szCs w:val="21"/>
          <w:u w:val="single" w:color="auto"/>
          <w:color w:val="000000"/>
        </w:rPr>
        <w:t>[***]</w:t>
      </w:r>
      <w:r>
        <w:rPr>
          <w:rFonts w:ascii="Arial" w:cs="Arial" w:eastAsia="Arial" w:hAnsi="Arial"/>
          <w:sz w:val="21"/>
          <w:szCs w:val="21"/>
          <w:color w:val="111111"/>
        </w:rPr>
        <w:t xml:space="preserve"> </w:t>
      </w:r>
      <w:r>
        <w:rPr>
          <w:rFonts w:ascii="Arial" w:cs="Arial" w:eastAsia="Arial" w:hAnsi="Arial"/>
          <w:sz w:val="21"/>
          <w:szCs w:val="21"/>
          <w:color w:val="000000"/>
        </w:rPr>
        <w:t>day</w:t>
      </w:r>
      <w:r>
        <w:rPr>
          <w:rFonts w:ascii="Arial" w:cs="Arial" w:eastAsia="Arial" w:hAnsi="Arial"/>
          <w:sz w:val="21"/>
          <w:szCs w:val="21"/>
          <w:color w:val="111111"/>
        </w:rPr>
        <w:t xml:space="preserve"> of </w:t>
      </w:r>
      <w:r>
        <w:rPr>
          <w:rFonts w:ascii="Arial" w:cs="Arial" w:eastAsia="Arial" w:hAnsi="Arial"/>
          <w:sz w:val="21"/>
          <w:szCs w:val="21"/>
          <w:u w:val="single" w:color="auto"/>
          <w:color w:val="000000"/>
        </w:rPr>
        <w:t>[***]</w:t>
      </w:r>
      <w:r>
        <w:rPr>
          <w:rFonts w:ascii="Arial" w:cs="Arial" w:eastAsia="Arial" w:hAnsi="Arial"/>
          <w:sz w:val="21"/>
          <w:szCs w:val="21"/>
          <w:color w:val="111111"/>
        </w:rPr>
        <w:t xml:space="preserve"> (the </w:t>
      </w:r>
      <w:r>
        <w:rPr>
          <w:rFonts w:ascii="Arial" w:cs="Arial" w:eastAsia="Arial" w:hAnsi="Arial"/>
          <w:sz w:val="21"/>
          <w:szCs w:val="21"/>
          <w:color w:val="000000"/>
        </w:rPr>
        <w:t>“</w:t>
      </w:r>
      <w:r>
        <w:rPr>
          <w:rFonts w:ascii="Arial" w:cs="Arial" w:eastAsia="Arial" w:hAnsi="Arial"/>
          <w:sz w:val="21"/>
          <w:szCs w:val="21"/>
          <w:u w:val="single" w:color="auto"/>
          <w:color w:val="000000"/>
        </w:rPr>
        <w:t>Execution</w:t>
      </w:r>
      <w:r>
        <w:rPr>
          <w:rFonts w:ascii="Arial" w:cs="Arial" w:eastAsia="Arial" w:hAnsi="Arial"/>
          <w:sz w:val="21"/>
          <w:szCs w:val="21"/>
          <w:color w:val="111111"/>
        </w:rPr>
        <w:t xml:space="preserve"> </w:t>
      </w:r>
      <w:r>
        <w:rPr>
          <w:rFonts w:ascii="Arial" w:cs="Arial" w:eastAsia="Arial" w:hAnsi="Arial"/>
          <w:sz w:val="21"/>
          <w:szCs w:val="21"/>
          <w:u w:val="single" w:color="auto"/>
          <w:color w:val="111111"/>
        </w:rPr>
        <w:t>Date</w:t>
      </w:r>
      <w:r>
        <w:rPr>
          <w:rFonts w:ascii="Arial" w:cs="Arial" w:eastAsia="Arial" w:hAnsi="Arial"/>
          <w:sz w:val="21"/>
          <w:szCs w:val="21"/>
          <w:color w:val="111111"/>
        </w:rPr>
        <w:t xml:space="preserve">”), by </w:t>
      </w:r>
      <w:r>
        <w:rPr>
          <w:rFonts w:ascii="Arial" w:cs="Arial" w:eastAsia="Arial" w:hAnsi="Arial"/>
          <w:sz w:val="21"/>
          <w:szCs w:val="21"/>
          <w:color w:val="000000"/>
        </w:rPr>
        <w:t xml:space="preserve">and between BMR-MEDICAL CENTER DRIVE LLC, a </w:t>
      </w:r>
      <w:r>
        <w:rPr>
          <w:rFonts w:ascii="Arial" w:cs="Arial" w:eastAsia="Arial" w:hAnsi="Arial"/>
          <w:sz w:val="21"/>
          <w:szCs w:val="21"/>
          <w:color w:val="111111"/>
        </w:rPr>
        <w:t>Delaware limited</w:t>
      </w:r>
      <w:r>
        <w:rPr>
          <w:rFonts w:ascii="Arial" w:cs="Arial" w:eastAsia="Arial" w:hAnsi="Arial"/>
          <w:sz w:val="21"/>
          <w:szCs w:val="21"/>
          <w:color w:val="000000"/>
        </w:rPr>
        <w:t xml:space="preserve"> liability company </w:t>
      </w:r>
      <w:r>
        <w:rPr>
          <w:rFonts w:ascii="Arial" w:cs="Arial" w:eastAsia="Arial" w:hAnsi="Arial"/>
          <w:sz w:val="21"/>
          <w:szCs w:val="21"/>
          <w:color w:val="111111"/>
        </w:rPr>
        <w:t>(“</w:t>
      </w:r>
      <w:r>
        <w:rPr>
          <w:rFonts w:ascii="Arial" w:cs="Arial" w:eastAsia="Arial" w:hAnsi="Arial"/>
          <w:sz w:val="21"/>
          <w:szCs w:val="21"/>
          <w:u w:val="single" w:color="auto"/>
          <w:color w:val="111111"/>
        </w:rPr>
        <w:t>Landlord</w:t>
      </w:r>
      <w:r>
        <w:rPr>
          <w:rFonts w:ascii="Arial" w:cs="Arial" w:eastAsia="Arial" w:hAnsi="Arial"/>
          <w:sz w:val="21"/>
          <w:szCs w:val="21"/>
          <w:color w:val="111111"/>
        </w:rPr>
        <w:t>”), and J.</w:t>
      </w:r>
      <w:r>
        <w:rPr>
          <w:rFonts w:ascii="Arial" w:cs="Arial" w:eastAsia="Arial" w:hAnsi="Arial"/>
          <w:sz w:val="21"/>
          <w:szCs w:val="21"/>
          <w:color w:val="000000"/>
        </w:rPr>
        <w:t xml:space="preserve"> CRAIG VENTER </w:t>
      </w:r>
      <w:r>
        <w:rPr>
          <w:rFonts w:ascii="Arial" w:cs="Arial" w:eastAsia="Arial" w:hAnsi="Arial"/>
          <w:sz w:val="21"/>
          <w:szCs w:val="21"/>
          <w:color w:val="111111"/>
        </w:rPr>
        <w:t>INSTITUTE,</w:t>
      </w:r>
      <w:r>
        <w:rPr>
          <w:rFonts w:ascii="Arial" w:cs="Arial" w:eastAsia="Arial" w:hAnsi="Arial"/>
          <w:sz w:val="21"/>
          <w:szCs w:val="21"/>
          <w:color w:val="000000"/>
        </w:rPr>
        <w:t xml:space="preserve"> </w:t>
      </w:r>
      <w:r>
        <w:rPr>
          <w:rFonts w:ascii="Arial" w:cs="Arial" w:eastAsia="Arial" w:hAnsi="Arial"/>
          <w:sz w:val="21"/>
          <w:szCs w:val="21"/>
          <w:color w:val="363636"/>
        </w:rPr>
        <w:t xml:space="preserve">INC., successor </w:t>
      </w:r>
      <w:r>
        <w:rPr>
          <w:rFonts w:ascii="Arial" w:cs="Arial" w:eastAsia="Arial" w:hAnsi="Arial"/>
          <w:sz w:val="21"/>
          <w:szCs w:val="21"/>
          <w:color w:val="111111"/>
        </w:rPr>
        <w:t>in</w:t>
      </w:r>
      <w:r>
        <w:rPr>
          <w:rFonts w:ascii="Arial" w:cs="Arial" w:eastAsia="Arial" w:hAnsi="Arial"/>
          <w:sz w:val="21"/>
          <w:szCs w:val="21"/>
          <w:color w:val="363636"/>
        </w:rPr>
        <w:t xml:space="preserve"> </w:t>
      </w:r>
      <w:r>
        <w:rPr>
          <w:rFonts w:ascii="Arial" w:cs="Arial" w:eastAsia="Arial" w:hAnsi="Arial"/>
          <w:sz w:val="21"/>
          <w:szCs w:val="21"/>
          <w:color w:val="000000"/>
        </w:rPr>
        <w:t>interest</w:t>
      </w:r>
      <w:r>
        <w:rPr>
          <w:rFonts w:ascii="Arial" w:cs="Arial" w:eastAsia="Arial" w:hAnsi="Arial"/>
          <w:sz w:val="21"/>
          <w:szCs w:val="21"/>
          <w:color w:val="363636"/>
        </w:rPr>
        <w:t xml:space="preserve"> </w:t>
      </w:r>
      <w:r>
        <w:rPr>
          <w:rFonts w:ascii="Arial" w:cs="Arial" w:eastAsia="Arial" w:hAnsi="Arial"/>
          <w:sz w:val="21"/>
          <w:szCs w:val="21"/>
          <w:color w:val="111111"/>
        </w:rPr>
        <w:t>to</w:t>
      </w:r>
      <w:r>
        <w:rPr>
          <w:rFonts w:ascii="Arial" w:cs="Arial" w:eastAsia="Arial" w:hAnsi="Arial"/>
          <w:sz w:val="21"/>
          <w:szCs w:val="21"/>
          <w:color w:val="363636"/>
        </w:rPr>
        <w:t xml:space="preserve"> </w:t>
      </w:r>
      <w:r>
        <w:rPr>
          <w:rFonts w:ascii="Arial" w:cs="Arial" w:eastAsia="Arial" w:hAnsi="Arial"/>
          <w:sz w:val="21"/>
          <w:szCs w:val="21"/>
          <w:color w:val="000000"/>
        </w:rPr>
        <w:t>The Institute for Genomic</w:t>
      </w:r>
      <w:r>
        <w:rPr>
          <w:rFonts w:ascii="Arial" w:cs="Arial" w:eastAsia="Arial" w:hAnsi="Arial"/>
          <w:sz w:val="21"/>
          <w:szCs w:val="21"/>
          <w:color w:val="363636"/>
        </w:rPr>
        <w:t xml:space="preserve"> </w:t>
      </w:r>
      <w:r>
        <w:rPr>
          <w:rFonts w:ascii="Arial" w:cs="Arial" w:eastAsia="Arial" w:hAnsi="Arial"/>
          <w:sz w:val="21"/>
          <w:szCs w:val="21"/>
          <w:color w:val="111111"/>
        </w:rPr>
        <w:t>Research, Inc.,</w:t>
      </w:r>
      <w:r>
        <w:rPr>
          <w:rFonts w:ascii="Arial" w:cs="Arial" w:eastAsia="Arial" w:hAnsi="Arial"/>
          <w:sz w:val="21"/>
          <w:szCs w:val="21"/>
          <w:color w:val="363636"/>
        </w:rPr>
        <w:t xml:space="preserve"> a </w:t>
      </w:r>
      <w:r>
        <w:rPr>
          <w:rFonts w:ascii="Arial" w:cs="Arial" w:eastAsia="Arial" w:hAnsi="Arial"/>
          <w:sz w:val="21"/>
          <w:szCs w:val="21"/>
          <w:color w:val="000000"/>
        </w:rPr>
        <w:t>Maryland non-stock corporation</w:t>
      </w:r>
      <w:r>
        <w:rPr>
          <w:rFonts w:ascii="Arial" w:cs="Arial" w:eastAsia="Arial" w:hAnsi="Arial"/>
          <w:sz w:val="21"/>
          <w:szCs w:val="21"/>
          <w:color w:val="363636"/>
        </w:rPr>
        <w:t xml:space="preserve"> </w:t>
      </w:r>
      <w:r>
        <w:rPr>
          <w:rFonts w:ascii="Arial" w:cs="Arial" w:eastAsia="Arial" w:hAnsi="Arial"/>
          <w:sz w:val="21"/>
          <w:szCs w:val="21"/>
          <w:color w:val="111111"/>
        </w:rPr>
        <w:t>(‘‘Tenant”).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85" w:lineRule="exact"/>
        <w:rPr>
          <w:sz w:val="20"/>
          <w:szCs w:val="20"/>
          <w:color w:val="auto"/>
        </w:rPr>
      </w:pPr>
    </w:p>
    <w:p>
      <w:pPr>
        <w:ind w:firstLine="656"/>
        <w:spacing w:after="0" w:line="247" w:lineRule="auto"/>
        <w:tabs>
          <w:tab w:leader="none" w:pos="1290" w:val="left"/>
        </w:tabs>
        <w:numPr>
          <w:ilvl w:val="0"/>
          <w:numId w:val="275"/>
        </w:numPr>
        <w:rPr>
          <w:rFonts w:ascii="Arial" w:cs="Arial" w:eastAsia="Arial" w:hAnsi="Arial"/>
          <w:sz w:val="21"/>
          <w:szCs w:val="21"/>
          <w:color w:val="232323"/>
        </w:rPr>
      </w:pPr>
      <w:r>
        <w:rPr>
          <w:rFonts w:ascii="Arial" w:cs="Arial" w:eastAsia="Arial" w:hAnsi="Arial"/>
          <w:sz w:val="21"/>
          <w:szCs w:val="21"/>
          <w:color w:val="232323"/>
        </w:rPr>
        <w:t>WHEREAS, Landlord owns certain real property (“</w:t>
      </w:r>
      <w:r>
        <w:rPr>
          <w:rFonts w:ascii="Arial" w:cs="Arial" w:eastAsia="Arial" w:hAnsi="Arial"/>
          <w:sz w:val="21"/>
          <w:szCs w:val="21"/>
          <w:u w:val="single" w:color="auto"/>
          <w:color w:val="232323"/>
        </w:rPr>
        <w:t>Property</w:t>
      </w:r>
      <w:r>
        <w:rPr>
          <w:rFonts w:ascii="Arial" w:cs="Arial" w:eastAsia="Arial" w:hAnsi="Arial"/>
          <w:sz w:val="21"/>
          <w:szCs w:val="21"/>
          <w:color w:val="232323"/>
        </w:rPr>
        <w:t xml:space="preserve">”) and </w:t>
      </w:r>
      <w:r>
        <w:rPr>
          <w:rFonts w:ascii="Arial" w:cs="Arial" w:eastAsia="Arial" w:hAnsi="Arial"/>
          <w:sz w:val="21"/>
          <w:szCs w:val="21"/>
          <w:color w:val="363636"/>
        </w:rPr>
        <w:t>the</w:t>
      </w:r>
      <w:r>
        <w:rPr>
          <w:rFonts w:ascii="Arial" w:cs="Arial" w:eastAsia="Arial" w:hAnsi="Arial"/>
          <w:sz w:val="21"/>
          <w:szCs w:val="21"/>
          <w:color w:val="232323"/>
        </w:rPr>
        <w:t xml:space="preserve"> improvements on </w:t>
      </w:r>
      <w:r>
        <w:rPr>
          <w:rFonts w:ascii="Arial" w:cs="Arial" w:eastAsia="Arial" w:hAnsi="Arial"/>
          <w:sz w:val="21"/>
          <w:szCs w:val="21"/>
          <w:color w:val="111111"/>
        </w:rPr>
        <w:t>the</w:t>
      </w:r>
      <w:r>
        <w:rPr>
          <w:rFonts w:ascii="Arial" w:cs="Arial" w:eastAsia="Arial" w:hAnsi="Arial"/>
          <w:sz w:val="21"/>
          <w:szCs w:val="21"/>
          <w:color w:val="232323"/>
        </w:rPr>
        <w:t xml:space="preserve"> </w:t>
      </w:r>
      <w:r>
        <w:rPr>
          <w:rFonts w:ascii="Arial" w:cs="Arial" w:eastAsia="Arial" w:hAnsi="Arial"/>
          <w:sz w:val="21"/>
          <w:szCs w:val="21"/>
          <w:color w:val="363636"/>
        </w:rPr>
        <w:t>Property located</w:t>
      </w:r>
      <w:r>
        <w:rPr>
          <w:rFonts w:ascii="Arial" w:cs="Arial" w:eastAsia="Arial" w:hAnsi="Arial"/>
          <w:sz w:val="21"/>
          <w:szCs w:val="21"/>
          <w:color w:val="232323"/>
        </w:rPr>
        <w:t xml:space="preserve"> at 9704 </w:t>
      </w:r>
      <w:r>
        <w:rPr>
          <w:rFonts w:ascii="Arial" w:cs="Arial" w:eastAsia="Arial" w:hAnsi="Arial"/>
          <w:sz w:val="21"/>
          <w:szCs w:val="21"/>
          <w:color w:val="111111"/>
        </w:rPr>
        <w:t>Medical</w:t>
      </w:r>
      <w:r>
        <w:rPr>
          <w:rFonts w:ascii="Arial" w:cs="Arial" w:eastAsia="Arial" w:hAnsi="Arial"/>
          <w:sz w:val="21"/>
          <w:szCs w:val="21"/>
          <w:color w:val="232323"/>
        </w:rPr>
        <w:t xml:space="preserve"> Center Drive, </w:t>
      </w:r>
      <w:r>
        <w:rPr>
          <w:rFonts w:ascii="Arial" w:cs="Arial" w:eastAsia="Arial" w:hAnsi="Arial"/>
          <w:sz w:val="21"/>
          <w:szCs w:val="21"/>
          <w:color w:val="111111"/>
        </w:rPr>
        <w:t>Rockville,</w:t>
      </w:r>
      <w:r>
        <w:rPr>
          <w:rFonts w:ascii="Arial" w:cs="Arial" w:eastAsia="Arial" w:hAnsi="Arial"/>
          <w:sz w:val="21"/>
          <w:szCs w:val="21"/>
          <w:color w:val="232323"/>
        </w:rPr>
        <w:t xml:space="preserve"> Maryland, </w:t>
      </w:r>
      <w:r>
        <w:rPr>
          <w:rFonts w:ascii="Arial" w:cs="Arial" w:eastAsia="Arial" w:hAnsi="Arial"/>
          <w:sz w:val="21"/>
          <w:szCs w:val="21"/>
          <w:color w:val="111111"/>
        </w:rPr>
        <w:t>including the building located thereon (the</w:t>
      </w:r>
      <w:r>
        <w:rPr>
          <w:rFonts w:ascii="Arial" w:cs="Arial" w:eastAsia="Arial" w:hAnsi="Arial"/>
          <w:sz w:val="21"/>
          <w:szCs w:val="21"/>
          <w:color w:val="232323"/>
        </w:rPr>
        <w:t xml:space="preserve"> “</w:t>
      </w:r>
      <w:r>
        <w:rPr>
          <w:rFonts w:ascii="Arial" w:cs="Arial" w:eastAsia="Arial" w:hAnsi="Arial"/>
          <w:sz w:val="21"/>
          <w:szCs w:val="21"/>
          <w:u w:val="single" w:color="auto"/>
          <w:color w:val="232323"/>
        </w:rPr>
        <w:t>Building</w:t>
      </w:r>
      <w:r>
        <w:rPr>
          <w:rFonts w:ascii="Arial" w:cs="Arial" w:eastAsia="Arial" w:hAnsi="Arial"/>
          <w:sz w:val="21"/>
          <w:szCs w:val="21"/>
          <w:color w:val="232323"/>
        </w:rPr>
        <w:t>”); and</w:t>
      </w:r>
    </w:p>
    <w:p>
      <w:pPr>
        <w:spacing w:after="0" w:line="150" w:lineRule="exact"/>
        <w:rPr>
          <w:rFonts w:ascii="Arial" w:cs="Arial" w:eastAsia="Arial" w:hAnsi="Arial"/>
          <w:sz w:val="21"/>
          <w:szCs w:val="21"/>
          <w:color w:val="232323"/>
        </w:rPr>
      </w:pPr>
    </w:p>
    <w:p>
      <w:pPr>
        <w:ind w:firstLine="656"/>
        <w:spacing w:after="0" w:line="298" w:lineRule="auto"/>
        <w:tabs>
          <w:tab w:leader="none" w:pos="1292" w:val="left"/>
        </w:tabs>
        <w:numPr>
          <w:ilvl w:val="0"/>
          <w:numId w:val="275"/>
        </w:numPr>
        <w:rPr>
          <w:rFonts w:ascii="Arial" w:cs="Arial" w:eastAsia="Arial" w:hAnsi="Arial"/>
          <w:sz w:val="19"/>
          <w:szCs w:val="19"/>
          <w:color w:val="232323"/>
        </w:rPr>
      </w:pPr>
      <w:r>
        <w:rPr>
          <w:rFonts w:ascii="Arial" w:cs="Arial" w:eastAsia="Arial" w:hAnsi="Arial"/>
          <w:sz w:val="19"/>
          <w:szCs w:val="19"/>
          <w:color w:val="111111"/>
        </w:rPr>
        <w:t xml:space="preserve">WHEREAS, </w:t>
      </w:r>
      <w:r>
        <w:rPr>
          <w:rFonts w:ascii="Arial" w:cs="Arial" w:eastAsia="Arial" w:hAnsi="Arial"/>
          <w:sz w:val="19"/>
          <w:szCs w:val="19"/>
          <w:color w:val="232323"/>
        </w:rPr>
        <w:t>Landlord wishes</w:t>
      </w:r>
      <w:r>
        <w:rPr>
          <w:rFonts w:ascii="Arial" w:cs="Arial" w:eastAsia="Arial" w:hAnsi="Arial"/>
          <w:sz w:val="19"/>
          <w:szCs w:val="19"/>
          <w:color w:val="111111"/>
        </w:rPr>
        <w:t xml:space="preserve"> to </w:t>
      </w:r>
      <w:r>
        <w:rPr>
          <w:rFonts w:ascii="Arial" w:cs="Arial" w:eastAsia="Arial" w:hAnsi="Arial"/>
          <w:sz w:val="19"/>
          <w:szCs w:val="19"/>
          <w:color w:val="363636"/>
        </w:rPr>
        <w:t>lease</w:t>
      </w:r>
      <w:r>
        <w:rPr>
          <w:rFonts w:ascii="Arial" w:cs="Arial" w:eastAsia="Arial" w:hAnsi="Arial"/>
          <w:sz w:val="19"/>
          <w:szCs w:val="19"/>
          <w:color w:val="111111"/>
        </w:rPr>
        <w:t xml:space="preserve"> </w:t>
      </w:r>
      <w:r>
        <w:rPr>
          <w:rFonts w:ascii="Arial" w:cs="Arial" w:eastAsia="Arial" w:hAnsi="Arial"/>
          <w:sz w:val="19"/>
          <w:szCs w:val="19"/>
          <w:color w:val="232323"/>
        </w:rPr>
        <w:t>to Tenant, and Tenant desires</w:t>
      </w:r>
      <w:r>
        <w:rPr>
          <w:rFonts w:ascii="Arial" w:cs="Arial" w:eastAsia="Arial" w:hAnsi="Arial"/>
          <w:sz w:val="19"/>
          <w:szCs w:val="19"/>
          <w:color w:val="111111"/>
        </w:rPr>
        <w:t xml:space="preserve"> to lease from Landlord, </w:t>
      </w:r>
      <w:r>
        <w:rPr>
          <w:rFonts w:ascii="Arial" w:cs="Arial" w:eastAsia="Arial" w:hAnsi="Arial"/>
          <w:sz w:val="19"/>
          <w:szCs w:val="19"/>
          <w:color w:val="232323"/>
        </w:rPr>
        <w:t>certain premises (the</w:t>
      </w:r>
      <w:r>
        <w:rPr>
          <w:rFonts w:ascii="Arial" w:cs="Arial" w:eastAsia="Arial" w:hAnsi="Arial"/>
          <w:sz w:val="19"/>
          <w:szCs w:val="19"/>
          <w:color w:val="111111"/>
        </w:rPr>
        <w:t xml:space="preserve"> </w:t>
      </w:r>
      <w:r>
        <w:rPr>
          <w:rFonts w:ascii="Arial" w:cs="Arial" w:eastAsia="Arial" w:hAnsi="Arial"/>
          <w:sz w:val="19"/>
          <w:szCs w:val="19"/>
          <w:color w:val="232323"/>
        </w:rPr>
        <w:t>“</w:t>
      </w:r>
      <w:r>
        <w:rPr>
          <w:rFonts w:ascii="Arial" w:cs="Arial" w:eastAsia="Arial" w:hAnsi="Arial"/>
          <w:sz w:val="19"/>
          <w:szCs w:val="19"/>
          <w:u w:val="single" w:color="auto"/>
          <w:color w:val="232323"/>
        </w:rPr>
        <w:t>Premises</w:t>
      </w:r>
      <w:r>
        <w:rPr>
          <w:rFonts w:ascii="Arial" w:cs="Arial" w:eastAsia="Arial" w:hAnsi="Arial"/>
          <w:sz w:val="19"/>
          <w:szCs w:val="19"/>
          <w:color w:val="232323"/>
        </w:rPr>
        <w:t xml:space="preserve">”) </w:t>
      </w:r>
      <w:r>
        <w:rPr>
          <w:rFonts w:ascii="Arial" w:cs="Arial" w:eastAsia="Arial" w:hAnsi="Arial"/>
          <w:sz w:val="19"/>
          <w:szCs w:val="19"/>
          <w:color w:val="363636"/>
        </w:rPr>
        <w:t>comprising</w:t>
      </w:r>
      <w:r>
        <w:rPr>
          <w:rFonts w:ascii="Arial" w:cs="Arial" w:eastAsia="Arial" w:hAnsi="Arial"/>
          <w:sz w:val="19"/>
          <w:szCs w:val="19"/>
          <w:color w:val="232323"/>
        </w:rPr>
        <w:t xml:space="preserve"> all of </w:t>
      </w:r>
      <w:r>
        <w:rPr>
          <w:rFonts w:ascii="Arial" w:cs="Arial" w:eastAsia="Arial" w:hAnsi="Arial"/>
          <w:sz w:val="19"/>
          <w:szCs w:val="19"/>
          <w:color w:val="111111"/>
        </w:rPr>
        <w:t>the Building, pursuant to the</w:t>
      </w:r>
      <w:r>
        <w:rPr>
          <w:rFonts w:ascii="Arial" w:cs="Arial" w:eastAsia="Arial" w:hAnsi="Arial"/>
          <w:sz w:val="19"/>
          <w:szCs w:val="19"/>
          <w:color w:val="232323"/>
        </w:rPr>
        <w:t xml:space="preserve"> </w:t>
      </w:r>
      <w:r>
        <w:rPr>
          <w:rFonts w:ascii="Arial" w:cs="Arial" w:eastAsia="Arial" w:hAnsi="Arial"/>
          <w:sz w:val="19"/>
          <w:szCs w:val="19"/>
          <w:color w:val="363636"/>
        </w:rPr>
        <w:t>terms</w:t>
      </w:r>
      <w:r>
        <w:rPr>
          <w:rFonts w:ascii="Arial" w:cs="Arial" w:eastAsia="Arial" w:hAnsi="Arial"/>
          <w:sz w:val="19"/>
          <w:szCs w:val="19"/>
          <w:color w:val="232323"/>
        </w:rPr>
        <w:t xml:space="preserve"> </w:t>
      </w:r>
      <w:r>
        <w:rPr>
          <w:rFonts w:ascii="Arial" w:cs="Arial" w:eastAsia="Arial" w:hAnsi="Arial"/>
          <w:sz w:val="19"/>
          <w:szCs w:val="19"/>
          <w:color w:val="111111"/>
        </w:rPr>
        <w:t>and</w:t>
      </w:r>
      <w:r>
        <w:rPr>
          <w:rFonts w:ascii="Arial" w:cs="Arial" w:eastAsia="Arial" w:hAnsi="Arial"/>
          <w:sz w:val="19"/>
          <w:szCs w:val="19"/>
          <w:color w:val="232323"/>
        </w:rPr>
        <w:t xml:space="preserve"> conditions of this </w:t>
      </w:r>
      <w:r>
        <w:rPr>
          <w:rFonts w:ascii="Arial" w:cs="Arial" w:eastAsia="Arial" w:hAnsi="Arial"/>
          <w:sz w:val="19"/>
          <w:szCs w:val="19"/>
          <w:color w:val="363636"/>
        </w:rPr>
        <w:t>Lease,</w:t>
      </w:r>
      <w:r>
        <w:rPr>
          <w:rFonts w:ascii="Arial" w:cs="Arial" w:eastAsia="Arial" w:hAnsi="Arial"/>
          <w:sz w:val="19"/>
          <w:szCs w:val="19"/>
          <w:color w:val="232323"/>
        </w:rPr>
        <w:t xml:space="preserve"> as </w:t>
      </w:r>
      <w:r>
        <w:rPr>
          <w:rFonts w:ascii="Arial" w:cs="Arial" w:eastAsia="Arial" w:hAnsi="Arial"/>
          <w:sz w:val="19"/>
          <w:szCs w:val="19"/>
          <w:color w:val="111111"/>
        </w:rPr>
        <w:t>detailed below</w:t>
      </w:r>
      <w:r>
        <w:rPr>
          <w:rFonts w:ascii="Arial" w:cs="Arial" w:eastAsia="Arial" w:hAnsi="Arial"/>
          <w:sz w:val="19"/>
          <w:szCs w:val="19"/>
          <w:color w:val="494949"/>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NOW, </w:t>
      </w:r>
      <w:r>
        <w:rPr>
          <w:rFonts w:ascii="Arial" w:cs="Arial" w:eastAsia="Arial" w:hAnsi="Arial"/>
          <w:sz w:val="22"/>
          <w:szCs w:val="22"/>
          <w:color w:val="111111"/>
        </w:rPr>
        <w:t>THEREFORE, Landlord and</w:t>
      </w:r>
      <w:r>
        <w:rPr>
          <w:rFonts w:ascii="Arial" w:cs="Arial" w:eastAsia="Arial" w:hAnsi="Arial"/>
          <w:sz w:val="22"/>
          <w:szCs w:val="22"/>
          <w:color w:val="auto"/>
        </w:rPr>
        <w:t xml:space="preserve"> Tenant, </w:t>
      </w:r>
      <w:r>
        <w:rPr>
          <w:rFonts w:ascii="Arial" w:cs="Arial" w:eastAsia="Arial" w:hAnsi="Arial"/>
          <w:sz w:val="22"/>
          <w:szCs w:val="22"/>
          <w:color w:val="111111"/>
        </w:rPr>
        <w:t>in consideration</w:t>
      </w:r>
      <w:r>
        <w:rPr>
          <w:rFonts w:ascii="Arial" w:cs="Arial" w:eastAsia="Arial" w:hAnsi="Arial"/>
          <w:sz w:val="22"/>
          <w:szCs w:val="22"/>
          <w:color w:val="auto"/>
        </w:rPr>
        <w:t xml:space="preserve"> of </w:t>
      </w:r>
      <w:r>
        <w:rPr>
          <w:rFonts w:ascii="Arial" w:cs="Arial" w:eastAsia="Arial" w:hAnsi="Arial"/>
          <w:sz w:val="22"/>
          <w:szCs w:val="22"/>
          <w:color w:val="111111"/>
        </w:rPr>
        <w:t>the</w:t>
      </w:r>
      <w:r>
        <w:rPr>
          <w:rFonts w:ascii="Arial" w:cs="Arial" w:eastAsia="Arial" w:hAnsi="Arial"/>
          <w:sz w:val="22"/>
          <w:szCs w:val="22"/>
          <w:color w:val="auto"/>
        </w:rPr>
        <w:t xml:space="preserve"> </w:t>
      </w:r>
      <w:r>
        <w:rPr>
          <w:rFonts w:ascii="Arial" w:cs="Arial" w:eastAsia="Arial" w:hAnsi="Arial"/>
          <w:sz w:val="22"/>
          <w:szCs w:val="22"/>
          <w:color w:val="363636"/>
        </w:rPr>
        <w:t>mutual</w:t>
      </w:r>
      <w:r>
        <w:rPr>
          <w:rFonts w:ascii="Arial" w:cs="Arial" w:eastAsia="Arial" w:hAnsi="Arial"/>
          <w:sz w:val="22"/>
          <w:szCs w:val="22"/>
          <w:color w:val="auto"/>
        </w:rPr>
        <w:t xml:space="preserve"> promises contained herein and for other good and valuable consideration, </w:t>
      </w:r>
      <w:r>
        <w:rPr>
          <w:rFonts w:ascii="Arial" w:cs="Arial" w:eastAsia="Arial" w:hAnsi="Arial"/>
          <w:sz w:val="22"/>
          <w:szCs w:val="22"/>
          <w:color w:val="111111"/>
        </w:rPr>
        <w:t>the receipt and</w:t>
      </w:r>
      <w:r>
        <w:rPr>
          <w:rFonts w:ascii="Arial" w:cs="Arial" w:eastAsia="Arial" w:hAnsi="Arial"/>
          <w:sz w:val="22"/>
          <w:szCs w:val="22"/>
          <w:color w:val="auto"/>
        </w:rPr>
        <w:t xml:space="preserve"> </w:t>
      </w:r>
      <w:r>
        <w:rPr>
          <w:rFonts w:ascii="Arial" w:cs="Arial" w:eastAsia="Arial" w:hAnsi="Arial"/>
          <w:sz w:val="22"/>
          <w:szCs w:val="22"/>
          <w:color w:val="363636"/>
        </w:rPr>
        <w:t>sufficiency</w:t>
      </w:r>
      <w:r>
        <w:rPr>
          <w:rFonts w:ascii="Arial" w:cs="Arial" w:eastAsia="Arial" w:hAnsi="Arial"/>
          <w:sz w:val="22"/>
          <w:szCs w:val="22"/>
          <w:color w:val="auto"/>
        </w:rPr>
        <w:t xml:space="preserve"> of which are </w:t>
      </w:r>
      <w:r>
        <w:rPr>
          <w:rFonts w:ascii="Arial" w:cs="Arial" w:eastAsia="Arial" w:hAnsi="Arial"/>
          <w:sz w:val="22"/>
          <w:szCs w:val="22"/>
          <w:color w:val="111111"/>
        </w:rPr>
        <w:t>hereby</w:t>
      </w:r>
      <w:r>
        <w:rPr>
          <w:rFonts w:ascii="Arial" w:cs="Arial" w:eastAsia="Arial" w:hAnsi="Arial"/>
          <w:sz w:val="22"/>
          <w:szCs w:val="22"/>
          <w:color w:val="auto"/>
        </w:rPr>
        <w:t xml:space="preserve"> acknowledged, and intending </w:t>
      </w:r>
      <w:r>
        <w:rPr>
          <w:rFonts w:ascii="Arial" w:cs="Arial" w:eastAsia="Arial" w:hAnsi="Arial"/>
          <w:sz w:val="22"/>
          <w:szCs w:val="22"/>
          <w:color w:val="111111"/>
        </w:rPr>
        <w:t>to be legally bound,</w:t>
      </w:r>
      <w:r>
        <w:rPr>
          <w:rFonts w:ascii="Arial" w:cs="Arial" w:eastAsia="Arial" w:hAnsi="Arial"/>
          <w:sz w:val="22"/>
          <w:szCs w:val="22"/>
          <w:color w:val="auto"/>
        </w:rPr>
        <w:t xml:space="preserve"> agree as follows:</w:t>
      </w:r>
    </w:p>
    <w:p>
      <w:pPr>
        <w:spacing w:after="0" w:line="159" w:lineRule="exact"/>
        <w:rPr>
          <w:sz w:val="20"/>
          <w:szCs w:val="20"/>
          <w:color w:val="auto"/>
        </w:rPr>
      </w:pPr>
    </w:p>
    <w:p>
      <w:pPr>
        <w:ind w:left="660" w:hanging="652"/>
        <w:spacing w:after="0"/>
        <w:tabs>
          <w:tab w:leader="none" w:pos="660"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Lease of</w:t>
      </w:r>
      <w:r>
        <w:rPr>
          <w:rFonts w:ascii="Arial" w:cs="Arial" w:eastAsia="Arial" w:hAnsi="Arial"/>
          <w:sz w:val="22"/>
          <w:szCs w:val="22"/>
          <w:color w:val="auto"/>
        </w:rPr>
        <w:t xml:space="preserve"> </w:t>
      </w:r>
      <w:r>
        <w:rPr>
          <w:rFonts w:ascii="Arial" w:cs="Arial" w:eastAsia="Arial" w:hAnsi="Arial"/>
          <w:sz w:val="22"/>
          <w:szCs w:val="22"/>
          <w:u w:val="single" w:color="auto"/>
          <w:color w:val="111111"/>
        </w:rPr>
        <w:t>Premises</w:t>
      </w:r>
      <w:r>
        <w:rPr>
          <w:rFonts w:ascii="Arial" w:cs="Arial" w:eastAsia="Arial" w:hAnsi="Arial"/>
          <w:sz w:val="22"/>
          <w:szCs w:val="22"/>
          <w:color w:val="111111"/>
        </w:rPr>
        <w:t>.</w:t>
      </w:r>
    </w:p>
    <w:p>
      <w:pPr>
        <w:spacing w:after="0" w:line="179" w:lineRule="exact"/>
        <w:rPr>
          <w:rFonts w:ascii="Arial" w:cs="Arial" w:eastAsia="Arial" w:hAnsi="Arial"/>
          <w:sz w:val="22"/>
          <w:szCs w:val="22"/>
          <w:color w:val="auto"/>
        </w:rPr>
      </w:pPr>
    </w:p>
    <w:p>
      <w:pPr>
        <w:ind w:left="1300" w:hanging="648"/>
        <w:spacing w:after="0" w:line="221" w:lineRule="auto"/>
        <w:rPr>
          <w:rFonts w:ascii="Arial" w:cs="Arial" w:eastAsia="Arial" w:hAnsi="Arial"/>
          <w:sz w:val="22"/>
          <w:szCs w:val="22"/>
          <w:color w:val="auto"/>
        </w:rPr>
      </w:pPr>
      <w:r>
        <w:rPr>
          <w:rFonts w:ascii="Arial" w:cs="Arial" w:eastAsia="Arial" w:hAnsi="Arial"/>
          <w:sz w:val="21"/>
          <w:szCs w:val="21"/>
          <w:color w:val="auto"/>
        </w:rPr>
        <w:t xml:space="preserve">1.1 Effective on </w:t>
      </w:r>
      <w:r>
        <w:rPr>
          <w:rFonts w:ascii="Arial" w:cs="Arial" w:eastAsia="Arial" w:hAnsi="Arial"/>
          <w:sz w:val="21"/>
          <w:szCs w:val="21"/>
          <w:color w:val="111111"/>
        </w:rPr>
        <w:t>the</w:t>
      </w:r>
      <w:r>
        <w:rPr>
          <w:rFonts w:ascii="Arial" w:cs="Arial" w:eastAsia="Arial" w:hAnsi="Arial"/>
          <w:sz w:val="21"/>
          <w:szCs w:val="21"/>
          <w:color w:val="auto"/>
        </w:rPr>
        <w:t xml:space="preserve"> Term Commencement </w:t>
      </w:r>
      <w:r>
        <w:rPr>
          <w:rFonts w:ascii="Arial" w:cs="Arial" w:eastAsia="Arial" w:hAnsi="Arial"/>
          <w:sz w:val="21"/>
          <w:szCs w:val="21"/>
          <w:color w:val="363636"/>
        </w:rPr>
        <w:t>Date</w:t>
      </w:r>
      <w:r>
        <w:rPr>
          <w:rFonts w:ascii="Arial" w:cs="Arial" w:eastAsia="Arial" w:hAnsi="Arial"/>
          <w:sz w:val="21"/>
          <w:szCs w:val="21"/>
          <w:color w:val="auto"/>
        </w:rPr>
        <w:t xml:space="preserve"> </w:t>
      </w:r>
      <w:r>
        <w:rPr>
          <w:rFonts w:ascii="Arial" w:cs="Arial" w:eastAsia="Arial" w:hAnsi="Arial"/>
          <w:sz w:val="21"/>
          <w:szCs w:val="21"/>
          <w:color w:val="111111"/>
        </w:rPr>
        <w:t>(as</w:t>
      </w:r>
      <w:r>
        <w:rPr>
          <w:rFonts w:ascii="Arial" w:cs="Arial" w:eastAsia="Arial" w:hAnsi="Arial"/>
          <w:sz w:val="21"/>
          <w:szCs w:val="21"/>
          <w:color w:val="auto"/>
        </w:rPr>
        <w:t xml:space="preserve"> defined </w:t>
      </w:r>
      <w:r>
        <w:rPr>
          <w:rFonts w:ascii="Arial" w:cs="Arial" w:eastAsia="Arial" w:hAnsi="Arial"/>
          <w:sz w:val="21"/>
          <w:szCs w:val="21"/>
          <w:color w:val="111111"/>
        </w:rPr>
        <w:t>in</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363636"/>
        </w:rPr>
        <w:t>4</w:t>
      </w:r>
      <w:r>
        <w:rPr>
          <w:rFonts w:ascii="Arial" w:cs="Arial" w:eastAsia="Arial" w:hAnsi="Arial"/>
          <w:sz w:val="21"/>
          <w:szCs w:val="21"/>
          <w:color w:val="auto"/>
        </w:rPr>
        <w:t xml:space="preserve"> </w:t>
      </w:r>
      <w:r>
        <w:rPr>
          <w:rFonts w:ascii="Arial" w:cs="Arial" w:eastAsia="Arial" w:hAnsi="Arial"/>
          <w:sz w:val="21"/>
          <w:szCs w:val="21"/>
          <w:color w:val="111111"/>
        </w:rPr>
        <w:t>below),</w:t>
      </w:r>
      <w:r>
        <w:rPr>
          <w:rFonts w:ascii="Arial" w:cs="Arial" w:eastAsia="Arial" w:hAnsi="Arial"/>
          <w:sz w:val="21"/>
          <w:szCs w:val="21"/>
          <w:color w:val="auto"/>
        </w:rPr>
        <w:t xml:space="preserve"> Landlord </w:t>
      </w:r>
      <w:r>
        <w:rPr>
          <w:rFonts w:ascii="Arial" w:cs="Arial" w:eastAsia="Arial" w:hAnsi="Arial"/>
          <w:sz w:val="21"/>
          <w:szCs w:val="21"/>
          <w:color w:val="363636"/>
        </w:rPr>
        <w:t>hereby</w:t>
      </w:r>
      <w:r>
        <w:rPr>
          <w:rFonts w:ascii="Arial" w:cs="Arial" w:eastAsia="Arial" w:hAnsi="Arial"/>
          <w:sz w:val="21"/>
          <w:szCs w:val="21"/>
          <w:color w:val="auto"/>
        </w:rPr>
        <w:t xml:space="preserve"> </w:t>
      </w:r>
      <w:r>
        <w:rPr>
          <w:rFonts w:ascii="Arial" w:cs="Arial" w:eastAsia="Arial" w:hAnsi="Arial"/>
          <w:sz w:val="21"/>
          <w:szCs w:val="21"/>
          <w:color w:val="111111"/>
        </w:rPr>
        <w:t>leases</w:t>
      </w:r>
      <w:r>
        <w:rPr>
          <w:rFonts w:ascii="Arial" w:cs="Arial" w:eastAsia="Arial" w:hAnsi="Arial"/>
          <w:sz w:val="21"/>
          <w:szCs w:val="21"/>
          <w:color w:val="auto"/>
        </w:rPr>
        <w:t xml:space="preserve"> </w:t>
      </w:r>
      <w:r>
        <w:rPr>
          <w:rFonts w:ascii="Arial" w:cs="Arial" w:eastAsia="Arial" w:hAnsi="Arial"/>
          <w:sz w:val="21"/>
          <w:szCs w:val="21"/>
          <w:color w:val="363636"/>
        </w:rPr>
        <w:t>to</w:t>
      </w:r>
      <w:r>
        <w:rPr>
          <w:rFonts w:ascii="Arial" w:cs="Arial" w:eastAsia="Arial" w:hAnsi="Arial"/>
          <w:sz w:val="21"/>
          <w:szCs w:val="21"/>
          <w:color w:val="auto"/>
        </w:rPr>
        <w:t xml:space="preserve"> Tenant, </w:t>
      </w:r>
      <w:r>
        <w:rPr>
          <w:rFonts w:ascii="Arial" w:cs="Arial" w:eastAsia="Arial" w:hAnsi="Arial"/>
          <w:sz w:val="21"/>
          <w:szCs w:val="21"/>
          <w:color w:val="111111"/>
        </w:rPr>
        <w:t>and</w:t>
      </w:r>
      <w:r>
        <w:rPr>
          <w:rFonts w:ascii="Arial" w:cs="Arial" w:eastAsia="Arial" w:hAnsi="Arial"/>
          <w:sz w:val="21"/>
          <w:szCs w:val="21"/>
          <w:color w:val="auto"/>
        </w:rPr>
        <w:t xml:space="preserve"> </w:t>
      </w:r>
      <w:r>
        <w:rPr>
          <w:rFonts w:ascii="Arial" w:cs="Arial" w:eastAsia="Arial" w:hAnsi="Arial"/>
          <w:sz w:val="21"/>
          <w:szCs w:val="21"/>
          <w:color w:val="111111"/>
        </w:rPr>
        <w:t xml:space="preserve">Tenant </w:t>
      </w:r>
      <w:r>
        <w:rPr>
          <w:rFonts w:ascii="Arial" w:cs="Arial" w:eastAsia="Arial" w:hAnsi="Arial"/>
          <w:sz w:val="21"/>
          <w:szCs w:val="21"/>
          <w:color w:val="000000"/>
        </w:rPr>
        <w:t>hereby</w:t>
      </w:r>
      <w:r>
        <w:rPr>
          <w:rFonts w:ascii="Arial" w:cs="Arial" w:eastAsia="Arial" w:hAnsi="Arial"/>
          <w:sz w:val="21"/>
          <w:szCs w:val="21"/>
          <w:color w:val="111111"/>
        </w:rPr>
        <w:t xml:space="preserve"> leases </w:t>
      </w:r>
      <w:r>
        <w:rPr>
          <w:rFonts w:ascii="Arial" w:cs="Arial" w:eastAsia="Arial" w:hAnsi="Arial"/>
          <w:sz w:val="21"/>
          <w:szCs w:val="21"/>
          <w:color w:val="363636"/>
        </w:rPr>
        <w:t>from</w:t>
      </w:r>
      <w:r>
        <w:rPr>
          <w:rFonts w:ascii="Arial" w:cs="Arial" w:eastAsia="Arial" w:hAnsi="Arial"/>
          <w:sz w:val="21"/>
          <w:szCs w:val="21"/>
          <w:color w:val="111111"/>
        </w:rPr>
        <w:t xml:space="preserve"> </w:t>
      </w:r>
      <w:r>
        <w:rPr>
          <w:rFonts w:ascii="Arial" w:cs="Arial" w:eastAsia="Arial" w:hAnsi="Arial"/>
          <w:sz w:val="21"/>
          <w:szCs w:val="21"/>
          <w:color w:val="000000"/>
        </w:rPr>
        <w:t>Landlord, the Premises, as</w:t>
      </w:r>
      <w:r>
        <w:rPr>
          <w:rFonts w:ascii="Arial" w:cs="Arial" w:eastAsia="Arial" w:hAnsi="Arial"/>
          <w:sz w:val="21"/>
          <w:szCs w:val="21"/>
          <w:color w:val="111111"/>
        </w:rPr>
        <w:t xml:space="preserve"> </w:t>
      </w:r>
      <w:r>
        <w:rPr>
          <w:rFonts w:ascii="Arial" w:cs="Arial" w:eastAsia="Arial" w:hAnsi="Arial"/>
          <w:sz w:val="21"/>
          <w:szCs w:val="21"/>
          <w:color w:val="363636"/>
        </w:rPr>
        <w:t>shown</w:t>
      </w:r>
      <w:r>
        <w:rPr>
          <w:rFonts w:ascii="Arial" w:cs="Arial" w:eastAsia="Arial" w:hAnsi="Arial"/>
          <w:sz w:val="21"/>
          <w:szCs w:val="21"/>
          <w:color w:val="111111"/>
        </w:rPr>
        <w:t xml:space="preserve"> </w:t>
      </w:r>
      <w:r>
        <w:rPr>
          <w:rFonts w:ascii="Arial" w:cs="Arial" w:eastAsia="Arial" w:hAnsi="Arial"/>
          <w:sz w:val="21"/>
          <w:szCs w:val="21"/>
          <w:color w:val="000000"/>
        </w:rPr>
        <w:t>on</w:t>
      </w:r>
      <w:r>
        <w:rPr>
          <w:rFonts w:ascii="Arial" w:cs="Arial" w:eastAsia="Arial" w:hAnsi="Arial"/>
          <w:sz w:val="21"/>
          <w:szCs w:val="21"/>
          <w:color w:val="111111"/>
        </w:rPr>
        <w:t xml:space="preserve"> </w:t>
      </w:r>
      <w:r>
        <w:rPr>
          <w:rFonts w:ascii="Arial" w:cs="Arial" w:eastAsia="Arial" w:hAnsi="Arial"/>
          <w:sz w:val="21"/>
          <w:szCs w:val="21"/>
          <w:u w:val="single" w:color="auto"/>
          <w:color w:val="000000"/>
        </w:rPr>
        <w:t>Exhibit A</w:t>
      </w:r>
      <w:r>
        <w:rPr>
          <w:rFonts w:ascii="Arial" w:cs="Arial" w:eastAsia="Arial" w:hAnsi="Arial"/>
          <w:sz w:val="21"/>
          <w:szCs w:val="21"/>
          <w:color w:val="111111"/>
        </w:rPr>
        <w:t xml:space="preserve"> </w:t>
      </w:r>
      <w:r>
        <w:rPr>
          <w:rFonts w:ascii="Arial" w:cs="Arial" w:eastAsia="Arial" w:hAnsi="Arial"/>
          <w:sz w:val="21"/>
          <w:szCs w:val="21"/>
          <w:color w:val="000000"/>
        </w:rPr>
        <w:t>attached</w:t>
      </w:r>
      <w:r>
        <w:rPr>
          <w:rFonts w:ascii="Arial" w:cs="Arial" w:eastAsia="Arial" w:hAnsi="Arial"/>
          <w:sz w:val="21"/>
          <w:szCs w:val="21"/>
          <w:color w:val="111111"/>
        </w:rPr>
        <w:t xml:space="preserve"> hereto, </w:t>
      </w:r>
      <w:r>
        <w:rPr>
          <w:rFonts w:ascii="Arial" w:cs="Arial" w:eastAsia="Arial" w:hAnsi="Arial"/>
          <w:sz w:val="21"/>
          <w:szCs w:val="21"/>
          <w:color w:val="363636"/>
        </w:rPr>
        <w:t>including</w:t>
      </w:r>
      <w:r>
        <w:rPr>
          <w:rFonts w:ascii="Arial" w:cs="Arial" w:eastAsia="Arial" w:hAnsi="Arial"/>
          <w:sz w:val="21"/>
          <w:szCs w:val="21"/>
          <w:color w:val="111111"/>
        </w:rPr>
        <w:t xml:space="preserve"> </w:t>
      </w:r>
      <w:r>
        <w:rPr>
          <w:rFonts w:ascii="Arial" w:cs="Arial" w:eastAsia="Arial" w:hAnsi="Arial"/>
          <w:sz w:val="21"/>
          <w:szCs w:val="21"/>
          <w:color w:val="000000"/>
        </w:rPr>
        <w:t>the</w:t>
      </w:r>
      <w:r>
        <w:rPr>
          <w:rFonts w:ascii="Arial" w:cs="Arial" w:eastAsia="Arial" w:hAnsi="Arial"/>
          <w:sz w:val="21"/>
          <w:szCs w:val="21"/>
          <w:color w:val="111111"/>
        </w:rPr>
        <w:t xml:space="preserve"> patio/deck </w:t>
      </w:r>
      <w:r>
        <w:rPr>
          <w:rFonts w:ascii="Arial" w:cs="Arial" w:eastAsia="Arial" w:hAnsi="Arial"/>
          <w:sz w:val="21"/>
          <w:szCs w:val="21"/>
          <w:color w:val="000000"/>
        </w:rPr>
        <w:t>shown</w:t>
      </w:r>
      <w:r>
        <w:rPr>
          <w:rFonts w:ascii="Arial" w:cs="Arial" w:eastAsia="Arial" w:hAnsi="Arial"/>
          <w:sz w:val="21"/>
          <w:szCs w:val="21"/>
          <w:color w:val="111111"/>
        </w:rPr>
        <w:t xml:space="preserve"> on </w:t>
      </w:r>
      <w:r>
        <w:rPr>
          <w:rFonts w:ascii="Arial" w:cs="Arial" w:eastAsia="Arial" w:hAnsi="Arial"/>
          <w:sz w:val="21"/>
          <w:szCs w:val="21"/>
          <w:u w:val="single" w:color="auto"/>
          <w:color w:val="111111"/>
        </w:rPr>
        <w:t>Exhibit</w:t>
      </w:r>
      <w:r>
        <w:rPr>
          <w:rFonts w:ascii="Arial" w:cs="Arial" w:eastAsia="Arial" w:hAnsi="Arial"/>
          <w:sz w:val="21"/>
          <w:szCs w:val="21"/>
          <w:color w:val="111111"/>
        </w:rPr>
        <w:t xml:space="preserve"> </w:t>
      </w:r>
      <w:r>
        <w:rPr>
          <w:rFonts w:ascii="Arial" w:cs="Arial" w:eastAsia="Arial" w:hAnsi="Arial"/>
          <w:sz w:val="21"/>
          <w:szCs w:val="21"/>
          <w:u w:val="single" w:color="auto"/>
          <w:color w:val="000000"/>
        </w:rPr>
        <w:t>A</w:t>
      </w:r>
      <w:r>
        <w:rPr>
          <w:rFonts w:ascii="Arial" w:cs="Arial" w:eastAsia="Arial" w:hAnsi="Arial"/>
          <w:sz w:val="21"/>
          <w:szCs w:val="21"/>
          <w:color w:val="111111"/>
        </w:rPr>
        <w:t xml:space="preserve"> </w:t>
      </w:r>
      <w:r>
        <w:rPr>
          <w:rFonts w:ascii="Arial" w:cs="Arial" w:eastAsia="Arial" w:hAnsi="Arial"/>
          <w:sz w:val="21"/>
          <w:szCs w:val="21"/>
          <w:color w:val="000000"/>
        </w:rPr>
        <w:t>and all shafts, cable</w:t>
      </w:r>
      <w:r>
        <w:rPr>
          <w:rFonts w:ascii="Arial" w:cs="Arial" w:eastAsia="Arial" w:hAnsi="Arial"/>
          <w:sz w:val="21"/>
          <w:szCs w:val="21"/>
          <w:color w:val="111111"/>
        </w:rPr>
        <w:t xml:space="preserve"> runs, risers, </w:t>
      </w:r>
      <w:r>
        <w:rPr>
          <w:rFonts w:ascii="Arial" w:cs="Arial" w:eastAsia="Arial" w:hAnsi="Arial"/>
          <w:sz w:val="21"/>
          <w:szCs w:val="21"/>
          <w:color w:val="000000"/>
        </w:rPr>
        <w:t>mechanical spaces and</w:t>
      </w:r>
      <w:r>
        <w:rPr>
          <w:rFonts w:ascii="Arial" w:cs="Arial" w:eastAsia="Arial" w:hAnsi="Arial"/>
          <w:sz w:val="21"/>
          <w:szCs w:val="21"/>
          <w:color w:val="111111"/>
        </w:rPr>
        <w:t xml:space="preserve"> rooftop </w:t>
      </w:r>
      <w:r>
        <w:rPr>
          <w:rFonts w:ascii="Arial" w:cs="Arial" w:eastAsia="Arial" w:hAnsi="Arial"/>
          <w:sz w:val="21"/>
          <w:szCs w:val="21"/>
          <w:color w:val="000000"/>
        </w:rPr>
        <w:t>areas, for</w:t>
      </w:r>
      <w:r>
        <w:rPr>
          <w:rFonts w:ascii="Arial" w:cs="Arial" w:eastAsia="Arial" w:hAnsi="Arial"/>
          <w:sz w:val="21"/>
          <w:szCs w:val="21"/>
          <w:color w:val="111111"/>
        </w:rPr>
        <w:t xml:space="preserve"> use </w:t>
      </w:r>
      <w:r>
        <w:rPr>
          <w:rFonts w:ascii="Arial" w:cs="Arial" w:eastAsia="Arial" w:hAnsi="Arial"/>
          <w:sz w:val="21"/>
          <w:szCs w:val="21"/>
          <w:color w:val="000000"/>
        </w:rPr>
        <w:t>by</w:t>
      </w:r>
      <w:r>
        <w:rPr>
          <w:rFonts w:ascii="Arial" w:cs="Arial" w:eastAsia="Arial" w:hAnsi="Arial"/>
          <w:sz w:val="21"/>
          <w:szCs w:val="21"/>
          <w:color w:val="111111"/>
        </w:rPr>
        <w:t xml:space="preserve"> </w:t>
      </w:r>
      <w:r>
        <w:rPr>
          <w:rFonts w:ascii="Arial" w:cs="Arial" w:eastAsia="Arial" w:hAnsi="Arial"/>
          <w:sz w:val="21"/>
          <w:szCs w:val="21"/>
          <w:color w:val="000000"/>
        </w:rPr>
        <w:t xml:space="preserve">Tenant </w:t>
      </w:r>
      <w:r>
        <w:rPr>
          <w:rFonts w:ascii="Arial" w:cs="Arial" w:eastAsia="Arial" w:hAnsi="Arial"/>
          <w:sz w:val="21"/>
          <w:szCs w:val="21"/>
          <w:color w:val="363636"/>
        </w:rPr>
        <w:t>in</w:t>
      </w:r>
      <w:r>
        <w:rPr>
          <w:rFonts w:ascii="Arial" w:cs="Arial" w:eastAsia="Arial" w:hAnsi="Arial"/>
          <w:sz w:val="21"/>
          <w:szCs w:val="21"/>
          <w:color w:val="000000"/>
        </w:rPr>
        <w:t xml:space="preserve"> accordance </w:t>
      </w:r>
      <w:r>
        <w:rPr>
          <w:rFonts w:ascii="Arial" w:cs="Arial" w:eastAsia="Arial" w:hAnsi="Arial"/>
          <w:sz w:val="21"/>
          <w:szCs w:val="21"/>
          <w:color w:val="363636"/>
        </w:rPr>
        <w:t>with</w:t>
      </w:r>
      <w:r>
        <w:rPr>
          <w:rFonts w:ascii="Arial" w:cs="Arial" w:eastAsia="Arial" w:hAnsi="Arial"/>
          <w:sz w:val="21"/>
          <w:szCs w:val="21"/>
          <w:color w:val="000000"/>
        </w:rPr>
        <w:t xml:space="preserve"> the Permitted Use (as </w:t>
      </w:r>
      <w:r>
        <w:rPr>
          <w:rFonts w:ascii="Arial" w:cs="Arial" w:eastAsia="Arial" w:hAnsi="Arial"/>
          <w:sz w:val="21"/>
          <w:szCs w:val="21"/>
          <w:color w:val="111111"/>
        </w:rPr>
        <w:t>defined below) and no</w:t>
      </w:r>
      <w:r>
        <w:rPr>
          <w:rFonts w:ascii="Arial" w:cs="Arial" w:eastAsia="Arial" w:hAnsi="Arial"/>
          <w:sz w:val="21"/>
          <w:szCs w:val="21"/>
          <w:color w:val="000000"/>
        </w:rPr>
        <w:t xml:space="preserve"> other </w:t>
      </w:r>
      <w:r>
        <w:rPr>
          <w:rFonts w:ascii="Arial" w:cs="Arial" w:eastAsia="Arial" w:hAnsi="Arial"/>
          <w:sz w:val="21"/>
          <w:szCs w:val="21"/>
          <w:color w:val="111111"/>
        </w:rPr>
        <w:t>uses. The Property</w:t>
      </w:r>
      <w:r>
        <w:rPr>
          <w:rFonts w:ascii="Arial" w:cs="Arial" w:eastAsia="Arial" w:hAnsi="Arial"/>
          <w:sz w:val="21"/>
          <w:szCs w:val="21"/>
          <w:color w:val="000000"/>
        </w:rPr>
        <w:t xml:space="preserve"> and all </w:t>
      </w:r>
      <w:r>
        <w:rPr>
          <w:rFonts w:ascii="Arial" w:cs="Arial" w:eastAsia="Arial" w:hAnsi="Arial"/>
          <w:sz w:val="21"/>
          <w:szCs w:val="21"/>
          <w:color w:val="111111"/>
        </w:rPr>
        <w:t xml:space="preserve">landscaping, parking facilities, </w:t>
      </w:r>
      <w:r>
        <w:rPr>
          <w:rFonts w:ascii="Arial" w:cs="Arial" w:eastAsia="Arial" w:hAnsi="Arial"/>
          <w:sz w:val="21"/>
          <w:szCs w:val="21"/>
          <w:color w:val="000000"/>
        </w:rPr>
        <w:t>private</w:t>
      </w:r>
      <w:r>
        <w:rPr>
          <w:rFonts w:ascii="Arial" w:cs="Arial" w:eastAsia="Arial" w:hAnsi="Arial"/>
          <w:sz w:val="21"/>
          <w:szCs w:val="21"/>
          <w:color w:val="111111"/>
        </w:rPr>
        <w:t xml:space="preserve"> drives </w:t>
      </w:r>
      <w:r>
        <w:rPr>
          <w:rFonts w:ascii="Arial" w:cs="Arial" w:eastAsia="Arial" w:hAnsi="Arial"/>
          <w:sz w:val="21"/>
          <w:szCs w:val="21"/>
          <w:color w:val="000000"/>
        </w:rPr>
        <w:t>and</w:t>
      </w:r>
      <w:r>
        <w:rPr>
          <w:rFonts w:ascii="Arial" w:cs="Arial" w:eastAsia="Arial" w:hAnsi="Arial"/>
          <w:sz w:val="21"/>
          <w:szCs w:val="21"/>
          <w:color w:val="111111"/>
        </w:rPr>
        <w:t xml:space="preserve"> other </w:t>
      </w:r>
      <w:r>
        <w:rPr>
          <w:rFonts w:ascii="Arial" w:cs="Arial" w:eastAsia="Arial" w:hAnsi="Arial"/>
          <w:sz w:val="21"/>
          <w:szCs w:val="21"/>
          <w:color w:val="000000"/>
        </w:rPr>
        <w:t>improvements and appurtenances related</w:t>
      </w:r>
      <w:r>
        <w:rPr>
          <w:rFonts w:ascii="Arial" w:cs="Arial" w:eastAsia="Arial" w:hAnsi="Arial"/>
          <w:sz w:val="21"/>
          <w:szCs w:val="21"/>
          <w:color w:val="111111"/>
        </w:rPr>
        <w:t xml:space="preserve"> thereto, </w:t>
      </w:r>
      <w:r>
        <w:rPr>
          <w:rFonts w:ascii="Arial" w:cs="Arial" w:eastAsia="Arial" w:hAnsi="Arial"/>
          <w:sz w:val="21"/>
          <w:szCs w:val="21"/>
          <w:color w:val="000000"/>
        </w:rPr>
        <w:t>including</w:t>
      </w:r>
      <w:r>
        <w:rPr>
          <w:rFonts w:ascii="Arial" w:cs="Arial" w:eastAsia="Arial" w:hAnsi="Arial"/>
          <w:sz w:val="21"/>
          <w:szCs w:val="21"/>
          <w:color w:val="111111"/>
        </w:rPr>
        <w:t xml:space="preserve"> </w:t>
      </w:r>
      <w:r>
        <w:rPr>
          <w:rFonts w:ascii="Arial" w:cs="Arial" w:eastAsia="Arial" w:hAnsi="Arial"/>
          <w:sz w:val="21"/>
          <w:szCs w:val="21"/>
          <w:color w:val="000000"/>
        </w:rPr>
        <w:t xml:space="preserve">the </w:t>
      </w:r>
      <w:r>
        <w:rPr>
          <w:rFonts w:ascii="Arial" w:cs="Arial" w:eastAsia="Arial" w:hAnsi="Arial"/>
          <w:sz w:val="21"/>
          <w:szCs w:val="21"/>
          <w:color w:val="111111"/>
        </w:rPr>
        <w:t>Building</w:t>
      </w:r>
      <w:r>
        <w:rPr>
          <w:rFonts w:ascii="Arial" w:cs="Arial" w:eastAsia="Arial" w:hAnsi="Arial"/>
          <w:sz w:val="21"/>
          <w:szCs w:val="21"/>
          <w:color w:val="000000"/>
        </w:rPr>
        <w:t xml:space="preserve"> and </w:t>
      </w:r>
      <w:r>
        <w:rPr>
          <w:rFonts w:ascii="Arial" w:cs="Arial" w:eastAsia="Arial" w:hAnsi="Arial"/>
          <w:sz w:val="21"/>
          <w:szCs w:val="21"/>
          <w:color w:val="111111"/>
        </w:rPr>
        <w:t>the</w:t>
      </w:r>
      <w:r>
        <w:rPr>
          <w:rFonts w:ascii="Arial" w:cs="Arial" w:eastAsia="Arial" w:hAnsi="Arial"/>
          <w:sz w:val="21"/>
          <w:szCs w:val="21"/>
          <w:color w:val="000000"/>
        </w:rPr>
        <w:t xml:space="preserve"> other </w:t>
      </w:r>
      <w:r>
        <w:rPr>
          <w:rFonts w:ascii="Arial" w:cs="Arial" w:eastAsia="Arial" w:hAnsi="Arial"/>
          <w:sz w:val="21"/>
          <w:szCs w:val="21"/>
          <w:color w:val="111111"/>
        </w:rPr>
        <w:t>buildings located</w:t>
      </w:r>
      <w:r>
        <w:rPr>
          <w:rFonts w:ascii="Arial" w:cs="Arial" w:eastAsia="Arial" w:hAnsi="Arial"/>
          <w:sz w:val="21"/>
          <w:szCs w:val="21"/>
          <w:color w:val="000000"/>
        </w:rPr>
        <w:t xml:space="preserve"> at 9708, 9710, 9712 and </w:t>
      </w:r>
      <w:r>
        <w:rPr>
          <w:rFonts w:ascii="Arial" w:cs="Arial" w:eastAsia="Arial" w:hAnsi="Arial"/>
          <w:sz w:val="21"/>
          <w:szCs w:val="21"/>
          <w:color w:val="111111"/>
        </w:rPr>
        <w:t>9714 Medical</w:t>
      </w:r>
      <w:r>
        <w:rPr>
          <w:rFonts w:ascii="Arial" w:cs="Arial" w:eastAsia="Arial" w:hAnsi="Arial"/>
          <w:sz w:val="21"/>
          <w:szCs w:val="21"/>
          <w:color w:val="000000"/>
        </w:rPr>
        <w:t xml:space="preserve"> Center </w:t>
      </w:r>
      <w:r>
        <w:rPr>
          <w:rFonts w:ascii="Arial" w:cs="Arial" w:eastAsia="Arial" w:hAnsi="Arial"/>
          <w:sz w:val="21"/>
          <w:szCs w:val="21"/>
          <w:color w:val="111111"/>
        </w:rPr>
        <w:t>Drive (such other</w:t>
      </w:r>
      <w:r>
        <w:rPr>
          <w:rFonts w:ascii="Arial" w:cs="Arial" w:eastAsia="Arial" w:hAnsi="Arial"/>
          <w:sz w:val="21"/>
          <w:szCs w:val="21"/>
          <w:color w:val="000000"/>
        </w:rPr>
        <w:t xml:space="preserve"> </w:t>
      </w:r>
      <w:r>
        <w:rPr>
          <w:rFonts w:ascii="Arial" w:cs="Arial" w:eastAsia="Arial" w:hAnsi="Arial"/>
          <w:sz w:val="21"/>
          <w:szCs w:val="21"/>
          <w:color w:val="111111"/>
        </w:rPr>
        <w:t xml:space="preserve">buildings, </w:t>
      </w:r>
      <w:r>
        <w:rPr>
          <w:rFonts w:ascii="Arial" w:cs="Arial" w:eastAsia="Arial" w:hAnsi="Arial"/>
          <w:sz w:val="21"/>
          <w:szCs w:val="21"/>
          <w:color w:val="000000"/>
        </w:rPr>
        <w:t>the “</w:t>
      </w:r>
      <w:r>
        <w:rPr>
          <w:rFonts w:ascii="Arial" w:cs="Arial" w:eastAsia="Arial" w:hAnsi="Arial"/>
          <w:sz w:val="21"/>
          <w:szCs w:val="21"/>
          <w:u w:val="single" w:color="auto"/>
          <w:color w:val="000000"/>
        </w:rPr>
        <w:t>Lower Campus</w:t>
      </w:r>
      <w:r>
        <w:rPr>
          <w:rFonts w:ascii="Arial" w:cs="Arial" w:eastAsia="Arial" w:hAnsi="Arial"/>
          <w:sz w:val="21"/>
          <w:szCs w:val="21"/>
          <w:color w:val="000000"/>
        </w:rPr>
        <w:t>”), Rockville,</w:t>
      </w:r>
      <w:r>
        <w:rPr>
          <w:rFonts w:ascii="Arial" w:cs="Arial" w:eastAsia="Arial" w:hAnsi="Arial"/>
          <w:sz w:val="21"/>
          <w:szCs w:val="21"/>
          <w:color w:val="111111"/>
        </w:rPr>
        <w:t xml:space="preserve"> MD, </w:t>
      </w:r>
      <w:r>
        <w:rPr>
          <w:rFonts w:ascii="Arial" w:cs="Arial" w:eastAsia="Arial" w:hAnsi="Arial"/>
          <w:sz w:val="21"/>
          <w:szCs w:val="21"/>
          <w:color w:val="000000"/>
        </w:rPr>
        <w:t>are</w:t>
      </w:r>
      <w:r>
        <w:rPr>
          <w:rFonts w:ascii="Arial" w:cs="Arial" w:eastAsia="Arial" w:hAnsi="Arial"/>
          <w:sz w:val="21"/>
          <w:szCs w:val="21"/>
          <w:color w:val="111111"/>
        </w:rPr>
        <w:t xml:space="preserve"> hereinafter collectively </w:t>
      </w:r>
      <w:r>
        <w:rPr>
          <w:rFonts w:ascii="Arial" w:cs="Arial" w:eastAsia="Arial" w:hAnsi="Arial"/>
          <w:sz w:val="21"/>
          <w:szCs w:val="21"/>
          <w:color w:val="363636"/>
        </w:rPr>
        <w:t>referred to as</w:t>
      </w:r>
      <w:r>
        <w:rPr>
          <w:rFonts w:ascii="Arial" w:cs="Arial" w:eastAsia="Arial" w:hAnsi="Arial"/>
          <w:sz w:val="21"/>
          <w:szCs w:val="21"/>
          <w:color w:val="111111"/>
        </w:rPr>
        <w:t xml:space="preserve"> </w:t>
      </w:r>
      <w:r>
        <w:rPr>
          <w:rFonts w:ascii="Arial" w:cs="Arial" w:eastAsia="Arial" w:hAnsi="Arial"/>
          <w:sz w:val="21"/>
          <w:szCs w:val="21"/>
          <w:color w:val="000000"/>
        </w:rPr>
        <w:t>the “</w:t>
      </w:r>
      <w:r>
        <w:rPr>
          <w:rFonts w:ascii="Arial" w:cs="Arial" w:eastAsia="Arial" w:hAnsi="Arial"/>
          <w:sz w:val="21"/>
          <w:szCs w:val="21"/>
          <w:u w:val="single" w:color="auto"/>
          <w:color w:val="000000"/>
        </w:rPr>
        <w:t>Project.</w:t>
      </w:r>
      <w:r>
        <w:rPr>
          <w:rFonts w:ascii="Arial" w:cs="Arial" w:eastAsia="Arial" w:hAnsi="Arial"/>
          <w:sz w:val="21"/>
          <w:szCs w:val="21"/>
          <w:color w:val="000000"/>
        </w:rPr>
        <w:t>” All</w:t>
      </w:r>
      <w:r>
        <w:rPr>
          <w:rFonts w:ascii="Arial" w:cs="Arial" w:eastAsia="Arial" w:hAnsi="Arial"/>
          <w:sz w:val="21"/>
          <w:szCs w:val="21"/>
          <w:color w:val="111111"/>
        </w:rPr>
        <w:t xml:space="preserve"> </w:t>
      </w:r>
      <w:r>
        <w:rPr>
          <w:rFonts w:ascii="Arial" w:cs="Arial" w:eastAsia="Arial" w:hAnsi="Arial"/>
          <w:sz w:val="21"/>
          <w:szCs w:val="21"/>
          <w:color w:val="000000"/>
        </w:rPr>
        <w:t xml:space="preserve">driveways, </w:t>
      </w:r>
      <w:r>
        <w:rPr>
          <w:rFonts w:ascii="Arial" w:cs="Arial" w:eastAsia="Arial" w:hAnsi="Arial"/>
          <w:sz w:val="21"/>
          <w:szCs w:val="21"/>
          <w:color w:val="363636"/>
        </w:rPr>
        <w:t>loading</w:t>
      </w:r>
      <w:r>
        <w:rPr>
          <w:rFonts w:ascii="Arial" w:cs="Arial" w:eastAsia="Arial" w:hAnsi="Arial"/>
          <w:sz w:val="21"/>
          <w:szCs w:val="21"/>
          <w:color w:val="000000"/>
        </w:rPr>
        <w:t xml:space="preserve"> docks, sidewalks, parking areas </w:t>
      </w:r>
      <w:r>
        <w:rPr>
          <w:rFonts w:ascii="Arial" w:cs="Arial" w:eastAsia="Arial" w:hAnsi="Arial"/>
          <w:sz w:val="21"/>
          <w:szCs w:val="21"/>
          <w:color w:val="111111"/>
        </w:rPr>
        <w:t>and</w:t>
      </w:r>
      <w:r>
        <w:rPr>
          <w:rFonts w:ascii="Arial" w:cs="Arial" w:eastAsia="Arial" w:hAnsi="Arial"/>
          <w:sz w:val="21"/>
          <w:szCs w:val="21"/>
          <w:color w:val="000000"/>
        </w:rPr>
        <w:t xml:space="preserve"> </w:t>
      </w:r>
      <w:r>
        <w:rPr>
          <w:rFonts w:ascii="Arial" w:cs="Arial" w:eastAsia="Arial" w:hAnsi="Arial"/>
          <w:sz w:val="21"/>
          <w:szCs w:val="21"/>
          <w:color w:val="363636"/>
        </w:rPr>
        <w:t>landscaped</w:t>
      </w:r>
      <w:r>
        <w:rPr>
          <w:rFonts w:ascii="Arial" w:cs="Arial" w:eastAsia="Arial" w:hAnsi="Arial"/>
          <w:sz w:val="21"/>
          <w:szCs w:val="21"/>
          <w:color w:val="000000"/>
        </w:rPr>
        <w:t xml:space="preserve"> areas for </w:t>
      </w:r>
      <w:r>
        <w:rPr>
          <w:rFonts w:ascii="Arial" w:cs="Arial" w:eastAsia="Arial" w:hAnsi="Arial"/>
          <w:sz w:val="21"/>
          <w:szCs w:val="21"/>
          <w:color w:val="111111"/>
        </w:rPr>
        <w:t>the</w:t>
      </w:r>
      <w:r>
        <w:rPr>
          <w:rFonts w:ascii="Arial" w:cs="Arial" w:eastAsia="Arial" w:hAnsi="Arial"/>
          <w:sz w:val="21"/>
          <w:szCs w:val="21"/>
          <w:color w:val="000000"/>
        </w:rPr>
        <w:t xml:space="preserve"> buildings </w:t>
      </w:r>
      <w:r>
        <w:rPr>
          <w:rFonts w:ascii="Arial" w:cs="Arial" w:eastAsia="Arial" w:hAnsi="Arial"/>
          <w:sz w:val="21"/>
          <w:szCs w:val="21"/>
          <w:color w:val="363636"/>
        </w:rPr>
        <w:t>in the</w:t>
      </w:r>
      <w:r>
        <w:rPr>
          <w:rFonts w:ascii="Arial" w:cs="Arial" w:eastAsia="Arial" w:hAnsi="Arial"/>
          <w:sz w:val="21"/>
          <w:szCs w:val="21"/>
          <w:color w:val="000000"/>
        </w:rPr>
        <w:t xml:space="preserve"> Project are </w:t>
      </w:r>
      <w:r>
        <w:rPr>
          <w:rFonts w:ascii="Arial" w:cs="Arial" w:eastAsia="Arial" w:hAnsi="Arial"/>
          <w:sz w:val="21"/>
          <w:szCs w:val="21"/>
          <w:color w:val="111111"/>
        </w:rPr>
        <w:t xml:space="preserve">hereinafter referred </w:t>
      </w:r>
      <w:r>
        <w:rPr>
          <w:rFonts w:ascii="Arial" w:cs="Arial" w:eastAsia="Arial" w:hAnsi="Arial"/>
          <w:sz w:val="21"/>
          <w:szCs w:val="21"/>
          <w:color w:val="363636"/>
        </w:rPr>
        <w:t>to</w:t>
      </w:r>
      <w:r>
        <w:rPr>
          <w:rFonts w:ascii="Arial" w:cs="Arial" w:eastAsia="Arial" w:hAnsi="Arial"/>
          <w:sz w:val="21"/>
          <w:szCs w:val="21"/>
          <w:color w:val="111111"/>
        </w:rPr>
        <w:t xml:space="preserve"> </w:t>
      </w:r>
      <w:r>
        <w:rPr>
          <w:rFonts w:ascii="Arial" w:cs="Arial" w:eastAsia="Arial" w:hAnsi="Arial"/>
          <w:sz w:val="21"/>
          <w:szCs w:val="21"/>
          <w:color w:val="000000"/>
        </w:rPr>
        <w:t>as</w:t>
      </w:r>
      <w:r>
        <w:rPr>
          <w:rFonts w:ascii="Arial" w:cs="Arial" w:eastAsia="Arial" w:hAnsi="Arial"/>
          <w:sz w:val="21"/>
          <w:szCs w:val="21"/>
          <w:color w:val="111111"/>
        </w:rPr>
        <w:t xml:space="preserve"> the </w:t>
      </w:r>
      <w:r>
        <w:rPr>
          <w:rFonts w:ascii="Arial" w:cs="Arial" w:eastAsia="Arial" w:hAnsi="Arial"/>
          <w:sz w:val="21"/>
          <w:szCs w:val="21"/>
          <w:color w:val="000000"/>
        </w:rPr>
        <w:t>“</w:t>
      </w:r>
      <w:r>
        <w:rPr>
          <w:rFonts w:ascii="Arial" w:cs="Arial" w:eastAsia="Arial" w:hAnsi="Arial"/>
          <w:sz w:val="21"/>
          <w:szCs w:val="21"/>
          <w:u w:val="single" w:color="auto"/>
          <w:color w:val="000000"/>
        </w:rPr>
        <w:t>Common</w:t>
      </w:r>
      <w:r>
        <w:rPr>
          <w:rFonts w:ascii="Arial" w:cs="Arial" w:eastAsia="Arial" w:hAnsi="Arial"/>
          <w:sz w:val="21"/>
          <w:szCs w:val="21"/>
          <w:color w:val="111111"/>
        </w:rPr>
        <w:t xml:space="preserve"> </w:t>
      </w:r>
      <w:r>
        <w:rPr>
          <w:rFonts w:ascii="Arial" w:cs="Arial" w:eastAsia="Arial" w:hAnsi="Arial"/>
          <w:sz w:val="21"/>
          <w:szCs w:val="21"/>
          <w:u w:val="single" w:color="auto"/>
          <w:color w:val="111111"/>
        </w:rPr>
        <w:t>Areas</w:t>
      </w:r>
      <w:r>
        <w:rPr>
          <w:rFonts w:ascii="Arial" w:cs="Arial" w:eastAsia="Arial" w:hAnsi="Arial"/>
          <w:sz w:val="21"/>
          <w:szCs w:val="21"/>
          <w:color w:val="111111"/>
        </w:rPr>
        <w:t>”).</w:t>
      </w:r>
    </w:p>
    <w:p>
      <w:pPr>
        <w:spacing w:after="0" w:line="158" w:lineRule="exact"/>
        <w:rPr>
          <w:rFonts w:ascii="Arial" w:cs="Arial" w:eastAsia="Arial" w:hAnsi="Arial"/>
          <w:sz w:val="22"/>
          <w:szCs w:val="22"/>
          <w:color w:val="auto"/>
        </w:rPr>
      </w:pPr>
    </w:p>
    <w:p>
      <w:pPr>
        <w:jc w:val="both"/>
        <w:ind w:left="660" w:hanging="652"/>
        <w:spacing w:after="0" w:line="223" w:lineRule="auto"/>
        <w:tabs>
          <w:tab w:leader="none" w:pos="660"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Basic Lease Provisions</w:t>
      </w:r>
      <w:r>
        <w:rPr>
          <w:rFonts w:ascii="Arial" w:cs="Arial" w:eastAsia="Arial" w:hAnsi="Arial"/>
          <w:sz w:val="22"/>
          <w:szCs w:val="22"/>
          <w:color w:val="auto"/>
        </w:rPr>
        <w:t xml:space="preserve">. </w:t>
      </w:r>
      <w:r>
        <w:rPr>
          <w:rFonts w:ascii="Arial" w:cs="Arial" w:eastAsia="Arial" w:hAnsi="Arial"/>
          <w:sz w:val="22"/>
          <w:szCs w:val="22"/>
          <w:color w:val="111111"/>
        </w:rPr>
        <w:t>For</w:t>
      </w:r>
      <w:r>
        <w:rPr>
          <w:rFonts w:ascii="Arial" w:cs="Arial" w:eastAsia="Arial" w:hAnsi="Arial"/>
          <w:sz w:val="22"/>
          <w:szCs w:val="22"/>
          <w:color w:val="auto"/>
        </w:rPr>
        <w:t xml:space="preserve"> convenience of </w:t>
      </w:r>
      <w:r>
        <w:rPr>
          <w:rFonts w:ascii="Arial" w:cs="Arial" w:eastAsia="Arial" w:hAnsi="Arial"/>
          <w:sz w:val="22"/>
          <w:szCs w:val="22"/>
          <w:color w:val="111111"/>
        </w:rPr>
        <w:t>the parties, certain basic</w:t>
      </w:r>
      <w:r>
        <w:rPr>
          <w:rFonts w:ascii="Arial" w:cs="Arial" w:eastAsia="Arial" w:hAnsi="Arial"/>
          <w:sz w:val="22"/>
          <w:szCs w:val="22"/>
          <w:color w:val="auto"/>
        </w:rPr>
        <w:t xml:space="preserve"> provisions of </w:t>
      </w:r>
      <w:r>
        <w:rPr>
          <w:rFonts w:ascii="Arial" w:cs="Arial" w:eastAsia="Arial" w:hAnsi="Arial"/>
          <w:sz w:val="22"/>
          <w:szCs w:val="22"/>
          <w:color w:val="111111"/>
        </w:rPr>
        <w:t>th</w:t>
      </w:r>
      <w:r>
        <w:rPr>
          <w:rFonts w:ascii="Arial" w:cs="Arial" w:eastAsia="Arial" w:hAnsi="Arial"/>
          <w:sz w:val="22"/>
          <w:szCs w:val="22"/>
          <w:color w:val="494949"/>
        </w:rPr>
        <w:t>i</w:t>
      </w:r>
      <w:r>
        <w:rPr>
          <w:rFonts w:ascii="Arial" w:cs="Arial" w:eastAsia="Arial" w:hAnsi="Arial"/>
          <w:sz w:val="22"/>
          <w:szCs w:val="22"/>
          <w:color w:val="auto"/>
        </w:rPr>
        <w:t xml:space="preserve">s Lease are </w:t>
      </w:r>
      <w:r>
        <w:rPr>
          <w:rFonts w:ascii="Arial" w:cs="Arial" w:eastAsia="Arial" w:hAnsi="Arial"/>
          <w:sz w:val="22"/>
          <w:szCs w:val="22"/>
          <w:color w:val="363636"/>
        </w:rPr>
        <w:t>set</w:t>
      </w:r>
      <w:r>
        <w:rPr>
          <w:rFonts w:ascii="Arial" w:cs="Arial" w:eastAsia="Arial" w:hAnsi="Arial"/>
          <w:sz w:val="22"/>
          <w:szCs w:val="22"/>
          <w:color w:val="auto"/>
        </w:rPr>
        <w:t xml:space="preserve"> </w:t>
      </w:r>
      <w:r>
        <w:rPr>
          <w:rFonts w:ascii="Arial" w:cs="Arial" w:eastAsia="Arial" w:hAnsi="Arial"/>
          <w:sz w:val="22"/>
          <w:szCs w:val="22"/>
          <w:color w:val="111111"/>
        </w:rPr>
        <w:t>forth</w:t>
      </w:r>
      <w:r>
        <w:rPr>
          <w:rFonts w:ascii="Arial" w:cs="Arial" w:eastAsia="Arial" w:hAnsi="Arial"/>
          <w:sz w:val="22"/>
          <w:szCs w:val="22"/>
          <w:color w:val="auto"/>
        </w:rPr>
        <w:t xml:space="preserve"> herein. The </w:t>
      </w:r>
      <w:r>
        <w:rPr>
          <w:rFonts w:ascii="Arial" w:cs="Arial" w:eastAsia="Arial" w:hAnsi="Arial"/>
          <w:sz w:val="22"/>
          <w:szCs w:val="22"/>
          <w:color w:val="111111"/>
        </w:rPr>
        <w:t xml:space="preserve">provisions </w:t>
      </w:r>
      <w:r>
        <w:rPr>
          <w:rFonts w:ascii="Arial" w:cs="Arial" w:eastAsia="Arial" w:hAnsi="Arial"/>
          <w:sz w:val="22"/>
          <w:szCs w:val="22"/>
          <w:color w:val="000000"/>
        </w:rPr>
        <w:t>set forth</w:t>
      </w:r>
      <w:r>
        <w:rPr>
          <w:rFonts w:ascii="Arial" w:cs="Arial" w:eastAsia="Arial" w:hAnsi="Arial"/>
          <w:sz w:val="22"/>
          <w:szCs w:val="22"/>
          <w:color w:val="111111"/>
        </w:rPr>
        <w:t xml:space="preserve"> herein are </w:t>
      </w:r>
      <w:r>
        <w:rPr>
          <w:rFonts w:ascii="Arial" w:cs="Arial" w:eastAsia="Arial" w:hAnsi="Arial"/>
          <w:sz w:val="22"/>
          <w:szCs w:val="22"/>
          <w:color w:val="363636"/>
        </w:rPr>
        <w:t>subject</w:t>
      </w:r>
      <w:r>
        <w:rPr>
          <w:rFonts w:ascii="Arial" w:cs="Arial" w:eastAsia="Arial" w:hAnsi="Arial"/>
          <w:sz w:val="22"/>
          <w:szCs w:val="22"/>
          <w:color w:val="111111"/>
        </w:rPr>
        <w:t xml:space="preserve"> to the </w:t>
      </w:r>
      <w:r>
        <w:rPr>
          <w:rFonts w:ascii="Arial" w:cs="Arial" w:eastAsia="Arial" w:hAnsi="Arial"/>
          <w:sz w:val="22"/>
          <w:szCs w:val="22"/>
          <w:color w:val="000000"/>
        </w:rPr>
        <w:t>remaining terms</w:t>
      </w:r>
      <w:r>
        <w:rPr>
          <w:rFonts w:ascii="Arial" w:cs="Arial" w:eastAsia="Arial" w:hAnsi="Arial"/>
          <w:sz w:val="22"/>
          <w:szCs w:val="22"/>
          <w:color w:val="111111"/>
        </w:rPr>
        <w:t xml:space="preserve"> and </w:t>
      </w:r>
      <w:r>
        <w:rPr>
          <w:rFonts w:ascii="Arial" w:cs="Arial" w:eastAsia="Arial" w:hAnsi="Arial"/>
          <w:sz w:val="22"/>
          <w:szCs w:val="22"/>
          <w:color w:val="000000"/>
        </w:rPr>
        <w:t>conditions</w:t>
      </w:r>
      <w:r>
        <w:rPr>
          <w:rFonts w:ascii="Arial" w:cs="Arial" w:eastAsia="Arial" w:hAnsi="Arial"/>
          <w:sz w:val="22"/>
          <w:szCs w:val="22"/>
          <w:color w:val="111111"/>
        </w:rPr>
        <w:t xml:space="preserve"> of this </w:t>
      </w:r>
      <w:r>
        <w:rPr>
          <w:rFonts w:ascii="Arial" w:cs="Arial" w:eastAsia="Arial" w:hAnsi="Arial"/>
          <w:sz w:val="22"/>
          <w:szCs w:val="22"/>
          <w:color w:val="000000"/>
        </w:rPr>
        <w:t>Lease and</w:t>
      </w:r>
      <w:r>
        <w:rPr>
          <w:rFonts w:ascii="Arial" w:cs="Arial" w:eastAsia="Arial" w:hAnsi="Arial"/>
          <w:sz w:val="22"/>
          <w:szCs w:val="22"/>
          <w:color w:val="111111"/>
        </w:rPr>
        <w:t xml:space="preserve"> are </w:t>
      </w:r>
      <w:r>
        <w:rPr>
          <w:rFonts w:ascii="Arial" w:cs="Arial" w:eastAsia="Arial" w:hAnsi="Arial"/>
          <w:sz w:val="22"/>
          <w:szCs w:val="22"/>
          <w:color w:val="000000"/>
        </w:rPr>
        <w:t>to</w:t>
      </w:r>
      <w:r>
        <w:rPr>
          <w:rFonts w:ascii="Arial" w:cs="Arial" w:eastAsia="Arial" w:hAnsi="Arial"/>
          <w:sz w:val="22"/>
          <w:szCs w:val="22"/>
          <w:color w:val="111111"/>
        </w:rPr>
        <w:t xml:space="preserve"> be </w:t>
      </w:r>
      <w:r>
        <w:rPr>
          <w:rFonts w:ascii="Arial" w:cs="Arial" w:eastAsia="Arial" w:hAnsi="Arial"/>
          <w:sz w:val="22"/>
          <w:szCs w:val="22"/>
          <w:color w:val="000000"/>
        </w:rPr>
        <w:t>interpreted in</w:t>
      </w:r>
      <w:r>
        <w:rPr>
          <w:rFonts w:ascii="Arial" w:cs="Arial" w:eastAsia="Arial" w:hAnsi="Arial"/>
          <w:sz w:val="22"/>
          <w:szCs w:val="22"/>
          <w:color w:val="111111"/>
        </w:rPr>
        <w:t xml:space="preserve"> light </w:t>
      </w:r>
      <w:r>
        <w:rPr>
          <w:rFonts w:ascii="Arial" w:cs="Arial" w:eastAsia="Arial" w:hAnsi="Arial"/>
          <w:sz w:val="22"/>
          <w:szCs w:val="22"/>
          <w:color w:val="000000"/>
        </w:rPr>
        <w:t xml:space="preserve">of such remaining </w:t>
      </w:r>
      <w:r>
        <w:rPr>
          <w:rFonts w:ascii="Arial" w:cs="Arial" w:eastAsia="Arial" w:hAnsi="Arial"/>
          <w:sz w:val="22"/>
          <w:szCs w:val="22"/>
          <w:color w:val="111111"/>
        </w:rPr>
        <w:t>terms</w:t>
      </w:r>
      <w:r>
        <w:rPr>
          <w:rFonts w:ascii="Arial" w:cs="Arial" w:eastAsia="Arial" w:hAnsi="Arial"/>
          <w:sz w:val="22"/>
          <w:szCs w:val="22"/>
          <w:color w:val="000000"/>
        </w:rPr>
        <w:t xml:space="preserve"> and conditions.</w:t>
      </w:r>
    </w:p>
    <w:p>
      <w:pPr>
        <w:spacing w:after="0" w:line="158"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 xml:space="preserve">2.1 </w:t>
      </w:r>
      <w:r>
        <w:rPr>
          <w:rFonts w:ascii="Arial" w:cs="Arial" w:eastAsia="Arial" w:hAnsi="Arial"/>
          <w:sz w:val="22"/>
          <w:szCs w:val="22"/>
          <w:color w:val="111111"/>
        </w:rPr>
        <w:t>This Lease</w:t>
      </w:r>
      <w:r>
        <w:rPr>
          <w:rFonts w:ascii="Arial" w:cs="Arial" w:eastAsia="Arial" w:hAnsi="Arial"/>
          <w:sz w:val="22"/>
          <w:szCs w:val="22"/>
          <w:color w:val="auto"/>
        </w:rPr>
        <w:t xml:space="preserve"> </w:t>
      </w:r>
      <w:r>
        <w:rPr>
          <w:rFonts w:ascii="Arial" w:cs="Arial" w:eastAsia="Arial" w:hAnsi="Arial"/>
          <w:sz w:val="22"/>
          <w:szCs w:val="22"/>
          <w:color w:val="363636"/>
        </w:rPr>
        <w:t>shall</w:t>
      </w:r>
      <w:r>
        <w:rPr>
          <w:rFonts w:ascii="Arial" w:cs="Arial" w:eastAsia="Arial" w:hAnsi="Arial"/>
          <w:sz w:val="22"/>
          <w:szCs w:val="22"/>
          <w:color w:val="auto"/>
        </w:rPr>
        <w:t xml:space="preserve"> take effect </w:t>
      </w:r>
      <w:r>
        <w:rPr>
          <w:rFonts w:ascii="Arial" w:cs="Arial" w:eastAsia="Arial" w:hAnsi="Arial"/>
          <w:sz w:val="22"/>
          <w:szCs w:val="22"/>
          <w:color w:val="111111"/>
        </w:rPr>
        <w:t>upon the</w:t>
      </w:r>
      <w:r>
        <w:rPr>
          <w:rFonts w:ascii="Arial" w:cs="Arial" w:eastAsia="Arial" w:hAnsi="Arial"/>
          <w:sz w:val="22"/>
          <w:szCs w:val="22"/>
          <w:color w:val="auto"/>
        </w:rPr>
        <w:t xml:space="preserve"> Execution </w:t>
      </w:r>
      <w:r>
        <w:rPr>
          <w:rFonts w:ascii="Arial" w:cs="Arial" w:eastAsia="Arial" w:hAnsi="Arial"/>
          <w:sz w:val="22"/>
          <w:szCs w:val="22"/>
          <w:color w:val="111111"/>
        </w:rPr>
        <w:t>Date</w:t>
      </w:r>
      <w:r>
        <w:rPr>
          <w:rFonts w:ascii="Arial" w:cs="Arial" w:eastAsia="Arial" w:hAnsi="Arial"/>
          <w:sz w:val="22"/>
          <w:szCs w:val="22"/>
          <w:color w:val="auto"/>
        </w:rPr>
        <w:t xml:space="preserve"> and, except </w:t>
      </w:r>
      <w:r>
        <w:rPr>
          <w:rFonts w:ascii="Arial" w:cs="Arial" w:eastAsia="Arial" w:hAnsi="Arial"/>
          <w:sz w:val="22"/>
          <w:szCs w:val="22"/>
          <w:color w:val="363636"/>
        </w:rPr>
        <w:t>as</w:t>
      </w:r>
      <w:r>
        <w:rPr>
          <w:rFonts w:ascii="Arial" w:cs="Arial" w:eastAsia="Arial" w:hAnsi="Arial"/>
          <w:sz w:val="22"/>
          <w:szCs w:val="22"/>
          <w:color w:val="auto"/>
        </w:rPr>
        <w:t xml:space="preserve"> </w:t>
      </w:r>
      <w:r>
        <w:rPr>
          <w:rFonts w:ascii="Arial" w:cs="Arial" w:eastAsia="Arial" w:hAnsi="Arial"/>
          <w:sz w:val="22"/>
          <w:szCs w:val="22"/>
          <w:color w:val="111111"/>
        </w:rPr>
        <w:t>specifically</w:t>
      </w:r>
      <w:r>
        <w:rPr>
          <w:rFonts w:ascii="Arial" w:cs="Arial" w:eastAsia="Arial" w:hAnsi="Arial"/>
          <w:sz w:val="22"/>
          <w:szCs w:val="22"/>
          <w:color w:val="auto"/>
        </w:rPr>
        <w:t xml:space="preserve"> otherwise </w:t>
      </w:r>
      <w:r>
        <w:rPr>
          <w:rFonts w:ascii="Arial" w:cs="Arial" w:eastAsia="Arial" w:hAnsi="Arial"/>
          <w:sz w:val="22"/>
          <w:szCs w:val="22"/>
          <w:color w:val="111111"/>
        </w:rPr>
        <w:t>provided</w:t>
      </w:r>
      <w:r>
        <w:rPr>
          <w:rFonts w:ascii="Arial" w:cs="Arial" w:eastAsia="Arial" w:hAnsi="Arial"/>
          <w:sz w:val="22"/>
          <w:szCs w:val="22"/>
          <w:color w:val="auto"/>
        </w:rPr>
        <w:t xml:space="preserve"> within </w:t>
      </w:r>
      <w:r>
        <w:rPr>
          <w:rFonts w:ascii="Arial" w:cs="Arial" w:eastAsia="Arial" w:hAnsi="Arial"/>
          <w:sz w:val="22"/>
          <w:szCs w:val="22"/>
          <w:color w:val="111111"/>
        </w:rPr>
        <w:t>this</w:t>
      </w:r>
      <w:r>
        <w:rPr>
          <w:rFonts w:ascii="Arial" w:cs="Arial" w:eastAsia="Arial" w:hAnsi="Arial"/>
          <w:sz w:val="22"/>
          <w:szCs w:val="22"/>
          <w:color w:val="auto"/>
        </w:rPr>
        <w:t xml:space="preserve"> Lease, each of </w:t>
      </w:r>
      <w:r>
        <w:rPr>
          <w:rFonts w:ascii="Arial" w:cs="Arial" w:eastAsia="Arial" w:hAnsi="Arial"/>
          <w:sz w:val="22"/>
          <w:szCs w:val="22"/>
          <w:color w:val="111111"/>
        </w:rPr>
        <w:t>the provisions hereof</w:t>
      </w:r>
      <w:r>
        <w:rPr>
          <w:rFonts w:ascii="Arial" w:cs="Arial" w:eastAsia="Arial" w:hAnsi="Arial"/>
          <w:sz w:val="22"/>
          <w:szCs w:val="22"/>
          <w:color w:val="auto"/>
        </w:rPr>
        <w:t xml:space="preserve"> shall </w:t>
      </w:r>
      <w:r>
        <w:rPr>
          <w:rFonts w:ascii="Arial" w:cs="Arial" w:eastAsia="Arial" w:hAnsi="Arial"/>
          <w:sz w:val="22"/>
          <w:szCs w:val="22"/>
          <w:color w:val="111111"/>
        </w:rPr>
        <w:t>be binding upon</w:t>
      </w:r>
      <w:r>
        <w:rPr>
          <w:rFonts w:ascii="Arial" w:cs="Arial" w:eastAsia="Arial" w:hAnsi="Arial"/>
          <w:sz w:val="22"/>
          <w:szCs w:val="22"/>
          <w:color w:val="auto"/>
        </w:rPr>
        <w:t xml:space="preserve"> and inure </w:t>
      </w:r>
      <w:r>
        <w:rPr>
          <w:rFonts w:ascii="Arial" w:cs="Arial" w:eastAsia="Arial" w:hAnsi="Arial"/>
          <w:sz w:val="22"/>
          <w:szCs w:val="22"/>
          <w:color w:val="111111"/>
        </w:rPr>
        <w:t>to</w:t>
      </w:r>
      <w:r>
        <w:rPr>
          <w:rFonts w:ascii="Arial" w:cs="Arial" w:eastAsia="Arial" w:hAnsi="Arial"/>
          <w:sz w:val="22"/>
          <w:szCs w:val="22"/>
          <w:color w:val="auto"/>
        </w:rPr>
        <w:t xml:space="preserve"> the </w:t>
      </w:r>
      <w:r>
        <w:rPr>
          <w:rFonts w:ascii="Arial" w:cs="Arial" w:eastAsia="Arial" w:hAnsi="Arial"/>
          <w:sz w:val="22"/>
          <w:szCs w:val="22"/>
          <w:color w:val="111111"/>
        </w:rPr>
        <w:t>benefit</w:t>
      </w:r>
      <w:r>
        <w:rPr>
          <w:rFonts w:ascii="Arial" w:cs="Arial" w:eastAsia="Arial" w:hAnsi="Arial"/>
          <w:sz w:val="22"/>
          <w:szCs w:val="22"/>
          <w:color w:val="auto"/>
        </w:rPr>
        <w:t xml:space="preserve"> of Landlord and </w:t>
      </w:r>
      <w:r>
        <w:rPr>
          <w:rFonts w:ascii="Arial" w:cs="Arial" w:eastAsia="Arial" w:hAnsi="Arial"/>
          <w:sz w:val="22"/>
          <w:szCs w:val="22"/>
          <w:color w:val="111111"/>
        </w:rPr>
        <w:t>Tenant</w:t>
      </w:r>
      <w:r>
        <w:rPr>
          <w:rFonts w:ascii="Arial" w:cs="Arial" w:eastAsia="Arial" w:hAnsi="Arial"/>
          <w:sz w:val="22"/>
          <w:szCs w:val="22"/>
          <w:color w:val="auto"/>
        </w:rPr>
        <w:t xml:space="preserve"> </w:t>
      </w:r>
      <w:r>
        <w:rPr>
          <w:rFonts w:ascii="Arial" w:cs="Arial" w:eastAsia="Arial" w:hAnsi="Arial"/>
          <w:sz w:val="22"/>
          <w:szCs w:val="22"/>
          <w:color w:val="363636"/>
        </w:rPr>
        <w:t>from</w:t>
      </w:r>
      <w:r>
        <w:rPr>
          <w:rFonts w:ascii="Arial" w:cs="Arial" w:eastAsia="Arial" w:hAnsi="Arial"/>
          <w:sz w:val="22"/>
          <w:szCs w:val="22"/>
          <w:color w:val="auto"/>
        </w:rPr>
        <w:t xml:space="preserve"> </w:t>
      </w:r>
      <w:r>
        <w:rPr>
          <w:rFonts w:ascii="Arial" w:cs="Arial" w:eastAsia="Arial" w:hAnsi="Arial"/>
          <w:sz w:val="22"/>
          <w:szCs w:val="22"/>
          <w:color w:val="363636"/>
        </w:rPr>
        <w:t xml:space="preserve">the </w:t>
      </w:r>
      <w:r>
        <w:rPr>
          <w:rFonts w:ascii="Arial" w:cs="Arial" w:eastAsia="Arial" w:hAnsi="Arial"/>
          <w:sz w:val="22"/>
          <w:szCs w:val="22"/>
          <w:color w:val="111111"/>
        </w:rPr>
        <w:t>date</w:t>
      </w:r>
      <w:r>
        <w:rPr>
          <w:rFonts w:ascii="Arial" w:cs="Arial" w:eastAsia="Arial" w:hAnsi="Arial"/>
          <w:sz w:val="22"/>
          <w:szCs w:val="22"/>
          <w:color w:val="363636"/>
        </w:rPr>
        <w:t xml:space="preserve"> </w:t>
      </w:r>
      <w:r>
        <w:rPr>
          <w:rFonts w:ascii="Arial" w:cs="Arial" w:eastAsia="Arial" w:hAnsi="Arial"/>
          <w:sz w:val="22"/>
          <w:szCs w:val="22"/>
          <w:color w:val="000000"/>
        </w:rPr>
        <w:t>of execution and</w:t>
      </w:r>
      <w:r>
        <w:rPr>
          <w:rFonts w:ascii="Arial" w:cs="Arial" w:eastAsia="Arial" w:hAnsi="Arial"/>
          <w:sz w:val="22"/>
          <w:szCs w:val="22"/>
          <w:color w:val="363636"/>
        </w:rPr>
        <w:t xml:space="preserve"> </w:t>
      </w:r>
      <w:r>
        <w:rPr>
          <w:rFonts w:ascii="Arial" w:cs="Arial" w:eastAsia="Arial" w:hAnsi="Arial"/>
          <w:sz w:val="22"/>
          <w:szCs w:val="22"/>
          <w:color w:val="111111"/>
        </w:rPr>
        <w:t>delivery hereof by</w:t>
      </w:r>
      <w:r>
        <w:rPr>
          <w:rFonts w:ascii="Arial" w:cs="Arial" w:eastAsia="Arial" w:hAnsi="Arial"/>
          <w:sz w:val="22"/>
          <w:szCs w:val="22"/>
          <w:color w:val="363636"/>
        </w:rPr>
        <w:t xml:space="preserve"> </w:t>
      </w:r>
      <w:r>
        <w:rPr>
          <w:rFonts w:ascii="Arial" w:cs="Arial" w:eastAsia="Arial" w:hAnsi="Arial"/>
          <w:sz w:val="22"/>
          <w:szCs w:val="22"/>
          <w:color w:val="000000"/>
        </w:rPr>
        <w:t>all</w:t>
      </w:r>
      <w:r>
        <w:rPr>
          <w:rFonts w:ascii="Arial" w:cs="Arial" w:eastAsia="Arial" w:hAnsi="Arial"/>
          <w:sz w:val="22"/>
          <w:szCs w:val="22"/>
          <w:color w:val="363636"/>
        </w:rPr>
        <w:t xml:space="preserve"> </w:t>
      </w:r>
      <w:r>
        <w:rPr>
          <w:rFonts w:ascii="Arial" w:cs="Arial" w:eastAsia="Arial" w:hAnsi="Arial"/>
          <w:sz w:val="22"/>
          <w:szCs w:val="22"/>
          <w:color w:val="111111"/>
        </w:rPr>
        <w:t>parties hereto.</w:t>
      </w:r>
    </w:p>
    <w:p>
      <w:pPr>
        <w:spacing w:after="0" w:line="158"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 xml:space="preserve">2.2 In </w:t>
      </w:r>
      <w:r>
        <w:rPr>
          <w:rFonts w:ascii="Arial" w:cs="Arial" w:eastAsia="Arial" w:hAnsi="Arial"/>
          <w:sz w:val="22"/>
          <w:szCs w:val="22"/>
          <w:color w:val="131313"/>
        </w:rPr>
        <w:t>the definitions below, each</w:t>
      </w:r>
      <w:r>
        <w:rPr>
          <w:rFonts w:ascii="Arial" w:cs="Arial" w:eastAsia="Arial" w:hAnsi="Arial"/>
          <w:sz w:val="22"/>
          <w:szCs w:val="22"/>
          <w:color w:val="auto"/>
        </w:rPr>
        <w:t xml:space="preserve"> current </w:t>
      </w:r>
      <w:r>
        <w:rPr>
          <w:rFonts w:ascii="Arial" w:cs="Arial" w:eastAsia="Arial" w:hAnsi="Arial"/>
          <w:sz w:val="22"/>
          <w:szCs w:val="22"/>
          <w:color w:val="131313"/>
        </w:rPr>
        <w:t>Rentable</w:t>
      </w:r>
      <w:r>
        <w:rPr>
          <w:rFonts w:ascii="Arial" w:cs="Arial" w:eastAsia="Arial" w:hAnsi="Arial"/>
          <w:sz w:val="22"/>
          <w:szCs w:val="22"/>
          <w:color w:val="auto"/>
        </w:rPr>
        <w:t xml:space="preserve"> Area (as defined </w:t>
      </w:r>
      <w:r>
        <w:rPr>
          <w:rFonts w:ascii="Arial" w:cs="Arial" w:eastAsia="Arial" w:hAnsi="Arial"/>
          <w:sz w:val="22"/>
          <w:szCs w:val="22"/>
          <w:color w:val="131313"/>
        </w:rPr>
        <w:t>below) is expressed in</w:t>
      </w:r>
      <w:r>
        <w:rPr>
          <w:rFonts w:ascii="Arial" w:cs="Arial" w:eastAsia="Arial" w:hAnsi="Arial"/>
          <w:sz w:val="22"/>
          <w:szCs w:val="22"/>
          <w:color w:val="auto"/>
        </w:rPr>
        <w:t xml:space="preserve"> rentable square </w:t>
      </w:r>
      <w:r>
        <w:rPr>
          <w:rFonts w:ascii="Arial" w:cs="Arial" w:eastAsia="Arial" w:hAnsi="Arial"/>
          <w:sz w:val="22"/>
          <w:szCs w:val="22"/>
          <w:color w:val="131313"/>
        </w:rPr>
        <w:t>footage.</w:t>
      </w:r>
      <w:r>
        <w:rPr>
          <w:rFonts w:ascii="Arial" w:cs="Arial" w:eastAsia="Arial" w:hAnsi="Arial"/>
          <w:sz w:val="22"/>
          <w:szCs w:val="22"/>
          <w:color w:val="auto"/>
        </w:rPr>
        <w:t xml:space="preserve"> Rentable </w:t>
      </w:r>
      <w:r>
        <w:rPr>
          <w:rFonts w:ascii="Arial" w:cs="Arial" w:eastAsia="Arial" w:hAnsi="Arial"/>
          <w:sz w:val="22"/>
          <w:szCs w:val="22"/>
          <w:color w:val="131313"/>
        </w:rPr>
        <w:t>Area</w:t>
      </w:r>
      <w:r>
        <w:rPr>
          <w:rFonts w:ascii="Arial" w:cs="Arial" w:eastAsia="Arial" w:hAnsi="Arial"/>
          <w:sz w:val="22"/>
          <w:szCs w:val="22"/>
          <w:color w:val="auto"/>
        </w:rPr>
        <w:t xml:space="preserve"> and </w:t>
      </w:r>
      <w:r>
        <w:rPr>
          <w:rFonts w:ascii="Arial" w:cs="Arial" w:eastAsia="Arial" w:hAnsi="Arial"/>
          <w:sz w:val="22"/>
          <w:szCs w:val="22"/>
          <w:color w:val="383838"/>
        </w:rPr>
        <w:t>Tenant’s</w:t>
      </w:r>
      <w:r>
        <w:rPr>
          <w:rFonts w:ascii="Arial" w:cs="Arial" w:eastAsia="Arial" w:hAnsi="Arial"/>
          <w:sz w:val="22"/>
          <w:szCs w:val="22"/>
          <w:color w:val="auto"/>
        </w:rPr>
        <w:t xml:space="preserve"> </w:t>
      </w:r>
      <w:r>
        <w:rPr>
          <w:rFonts w:ascii="Arial" w:cs="Arial" w:eastAsia="Arial" w:hAnsi="Arial"/>
          <w:sz w:val="22"/>
          <w:szCs w:val="22"/>
          <w:color w:val="131313"/>
        </w:rPr>
        <w:t>Pro</w:t>
      </w:r>
      <w:r>
        <w:rPr>
          <w:rFonts w:ascii="Arial" w:cs="Arial" w:eastAsia="Arial" w:hAnsi="Arial"/>
          <w:sz w:val="22"/>
          <w:szCs w:val="22"/>
          <w:color w:val="auto"/>
        </w:rPr>
        <w:t xml:space="preserve"> Rata Shares </w:t>
      </w:r>
      <w:r>
        <w:rPr>
          <w:rFonts w:ascii="Arial" w:cs="Arial" w:eastAsia="Arial" w:hAnsi="Arial"/>
          <w:sz w:val="22"/>
          <w:szCs w:val="22"/>
          <w:color w:val="131313"/>
        </w:rPr>
        <w:t>(as defined below)</w:t>
      </w:r>
      <w:r>
        <w:rPr>
          <w:rFonts w:ascii="Arial" w:cs="Arial" w:eastAsia="Arial" w:hAnsi="Arial"/>
          <w:sz w:val="22"/>
          <w:szCs w:val="22"/>
          <w:color w:val="auto"/>
        </w:rPr>
        <w:t xml:space="preserve"> are all subject </w:t>
      </w:r>
      <w:r>
        <w:rPr>
          <w:rFonts w:ascii="Arial" w:cs="Arial" w:eastAsia="Arial" w:hAnsi="Arial"/>
          <w:sz w:val="22"/>
          <w:szCs w:val="22"/>
          <w:color w:val="131313"/>
        </w:rPr>
        <w:t>to</w:t>
      </w:r>
      <w:r>
        <w:rPr>
          <w:rFonts w:ascii="Arial" w:cs="Arial" w:eastAsia="Arial" w:hAnsi="Arial"/>
          <w:sz w:val="22"/>
          <w:szCs w:val="22"/>
          <w:color w:val="auto"/>
        </w:rPr>
        <w:t xml:space="preserve"> adjustment as provided </w:t>
      </w:r>
      <w:r>
        <w:rPr>
          <w:rFonts w:ascii="Arial" w:cs="Arial" w:eastAsia="Arial" w:hAnsi="Arial"/>
          <w:sz w:val="22"/>
          <w:szCs w:val="22"/>
          <w:color w:val="131313"/>
        </w:rPr>
        <w:t>in this</w:t>
      </w:r>
      <w:r>
        <w:rPr>
          <w:rFonts w:ascii="Arial" w:cs="Arial" w:eastAsia="Arial" w:hAnsi="Arial"/>
          <w:sz w:val="22"/>
          <w:szCs w:val="22"/>
          <w:color w:val="auto"/>
        </w:rPr>
        <w:t xml:space="preserv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8" w:right="339" w:bottom="1440" w:gutter="0" w:footer="0" w:header="0"/>
        </w:sectPr>
      </w:pPr>
    </w:p>
    <w:bookmarkStart w:id="320" w:name="page321"/>
    <w:bookmarkEnd w:id="320"/>
    <w:p>
      <w:pPr>
        <w:spacing w:after="0" w:line="3"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1840" w:type="dxa"/>
            <w:vAlign w:val="bottom"/>
            <w:tcBorders>
              <w:top w:val="single" w:sz="8" w:color="auto"/>
              <w:left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spacing w:after="0"/>
              <w:rPr>
                <w:sz w:val="19"/>
                <w:szCs w:val="19"/>
                <w:color w:val="auto"/>
              </w:rPr>
            </w:pPr>
          </w:p>
        </w:tc>
        <w:tc>
          <w:tcPr>
            <w:tcW w:w="5320" w:type="dxa"/>
            <w:vAlign w:val="bottom"/>
            <w:tcBorders>
              <w:top w:val="single" w:sz="8" w:color="auto"/>
              <w:right w:val="single" w:sz="8" w:color="auto"/>
            </w:tcBorders>
            <w:gridSpan w:val="9"/>
          </w:tcPr>
          <w:p>
            <w:pPr>
              <w:jc w:val="center"/>
              <w:spacing w:after="0" w:line="229" w:lineRule="exact"/>
              <w:rPr>
                <w:sz w:val="20"/>
                <w:szCs w:val="20"/>
                <w:color w:val="auto"/>
              </w:rPr>
            </w:pPr>
            <w:r>
              <w:rPr>
                <w:rFonts w:ascii="Arial" w:cs="Arial" w:eastAsia="Arial" w:hAnsi="Arial"/>
                <w:sz w:val="22"/>
                <w:szCs w:val="22"/>
                <w:b w:val="1"/>
                <w:bCs w:val="1"/>
                <w:color w:val="auto"/>
                <w:w w:val="88"/>
              </w:rPr>
              <w:t>Means the Following (As of the Term Commencement</w:t>
            </w:r>
          </w:p>
        </w:tc>
        <w:tc>
          <w:tcPr>
            <w:tcW w:w="0" w:type="dxa"/>
            <w:vAlign w:val="bottom"/>
          </w:tcPr>
          <w:p>
            <w:pPr>
              <w:spacing w:after="0"/>
              <w:rPr>
                <w:sz w:val="1"/>
                <w:szCs w:val="1"/>
                <w:color w:val="auto"/>
              </w:rPr>
            </w:pPr>
          </w:p>
        </w:tc>
      </w:tr>
      <w:tr>
        <w:trPr>
          <w:trHeight w:val="196"/>
        </w:trPr>
        <w:tc>
          <w:tcPr>
            <w:tcW w:w="58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2"/>
                <w:szCs w:val="22"/>
                <w:b w:val="1"/>
                <w:bCs w:val="1"/>
                <w:color w:val="auto"/>
                <w:w w:val="89"/>
              </w:rPr>
              <w:t>Definition or Provision</w:t>
            </w:r>
          </w:p>
        </w:tc>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gridSpan w:val="5"/>
          </w:tcPr>
          <w:p>
            <w:pPr>
              <w:jc w:val="center"/>
              <w:ind w:right="680"/>
              <w:spacing w:after="0" w:line="195" w:lineRule="exact"/>
              <w:rPr>
                <w:sz w:val="20"/>
                <w:szCs w:val="20"/>
                <w:color w:val="auto"/>
              </w:rPr>
            </w:pPr>
            <w:r>
              <w:rPr>
                <w:rFonts w:ascii="Arial" w:cs="Arial" w:eastAsia="Arial" w:hAnsi="Arial"/>
                <w:sz w:val="22"/>
                <w:szCs w:val="22"/>
                <w:b w:val="1"/>
                <w:bCs w:val="1"/>
                <w:color w:val="auto"/>
                <w:w w:val="90"/>
              </w:rPr>
              <w:t>Date)</w:t>
            </w:r>
          </w:p>
        </w:tc>
        <w:tc>
          <w:tcPr>
            <w:tcW w:w="150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5800" w:type="dxa"/>
            <w:vAlign w:val="bottom"/>
            <w:tcBorders>
              <w:left w:val="single" w:sz="8" w:color="auto"/>
              <w:right w:val="single" w:sz="8" w:color="auto"/>
            </w:tcBorders>
            <w:gridSpan w:val="3"/>
            <w:vMerge w:val="continue"/>
          </w:tcPr>
          <w:p>
            <w:pPr>
              <w:spacing w:after="0"/>
              <w:rPr>
                <w:sz w:val="7"/>
                <w:szCs w:val="7"/>
                <w:color w:val="auto"/>
              </w:rPr>
            </w:pPr>
          </w:p>
        </w:tc>
        <w:tc>
          <w:tcPr>
            <w:tcW w:w="1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840" w:type="dxa"/>
            <w:vAlign w:val="bottom"/>
            <w:tcBorders>
              <w:left w:val="single" w:sz="8" w:color="auto"/>
              <w:bottom w:val="single" w:sz="8" w:color="auto"/>
            </w:tcBorders>
          </w:tcPr>
          <w:p>
            <w:pPr>
              <w:spacing w:after="0"/>
              <w:rPr>
                <w:sz w:val="2"/>
                <w:szCs w:val="2"/>
                <w:color w:val="auto"/>
              </w:rPr>
            </w:pPr>
          </w:p>
        </w:tc>
        <w:tc>
          <w:tcPr>
            <w:tcW w:w="2120" w:type="dxa"/>
            <w:vAlign w:val="bottom"/>
            <w:tcBorders>
              <w:top w:val="single" w:sz="8" w:color="auto"/>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2"/>
                <w:szCs w:val="22"/>
                <w:color w:val="auto"/>
                <w:w w:val="88"/>
              </w:rPr>
              <w:t>Rentable Area of Premises</w:t>
            </w:r>
          </w:p>
        </w:tc>
        <w:tc>
          <w:tcPr>
            <w:tcW w:w="1920" w:type="dxa"/>
            <w:vAlign w:val="bottom"/>
          </w:tcPr>
          <w:p>
            <w:pPr>
              <w:spacing w:after="0"/>
              <w:rPr>
                <w:sz w:val="18"/>
                <w:szCs w:val="18"/>
                <w:color w:val="auto"/>
              </w:rPr>
            </w:pPr>
          </w:p>
        </w:tc>
        <w:tc>
          <w:tcPr>
            <w:tcW w:w="3400" w:type="dxa"/>
            <w:vAlign w:val="bottom"/>
            <w:tcBorders>
              <w:right w:val="single" w:sz="8" w:color="auto"/>
            </w:tcBorders>
            <w:gridSpan w:val="8"/>
          </w:tcPr>
          <w:p>
            <w:pPr>
              <w:jc w:val="center"/>
              <w:ind w:right="1940"/>
              <w:spacing w:after="0" w:line="209" w:lineRule="exact"/>
              <w:rPr>
                <w:sz w:val="20"/>
                <w:szCs w:val="20"/>
                <w:color w:val="auto"/>
              </w:rPr>
            </w:pPr>
            <w:r>
              <w:rPr>
                <w:rFonts w:ascii="Arial" w:cs="Arial" w:eastAsia="Arial" w:hAnsi="Arial"/>
                <w:sz w:val="22"/>
                <w:szCs w:val="22"/>
                <w:color w:val="auto"/>
                <w:w w:val="94"/>
              </w:rPr>
              <w:t>[***] square feet</w:t>
            </w:r>
          </w:p>
        </w:tc>
        <w:tc>
          <w:tcPr>
            <w:tcW w:w="0" w:type="dxa"/>
            <w:vAlign w:val="bottom"/>
          </w:tcPr>
          <w:p>
            <w:pPr>
              <w:spacing w:after="0"/>
              <w:rPr>
                <w:sz w:val="1"/>
                <w:szCs w:val="1"/>
                <w:color w:val="auto"/>
              </w:rPr>
            </w:pPr>
          </w:p>
        </w:tc>
      </w:tr>
      <w:tr>
        <w:trPr>
          <w:trHeight w:val="140"/>
        </w:trPr>
        <w:tc>
          <w:tcPr>
            <w:tcW w:w="5800" w:type="dxa"/>
            <w:vAlign w:val="bottom"/>
            <w:tcBorders>
              <w:left w:val="single" w:sz="8" w:color="auto"/>
              <w:bottom w:val="single" w:sz="8" w:color="auto"/>
              <w:right w:val="single" w:sz="8" w:color="auto"/>
            </w:tcBorders>
            <w:gridSpan w:val="3"/>
            <w:vMerge w:val="continue"/>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8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2"/>
                <w:szCs w:val="22"/>
                <w:color w:val="auto"/>
                <w:w w:val="91"/>
              </w:rPr>
              <w:t>Rentable Area of Building</w:t>
            </w:r>
          </w:p>
        </w:tc>
        <w:tc>
          <w:tcPr>
            <w:tcW w:w="1920" w:type="dxa"/>
            <w:vAlign w:val="bottom"/>
          </w:tcPr>
          <w:p>
            <w:pPr>
              <w:spacing w:after="0"/>
              <w:rPr>
                <w:sz w:val="18"/>
                <w:szCs w:val="18"/>
                <w:color w:val="auto"/>
              </w:rPr>
            </w:pPr>
          </w:p>
        </w:tc>
        <w:tc>
          <w:tcPr>
            <w:tcW w:w="3400" w:type="dxa"/>
            <w:vAlign w:val="bottom"/>
            <w:tcBorders>
              <w:right w:val="single" w:sz="8" w:color="auto"/>
            </w:tcBorders>
            <w:gridSpan w:val="8"/>
          </w:tcPr>
          <w:p>
            <w:pPr>
              <w:jc w:val="center"/>
              <w:ind w:right="1940"/>
              <w:spacing w:after="0" w:line="211" w:lineRule="exact"/>
              <w:rPr>
                <w:sz w:val="20"/>
                <w:szCs w:val="20"/>
                <w:color w:val="auto"/>
              </w:rPr>
            </w:pPr>
            <w:r>
              <w:rPr>
                <w:rFonts w:ascii="Arial" w:cs="Arial" w:eastAsia="Arial" w:hAnsi="Arial"/>
                <w:sz w:val="22"/>
                <w:szCs w:val="22"/>
                <w:color w:val="auto"/>
                <w:w w:val="94"/>
              </w:rPr>
              <w:t>[***] square feet</w:t>
            </w:r>
          </w:p>
        </w:tc>
        <w:tc>
          <w:tcPr>
            <w:tcW w:w="0" w:type="dxa"/>
            <w:vAlign w:val="bottom"/>
          </w:tcPr>
          <w:p>
            <w:pPr>
              <w:spacing w:after="0"/>
              <w:rPr>
                <w:sz w:val="1"/>
                <w:szCs w:val="1"/>
                <w:color w:val="auto"/>
              </w:rPr>
            </w:pPr>
          </w:p>
        </w:tc>
      </w:tr>
      <w:tr>
        <w:trPr>
          <w:trHeight w:val="140"/>
        </w:trPr>
        <w:tc>
          <w:tcPr>
            <w:tcW w:w="5800" w:type="dxa"/>
            <w:vAlign w:val="bottom"/>
            <w:tcBorders>
              <w:left w:val="single" w:sz="8" w:color="auto"/>
              <w:bottom w:val="single" w:sz="8" w:color="auto"/>
              <w:right w:val="single" w:sz="8" w:color="auto"/>
            </w:tcBorders>
            <w:gridSpan w:val="3"/>
            <w:vMerge w:val="continue"/>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8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2"/>
                <w:szCs w:val="22"/>
                <w:color w:val="auto"/>
                <w:w w:val="89"/>
              </w:rPr>
              <w:t>Rentable Area of Project</w:t>
            </w:r>
          </w:p>
        </w:tc>
        <w:tc>
          <w:tcPr>
            <w:tcW w:w="1920" w:type="dxa"/>
            <w:vAlign w:val="bottom"/>
          </w:tcPr>
          <w:p>
            <w:pPr>
              <w:spacing w:after="0"/>
              <w:rPr>
                <w:sz w:val="18"/>
                <w:szCs w:val="18"/>
                <w:color w:val="auto"/>
              </w:rPr>
            </w:pPr>
          </w:p>
        </w:tc>
        <w:tc>
          <w:tcPr>
            <w:tcW w:w="3400" w:type="dxa"/>
            <w:vAlign w:val="bottom"/>
            <w:tcBorders>
              <w:right w:val="single" w:sz="8" w:color="auto"/>
            </w:tcBorders>
            <w:gridSpan w:val="8"/>
          </w:tcPr>
          <w:p>
            <w:pPr>
              <w:jc w:val="center"/>
              <w:ind w:right="1940"/>
              <w:spacing w:after="0" w:line="211" w:lineRule="exact"/>
              <w:rPr>
                <w:sz w:val="20"/>
                <w:szCs w:val="20"/>
                <w:color w:val="auto"/>
              </w:rPr>
            </w:pPr>
            <w:r>
              <w:rPr>
                <w:rFonts w:ascii="Arial" w:cs="Arial" w:eastAsia="Arial" w:hAnsi="Arial"/>
                <w:sz w:val="22"/>
                <w:szCs w:val="22"/>
                <w:color w:val="auto"/>
                <w:w w:val="94"/>
              </w:rPr>
              <w:t>[***] square feet</w:t>
            </w:r>
          </w:p>
        </w:tc>
        <w:tc>
          <w:tcPr>
            <w:tcW w:w="0" w:type="dxa"/>
            <w:vAlign w:val="bottom"/>
          </w:tcPr>
          <w:p>
            <w:pPr>
              <w:spacing w:after="0"/>
              <w:rPr>
                <w:sz w:val="1"/>
                <w:szCs w:val="1"/>
                <w:color w:val="auto"/>
              </w:rPr>
            </w:pPr>
          </w:p>
        </w:tc>
      </w:tr>
      <w:tr>
        <w:trPr>
          <w:trHeight w:val="140"/>
        </w:trPr>
        <w:tc>
          <w:tcPr>
            <w:tcW w:w="5800" w:type="dxa"/>
            <w:vAlign w:val="bottom"/>
            <w:tcBorders>
              <w:left w:val="single" w:sz="8" w:color="auto"/>
              <w:bottom w:val="single" w:sz="8" w:color="auto"/>
              <w:right w:val="single" w:sz="8" w:color="auto"/>
            </w:tcBorders>
            <w:gridSpan w:val="3"/>
            <w:vMerge w:val="continue"/>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8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2"/>
                <w:szCs w:val="22"/>
                <w:color w:val="auto"/>
                <w:w w:val="88"/>
              </w:rPr>
              <w:t>Tenant’s Pro Rata Share of Building</w:t>
            </w:r>
          </w:p>
        </w:tc>
        <w:tc>
          <w:tcPr>
            <w:tcW w:w="3640" w:type="dxa"/>
            <w:vAlign w:val="bottom"/>
            <w:gridSpan w:val="7"/>
          </w:tcPr>
          <w:p>
            <w:pPr>
              <w:jc w:val="center"/>
              <w:ind w:left="1572"/>
              <w:spacing w:after="0" w:line="211" w:lineRule="exact"/>
              <w:rPr>
                <w:sz w:val="20"/>
                <w:szCs w:val="20"/>
                <w:color w:val="auto"/>
              </w:rPr>
            </w:pPr>
            <w:r>
              <w:rPr>
                <w:rFonts w:ascii="Arial" w:cs="Arial" w:eastAsia="Arial" w:hAnsi="Arial"/>
                <w:sz w:val="22"/>
                <w:szCs w:val="22"/>
                <w:color w:val="auto"/>
              </w:rPr>
              <w:t>[***]%</w:t>
            </w:r>
          </w:p>
        </w:tc>
        <w:tc>
          <w:tcPr>
            <w:tcW w:w="15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5800" w:type="dxa"/>
            <w:vAlign w:val="bottom"/>
            <w:tcBorders>
              <w:left w:val="single" w:sz="8" w:color="auto"/>
              <w:bottom w:val="single" w:sz="8" w:color="auto"/>
              <w:right w:val="single" w:sz="8" w:color="auto"/>
            </w:tcBorders>
            <w:gridSpan w:val="3"/>
            <w:vMerge w:val="continue"/>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8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2"/>
                <w:szCs w:val="22"/>
                <w:color w:val="auto"/>
                <w:w w:val="87"/>
              </w:rPr>
              <w:t>Tenant’s Pro Rata Share of Common Areas</w:t>
            </w:r>
          </w:p>
        </w:tc>
        <w:tc>
          <w:tcPr>
            <w:tcW w:w="3640" w:type="dxa"/>
            <w:vAlign w:val="bottom"/>
            <w:gridSpan w:val="7"/>
          </w:tcPr>
          <w:p>
            <w:pPr>
              <w:jc w:val="center"/>
              <w:ind w:left="1572"/>
              <w:spacing w:after="0" w:line="211" w:lineRule="exact"/>
              <w:rPr>
                <w:sz w:val="20"/>
                <w:szCs w:val="20"/>
                <w:color w:val="auto"/>
              </w:rPr>
            </w:pPr>
            <w:r>
              <w:rPr>
                <w:rFonts w:ascii="Arial" w:cs="Arial" w:eastAsia="Arial" w:hAnsi="Arial"/>
                <w:sz w:val="22"/>
                <w:szCs w:val="22"/>
                <w:color w:val="auto"/>
              </w:rPr>
              <w:t>[***]%</w:t>
            </w:r>
          </w:p>
        </w:tc>
        <w:tc>
          <w:tcPr>
            <w:tcW w:w="15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5800" w:type="dxa"/>
            <w:vAlign w:val="bottom"/>
            <w:tcBorders>
              <w:left w:val="single" w:sz="8" w:color="auto"/>
              <w:bottom w:val="single" w:sz="8" w:color="auto"/>
              <w:right w:val="single" w:sz="8" w:color="auto"/>
            </w:tcBorders>
            <w:gridSpan w:val="3"/>
            <w:vMerge w:val="continue"/>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both"/>
        <w:ind w:left="1300" w:right="40" w:hanging="647"/>
        <w:spacing w:after="0" w:line="232" w:lineRule="auto"/>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 xml:space="preserve">Initial monthly and </w:t>
      </w:r>
      <w:r>
        <w:rPr>
          <w:rFonts w:ascii="Arial" w:cs="Arial" w:eastAsia="Arial" w:hAnsi="Arial"/>
          <w:sz w:val="22"/>
          <w:szCs w:val="22"/>
          <w:color w:val="282828"/>
        </w:rPr>
        <w:t>annual</w:t>
      </w:r>
      <w:r>
        <w:rPr>
          <w:rFonts w:ascii="Arial" w:cs="Arial" w:eastAsia="Arial" w:hAnsi="Arial"/>
          <w:sz w:val="22"/>
          <w:szCs w:val="22"/>
          <w:color w:val="auto"/>
        </w:rPr>
        <w:t xml:space="preserve"> installments of </w:t>
      </w:r>
      <w:r>
        <w:rPr>
          <w:rFonts w:ascii="Arial" w:cs="Arial" w:eastAsia="Arial" w:hAnsi="Arial"/>
          <w:sz w:val="22"/>
          <w:szCs w:val="22"/>
          <w:color w:val="282828"/>
        </w:rPr>
        <w:t>Base</w:t>
      </w:r>
      <w:r>
        <w:rPr>
          <w:rFonts w:ascii="Arial" w:cs="Arial" w:eastAsia="Arial" w:hAnsi="Arial"/>
          <w:sz w:val="22"/>
          <w:szCs w:val="22"/>
          <w:color w:val="auto"/>
        </w:rPr>
        <w:t xml:space="preserve"> Rent </w:t>
      </w:r>
      <w:r>
        <w:rPr>
          <w:rFonts w:ascii="Arial" w:cs="Arial" w:eastAsia="Arial" w:hAnsi="Arial"/>
          <w:sz w:val="22"/>
          <w:szCs w:val="22"/>
          <w:color w:val="282828"/>
        </w:rPr>
        <w:t>for the</w:t>
      </w:r>
      <w:r>
        <w:rPr>
          <w:rFonts w:ascii="Arial" w:cs="Arial" w:eastAsia="Arial" w:hAnsi="Arial"/>
          <w:sz w:val="22"/>
          <w:szCs w:val="22"/>
          <w:color w:val="auto"/>
        </w:rPr>
        <w:t xml:space="preserve"> Premises (“</w:t>
      </w:r>
      <w:r>
        <w:rPr>
          <w:rFonts w:ascii="Arial" w:cs="Arial" w:eastAsia="Arial" w:hAnsi="Arial"/>
          <w:sz w:val="22"/>
          <w:szCs w:val="22"/>
          <w:u w:val="single" w:color="auto"/>
          <w:color w:val="auto"/>
        </w:rPr>
        <w:t>Base Rent</w:t>
      </w:r>
      <w:r>
        <w:rPr>
          <w:rFonts w:ascii="Arial" w:cs="Arial" w:eastAsia="Arial" w:hAnsi="Arial"/>
          <w:sz w:val="22"/>
          <w:szCs w:val="22"/>
          <w:color w:val="auto"/>
        </w:rPr>
        <w:t xml:space="preserve">”) </w:t>
      </w:r>
      <w:r>
        <w:rPr>
          <w:rFonts w:ascii="Arial" w:cs="Arial" w:eastAsia="Arial" w:hAnsi="Arial"/>
          <w:sz w:val="22"/>
          <w:szCs w:val="22"/>
          <w:color w:val="282828"/>
        </w:rPr>
        <w:t>as</w:t>
      </w:r>
      <w:r>
        <w:rPr>
          <w:rFonts w:ascii="Arial" w:cs="Arial" w:eastAsia="Arial" w:hAnsi="Arial"/>
          <w:sz w:val="22"/>
          <w:szCs w:val="22"/>
          <w:color w:val="auto"/>
        </w:rPr>
        <w:t xml:space="preserve"> of </w:t>
      </w:r>
      <w:r>
        <w:rPr>
          <w:rFonts w:ascii="Arial" w:cs="Arial" w:eastAsia="Arial" w:hAnsi="Arial"/>
          <w:sz w:val="22"/>
          <w:szCs w:val="22"/>
          <w:color w:val="383838"/>
        </w:rPr>
        <w:t>the</w:t>
      </w:r>
      <w:r>
        <w:rPr>
          <w:rFonts w:ascii="Arial" w:cs="Arial" w:eastAsia="Arial" w:hAnsi="Arial"/>
          <w:sz w:val="22"/>
          <w:szCs w:val="22"/>
          <w:color w:val="auto"/>
        </w:rPr>
        <w:t xml:space="preserve"> Term </w:t>
      </w:r>
      <w:r>
        <w:rPr>
          <w:rFonts w:ascii="Arial" w:cs="Arial" w:eastAsia="Arial" w:hAnsi="Arial"/>
          <w:sz w:val="22"/>
          <w:szCs w:val="22"/>
          <w:color w:val="383838"/>
        </w:rPr>
        <w:t xml:space="preserve">Commencement </w:t>
      </w:r>
      <w:r>
        <w:rPr>
          <w:rFonts w:ascii="Arial" w:cs="Arial" w:eastAsia="Arial" w:hAnsi="Arial"/>
          <w:sz w:val="22"/>
          <w:szCs w:val="22"/>
          <w:color w:val="000000"/>
        </w:rPr>
        <w:t>Date,</w:t>
      </w:r>
      <w:r>
        <w:rPr>
          <w:rFonts w:ascii="Arial" w:cs="Arial" w:eastAsia="Arial" w:hAnsi="Arial"/>
          <w:sz w:val="22"/>
          <w:szCs w:val="22"/>
          <w:color w:val="383838"/>
        </w:rPr>
        <w:t xml:space="preserve"> </w:t>
      </w:r>
      <w:r>
        <w:rPr>
          <w:rFonts w:ascii="Arial" w:cs="Arial" w:eastAsia="Arial" w:hAnsi="Arial"/>
          <w:sz w:val="22"/>
          <w:szCs w:val="22"/>
          <w:color w:val="282828"/>
        </w:rPr>
        <w:t>subject</w:t>
      </w:r>
      <w:r>
        <w:rPr>
          <w:rFonts w:ascii="Arial" w:cs="Arial" w:eastAsia="Arial" w:hAnsi="Arial"/>
          <w:sz w:val="22"/>
          <w:szCs w:val="22"/>
          <w:color w:val="383838"/>
        </w:rPr>
        <w:t xml:space="preserve"> </w:t>
      </w:r>
      <w:r>
        <w:rPr>
          <w:rFonts w:ascii="Arial" w:cs="Arial" w:eastAsia="Arial" w:hAnsi="Arial"/>
          <w:sz w:val="22"/>
          <w:szCs w:val="22"/>
          <w:color w:val="000000"/>
        </w:rPr>
        <w:t>to</w:t>
      </w:r>
      <w:r>
        <w:rPr>
          <w:rFonts w:ascii="Arial" w:cs="Arial" w:eastAsia="Arial" w:hAnsi="Arial"/>
          <w:sz w:val="22"/>
          <w:szCs w:val="22"/>
          <w:color w:val="383838"/>
        </w:rPr>
        <w:t xml:space="preserve"> </w:t>
      </w:r>
      <w:r>
        <w:rPr>
          <w:rFonts w:ascii="Arial" w:cs="Arial" w:eastAsia="Arial" w:hAnsi="Arial"/>
          <w:sz w:val="22"/>
          <w:szCs w:val="22"/>
          <w:color w:val="282828"/>
        </w:rPr>
        <w:t>adjustment</w:t>
      </w:r>
      <w:r>
        <w:rPr>
          <w:rFonts w:ascii="Arial" w:cs="Arial" w:eastAsia="Arial" w:hAnsi="Arial"/>
          <w:sz w:val="22"/>
          <w:szCs w:val="22"/>
          <w:color w:val="383838"/>
        </w:rPr>
        <w:t xml:space="preserve"> </w:t>
      </w:r>
      <w:r>
        <w:rPr>
          <w:rFonts w:ascii="Arial" w:cs="Arial" w:eastAsia="Arial" w:hAnsi="Arial"/>
          <w:sz w:val="22"/>
          <w:szCs w:val="22"/>
          <w:color w:val="000000"/>
        </w:rPr>
        <w:t>under</w:t>
      </w:r>
      <w:r>
        <w:rPr>
          <w:rFonts w:ascii="Arial" w:cs="Arial" w:eastAsia="Arial" w:hAnsi="Arial"/>
          <w:sz w:val="22"/>
          <w:szCs w:val="22"/>
          <w:color w:val="383838"/>
        </w:rPr>
        <w:t xml:space="preserve"> </w:t>
      </w:r>
      <w:r>
        <w:rPr>
          <w:rFonts w:ascii="Arial" w:cs="Arial" w:eastAsia="Arial" w:hAnsi="Arial"/>
          <w:sz w:val="22"/>
          <w:szCs w:val="22"/>
          <w:color w:val="282828"/>
        </w:rPr>
        <w:t>this</w:t>
      </w:r>
      <w:r>
        <w:rPr>
          <w:rFonts w:ascii="Arial" w:cs="Arial" w:eastAsia="Arial" w:hAnsi="Arial"/>
          <w:sz w:val="22"/>
          <w:szCs w:val="22"/>
          <w:color w:val="383838"/>
        </w:rPr>
        <w:t xml:space="preserve"> </w:t>
      </w:r>
      <w:r>
        <w:rPr>
          <w:rFonts w:ascii="Arial" w:cs="Arial" w:eastAsia="Arial" w:hAnsi="Arial"/>
          <w:sz w:val="22"/>
          <w:szCs w:val="22"/>
          <w:color w:val="000000"/>
        </w:rPr>
        <w:t>Lease: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60" w:type="dxa"/>
            <w:vAlign w:val="bottom"/>
            <w:tcBorders>
              <w:top w:val="single" w:sz="8" w:color="auto"/>
              <w:left w:val="single" w:sz="8" w:color="auto"/>
              <w:right w:val="single" w:sz="8" w:color="auto"/>
            </w:tcBorders>
            <w:gridSpan w:val="3"/>
            <w:vMerge w:val="restart"/>
          </w:tcPr>
          <w:p>
            <w:pPr>
              <w:ind w:left="900"/>
              <w:spacing w:after="0"/>
              <w:rPr>
                <w:sz w:val="20"/>
                <w:szCs w:val="20"/>
                <w:color w:val="auto"/>
              </w:rPr>
            </w:pPr>
            <w:r>
              <w:rPr>
                <w:rFonts w:ascii="Arial" w:cs="Arial" w:eastAsia="Arial" w:hAnsi="Arial"/>
                <w:sz w:val="20"/>
                <w:szCs w:val="20"/>
                <w:b w:val="1"/>
                <w:bCs w:val="1"/>
                <w:color w:val="auto"/>
              </w:rPr>
              <w:t>Dates</w:t>
            </w:r>
          </w:p>
        </w:tc>
        <w:tc>
          <w:tcPr>
            <w:tcW w:w="80" w:type="dxa"/>
            <w:vAlign w:val="bottom"/>
            <w:tcBorders>
              <w:top w:val="single" w:sz="8" w:color="auto"/>
            </w:tcBorders>
          </w:tcPr>
          <w:p>
            <w:pPr>
              <w:spacing w:after="0"/>
              <w:rPr>
                <w:sz w:val="18"/>
                <w:szCs w:val="18"/>
                <w:color w:val="auto"/>
              </w:rPr>
            </w:pPr>
          </w:p>
        </w:tc>
        <w:tc>
          <w:tcPr>
            <w:tcW w:w="2160" w:type="dxa"/>
            <w:vAlign w:val="bottom"/>
            <w:tcBorders>
              <w:top w:val="single" w:sz="8" w:color="auto"/>
              <w:right w:val="single" w:sz="8" w:color="auto"/>
            </w:tcBorders>
            <w:gridSpan w:val="6"/>
          </w:tcPr>
          <w:p>
            <w:pPr>
              <w:jc w:val="center"/>
              <w:ind w:right="120"/>
              <w:spacing w:after="0" w:line="216" w:lineRule="exact"/>
              <w:rPr>
                <w:sz w:val="20"/>
                <w:szCs w:val="20"/>
                <w:color w:val="auto"/>
              </w:rPr>
            </w:pPr>
            <w:r>
              <w:rPr>
                <w:rFonts w:ascii="Arial" w:cs="Arial" w:eastAsia="Arial" w:hAnsi="Arial"/>
                <w:sz w:val="20"/>
                <w:szCs w:val="20"/>
                <w:b w:val="1"/>
                <w:bCs w:val="1"/>
                <w:color w:val="auto"/>
                <w:w w:val="89"/>
              </w:rPr>
              <w:t>Square Feet of Rentable</w:t>
            </w:r>
          </w:p>
        </w:tc>
        <w:tc>
          <w:tcPr>
            <w:tcW w:w="180" w:type="dxa"/>
            <w:vAlign w:val="bottom"/>
            <w:tcBorders>
              <w:top w:val="single" w:sz="8" w:color="auto"/>
            </w:tcBorders>
          </w:tcPr>
          <w:p>
            <w:pPr>
              <w:spacing w:after="0"/>
              <w:rPr>
                <w:sz w:val="18"/>
                <w:szCs w:val="18"/>
                <w:color w:val="auto"/>
              </w:rPr>
            </w:pPr>
          </w:p>
        </w:tc>
        <w:tc>
          <w:tcPr>
            <w:tcW w:w="2080" w:type="dxa"/>
            <w:vAlign w:val="bottom"/>
            <w:tcBorders>
              <w:top w:val="single" w:sz="8" w:color="auto"/>
              <w:right w:val="single" w:sz="8" w:color="auto"/>
            </w:tcBorders>
            <w:gridSpan w:val="6"/>
          </w:tcPr>
          <w:p>
            <w:pPr>
              <w:jc w:val="center"/>
              <w:ind w:right="220"/>
              <w:spacing w:after="0" w:line="216" w:lineRule="exact"/>
              <w:rPr>
                <w:sz w:val="20"/>
                <w:szCs w:val="20"/>
                <w:color w:val="auto"/>
              </w:rPr>
            </w:pPr>
            <w:r>
              <w:rPr>
                <w:rFonts w:ascii="Arial" w:cs="Arial" w:eastAsia="Arial" w:hAnsi="Arial"/>
                <w:sz w:val="20"/>
                <w:szCs w:val="20"/>
                <w:b w:val="1"/>
                <w:bCs w:val="1"/>
                <w:color w:val="auto"/>
                <w:w w:val="87"/>
              </w:rPr>
              <w:t>Base Rent per Square</w:t>
            </w:r>
          </w:p>
        </w:tc>
        <w:tc>
          <w:tcPr>
            <w:tcW w:w="2240" w:type="dxa"/>
            <w:vAlign w:val="bottom"/>
            <w:tcBorders>
              <w:top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20"/>
                <w:szCs w:val="20"/>
                <w:b w:val="1"/>
                <w:bCs w:val="1"/>
                <w:color w:val="auto"/>
                <w:w w:val="89"/>
              </w:rPr>
              <w:t>Monthly Base Rent</w:t>
            </w:r>
          </w:p>
        </w:tc>
        <w:tc>
          <w:tcPr>
            <w:tcW w:w="2260" w:type="dxa"/>
            <w:vAlign w:val="bottom"/>
            <w:tcBorders>
              <w:top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20"/>
                <w:szCs w:val="20"/>
                <w:b w:val="1"/>
                <w:bCs w:val="1"/>
                <w:color w:val="auto"/>
                <w:w w:val="88"/>
              </w:rPr>
              <w:t>Annual Base Rent</w:t>
            </w:r>
          </w:p>
        </w:tc>
        <w:tc>
          <w:tcPr>
            <w:tcW w:w="0" w:type="dxa"/>
            <w:vAlign w:val="bottom"/>
          </w:tcPr>
          <w:p>
            <w:pPr>
              <w:spacing w:after="0"/>
              <w:rPr>
                <w:sz w:val="1"/>
                <w:szCs w:val="1"/>
                <w:color w:val="auto"/>
              </w:rPr>
            </w:pPr>
          </w:p>
        </w:tc>
      </w:tr>
      <w:tr>
        <w:trPr>
          <w:trHeight w:val="169"/>
        </w:trPr>
        <w:tc>
          <w:tcPr>
            <w:tcW w:w="2260" w:type="dxa"/>
            <w:vAlign w:val="bottom"/>
            <w:tcBorders>
              <w:top w:val="single" w:sz="8" w:color="auto"/>
              <w:left w:val="single" w:sz="8" w:color="auto"/>
              <w:right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4"/>
          </w:tcPr>
          <w:p>
            <w:pPr>
              <w:jc w:val="center"/>
              <w:ind w:right="800"/>
              <w:spacing w:after="0" w:line="169" w:lineRule="exact"/>
              <w:rPr>
                <w:sz w:val="20"/>
                <w:szCs w:val="20"/>
                <w:color w:val="auto"/>
              </w:rPr>
            </w:pPr>
            <w:r>
              <w:rPr>
                <w:rFonts w:ascii="Arial" w:cs="Arial" w:eastAsia="Arial" w:hAnsi="Arial"/>
                <w:sz w:val="19"/>
                <w:szCs w:val="19"/>
                <w:b w:val="1"/>
                <w:bCs w:val="1"/>
                <w:color w:val="auto"/>
                <w:w w:val="94"/>
              </w:rPr>
              <w:t>Area</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9"/>
                <w:szCs w:val="19"/>
                <w:b w:val="1"/>
                <w:bCs w:val="1"/>
                <w:color w:val="auto"/>
                <w:w w:val="92"/>
              </w:rPr>
              <w:t>Foot of Rentable Area</w:t>
            </w: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240" w:type="dxa"/>
            <w:vAlign w:val="bottom"/>
            <w:tcBorders>
              <w:top w:val="single" w:sz="8" w:color="auto"/>
              <w:right w:val="single" w:sz="8" w:color="auto"/>
            </w:tcBorders>
            <w:gridSpan w:val="5"/>
            <w:vMerge w:val="continue"/>
          </w:tcPr>
          <w:p>
            <w:pPr>
              <w:spacing w:after="0"/>
              <w:rPr>
                <w:sz w:val="14"/>
                <w:szCs w:val="14"/>
                <w:color w:val="auto"/>
              </w:rPr>
            </w:pPr>
          </w:p>
        </w:tc>
        <w:tc>
          <w:tcPr>
            <w:tcW w:w="2260" w:type="dxa"/>
            <w:vAlign w:val="bottom"/>
            <w:tcBorders>
              <w:top w:val="single" w:sz="8" w:color="auto"/>
              <w:right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260" w:type="dxa"/>
            <w:vAlign w:val="bottom"/>
            <w:tcBorders>
              <w:left w:val="single" w:sz="8" w:color="auto"/>
              <w:right w:val="single" w:sz="8" w:color="auto"/>
            </w:tcBorders>
            <w:gridSpan w:val="3"/>
          </w:tcPr>
          <w:p>
            <w:pPr>
              <w:ind w:left="900"/>
              <w:spacing w:after="0"/>
              <w:rPr>
                <w:sz w:val="20"/>
                <w:szCs w:val="20"/>
                <w:color w:val="auto"/>
              </w:rPr>
            </w:pPr>
            <w:r>
              <w:rPr>
                <w:rFonts w:ascii="Arial" w:cs="Arial" w:eastAsia="Arial" w:hAnsi="Arial"/>
                <w:sz w:val="22"/>
                <w:szCs w:val="22"/>
                <w:color w:val="auto"/>
              </w:rPr>
              <w:t>[***]</w:t>
            </w:r>
          </w:p>
        </w:tc>
        <w:tc>
          <w:tcPr>
            <w:tcW w:w="1340" w:type="dxa"/>
            <w:vAlign w:val="bottom"/>
            <w:gridSpan w:val="5"/>
          </w:tcPr>
          <w:p>
            <w:pPr>
              <w:jc w:val="center"/>
              <w:ind w:left="77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020" w:type="dxa"/>
            <w:vAlign w:val="bottom"/>
            <w:gridSpan w:val="5"/>
          </w:tcPr>
          <w:p>
            <w:pPr>
              <w:jc w:val="center"/>
              <w:ind w:left="92"/>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5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80" w:type="dxa"/>
            <w:vAlign w:val="bottom"/>
            <w:gridSpan w:val="4"/>
          </w:tcPr>
          <w:p>
            <w:pPr>
              <w:jc w:val="right"/>
              <w:ind w:right="520"/>
              <w:spacing w:after="0"/>
              <w:rPr>
                <w:sz w:val="20"/>
                <w:szCs w:val="20"/>
                <w:color w:val="auto"/>
              </w:rPr>
            </w:pPr>
            <w:r>
              <w:rPr>
                <w:rFonts w:ascii="Arial" w:cs="Arial" w:eastAsia="Arial" w:hAnsi="Arial"/>
                <w:sz w:val="22"/>
                <w:szCs w:val="22"/>
                <w:color w:val="auto"/>
              </w:rPr>
              <w:t>[***]</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00" w:type="dxa"/>
            <w:vAlign w:val="bottom"/>
            <w:tcBorders>
              <w:left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 xml:space="preserve">Estimated </w:t>
      </w:r>
      <w:r>
        <w:rPr>
          <w:rFonts w:ascii="Arial" w:cs="Arial" w:eastAsia="Arial" w:hAnsi="Arial"/>
          <w:sz w:val="19"/>
          <w:szCs w:val="19"/>
          <w:color w:val="131313"/>
        </w:rPr>
        <w:t>T</w:t>
      </w:r>
      <w:r>
        <w:rPr>
          <w:rFonts w:ascii="Arial" w:cs="Arial" w:eastAsia="Arial" w:hAnsi="Arial"/>
          <w:sz w:val="19"/>
          <w:szCs w:val="19"/>
          <w:color w:val="auto"/>
        </w:rPr>
        <w:t xml:space="preserve">erm Commencement </w:t>
      </w:r>
      <w:r>
        <w:rPr>
          <w:rFonts w:ascii="Arial" w:cs="Arial" w:eastAsia="Arial" w:hAnsi="Arial"/>
          <w:sz w:val="19"/>
          <w:szCs w:val="19"/>
          <w:color w:val="131313"/>
        </w:rPr>
        <w:t>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383838"/>
        </w:rPr>
        <w:t xml:space="preserve">Estimated </w:t>
      </w:r>
      <w:r>
        <w:rPr>
          <w:rFonts w:ascii="Arial" w:cs="Arial" w:eastAsia="Arial" w:hAnsi="Arial"/>
          <w:sz w:val="19"/>
          <w:szCs w:val="19"/>
          <w:color w:val="000000"/>
        </w:rPr>
        <w:t>Term Expiration</w:t>
      </w:r>
      <w:r>
        <w:rPr>
          <w:rFonts w:ascii="Arial" w:cs="Arial" w:eastAsia="Arial" w:hAnsi="Arial"/>
          <w:sz w:val="19"/>
          <w:szCs w:val="19"/>
          <w:color w:val="383838"/>
        </w:rPr>
        <w:t xml:space="preserve"> </w:t>
      </w:r>
      <w:r>
        <w:rPr>
          <w:rFonts w:ascii="Arial" w:cs="Arial" w:eastAsia="Arial" w:hAnsi="Arial"/>
          <w:sz w:val="19"/>
          <w:szCs w:val="19"/>
          <w:color w:val="131313"/>
        </w:rPr>
        <w:t>Date:</w:t>
      </w:r>
      <w:r>
        <w:rPr>
          <w:rFonts w:ascii="Arial" w:cs="Arial" w:eastAsia="Arial" w:hAnsi="Arial"/>
          <w:sz w:val="19"/>
          <w:szCs w:val="19"/>
          <w:u w:val="single" w:color="auto"/>
          <w:color w:val="000000"/>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color w:val="auto"/>
        </w:rPr>
        <w:t>Security Deposit: $</w:t>
      </w:r>
      <w:r>
        <w:rPr>
          <w:rFonts w:ascii="Arial" w:cs="Arial" w:eastAsia="Arial" w:hAnsi="Arial"/>
          <w:sz w:val="21"/>
          <w:szCs w:val="21"/>
          <w:u w:val="single" w:color="auto"/>
          <w:color w:val="auto"/>
        </w:rPr>
        <w:t>[***].</w:t>
      </w:r>
    </w:p>
    <w:p>
      <w:pPr>
        <w:spacing w:after="0" w:line="179" w:lineRule="exact"/>
        <w:rPr>
          <w:sz w:val="20"/>
          <w:szCs w:val="20"/>
          <w:color w:val="auto"/>
        </w:rPr>
      </w:pPr>
    </w:p>
    <w:p>
      <w:pPr>
        <w:jc w:val="both"/>
        <w:ind w:left="1300" w:right="20" w:hanging="647"/>
        <w:spacing w:after="0" w:line="226" w:lineRule="auto"/>
        <w:tabs>
          <w:tab w:leader="none" w:pos="12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1"/>
          <w:szCs w:val="21"/>
          <w:color w:val="auto"/>
        </w:rPr>
        <w:t xml:space="preserve">Permitted </w:t>
      </w:r>
      <w:r>
        <w:rPr>
          <w:rFonts w:ascii="Arial" w:cs="Arial" w:eastAsia="Arial" w:hAnsi="Arial"/>
          <w:sz w:val="21"/>
          <w:szCs w:val="21"/>
          <w:color w:val="282828"/>
        </w:rPr>
        <w:t>Use:</w:t>
      </w:r>
      <w:r>
        <w:rPr>
          <w:rFonts w:ascii="Arial" w:cs="Arial" w:eastAsia="Arial" w:hAnsi="Arial"/>
          <w:sz w:val="21"/>
          <w:szCs w:val="21"/>
          <w:color w:val="auto"/>
        </w:rPr>
        <w:t xml:space="preserve"> Tenant </w:t>
      </w:r>
      <w:r>
        <w:rPr>
          <w:rFonts w:ascii="Arial" w:cs="Arial" w:eastAsia="Arial" w:hAnsi="Arial"/>
          <w:sz w:val="21"/>
          <w:szCs w:val="21"/>
          <w:color w:val="282828"/>
        </w:rPr>
        <w:t>shall have</w:t>
      </w:r>
      <w:r>
        <w:rPr>
          <w:rFonts w:ascii="Arial" w:cs="Arial" w:eastAsia="Arial" w:hAnsi="Arial"/>
          <w:sz w:val="21"/>
          <w:szCs w:val="21"/>
          <w:color w:val="auto"/>
        </w:rPr>
        <w:t xml:space="preserve"> </w:t>
      </w:r>
      <w:r>
        <w:rPr>
          <w:rFonts w:ascii="Arial" w:cs="Arial" w:eastAsia="Arial" w:hAnsi="Arial"/>
          <w:sz w:val="21"/>
          <w:szCs w:val="21"/>
          <w:color w:val="383838"/>
        </w:rPr>
        <w:t>the</w:t>
      </w:r>
      <w:r>
        <w:rPr>
          <w:rFonts w:ascii="Arial" w:cs="Arial" w:eastAsia="Arial" w:hAnsi="Arial"/>
          <w:sz w:val="21"/>
          <w:szCs w:val="21"/>
          <w:color w:val="auto"/>
        </w:rPr>
        <w:t xml:space="preserve"> right </w:t>
      </w:r>
      <w:r>
        <w:rPr>
          <w:rFonts w:ascii="Arial" w:cs="Arial" w:eastAsia="Arial" w:hAnsi="Arial"/>
          <w:sz w:val="21"/>
          <w:szCs w:val="21"/>
          <w:color w:val="282828"/>
        </w:rPr>
        <w:t>to</w:t>
      </w:r>
      <w:r>
        <w:rPr>
          <w:rFonts w:ascii="Arial" w:cs="Arial" w:eastAsia="Arial" w:hAnsi="Arial"/>
          <w:sz w:val="21"/>
          <w:szCs w:val="21"/>
          <w:color w:val="auto"/>
        </w:rPr>
        <w:t xml:space="preserve"> use the </w:t>
      </w:r>
      <w:r>
        <w:rPr>
          <w:rFonts w:ascii="Arial" w:cs="Arial" w:eastAsia="Arial" w:hAnsi="Arial"/>
          <w:sz w:val="21"/>
          <w:szCs w:val="21"/>
          <w:color w:val="282828"/>
        </w:rPr>
        <w:t>Premises for</w:t>
      </w:r>
      <w:r>
        <w:rPr>
          <w:rFonts w:ascii="Arial" w:cs="Arial" w:eastAsia="Arial" w:hAnsi="Arial"/>
          <w:sz w:val="21"/>
          <w:szCs w:val="21"/>
          <w:color w:val="auto"/>
        </w:rPr>
        <w:t xml:space="preserve"> any use in conformity with </w:t>
      </w:r>
      <w:r>
        <w:rPr>
          <w:rFonts w:ascii="Arial" w:cs="Arial" w:eastAsia="Arial" w:hAnsi="Arial"/>
          <w:sz w:val="21"/>
          <w:szCs w:val="21"/>
          <w:color w:val="282828"/>
        </w:rPr>
        <w:t>all federal,</w:t>
      </w:r>
      <w:r>
        <w:rPr>
          <w:rFonts w:ascii="Arial" w:cs="Arial" w:eastAsia="Arial" w:hAnsi="Arial"/>
          <w:sz w:val="21"/>
          <w:szCs w:val="21"/>
          <w:color w:val="auto"/>
        </w:rPr>
        <w:t xml:space="preserve"> </w:t>
      </w:r>
      <w:r>
        <w:rPr>
          <w:rFonts w:ascii="Arial" w:cs="Arial" w:eastAsia="Arial" w:hAnsi="Arial"/>
          <w:sz w:val="21"/>
          <w:szCs w:val="21"/>
          <w:color w:val="383838"/>
        </w:rPr>
        <w:t>state,</w:t>
      </w:r>
      <w:r>
        <w:rPr>
          <w:rFonts w:ascii="Arial" w:cs="Arial" w:eastAsia="Arial" w:hAnsi="Arial"/>
          <w:sz w:val="21"/>
          <w:szCs w:val="21"/>
          <w:color w:val="auto"/>
        </w:rPr>
        <w:t xml:space="preserve"> municipal and local laws, </w:t>
      </w:r>
      <w:r>
        <w:rPr>
          <w:rFonts w:ascii="Arial" w:cs="Arial" w:eastAsia="Arial" w:hAnsi="Arial"/>
          <w:sz w:val="21"/>
          <w:szCs w:val="21"/>
          <w:color w:val="282828"/>
        </w:rPr>
        <w:t>codes, ordinances,</w:t>
      </w:r>
      <w:r>
        <w:rPr>
          <w:rFonts w:ascii="Arial" w:cs="Arial" w:eastAsia="Arial" w:hAnsi="Arial"/>
          <w:sz w:val="21"/>
          <w:szCs w:val="21"/>
          <w:color w:val="auto"/>
        </w:rPr>
        <w:t xml:space="preserve"> rules and regulations of </w:t>
      </w:r>
      <w:r>
        <w:rPr>
          <w:rFonts w:ascii="Arial" w:cs="Arial" w:eastAsia="Arial" w:hAnsi="Arial"/>
          <w:sz w:val="21"/>
          <w:szCs w:val="21"/>
          <w:color w:val="282828"/>
        </w:rPr>
        <w:t>Governmental Authorities</w:t>
      </w:r>
      <w:r>
        <w:rPr>
          <w:rFonts w:ascii="Arial" w:cs="Arial" w:eastAsia="Arial" w:hAnsi="Arial"/>
          <w:sz w:val="21"/>
          <w:szCs w:val="21"/>
          <w:color w:val="auto"/>
        </w:rPr>
        <w:t xml:space="preserve"> (as defined below), </w:t>
      </w:r>
      <w:r>
        <w:rPr>
          <w:rFonts w:ascii="Arial" w:cs="Arial" w:eastAsia="Arial" w:hAnsi="Arial"/>
          <w:sz w:val="21"/>
          <w:szCs w:val="21"/>
          <w:color w:val="282828"/>
        </w:rPr>
        <w:t>committees, associations, or other regulatory</w:t>
      </w:r>
      <w:r>
        <w:rPr>
          <w:rFonts w:ascii="Arial" w:cs="Arial" w:eastAsia="Arial" w:hAnsi="Arial"/>
          <w:sz w:val="21"/>
          <w:szCs w:val="21"/>
          <w:color w:val="auto"/>
        </w:rPr>
        <w:t xml:space="preserve"> committees, agencies </w:t>
      </w:r>
      <w:r>
        <w:rPr>
          <w:rFonts w:ascii="Arial" w:cs="Arial" w:eastAsia="Arial" w:hAnsi="Arial"/>
          <w:sz w:val="21"/>
          <w:szCs w:val="21"/>
          <w:color w:val="282828"/>
        </w:rPr>
        <w:t>or</w:t>
      </w:r>
      <w:r>
        <w:rPr>
          <w:rFonts w:ascii="Arial" w:cs="Arial" w:eastAsia="Arial" w:hAnsi="Arial"/>
          <w:sz w:val="21"/>
          <w:szCs w:val="21"/>
          <w:color w:val="auto"/>
        </w:rPr>
        <w:t xml:space="preserve"> </w:t>
      </w:r>
      <w:r>
        <w:rPr>
          <w:rFonts w:ascii="Arial" w:cs="Arial" w:eastAsia="Arial" w:hAnsi="Arial"/>
          <w:sz w:val="21"/>
          <w:szCs w:val="21"/>
          <w:color w:val="383838"/>
        </w:rPr>
        <w:t>governing</w:t>
      </w:r>
      <w:r>
        <w:rPr>
          <w:rFonts w:ascii="Arial" w:cs="Arial" w:eastAsia="Arial" w:hAnsi="Arial"/>
          <w:sz w:val="21"/>
          <w:szCs w:val="21"/>
          <w:color w:val="auto"/>
        </w:rPr>
        <w:t xml:space="preserve"> bodies having </w:t>
      </w:r>
      <w:r>
        <w:rPr>
          <w:rFonts w:ascii="Arial" w:cs="Arial" w:eastAsia="Arial" w:hAnsi="Arial"/>
          <w:sz w:val="21"/>
          <w:szCs w:val="21"/>
          <w:color w:val="383838"/>
        </w:rPr>
        <w:t xml:space="preserve">jurisdiction </w:t>
      </w:r>
      <w:r>
        <w:rPr>
          <w:rFonts w:ascii="Arial" w:cs="Arial" w:eastAsia="Arial" w:hAnsi="Arial"/>
          <w:sz w:val="21"/>
          <w:szCs w:val="21"/>
          <w:color w:val="282828"/>
        </w:rPr>
        <w:t>over the</w:t>
      </w:r>
      <w:r>
        <w:rPr>
          <w:rFonts w:ascii="Arial" w:cs="Arial" w:eastAsia="Arial" w:hAnsi="Arial"/>
          <w:sz w:val="21"/>
          <w:szCs w:val="21"/>
          <w:color w:val="383838"/>
        </w:rPr>
        <w:t xml:space="preserve"> </w:t>
      </w:r>
      <w:r>
        <w:rPr>
          <w:rFonts w:ascii="Arial" w:cs="Arial" w:eastAsia="Arial" w:hAnsi="Arial"/>
          <w:sz w:val="21"/>
          <w:szCs w:val="21"/>
          <w:color w:val="000000"/>
        </w:rPr>
        <w:t>Premises, the</w:t>
      </w:r>
      <w:r>
        <w:rPr>
          <w:rFonts w:ascii="Arial" w:cs="Arial" w:eastAsia="Arial" w:hAnsi="Arial"/>
          <w:sz w:val="21"/>
          <w:szCs w:val="21"/>
          <w:color w:val="383838"/>
        </w:rPr>
        <w:t xml:space="preserve"> </w:t>
      </w:r>
      <w:r>
        <w:rPr>
          <w:rFonts w:ascii="Arial" w:cs="Arial" w:eastAsia="Arial" w:hAnsi="Arial"/>
          <w:sz w:val="21"/>
          <w:szCs w:val="21"/>
          <w:color w:val="282828"/>
        </w:rPr>
        <w:t>Building,</w:t>
      </w:r>
      <w:r>
        <w:rPr>
          <w:rFonts w:ascii="Arial" w:cs="Arial" w:eastAsia="Arial" w:hAnsi="Arial"/>
          <w:sz w:val="21"/>
          <w:szCs w:val="21"/>
          <w:color w:val="383838"/>
        </w:rPr>
        <w:t xml:space="preserve"> </w:t>
      </w:r>
      <w:r>
        <w:rPr>
          <w:rFonts w:ascii="Arial" w:cs="Arial" w:eastAsia="Arial" w:hAnsi="Arial"/>
          <w:sz w:val="21"/>
          <w:szCs w:val="21"/>
          <w:color w:val="000000"/>
        </w:rPr>
        <w:t>the Property, the Project, Landlord</w:t>
      </w:r>
      <w:r>
        <w:rPr>
          <w:rFonts w:ascii="Arial" w:cs="Arial" w:eastAsia="Arial" w:hAnsi="Arial"/>
          <w:sz w:val="21"/>
          <w:szCs w:val="21"/>
          <w:color w:val="383838"/>
        </w:rPr>
        <w:t xml:space="preserve"> </w:t>
      </w:r>
      <w:r>
        <w:rPr>
          <w:rFonts w:ascii="Arial" w:cs="Arial" w:eastAsia="Arial" w:hAnsi="Arial"/>
          <w:sz w:val="21"/>
          <w:szCs w:val="21"/>
          <w:color w:val="282828"/>
        </w:rPr>
        <w:t>or Tenant, including both statutory</w:t>
      </w:r>
      <w:r>
        <w:rPr>
          <w:rFonts w:ascii="Arial" w:cs="Arial" w:eastAsia="Arial" w:hAnsi="Arial"/>
          <w:sz w:val="21"/>
          <w:szCs w:val="21"/>
          <w:color w:val="383838"/>
        </w:rPr>
        <w:t xml:space="preserve"> </w:t>
      </w:r>
      <w:r>
        <w:rPr>
          <w:rFonts w:ascii="Arial" w:cs="Arial" w:eastAsia="Arial" w:hAnsi="Arial"/>
          <w:sz w:val="21"/>
          <w:szCs w:val="21"/>
          <w:color w:val="000000"/>
        </w:rPr>
        <w:t xml:space="preserve">and common law and hazard </w:t>
      </w:r>
      <w:r>
        <w:rPr>
          <w:rFonts w:ascii="Arial" w:cs="Arial" w:eastAsia="Arial" w:hAnsi="Arial"/>
          <w:sz w:val="21"/>
          <w:szCs w:val="21"/>
          <w:color w:val="282828"/>
        </w:rPr>
        <w:t>waste</w:t>
      </w:r>
      <w:r>
        <w:rPr>
          <w:rFonts w:ascii="Arial" w:cs="Arial" w:eastAsia="Arial" w:hAnsi="Arial"/>
          <w:sz w:val="21"/>
          <w:szCs w:val="21"/>
          <w:color w:val="000000"/>
        </w:rPr>
        <w:t xml:space="preserve"> rules and regulations (“</w:t>
      </w:r>
      <w:r>
        <w:rPr>
          <w:rFonts w:ascii="Arial" w:cs="Arial" w:eastAsia="Arial" w:hAnsi="Arial"/>
          <w:sz w:val="21"/>
          <w:szCs w:val="21"/>
          <w:u w:val="single" w:color="auto"/>
          <w:color w:val="000000"/>
        </w:rPr>
        <w:t>Applicable</w:t>
      </w:r>
      <w:r>
        <w:rPr>
          <w:rFonts w:ascii="Arial" w:cs="Arial" w:eastAsia="Arial" w:hAnsi="Arial"/>
          <w:sz w:val="21"/>
          <w:szCs w:val="21"/>
          <w:color w:val="000000"/>
        </w:rPr>
        <w:t xml:space="preserve"> </w:t>
      </w:r>
      <w:r>
        <w:rPr>
          <w:rFonts w:ascii="Arial" w:cs="Arial" w:eastAsia="Arial" w:hAnsi="Arial"/>
          <w:sz w:val="21"/>
          <w:szCs w:val="21"/>
          <w:u w:val="single" w:color="auto"/>
          <w:color w:val="383838"/>
        </w:rPr>
        <w:t>Laws</w:t>
      </w:r>
      <w:r>
        <w:rPr>
          <w:rFonts w:ascii="Arial" w:cs="Arial" w:eastAsia="Arial" w:hAnsi="Arial"/>
          <w:sz w:val="21"/>
          <w:szCs w:val="21"/>
          <w:color w:val="383838"/>
        </w:rPr>
        <w: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 xml:space="preserve">Address for Rent </w:t>
      </w:r>
      <w:r>
        <w:rPr>
          <w:rFonts w:ascii="Arial" w:cs="Arial" w:eastAsia="Arial" w:hAnsi="Arial"/>
          <w:sz w:val="19"/>
          <w:szCs w:val="19"/>
          <w:color w:val="131313"/>
        </w:rPr>
        <w:t>Payment: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60"/>
          </w:cols>
          <w:pgMar w:left="320" w:top="1440" w:right="319" w:bottom="1440" w:gutter="0" w:footer="0" w:header="0"/>
        </w:sectPr>
      </w:pPr>
    </w:p>
    <w:bookmarkStart w:id="321" w:name="page322"/>
    <w:bookmarkEnd w:id="321"/>
    <w:p>
      <w:pPr>
        <w:spacing w:after="0" w:line="8"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Address for Notices to Landlord:</w:t>
      </w:r>
    </w:p>
    <w:p>
      <w:pPr>
        <w:ind w:left="5220"/>
        <w:spacing w:after="0" w:line="197" w:lineRule="auto"/>
        <w:rPr>
          <w:sz w:val="20"/>
          <w:szCs w:val="20"/>
          <w:color w:val="auto"/>
        </w:rPr>
      </w:pPr>
      <w:r>
        <w:rPr>
          <w:rFonts w:ascii="Arial" w:cs="Arial" w:eastAsia="Arial" w:hAnsi="Arial"/>
          <w:sz w:val="20"/>
          <w:szCs w:val="20"/>
          <w:color w:val="auto"/>
        </w:rPr>
        <w:t>BMR-Medical Center Drive LLC</w:t>
      </w:r>
    </w:p>
    <w:p>
      <w:pPr>
        <w:ind w:left="5220"/>
        <w:spacing w:after="0" w:line="211" w:lineRule="auto"/>
        <w:rPr>
          <w:sz w:val="20"/>
          <w:szCs w:val="20"/>
          <w:color w:val="auto"/>
        </w:rPr>
      </w:pPr>
      <w:r>
        <w:rPr>
          <w:rFonts w:ascii="Arial" w:cs="Arial" w:eastAsia="Arial" w:hAnsi="Arial"/>
          <w:sz w:val="20"/>
          <w:szCs w:val="20"/>
          <w:color w:val="auto"/>
        </w:rPr>
        <w:t>17190 Bernardo Center Drive</w:t>
      </w:r>
    </w:p>
    <w:p>
      <w:pPr>
        <w:ind w:left="5220"/>
        <w:spacing w:after="0" w:line="211" w:lineRule="auto"/>
        <w:rPr>
          <w:sz w:val="20"/>
          <w:szCs w:val="20"/>
          <w:color w:val="auto"/>
        </w:rPr>
      </w:pPr>
      <w:r>
        <w:rPr>
          <w:rFonts w:ascii="Arial" w:cs="Arial" w:eastAsia="Arial" w:hAnsi="Arial"/>
          <w:sz w:val="20"/>
          <w:szCs w:val="20"/>
          <w:color w:val="auto"/>
        </w:rPr>
        <w:t>San Diego, California 92128</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Attn: Cynthia Crossmon</w:t>
      </w:r>
    </w:p>
    <w:p>
      <w:pPr>
        <w:ind w:left="1380"/>
        <w:spacing w:after="0"/>
        <w:tabs>
          <w:tab w:leader="none" w:pos="5200" w:val="left"/>
        </w:tabs>
        <w:rPr>
          <w:sz w:val="20"/>
          <w:szCs w:val="20"/>
          <w:color w:val="auto"/>
        </w:rPr>
      </w:pPr>
      <w:r>
        <w:rPr>
          <w:rFonts w:ascii="Arial" w:cs="Arial" w:eastAsia="Arial" w:hAnsi="Arial"/>
          <w:sz w:val="20"/>
          <w:szCs w:val="20"/>
          <w:color w:val="auto"/>
        </w:rPr>
        <w:t>Address for Notices to Tenant:</w:t>
      </w:r>
      <w:r>
        <w:rPr>
          <w:sz w:val="20"/>
          <w:szCs w:val="20"/>
          <w:color w:val="auto"/>
        </w:rPr>
        <w:tab/>
      </w:r>
      <w:r>
        <w:rPr>
          <w:rFonts w:ascii="Arial" w:cs="Arial" w:eastAsia="Arial" w:hAnsi="Arial"/>
          <w:sz w:val="18"/>
          <w:szCs w:val="18"/>
          <w:color w:val="auto"/>
        </w:rPr>
        <w:t>J. Craig Venter Institute, Inc.</w:t>
      </w:r>
    </w:p>
    <w:p>
      <w:pPr>
        <w:ind w:left="5220"/>
        <w:spacing w:after="0" w:line="198" w:lineRule="auto"/>
        <w:rPr>
          <w:sz w:val="20"/>
          <w:szCs w:val="20"/>
          <w:color w:val="auto"/>
        </w:rPr>
      </w:pPr>
      <w:r>
        <w:rPr>
          <w:rFonts w:ascii="Arial" w:cs="Arial" w:eastAsia="Arial" w:hAnsi="Arial"/>
          <w:sz w:val="20"/>
          <w:szCs w:val="20"/>
          <w:color w:val="auto"/>
        </w:rPr>
        <w:t>at the Premises</w:t>
      </w:r>
    </w:p>
    <w:p>
      <w:pPr>
        <w:ind w:left="5220"/>
        <w:spacing w:after="0"/>
        <w:rPr>
          <w:sz w:val="20"/>
          <w:szCs w:val="20"/>
          <w:color w:val="auto"/>
        </w:rPr>
      </w:pPr>
      <w:r>
        <w:rPr>
          <w:rFonts w:ascii="Arial" w:cs="Arial" w:eastAsia="Arial" w:hAnsi="Arial"/>
          <w:sz w:val="18"/>
          <w:szCs w:val="18"/>
          <w:color w:val="auto"/>
        </w:rPr>
        <w:t>Attn: Vice President, General Counsel</w:t>
      </w:r>
    </w:p>
    <w:p>
      <w:pPr>
        <w:spacing w:after="0" w:line="22" w:lineRule="exact"/>
        <w:rPr>
          <w:sz w:val="20"/>
          <w:szCs w:val="20"/>
          <w:color w:val="auto"/>
        </w:rPr>
      </w:pPr>
    </w:p>
    <w:p>
      <w:pPr>
        <w:ind w:left="1380"/>
        <w:spacing w:after="0"/>
        <w:tabs>
          <w:tab w:leader="none" w:pos="520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9"/>
          <w:szCs w:val="19"/>
          <w:color w:val="auto"/>
        </w:rPr>
        <w:t>Arnold &amp; Porter LLP</w:t>
      </w:r>
    </w:p>
    <w:p>
      <w:pPr>
        <w:ind w:left="5220"/>
        <w:spacing w:after="0" w:line="197" w:lineRule="auto"/>
        <w:rPr>
          <w:sz w:val="20"/>
          <w:szCs w:val="20"/>
          <w:color w:val="auto"/>
        </w:rPr>
      </w:pPr>
      <w:r>
        <w:rPr>
          <w:rFonts w:ascii="Arial" w:cs="Arial" w:eastAsia="Arial" w:hAnsi="Arial"/>
          <w:sz w:val="20"/>
          <w:szCs w:val="20"/>
          <w:color w:val="auto"/>
        </w:rPr>
        <w:t>555 12th Street, NW</w:t>
      </w:r>
    </w:p>
    <w:p>
      <w:pPr>
        <w:ind w:left="5220"/>
        <w:spacing w:after="0" w:line="211" w:lineRule="auto"/>
        <w:rPr>
          <w:sz w:val="20"/>
          <w:szCs w:val="20"/>
          <w:color w:val="auto"/>
        </w:rPr>
      </w:pPr>
      <w:r>
        <w:rPr>
          <w:rFonts w:ascii="Arial" w:cs="Arial" w:eastAsia="Arial" w:hAnsi="Arial"/>
          <w:sz w:val="20"/>
          <w:szCs w:val="20"/>
          <w:color w:val="auto"/>
        </w:rPr>
        <w:t>Washington, DC 20004</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Attention: Kenneth Schwartz</w:t>
      </w:r>
    </w:p>
    <w:p>
      <w:pPr>
        <w:spacing w:after="0" w:line="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181818"/>
        </w:rPr>
        <w:t xml:space="preserve">The </w:t>
      </w:r>
      <w:r>
        <w:rPr>
          <w:rFonts w:ascii="Arial" w:cs="Arial" w:eastAsia="Arial" w:hAnsi="Arial"/>
          <w:sz w:val="19"/>
          <w:szCs w:val="19"/>
          <w:color w:val="2D2D2D"/>
        </w:rPr>
        <w:t>following</w:t>
      </w:r>
      <w:r>
        <w:rPr>
          <w:rFonts w:ascii="Arial" w:cs="Arial" w:eastAsia="Arial" w:hAnsi="Arial"/>
          <w:sz w:val="19"/>
          <w:szCs w:val="19"/>
          <w:color w:val="181818"/>
        </w:rPr>
        <w:t xml:space="preserve"> Exhibits are attached </w:t>
      </w:r>
      <w:r>
        <w:rPr>
          <w:rFonts w:ascii="Arial" w:cs="Arial" w:eastAsia="Arial" w:hAnsi="Arial"/>
          <w:sz w:val="19"/>
          <w:szCs w:val="19"/>
          <w:color w:val="2D2D2D"/>
        </w:rPr>
        <w:t>hereto</w:t>
      </w:r>
      <w:r>
        <w:rPr>
          <w:rFonts w:ascii="Arial" w:cs="Arial" w:eastAsia="Arial" w:hAnsi="Arial"/>
          <w:sz w:val="19"/>
          <w:szCs w:val="19"/>
          <w:color w:val="181818"/>
        </w:rPr>
        <w:t xml:space="preserve"> and incorporated herein by reference:</w:t>
      </w:r>
    </w:p>
    <w:p>
      <w:pPr>
        <w:sectPr>
          <w:pgSz w:w="11900" w:h="16838" w:orient="portrait"/>
          <w:cols w:equalWidth="0" w:num="1">
            <w:col w:w="11240"/>
          </w:cols>
          <w:pgMar w:left="320" w:top="1440" w:right="339" w:bottom="1440" w:gutter="0" w:footer="0" w:header="0"/>
        </w:sectPr>
      </w:pPr>
    </w:p>
    <w:p>
      <w:pPr>
        <w:spacing w:after="0" w:line="238"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Exhibit A</w:t>
      </w:r>
    </w:p>
    <w:p>
      <w:pPr>
        <w:spacing w:after="0" w:line="38"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Exhibit B</w:t>
      </w:r>
    </w:p>
    <w:p>
      <w:pPr>
        <w:spacing w:after="0" w:line="3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Exhibit C</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Exhibit D</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Exhibit E</w:t>
      </w:r>
    </w:p>
    <w:p>
      <w:pPr>
        <w:spacing w:after="0" w:line="38"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Exhibit F</w:t>
      </w:r>
    </w:p>
    <w:p>
      <w:pPr>
        <w:spacing w:after="0" w:line="3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Exhibit G</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Exhibit H</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Exhibit I</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Exhibit J</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Premises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Depiction of Tenant’s Exclusive Parking Area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Acknowledgement of Term Commencement Date and Term Expiration Date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Intentionally Omitted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Form of Letter of Credit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Rules and Regulations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Intentionally Omitted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Tenant’s Personal Property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Form of Estoppel Certificate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Maintenance and Service Obligations of Landlord and Tenant</w:t>
      </w:r>
    </w:p>
    <w:p>
      <w:pPr>
        <w:spacing w:after="0" w:line="200" w:lineRule="exact"/>
        <w:rPr>
          <w:sz w:val="20"/>
          <w:szCs w:val="20"/>
          <w:color w:val="auto"/>
        </w:rPr>
      </w:pPr>
    </w:p>
    <w:p>
      <w:pPr>
        <w:sectPr>
          <w:pgSz w:w="11900" w:h="16838" w:orient="portrait"/>
          <w:cols w:equalWidth="0" w:num="2">
            <w:col w:w="2240" w:space="720"/>
            <w:col w:w="8280"/>
          </w:cols>
          <w:pgMar w:left="320" w:top="1440" w:right="339" w:bottom="1440" w:gutter="0" w:footer="0" w:header="0"/>
          <w:type w:val="continuous"/>
        </w:sectPr>
      </w:pPr>
    </w:p>
    <w:p>
      <w:pPr>
        <w:spacing w:after="0" w:line="119" w:lineRule="exact"/>
        <w:rPr>
          <w:sz w:val="20"/>
          <w:szCs w:val="20"/>
          <w:color w:val="auto"/>
        </w:rPr>
      </w:pPr>
    </w:p>
    <w:p>
      <w:pPr>
        <w:jc w:val="both"/>
        <w:ind w:left="660" w:hanging="652"/>
        <w:spacing w:after="0" w:line="257" w:lineRule="auto"/>
        <w:tabs>
          <w:tab w:leader="none" w:pos="660"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w:t>
      </w:r>
      <w:r>
        <w:rPr>
          <w:rFonts w:ascii="Arial" w:cs="Arial" w:eastAsia="Arial" w:hAnsi="Arial"/>
          <w:sz w:val="19"/>
          <w:szCs w:val="19"/>
          <w:color w:val="2D2D2D"/>
        </w:rPr>
        <w:t>actual term of</w:t>
      </w:r>
      <w:r>
        <w:rPr>
          <w:rFonts w:ascii="Arial" w:cs="Arial" w:eastAsia="Arial" w:hAnsi="Arial"/>
          <w:sz w:val="19"/>
          <w:szCs w:val="19"/>
          <w:color w:val="auto"/>
        </w:rPr>
        <w:t xml:space="preserve"> this Lease (as the </w:t>
      </w:r>
      <w:r>
        <w:rPr>
          <w:rFonts w:ascii="Arial" w:cs="Arial" w:eastAsia="Arial" w:hAnsi="Arial"/>
          <w:sz w:val="19"/>
          <w:szCs w:val="19"/>
          <w:color w:val="2D2D2D"/>
        </w:rPr>
        <w:t>same</w:t>
      </w:r>
      <w:r>
        <w:rPr>
          <w:rFonts w:ascii="Arial" w:cs="Arial" w:eastAsia="Arial" w:hAnsi="Arial"/>
          <w:sz w:val="19"/>
          <w:szCs w:val="19"/>
          <w:color w:val="auto"/>
        </w:rPr>
        <w:t xml:space="preserve"> may be </w:t>
      </w:r>
      <w:r>
        <w:rPr>
          <w:rFonts w:ascii="Arial" w:cs="Arial" w:eastAsia="Arial" w:hAnsi="Arial"/>
          <w:sz w:val="19"/>
          <w:szCs w:val="19"/>
          <w:color w:val="2D2D2D"/>
        </w:rPr>
        <w:t>extended</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Article 42</w:t>
      </w:r>
      <w:r>
        <w:rPr>
          <w:rFonts w:ascii="Arial" w:cs="Arial" w:eastAsia="Arial" w:hAnsi="Arial"/>
          <w:sz w:val="19"/>
          <w:szCs w:val="19"/>
          <w:color w:val="auto"/>
        </w:rPr>
        <w:t xml:space="preserve"> hereof and as the </w:t>
      </w:r>
      <w:r>
        <w:rPr>
          <w:rFonts w:ascii="Arial" w:cs="Arial" w:eastAsia="Arial" w:hAnsi="Arial"/>
          <w:sz w:val="19"/>
          <w:szCs w:val="19"/>
          <w:color w:val="2D2D2D"/>
        </w:rPr>
        <w:t>same</w:t>
      </w:r>
      <w:r>
        <w:rPr>
          <w:rFonts w:ascii="Arial" w:cs="Arial" w:eastAsia="Arial" w:hAnsi="Arial"/>
          <w:sz w:val="19"/>
          <w:szCs w:val="19"/>
          <w:color w:val="auto"/>
        </w:rPr>
        <w:t xml:space="preserve"> may be </w:t>
      </w:r>
      <w:r>
        <w:rPr>
          <w:rFonts w:ascii="Arial" w:cs="Arial" w:eastAsia="Arial" w:hAnsi="Arial"/>
          <w:sz w:val="19"/>
          <w:szCs w:val="19"/>
          <w:color w:val="2D2D2D"/>
        </w:rPr>
        <w:t xml:space="preserve">earlier </w:t>
      </w:r>
      <w:r>
        <w:rPr>
          <w:rFonts w:ascii="Arial" w:cs="Arial" w:eastAsia="Arial" w:hAnsi="Arial"/>
          <w:sz w:val="19"/>
          <w:szCs w:val="19"/>
          <w:color w:val="000000"/>
        </w:rPr>
        <w:t>terminated in accordance with this</w:t>
      </w:r>
      <w:r>
        <w:rPr>
          <w:rFonts w:ascii="Arial" w:cs="Arial" w:eastAsia="Arial" w:hAnsi="Arial"/>
          <w:sz w:val="19"/>
          <w:szCs w:val="19"/>
          <w:color w:val="2D2D2D"/>
        </w:rPr>
        <w:t xml:space="preserve"> Lease, </w:t>
      </w:r>
      <w:r>
        <w:rPr>
          <w:rFonts w:ascii="Arial" w:cs="Arial" w:eastAsia="Arial" w:hAnsi="Arial"/>
          <w:sz w:val="19"/>
          <w:szCs w:val="19"/>
          <w:color w:val="000000"/>
        </w:rPr>
        <w:t>the</w:t>
      </w:r>
      <w:r>
        <w:rPr>
          <w:rFonts w:ascii="Arial" w:cs="Arial" w:eastAsia="Arial" w:hAnsi="Arial"/>
          <w:sz w:val="19"/>
          <w:szCs w:val="19"/>
          <w:color w:val="2D2D2D"/>
        </w:rPr>
        <w:t xml:space="preserve"> “Term”) shall commence </w:t>
      </w:r>
      <w:r>
        <w:rPr>
          <w:rFonts w:ascii="Arial" w:cs="Arial" w:eastAsia="Arial" w:hAnsi="Arial"/>
          <w:sz w:val="19"/>
          <w:szCs w:val="19"/>
          <w:color w:val="000000"/>
        </w:rPr>
        <w:t>on the</w:t>
      </w:r>
      <w:r>
        <w:rPr>
          <w:rFonts w:ascii="Arial" w:cs="Arial" w:eastAsia="Arial" w:hAnsi="Arial"/>
          <w:sz w:val="19"/>
          <w:szCs w:val="19"/>
          <w:color w:val="2D2D2D"/>
        </w:rPr>
        <w:t xml:space="preserve"> Term </w:t>
      </w:r>
      <w:r>
        <w:rPr>
          <w:rFonts w:ascii="Arial" w:cs="Arial" w:eastAsia="Arial" w:hAnsi="Arial"/>
          <w:sz w:val="19"/>
          <w:szCs w:val="19"/>
          <w:color w:val="000000"/>
        </w:rPr>
        <w:t>Commencement Date</w:t>
      </w:r>
      <w:r>
        <w:rPr>
          <w:rFonts w:ascii="Arial" w:cs="Arial" w:eastAsia="Arial" w:hAnsi="Arial"/>
          <w:sz w:val="19"/>
          <w:szCs w:val="19"/>
          <w:color w:val="2D2D2D"/>
        </w:rPr>
        <w:t xml:space="preserve"> (as </w:t>
      </w:r>
      <w:r>
        <w:rPr>
          <w:rFonts w:ascii="Arial" w:cs="Arial" w:eastAsia="Arial" w:hAnsi="Arial"/>
          <w:sz w:val="19"/>
          <w:szCs w:val="19"/>
          <w:color w:val="000000"/>
        </w:rPr>
        <w:t xml:space="preserve">defined in </w:t>
      </w:r>
      <w:r>
        <w:rPr>
          <w:rFonts w:ascii="Arial" w:cs="Arial" w:eastAsia="Arial" w:hAnsi="Arial"/>
          <w:sz w:val="19"/>
          <w:szCs w:val="19"/>
          <w:u w:val="single" w:color="auto"/>
          <w:color w:val="000000"/>
        </w:rPr>
        <w:t>Article 4</w:t>
      </w:r>
      <w:r>
        <w:rPr>
          <w:rFonts w:ascii="Arial" w:cs="Arial" w:eastAsia="Arial" w:hAnsi="Arial"/>
          <w:sz w:val="19"/>
          <w:szCs w:val="19"/>
          <w:color w:val="000000"/>
        </w:rPr>
        <w:t xml:space="preserve">) and end </w:t>
      </w:r>
      <w:r>
        <w:rPr>
          <w:rFonts w:ascii="Arial" w:cs="Arial" w:eastAsia="Arial" w:hAnsi="Arial"/>
          <w:sz w:val="19"/>
          <w:szCs w:val="19"/>
          <w:color w:val="2D2D2D"/>
        </w:rPr>
        <w:t>on the date</w:t>
      </w:r>
      <w:r>
        <w:rPr>
          <w:rFonts w:ascii="Arial" w:cs="Arial" w:eastAsia="Arial" w:hAnsi="Arial"/>
          <w:sz w:val="19"/>
          <w:szCs w:val="19"/>
          <w:color w:val="000000"/>
        </w:rPr>
        <w:t xml:space="preserve"> that is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months after the Term Commencement Date (such </w:t>
      </w:r>
      <w:r>
        <w:rPr>
          <w:rFonts w:ascii="Arial" w:cs="Arial" w:eastAsia="Arial" w:hAnsi="Arial"/>
          <w:sz w:val="19"/>
          <w:szCs w:val="19"/>
          <w:color w:val="2D2D2D"/>
        </w:rPr>
        <w:t>date, the “Term</w:t>
      </w:r>
      <w:r>
        <w:rPr>
          <w:rFonts w:ascii="Arial" w:cs="Arial" w:eastAsia="Arial" w:hAnsi="Arial"/>
          <w:sz w:val="19"/>
          <w:szCs w:val="19"/>
          <w:color w:val="000000"/>
        </w:rPr>
        <w:t xml:space="preserve"> Expiration Date”), </w:t>
      </w:r>
      <w:r>
        <w:rPr>
          <w:rFonts w:ascii="Arial" w:cs="Arial" w:eastAsia="Arial" w:hAnsi="Arial"/>
          <w:sz w:val="19"/>
          <w:szCs w:val="19"/>
          <w:color w:val="2D2D2D"/>
        </w:rPr>
        <w:t>subject</w:t>
      </w:r>
      <w:r>
        <w:rPr>
          <w:rFonts w:ascii="Arial" w:cs="Arial" w:eastAsia="Arial" w:hAnsi="Arial"/>
          <w:sz w:val="19"/>
          <w:szCs w:val="19"/>
          <w:color w:val="000000"/>
        </w:rPr>
        <w:t xml:space="preserve"> to earlier termination of this Lease as provided herein.</w:t>
      </w:r>
    </w:p>
    <w:p>
      <w:pPr>
        <w:spacing w:after="0" w:line="144" w:lineRule="exact"/>
        <w:rPr>
          <w:rFonts w:ascii="Arial" w:cs="Arial" w:eastAsia="Arial" w:hAnsi="Arial"/>
          <w:sz w:val="19"/>
          <w:szCs w:val="19"/>
          <w:color w:val="auto"/>
        </w:rPr>
      </w:pPr>
    </w:p>
    <w:p>
      <w:pPr>
        <w:ind w:left="660" w:hanging="652"/>
        <w:spacing w:after="0"/>
        <w:tabs>
          <w:tab w:leader="none" w:pos="660"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Possession and</w:t>
      </w:r>
      <w:r>
        <w:rPr>
          <w:rFonts w:ascii="Arial" w:cs="Arial" w:eastAsia="Arial" w:hAnsi="Arial"/>
          <w:sz w:val="22"/>
          <w:szCs w:val="22"/>
          <w:color w:val="auto"/>
        </w:rPr>
        <w:t xml:space="preserve"> </w:t>
      </w:r>
      <w:r>
        <w:rPr>
          <w:rFonts w:ascii="Arial" w:cs="Arial" w:eastAsia="Arial" w:hAnsi="Arial"/>
          <w:sz w:val="22"/>
          <w:szCs w:val="22"/>
          <w:u w:val="single" w:color="auto"/>
          <w:color w:val="2D2D2D"/>
        </w:rPr>
        <w:t>Commencement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21" w:lineRule="auto"/>
        <w:rPr>
          <w:rFonts w:ascii="Arial" w:cs="Arial" w:eastAsia="Arial" w:hAnsi="Arial"/>
          <w:sz w:val="22"/>
          <w:szCs w:val="22"/>
          <w:color w:val="auto"/>
        </w:rPr>
      </w:pPr>
      <w:r>
        <w:rPr>
          <w:rFonts w:ascii="Arial" w:cs="Arial" w:eastAsia="Arial" w:hAnsi="Arial"/>
          <w:sz w:val="21"/>
          <w:szCs w:val="21"/>
          <w:color w:val="auto"/>
        </w:rPr>
        <w:t xml:space="preserve">4.1 The </w:t>
      </w:r>
      <w:r>
        <w:rPr>
          <w:rFonts w:ascii="Arial" w:cs="Arial" w:eastAsia="Arial" w:hAnsi="Arial"/>
          <w:sz w:val="21"/>
          <w:szCs w:val="21"/>
          <w:color w:val="2D2D2D"/>
        </w:rPr>
        <w:t>“</w:t>
      </w:r>
      <w:r>
        <w:rPr>
          <w:rFonts w:ascii="Arial" w:cs="Arial" w:eastAsia="Arial" w:hAnsi="Arial"/>
          <w:sz w:val="21"/>
          <w:szCs w:val="21"/>
          <w:u w:val="single" w:color="auto"/>
          <w:color w:val="2D2D2D"/>
        </w:rPr>
        <w:t>Term Commencement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xml:space="preserve">” </w:t>
      </w:r>
      <w:r>
        <w:rPr>
          <w:rFonts w:ascii="Arial" w:cs="Arial" w:eastAsia="Arial" w:hAnsi="Arial"/>
          <w:sz w:val="21"/>
          <w:szCs w:val="21"/>
          <w:color w:val="2D2D2D"/>
        </w:rPr>
        <w:t>shall</w:t>
      </w:r>
      <w:r>
        <w:rPr>
          <w:rFonts w:ascii="Arial" w:cs="Arial" w:eastAsia="Arial" w:hAnsi="Arial"/>
          <w:sz w:val="21"/>
          <w:szCs w:val="21"/>
          <w:color w:val="auto"/>
        </w:rPr>
        <w:t xml:space="preserve"> be the date of </w:t>
      </w:r>
      <w:r>
        <w:rPr>
          <w:rFonts w:ascii="Arial" w:cs="Arial" w:eastAsia="Arial" w:hAnsi="Arial"/>
          <w:sz w:val="21"/>
          <w:szCs w:val="21"/>
          <w:color w:val="2D2D2D"/>
        </w:rPr>
        <w:t>the consummation</w:t>
      </w:r>
      <w:r>
        <w:rPr>
          <w:rFonts w:ascii="Arial" w:cs="Arial" w:eastAsia="Arial" w:hAnsi="Arial"/>
          <w:sz w:val="21"/>
          <w:szCs w:val="21"/>
          <w:color w:val="auto"/>
        </w:rPr>
        <w:t xml:space="preserve"> of the closing of </w:t>
      </w:r>
      <w:r>
        <w:rPr>
          <w:rFonts w:ascii="Arial" w:cs="Arial" w:eastAsia="Arial" w:hAnsi="Arial"/>
          <w:sz w:val="21"/>
          <w:szCs w:val="21"/>
          <w:color w:val="2D2D2D"/>
        </w:rPr>
        <w:t>Landlord’s</w:t>
      </w:r>
      <w:r>
        <w:rPr>
          <w:rFonts w:ascii="Arial" w:cs="Arial" w:eastAsia="Arial" w:hAnsi="Arial"/>
          <w:sz w:val="21"/>
          <w:szCs w:val="21"/>
          <w:color w:val="auto"/>
        </w:rPr>
        <w:t xml:space="preserve"> acquisition of fee title to the Premises pursuant </w:t>
      </w:r>
      <w:r>
        <w:rPr>
          <w:rFonts w:ascii="Arial" w:cs="Arial" w:eastAsia="Arial" w:hAnsi="Arial"/>
          <w:sz w:val="21"/>
          <w:szCs w:val="21"/>
          <w:color w:val="2D2D2D"/>
        </w:rPr>
        <w:t>to</w:t>
      </w:r>
      <w:r>
        <w:rPr>
          <w:rFonts w:ascii="Arial" w:cs="Arial" w:eastAsia="Arial" w:hAnsi="Arial"/>
          <w:sz w:val="21"/>
          <w:szCs w:val="21"/>
          <w:color w:val="auto"/>
        </w:rPr>
        <w:t xml:space="preserve"> that certain Agreement of Purchase and </w:t>
      </w:r>
      <w:r>
        <w:rPr>
          <w:rFonts w:ascii="Arial" w:cs="Arial" w:eastAsia="Arial" w:hAnsi="Arial"/>
          <w:sz w:val="21"/>
          <w:szCs w:val="21"/>
          <w:color w:val="2D2D2D"/>
        </w:rPr>
        <w:t>Sale</w:t>
      </w:r>
      <w:r>
        <w:rPr>
          <w:rFonts w:ascii="Arial" w:cs="Arial" w:eastAsia="Arial" w:hAnsi="Arial"/>
          <w:sz w:val="21"/>
          <w:szCs w:val="21"/>
          <w:color w:val="auto"/>
        </w:rPr>
        <w:t xml:space="preserve"> dated as of </w:t>
      </w:r>
      <w:r>
        <w:rPr>
          <w:rFonts w:ascii="Arial" w:cs="Arial" w:eastAsia="Arial" w:hAnsi="Arial"/>
          <w:sz w:val="21"/>
          <w:szCs w:val="21"/>
          <w:u w:val="single" w:color="auto"/>
          <w:color w:val="auto"/>
        </w:rPr>
        <w:t>[***]</w:t>
      </w:r>
      <w:r>
        <w:rPr>
          <w:rFonts w:ascii="Arial" w:cs="Arial" w:eastAsia="Arial" w:hAnsi="Arial"/>
          <w:sz w:val="21"/>
          <w:szCs w:val="21"/>
          <w:color w:val="auto"/>
        </w:rPr>
        <w:t xml:space="preserve"> by and between Landlord and </w:t>
      </w:r>
      <w:r>
        <w:rPr>
          <w:rFonts w:ascii="Arial" w:cs="Arial" w:eastAsia="Arial" w:hAnsi="Arial"/>
          <w:sz w:val="21"/>
          <w:szCs w:val="21"/>
          <w:color w:val="2D2D2D"/>
        </w:rPr>
        <w:t>Tenant.</w:t>
      </w:r>
      <w:r>
        <w:rPr>
          <w:rFonts w:ascii="Arial" w:cs="Arial" w:eastAsia="Arial" w:hAnsi="Arial"/>
          <w:sz w:val="21"/>
          <w:szCs w:val="21"/>
          <w:color w:val="auto"/>
        </w:rPr>
        <w:t xml:space="preserve"> Tenant </w:t>
      </w:r>
      <w:r>
        <w:rPr>
          <w:rFonts w:ascii="Arial" w:cs="Arial" w:eastAsia="Arial" w:hAnsi="Arial"/>
          <w:sz w:val="21"/>
          <w:szCs w:val="21"/>
          <w:color w:val="2D2D2D"/>
        </w:rPr>
        <w:t>shall execute</w:t>
      </w:r>
      <w:r>
        <w:rPr>
          <w:rFonts w:ascii="Arial" w:cs="Arial" w:eastAsia="Arial" w:hAnsi="Arial"/>
          <w:sz w:val="21"/>
          <w:szCs w:val="21"/>
          <w:color w:val="auto"/>
        </w:rPr>
        <w:t xml:space="preserve"> and deliver to Landlord written acknowledgment of the actual Term </w:t>
      </w:r>
      <w:r>
        <w:rPr>
          <w:rFonts w:ascii="Arial" w:cs="Arial" w:eastAsia="Arial" w:hAnsi="Arial"/>
          <w:sz w:val="21"/>
          <w:szCs w:val="21"/>
          <w:color w:val="2D2D2D"/>
        </w:rPr>
        <w:t>Commencement</w:t>
      </w:r>
      <w:r>
        <w:rPr>
          <w:rFonts w:ascii="Arial" w:cs="Arial" w:eastAsia="Arial" w:hAnsi="Arial"/>
          <w:sz w:val="21"/>
          <w:szCs w:val="21"/>
          <w:color w:val="auto"/>
        </w:rPr>
        <w:t xml:space="preserve"> Date and the Term Expiration Date within </w:t>
      </w:r>
      <w:r>
        <w:rPr>
          <w:rFonts w:ascii="Arial" w:cs="Arial" w:eastAsia="Arial" w:hAnsi="Arial"/>
          <w:sz w:val="21"/>
          <w:szCs w:val="21"/>
          <w:u w:val="single" w:color="auto"/>
          <w:color w:val="auto"/>
        </w:rPr>
        <w:t>[***]</w:t>
      </w:r>
      <w:r>
        <w:rPr>
          <w:rFonts w:ascii="Arial" w:cs="Arial" w:eastAsia="Arial" w:hAnsi="Arial"/>
          <w:sz w:val="21"/>
          <w:szCs w:val="21"/>
          <w:color w:val="auto"/>
        </w:rPr>
        <w:t xml:space="preserve"> days after Landlord </w:t>
      </w:r>
      <w:r>
        <w:rPr>
          <w:rFonts w:ascii="Arial" w:cs="Arial" w:eastAsia="Arial" w:hAnsi="Arial"/>
          <w:sz w:val="21"/>
          <w:szCs w:val="21"/>
          <w:color w:val="2D2D2D"/>
        </w:rPr>
        <w:t>requests</w:t>
      </w:r>
      <w:r>
        <w:rPr>
          <w:rFonts w:ascii="Arial" w:cs="Arial" w:eastAsia="Arial" w:hAnsi="Arial"/>
          <w:sz w:val="21"/>
          <w:szCs w:val="21"/>
          <w:color w:val="auto"/>
        </w:rPr>
        <w:t xml:space="preserve"> the </w:t>
      </w:r>
      <w:r>
        <w:rPr>
          <w:rFonts w:ascii="Arial" w:cs="Arial" w:eastAsia="Arial" w:hAnsi="Arial"/>
          <w:sz w:val="21"/>
          <w:szCs w:val="21"/>
          <w:color w:val="2D2D2D"/>
        </w:rPr>
        <w:t>same</w:t>
      </w:r>
      <w:r>
        <w:rPr>
          <w:rFonts w:ascii="Arial" w:cs="Arial" w:eastAsia="Arial" w:hAnsi="Arial"/>
          <w:sz w:val="21"/>
          <w:szCs w:val="21"/>
          <w:color w:val="auto"/>
        </w:rPr>
        <w:t xml:space="preserve"> in the </w:t>
      </w:r>
      <w:r>
        <w:rPr>
          <w:rFonts w:ascii="Arial" w:cs="Arial" w:eastAsia="Arial" w:hAnsi="Arial"/>
          <w:sz w:val="21"/>
          <w:szCs w:val="21"/>
          <w:color w:val="2D2D2D"/>
        </w:rPr>
        <w:t>form</w:t>
      </w:r>
      <w:r>
        <w:rPr>
          <w:rFonts w:ascii="Arial" w:cs="Arial" w:eastAsia="Arial" w:hAnsi="Arial"/>
          <w:sz w:val="21"/>
          <w:szCs w:val="21"/>
          <w:color w:val="auto"/>
        </w:rPr>
        <w:t xml:space="preserve"> attached as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w:t>
      </w:r>
      <w:r>
        <w:rPr>
          <w:rFonts w:ascii="Arial" w:cs="Arial" w:eastAsia="Arial" w:hAnsi="Arial"/>
          <w:sz w:val="21"/>
          <w:szCs w:val="21"/>
          <w:color w:val="2D2D2D"/>
        </w:rPr>
        <w:t>Failure</w:t>
      </w:r>
      <w:r>
        <w:rPr>
          <w:rFonts w:ascii="Arial" w:cs="Arial" w:eastAsia="Arial" w:hAnsi="Arial"/>
          <w:sz w:val="21"/>
          <w:szCs w:val="21"/>
          <w:color w:val="auto"/>
        </w:rPr>
        <w:t xml:space="preserve"> to execute and deliver </w:t>
      </w:r>
      <w:r>
        <w:rPr>
          <w:rFonts w:ascii="Arial" w:cs="Arial" w:eastAsia="Arial" w:hAnsi="Arial"/>
          <w:sz w:val="21"/>
          <w:szCs w:val="21"/>
          <w:color w:val="2D2D2D"/>
        </w:rPr>
        <w:t>such acknowledgment,</w:t>
      </w:r>
      <w:r>
        <w:rPr>
          <w:rFonts w:ascii="Arial" w:cs="Arial" w:eastAsia="Arial" w:hAnsi="Arial"/>
          <w:sz w:val="21"/>
          <w:szCs w:val="21"/>
          <w:color w:val="auto"/>
        </w:rPr>
        <w:t xml:space="preserve"> however, </w:t>
      </w:r>
      <w:r>
        <w:rPr>
          <w:rFonts w:ascii="Arial" w:cs="Arial" w:eastAsia="Arial" w:hAnsi="Arial"/>
          <w:sz w:val="21"/>
          <w:szCs w:val="21"/>
          <w:color w:val="2D2D2D"/>
        </w:rPr>
        <w:t>shall</w:t>
      </w:r>
      <w:r>
        <w:rPr>
          <w:rFonts w:ascii="Arial" w:cs="Arial" w:eastAsia="Arial" w:hAnsi="Arial"/>
          <w:sz w:val="21"/>
          <w:szCs w:val="21"/>
          <w:color w:val="auto"/>
        </w:rPr>
        <w:t xml:space="preserve"> not </w:t>
      </w:r>
      <w:r>
        <w:rPr>
          <w:rFonts w:ascii="Arial" w:cs="Arial" w:eastAsia="Arial" w:hAnsi="Arial"/>
          <w:sz w:val="21"/>
          <w:szCs w:val="21"/>
          <w:color w:val="2D2D2D"/>
        </w:rPr>
        <w:t xml:space="preserve">affect </w:t>
      </w:r>
      <w:r>
        <w:rPr>
          <w:rFonts w:ascii="Arial" w:cs="Arial" w:eastAsia="Arial" w:hAnsi="Arial"/>
          <w:sz w:val="21"/>
          <w:szCs w:val="21"/>
          <w:color w:val="000000"/>
        </w:rPr>
        <w:t>the Term</w:t>
      </w:r>
      <w:r>
        <w:rPr>
          <w:rFonts w:ascii="Arial" w:cs="Arial" w:eastAsia="Arial" w:hAnsi="Arial"/>
          <w:sz w:val="21"/>
          <w:szCs w:val="21"/>
          <w:color w:val="2D2D2D"/>
        </w:rPr>
        <w:t xml:space="preserve"> Commencement </w:t>
      </w:r>
      <w:r>
        <w:rPr>
          <w:rFonts w:ascii="Arial" w:cs="Arial" w:eastAsia="Arial" w:hAnsi="Arial"/>
          <w:sz w:val="21"/>
          <w:szCs w:val="21"/>
          <w:color w:val="000000"/>
        </w:rPr>
        <w:t>Date or</w:t>
      </w:r>
      <w:r>
        <w:rPr>
          <w:rFonts w:ascii="Arial" w:cs="Arial" w:eastAsia="Arial" w:hAnsi="Arial"/>
          <w:sz w:val="21"/>
          <w:szCs w:val="21"/>
          <w:color w:val="2D2D2D"/>
        </w:rPr>
        <w:t xml:space="preserve"> Landlord’s </w:t>
      </w:r>
      <w:r>
        <w:rPr>
          <w:rFonts w:ascii="Arial" w:cs="Arial" w:eastAsia="Arial" w:hAnsi="Arial"/>
          <w:sz w:val="21"/>
          <w:szCs w:val="21"/>
          <w:color w:val="000000"/>
        </w:rPr>
        <w:t>or Tenant’s liability hereunder. Failure by</w:t>
      </w:r>
      <w:r>
        <w:rPr>
          <w:rFonts w:ascii="Arial" w:cs="Arial" w:eastAsia="Arial" w:hAnsi="Arial"/>
          <w:sz w:val="21"/>
          <w:szCs w:val="21"/>
          <w:color w:val="2D2D2D"/>
        </w:rPr>
        <w:t xml:space="preserve"> Tenant </w:t>
      </w:r>
      <w:r>
        <w:rPr>
          <w:rFonts w:ascii="Arial" w:cs="Arial" w:eastAsia="Arial" w:hAnsi="Arial"/>
          <w:sz w:val="21"/>
          <w:szCs w:val="21"/>
          <w:color w:val="000000"/>
        </w:rPr>
        <w:t>to</w:t>
      </w:r>
      <w:r>
        <w:rPr>
          <w:rFonts w:ascii="Arial" w:cs="Arial" w:eastAsia="Arial" w:hAnsi="Arial"/>
          <w:sz w:val="21"/>
          <w:szCs w:val="21"/>
          <w:color w:val="2D2D2D"/>
        </w:rPr>
        <w:t xml:space="preserve"> obtain required </w:t>
      </w:r>
      <w:r>
        <w:rPr>
          <w:rFonts w:ascii="Arial" w:cs="Arial" w:eastAsia="Arial" w:hAnsi="Arial"/>
          <w:sz w:val="21"/>
          <w:szCs w:val="21"/>
          <w:color w:val="000000"/>
        </w:rPr>
        <w:t>governmental licensing for the Permitted Use by Tenant at the Premises shall not serve to extend the</w:t>
      </w:r>
      <w:r>
        <w:rPr>
          <w:rFonts w:ascii="Arial" w:cs="Arial" w:eastAsia="Arial" w:hAnsi="Arial"/>
          <w:sz w:val="21"/>
          <w:szCs w:val="21"/>
          <w:color w:val="2D2D2D"/>
        </w:rPr>
        <w:t xml:space="preserve"> </w:t>
      </w:r>
      <w:r>
        <w:rPr>
          <w:rFonts w:ascii="Arial" w:cs="Arial" w:eastAsia="Arial" w:hAnsi="Arial"/>
          <w:sz w:val="21"/>
          <w:szCs w:val="21"/>
          <w:color w:val="000000"/>
        </w:rPr>
        <w:t>Term Commencement Date.</w:t>
      </w:r>
    </w:p>
    <w:p>
      <w:pPr>
        <w:spacing w:after="0" w:line="165" w:lineRule="exact"/>
        <w:rPr>
          <w:rFonts w:ascii="Arial" w:cs="Arial" w:eastAsia="Arial" w:hAnsi="Arial"/>
          <w:sz w:val="22"/>
          <w:szCs w:val="22"/>
          <w:color w:val="auto"/>
        </w:rPr>
      </w:pPr>
    </w:p>
    <w:p>
      <w:pPr>
        <w:ind w:left="1300" w:right="20" w:hanging="648"/>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4.2 Prior to the Term Commencement Date, Tenant shall furnish to Landlord evidence satisfactory to Landlord that insurance coverages required of Tenant under the provisions of </w:t>
      </w:r>
      <w:r>
        <w:rPr>
          <w:rFonts w:ascii="Arial" w:cs="Arial" w:eastAsia="Arial" w:hAnsi="Arial"/>
          <w:sz w:val="22"/>
          <w:szCs w:val="22"/>
          <w:u w:val="single" w:color="auto"/>
          <w:color w:val="auto"/>
        </w:rPr>
        <w:t>Article 23</w:t>
      </w:r>
      <w:r>
        <w:rPr>
          <w:rFonts w:ascii="Arial" w:cs="Arial" w:eastAsia="Arial" w:hAnsi="Arial"/>
          <w:sz w:val="22"/>
          <w:szCs w:val="22"/>
          <w:color w:val="auto"/>
        </w:rPr>
        <w:t xml:space="preserve"> are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type w:val="continuous"/>
        </w:sectPr>
      </w:pPr>
    </w:p>
    <w:bookmarkStart w:id="322" w:name="page323"/>
    <w:bookmarkEnd w:id="322"/>
    <w:p>
      <w:pPr>
        <w:jc w:val="both"/>
        <w:ind w:left="660" w:hanging="652"/>
        <w:spacing w:after="0" w:line="246" w:lineRule="auto"/>
        <w:tabs>
          <w:tab w:leader="none" w:pos="660"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Condition of Premises</w:t>
      </w:r>
      <w:r>
        <w:rPr>
          <w:rFonts w:ascii="Arial" w:cs="Arial" w:eastAsia="Arial" w:hAnsi="Arial"/>
          <w:sz w:val="19"/>
          <w:szCs w:val="19"/>
          <w:color w:val="auto"/>
        </w:rPr>
        <w:t>. Tenant acknowledges that neither Landlord nor any agent of Landlord has made any representation or warranty with respect to the condition of the Premises, the Building or the Project, or with respect to the suitability of the Premises, the Building or the Project for the conduct of Tenant’s business. Tenant acknowledges that (a) Tenant is the prior owner and primary occupant of the Project; (b) Tenant is in possession of the Premises and is fully familiar with the condition of the Premises and agrees to take the same in its condition “</w:t>
      </w:r>
      <w:r>
        <w:rPr>
          <w:rFonts w:ascii="Arial" w:cs="Arial" w:eastAsia="Arial" w:hAnsi="Arial"/>
          <w:sz w:val="19"/>
          <w:szCs w:val="19"/>
          <w:u w:val="single" w:color="auto"/>
          <w:color w:val="auto"/>
        </w:rPr>
        <w:t>as is</w:t>
      </w:r>
      <w:r>
        <w:rPr>
          <w:rFonts w:ascii="Arial" w:cs="Arial" w:eastAsia="Arial" w:hAnsi="Arial"/>
          <w:sz w:val="19"/>
          <w:szCs w:val="19"/>
          <w:color w:val="auto"/>
        </w:rPr>
        <w:t>” as of the Term Commencement Date; and (c) except as otherwise expressly set forth in this Lease, Landlord shall have no obligation to alter, repair or otherwise prepare the Premises for Tenant’s occupancy or to pay for or construct any improvements to the Premises to prepare the Premises for Tenant’s continued occupancy.</w:t>
      </w:r>
    </w:p>
    <w:p>
      <w:pPr>
        <w:spacing w:after="0" w:line="152" w:lineRule="exact"/>
        <w:rPr>
          <w:rFonts w:ascii="Arial" w:cs="Arial" w:eastAsia="Arial" w:hAnsi="Arial"/>
          <w:sz w:val="19"/>
          <w:szCs w:val="19"/>
          <w:color w:val="auto"/>
        </w:rPr>
      </w:pPr>
    </w:p>
    <w:p>
      <w:pPr>
        <w:ind w:left="660" w:hanging="652"/>
        <w:spacing w:after="0"/>
        <w:tabs>
          <w:tab w:leader="none" w:pos="660" w:val="left"/>
        </w:tabs>
        <w:numPr>
          <w:ilvl w:val="0"/>
          <w:numId w:val="278"/>
        </w:numPr>
        <w:rPr>
          <w:rFonts w:ascii="Arial" w:cs="Arial" w:eastAsia="Arial" w:hAnsi="Arial"/>
          <w:sz w:val="22"/>
          <w:szCs w:val="22"/>
          <w:color w:val="auto"/>
        </w:rPr>
      </w:pPr>
      <w:r>
        <w:rPr>
          <w:rFonts w:ascii="Arial" w:cs="Arial" w:eastAsia="Arial" w:hAnsi="Arial"/>
          <w:sz w:val="22"/>
          <w:szCs w:val="22"/>
          <w:u w:val="single" w:color="auto"/>
          <w:color w:val="auto"/>
        </w:rPr>
        <w:t>Rentable Area</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16" w:lineRule="auto"/>
        <w:rPr>
          <w:rFonts w:ascii="Arial" w:cs="Arial" w:eastAsia="Arial" w:hAnsi="Arial"/>
          <w:sz w:val="22"/>
          <w:szCs w:val="22"/>
          <w:color w:val="auto"/>
        </w:rPr>
      </w:pPr>
      <w:r>
        <w:rPr>
          <w:rFonts w:ascii="Arial" w:cs="Arial" w:eastAsia="Arial" w:hAnsi="Arial"/>
          <w:sz w:val="22"/>
          <w:szCs w:val="22"/>
          <w:color w:val="auto"/>
        </w:rPr>
        <w:t>6.1 Landlord and Tenant irrevocably stipulate that the Rentable Area of the Premises shall be as set forth in Section 2.2. Subject to the foregoing, the term “</w:t>
      </w:r>
      <w:r>
        <w:rPr>
          <w:rFonts w:ascii="Arial" w:cs="Arial" w:eastAsia="Arial" w:hAnsi="Arial"/>
          <w:sz w:val="22"/>
          <w:szCs w:val="22"/>
          <w:u w:val="single" w:color="auto"/>
          <w:color w:val="auto"/>
        </w:rPr>
        <w:t>Rentable Area</w:t>
      </w:r>
      <w:r>
        <w:rPr>
          <w:rFonts w:ascii="Arial" w:cs="Arial" w:eastAsia="Arial" w:hAnsi="Arial"/>
          <w:sz w:val="22"/>
          <w:szCs w:val="22"/>
          <w:color w:val="auto"/>
        </w:rPr>
        <w:t>”, to the extent it relates exclusively to the Lower Campus shall reflect such areas as are reasonably calculated by Landlord’s architect, as the same may be reasonably adjusted from time to time by Landlord in consultation with Landlord’s architect to reflect changes to the Lower Campus.</w:t>
      </w:r>
    </w:p>
    <w:p>
      <w:pPr>
        <w:spacing w:after="0" w:line="157" w:lineRule="exact"/>
        <w:rPr>
          <w:rFonts w:ascii="Arial" w:cs="Arial" w:eastAsia="Arial" w:hAnsi="Arial"/>
          <w:sz w:val="22"/>
          <w:szCs w:val="22"/>
          <w:color w:val="auto"/>
        </w:rPr>
      </w:pPr>
    </w:p>
    <w:p>
      <w:pPr>
        <w:ind w:left="1300" w:hanging="648"/>
        <w:spacing w:after="0" w:line="249" w:lineRule="auto"/>
        <w:rPr>
          <w:rFonts w:ascii="Arial" w:cs="Arial" w:eastAsia="Arial" w:hAnsi="Arial"/>
          <w:sz w:val="22"/>
          <w:szCs w:val="22"/>
          <w:color w:val="auto"/>
        </w:rPr>
      </w:pPr>
      <w:r>
        <w:rPr>
          <w:rFonts w:ascii="Arial" w:cs="Arial" w:eastAsia="Arial" w:hAnsi="Arial"/>
          <w:sz w:val="19"/>
          <w:szCs w:val="19"/>
          <w:color w:val="auto"/>
        </w:rPr>
        <w:t>6.2 The Rentable Area of the Lower Campus is generally determined by making separate calculations of Rentable Area applicable to each floor within the Lower Campus and totaling the Rentable Area of all floors within the applicable improvements. The Rentable Area of a floor is computed by measuring to the outside finished surface of the permanent outer applicable building walls. The full area calculated as previously set forth is included as Rentable Area, without deduction for columns and projections or vertical penetrations, including stairs, elevator shafts, flues, pipe shafts, vertical ducts and the like, as well as such items’ enclosing walls.</w:t>
      </w:r>
    </w:p>
    <w:p>
      <w:pPr>
        <w:spacing w:after="0" w:line="151"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6.3 The Rentable Area of the Project is the total Rentable Area of all buildings within the Project (with the understanding that the Building Rentable Area is stipulated as set forth herein and not subject to further adjustment).</w:t>
      </w:r>
    </w:p>
    <w:p>
      <w:pPr>
        <w:spacing w:after="0" w:line="158" w:lineRule="exact"/>
        <w:rPr>
          <w:rFonts w:ascii="Arial" w:cs="Arial" w:eastAsia="Arial" w:hAnsi="Arial"/>
          <w:sz w:val="22"/>
          <w:szCs w:val="22"/>
          <w:color w:val="auto"/>
        </w:rPr>
      </w:pPr>
    </w:p>
    <w:p>
      <w:pPr>
        <w:ind w:left="660" w:hanging="652"/>
        <w:spacing w:after="0"/>
        <w:tabs>
          <w:tab w:leader="none" w:pos="660" w:val="left"/>
        </w:tabs>
        <w:numPr>
          <w:ilvl w:val="0"/>
          <w:numId w:val="278"/>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57" w:lineRule="auto"/>
        <w:rPr>
          <w:rFonts w:ascii="Arial" w:cs="Arial" w:eastAsia="Arial" w:hAnsi="Arial"/>
          <w:sz w:val="22"/>
          <w:szCs w:val="22"/>
          <w:color w:val="auto"/>
        </w:rPr>
      </w:pPr>
      <w:r>
        <w:rPr>
          <w:rFonts w:ascii="Arial" w:cs="Arial" w:eastAsia="Arial" w:hAnsi="Arial"/>
          <w:sz w:val="19"/>
          <w:szCs w:val="19"/>
          <w:color w:val="auto"/>
        </w:rPr>
        <w:t xml:space="preserve">7.1 Tenant shall pay to Landlord as Base Rent for the Premises, commencing on the Term Commencement Date, the sums set forth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subject to the rental adjustments provided in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hereof. Base Rent shall be paid in equal monthly installments as </w:t>
      </w:r>
      <w:r>
        <w:rPr>
          <w:rFonts w:ascii="Arial" w:cs="Arial" w:eastAsia="Arial" w:hAnsi="Arial"/>
          <w:sz w:val="19"/>
          <w:szCs w:val="19"/>
          <w:color w:val="262626"/>
        </w:rPr>
        <w:t>set forth</w:t>
      </w:r>
      <w:r>
        <w:rPr>
          <w:rFonts w:ascii="Arial" w:cs="Arial" w:eastAsia="Arial" w:hAnsi="Arial"/>
          <w:sz w:val="19"/>
          <w:szCs w:val="19"/>
          <w:color w:val="auto"/>
        </w:rPr>
        <w:t xml:space="preserve"> </w:t>
      </w:r>
      <w:r>
        <w:rPr>
          <w:rFonts w:ascii="Arial" w:cs="Arial" w:eastAsia="Arial" w:hAnsi="Arial"/>
          <w:sz w:val="19"/>
          <w:szCs w:val="19"/>
          <w:color w:val="131313"/>
        </w:rPr>
        <w:t>in</w:t>
      </w:r>
      <w:r>
        <w:rPr>
          <w:rFonts w:ascii="Arial" w:cs="Arial" w:eastAsia="Arial" w:hAnsi="Arial"/>
          <w:sz w:val="19"/>
          <w:szCs w:val="19"/>
          <w:color w:val="auto"/>
        </w:rPr>
        <w:t xml:space="preserve"> </w:t>
      </w:r>
      <w:r>
        <w:rPr>
          <w:rFonts w:ascii="Arial" w:cs="Arial" w:eastAsia="Arial" w:hAnsi="Arial"/>
          <w:sz w:val="19"/>
          <w:szCs w:val="19"/>
          <w:u w:val="single" w:color="auto"/>
          <w:color w:val="262626"/>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131313"/>
        </w:rPr>
        <w:t>2.3</w:t>
      </w:r>
      <w:r>
        <w:rPr>
          <w:rFonts w:ascii="Arial" w:cs="Arial" w:eastAsia="Arial" w:hAnsi="Arial"/>
          <w:sz w:val="19"/>
          <w:szCs w:val="19"/>
          <w:color w:val="131313"/>
        </w:rPr>
        <w:t>,</w:t>
      </w:r>
      <w:r>
        <w:rPr>
          <w:rFonts w:ascii="Arial" w:cs="Arial" w:eastAsia="Arial" w:hAnsi="Arial"/>
          <w:sz w:val="19"/>
          <w:szCs w:val="19"/>
          <w:color w:val="auto"/>
        </w:rPr>
        <w:t xml:space="preserve"> </w:t>
      </w:r>
      <w:r>
        <w:rPr>
          <w:rFonts w:ascii="Arial" w:cs="Arial" w:eastAsia="Arial" w:hAnsi="Arial"/>
          <w:sz w:val="19"/>
          <w:szCs w:val="19"/>
          <w:color w:val="383838"/>
        </w:rPr>
        <w:t>subject</w:t>
      </w:r>
      <w:r>
        <w:rPr>
          <w:rFonts w:ascii="Arial" w:cs="Arial" w:eastAsia="Arial" w:hAnsi="Arial"/>
          <w:sz w:val="19"/>
          <w:szCs w:val="19"/>
          <w:color w:val="auto"/>
        </w:rPr>
        <w:t xml:space="preserve"> </w:t>
      </w:r>
      <w:r>
        <w:rPr>
          <w:rFonts w:ascii="Arial" w:cs="Arial" w:eastAsia="Arial" w:hAnsi="Arial"/>
          <w:sz w:val="19"/>
          <w:szCs w:val="19"/>
          <w:color w:val="262626"/>
        </w:rPr>
        <w:t>to the rental adjustments</w:t>
      </w:r>
      <w:r>
        <w:rPr>
          <w:rFonts w:ascii="Arial" w:cs="Arial" w:eastAsia="Arial" w:hAnsi="Arial"/>
          <w:sz w:val="19"/>
          <w:szCs w:val="19"/>
          <w:color w:val="auto"/>
        </w:rPr>
        <w:t xml:space="preserve"> </w:t>
      </w:r>
      <w:r>
        <w:rPr>
          <w:rFonts w:ascii="Arial" w:cs="Arial" w:eastAsia="Arial" w:hAnsi="Arial"/>
          <w:sz w:val="19"/>
          <w:szCs w:val="19"/>
          <w:color w:val="131313"/>
        </w:rPr>
        <w:t>provided</w:t>
      </w:r>
      <w:r>
        <w:rPr>
          <w:rFonts w:ascii="Arial" w:cs="Arial" w:eastAsia="Arial" w:hAnsi="Arial"/>
          <w:sz w:val="19"/>
          <w:szCs w:val="19"/>
          <w:color w:val="auto"/>
        </w:rPr>
        <w:t xml:space="preserve"> </w:t>
      </w:r>
      <w:r>
        <w:rPr>
          <w:rFonts w:ascii="Arial" w:cs="Arial" w:eastAsia="Arial" w:hAnsi="Arial"/>
          <w:sz w:val="19"/>
          <w:szCs w:val="19"/>
          <w:color w:val="262626"/>
        </w:rPr>
        <w:t>in</w:t>
      </w:r>
      <w:r>
        <w:rPr>
          <w:rFonts w:ascii="Arial" w:cs="Arial" w:eastAsia="Arial" w:hAnsi="Arial"/>
          <w:sz w:val="19"/>
          <w:szCs w:val="19"/>
          <w:color w:val="auto"/>
        </w:rPr>
        <w:t xml:space="preserve"> </w:t>
      </w:r>
      <w:r>
        <w:rPr>
          <w:rFonts w:ascii="Arial" w:cs="Arial" w:eastAsia="Arial" w:hAnsi="Arial"/>
          <w:sz w:val="19"/>
          <w:szCs w:val="19"/>
          <w:u w:val="single" w:color="auto"/>
          <w:color w:val="131313"/>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262626"/>
        </w:rPr>
        <w:t>8</w:t>
      </w:r>
      <w:r>
        <w:rPr>
          <w:rFonts w:ascii="Arial" w:cs="Arial" w:eastAsia="Arial" w:hAnsi="Arial"/>
          <w:sz w:val="19"/>
          <w:szCs w:val="19"/>
          <w:color w:val="262626"/>
        </w:rPr>
        <w:t xml:space="preserve"> </w:t>
      </w:r>
      <w:r>
        <w:rPr>
          <w:rFonts w:ascii="Arial" w:cs="Arial" w:eastAsia="Arial" w:hAnsi="Arial"/>
          <w:sz w:val="19"/>
          <w:szCs w:val="19"/>
          <w:color w:val="131313"/>
        </w:rPr>
        <w:t>hereof,</w:t>
      </w:r>
      <w:r>
        <w:rPr>
          <w:rFonts w:ascii="Arial" w:cs="Arial" w:eastAsia="Arial" w:hAnsi="Arial"/>
          <w:sz w:val="19"/>
          <w:szCs w:val="19"/>
          <w:color w:val="262626"/>
        </w:rPr>
        <w:t xml:space="preserve"> each in advance on </w:t>
      </w:r>
      <w:r>
        <w:rPr>
          <w:rFonts w:ascii="Arial" w:cs="Arial" w:eastAsia="Arial" w:hAnsi="Arial"/>
          <w:sz w:val="19"/>
          <w:szCs w:val="19"/>
          <w:color w:val="131313"/>
        </w:rPr>
        <w:t>the first day</w:t>
      </w:r>
      <w:r>
        <w:rPr>
          <w:rFonts w:ascii="Arial" w:cs="Arial" w:eastAsia="Arial" w:hAnsi="Arial"/>
          <w:sz w:val="19"/>
          <w:szCs w:val="19"/>
          <w:color w:val="262626"/>
        </w:rPr>
        <w:t xml:space="preserve"> of each </w:t>
      </w:r>
      <w:r>
        <w:rPr>
          <w:rFonts w:ascii="Arial" w:cs="Arial" w:eastAsia="Arial" w:hAnsi="Arial"/>
          <w:sz w:val="19"/>
          <w:szCs w:val="19"/>
          <w:color w:val="131313"/>
        </w:rPr>
        <w:t>and</w:t>
      </w:r>
      <w:r>
        <w:rPr>
          <w:rFonts w:ascii="Arial" w:cs="Arial" w:eastAsia="Arial" w:hAnsi="Arial"/>
          <w:sz w:val="19"/>
          <w:szCs w:val="19"/>
          <w:color w:val="262626"/>
        </w:rPr>
        <w:t xml:space="preserve"> every calendar </w:t>
      </w:r>
      <w:r>
        <w:rPr>
          <w:rFonts w:ascii="Arial" w:cs="Arial" w:eastAsia="Arial" w:hAnsi="Arial"/>
          <w:sz w:val="19"/>
          <w:szCs w:val="19"/>
          <w:color w:val="131313"/>
        </w:rPr>
        <w:t>month</w:t>
      </w:r>
      <w:r>
        <w:rPr>
          <w:rFonts w:ascii="Arial" w:cs="Arial" w:eastAsia="Arial" w:hAnsi="Arial"/>
          <w:sz w:val="19"/>
          <w:szCs w:val="19"/>
          <w:color w:val="262626"/>
        </w:rPr>
        <w:t xml:space="preserve"> during </w:t>
      </w:r>
      <w:r>
        <w:rPr>
          <w:rFonts w:ascii="Arial" w:cs="Arial" w:eastAsia="Arial" w:hAnsi="Arial"/>
          <w:sz w:val="19"/>
          <w:szCs w:val="19"/>
          <w:color w:val="131313"/>
        </w:rPr>
        <w:t>the</w:t>
      </w:r>
      <w:r>
        <w:rPr>
          <w:rFonts w:ascii="Arial" w:cs="Arial" w:eastAsia="Arial" w:hAnsi="Arial"/>
          <w:sz w:val="19"/>
          <w:szCs w:val="19"/>
          <w:color w:val="262626"/>
        </w:rPr>
        <w:t xml:space="preserve"> Term.</w:t>
      </w:r>
    </w:p>
    <w:p>
      <w:pPr>
        <w:spacing w:after="0" w:line="144" w:lineRule="exact"/>
        <w:rPr>
          <w:rFonts w:ascii="Arial" w:cs="Arial" w:eastAsia="Arial" w:hAnsi="Arial"/>
          <w:sz w:val="22"/>
          <w:szCs w:val="22"/>
          <w:color w:val="auto"/>
        </w:rPr>
      </w:pPr>
    </w:p>
    <w:p>
      <w:pPr>
        <w:ind w:left="1300" w:hanging="648"/>
        <w:spacing w:after="0" w:line="212" w:lineRule="auto"/>
        <w:rPr>
          <w:rFonts w:ascii="Arial" w:cs="Arial" w:eastAsia="Arial" w:hAnsi="Arial"/>
          <w:sz w:val="22"/>
          <w:szCs w:val="22"/>
          <w:color w:val="auto"/>
        </w:rPr>
      </w:pPr>
      <w:r>
        <w:rPr>
          <w:rFonts w:ascii="Arial" w:cs="Arial" w:eastAsia="Arial" w:hAnsi="Arial"/>
          <w:sz w:val="22"/>
          <w:szCs w:val="22"/>
          <w:color w:val="auto"/>
        </w:rPr>
        <w:t xml:space="preserve">7.2 In addition to Base </w:t>
      </w:r>
      <w:r>
        <w:rPr>
          <w:rFonts w:ascii="Arial" w:cs="Arial" w:eastAsia="Arial" w:hAnsi="Arial"/>
          <w:sz w:val="22"/>
          <w:szCs w:val="22"/>
          <w:color w:val="131313"/>
        </w:rPr>
        <w:t>Rent,</w:t>
      </w:r>
      <w:r>
        <w:rPr>
          <w:rFonts w:ascii="Arial" w:cs="Arial" w:eastAsia="Arial" w:hAnsi="Arial"/>
          <w:sz w:val="22"/>
          <w:szCs w:val="22"/>
          <w:color w:val="auto"/>
        </w:rPr>
        <w:t xml:space="preserve"> Tenant </w:t>
      </w:r>
      <w:r>
        <w:rPr>
          <w:rFonts w:ascii="Arial" w:cs="Arial" w:eastAsia="Arial" w:hAnsi="Arial"/>
          <w:sz w:val="22"/>
          <w:szCs w:val="22"/>
          <w:color w:val="383838"/>
        </w:rPr>
        <w:t>shall</w:t>
      </w:r>
      <w:r>
        <w:rPr>
          <w:rFonts w:ascii="Arial" w:cs="Arial" w:eastAsia="Arial" w:hAnsi="Arial"/>
          <w:sz w:val="22"/>
          <w:szCs w:val="22"/>
          <w:color w:val="auto"/>
        </w:rPr>
        <w:t xml:space="preserve"> </w:t>
      </w:r>
      <w:r>
        <w:rPr>
          <w:rFonts w:ascii="Arial" w:cs="Arial" w:eastAsia="Arial" w:hAnsi="Arial"/>
          <w:sz w:val="22"/>
          <w:szCs w:val="22"/>
          <w:color w:val="131313"/>
        </w:rPr>
        <w:t>pay</w:t>
      </w:r>
      <w:r>
        <w:rPr>
          <w:rFonts w:ascii="Arial" w:cs="Arial" w:eastAsia="Arial" w:hAnsi="Arial"/>
          <w:sz w:val="22"/>
          <w:szCs w:val="22"/>
          <w:color w:val="auto"/>
        </w:rPr>
        <w:t xml:space="preserve"> to </w:t>
      </w:r>
      <w:r>
        <w:rPr>
          <w:rFonts w:ascii="Arial" w:cs="Arial" w:eastAsia="Arial" w:hAnsi="Arial"/>
          <w:sz w:val="22"/>
          <w:szCs w:val="22"/>
          <w:color w:val="131313"/>
        </w:rPr>
        <w:t>Landlord</w:t>
      </w:r>
      <w:r>
        <w:rPr>
          <w:rFonts w:ascii="Arial" w:cs="Arial" w:eastAsia="Arial" w:hAnsi="Arial"/>
          <w:sz w:val="22"/>
          <w:szCs w:val="22"/>
          <w:color w:val="auto"/>
        </w:rPr>
        <w:t xml:space="preserve"> as additional </w:t>
      </w:r>
      <w:r>
        <w:rPr>
          <w:rFonts w:ascii="Arial" w:cs="Arial" w:eastAsia="Arial" w:hAnsi="Arial"/>
          <w:sz w:val="22"/>
          <w:szCs w:val="22"/>
          <w:color w:val="131313"/>
        </w:rPr>
        <w:t>rent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Rent</w:t>
      </w:r>
      <w:r>
        <w:rPr>
          <w:rFonts w:ascii="Arial" w:cs="Arial" w:eastAsia="Arial" w:hAnsi="Arial"/>
          <w:sz w:val="22"/>
          <w:szCs w:val="22"/>
          <w:color w:val="auto"/>
        </w:rPr>
        <w:t xml:space="preserve">”) at </w:t>
      </w:r>
      <w:r>
        <w:rPr>
          <w:rFonts w:ascii="Arial" w:cs="Arial" w:eastAsia="Arial" w:hAnsi="Arial"/>
          <w:sz w:val="22"/>
          <w:szCs w:val="22"/>
          <w:color w:val="131313"/>
        </w:rPr>
        <w:t>times hereinafter</w:t>
      </w:r>
      <w:r>
        <w:rPr>
          <w:rFonts w:ascii="Arial" w:cs="Arial" w:eastAsia="Arial" w:hAnsi="Arial"/>
          <w:sz w:val="22"/>
          <w:szCs w:val="22"/>
          <w:color w:val="auto"/>
        </w:rPr>
        <w:t xml:space="preserve"> specified </w:t>
      </w:r>
      <w:r>
        <w:rPr>
          <w:rFonts w:ascii="Arial" w:cs="Arial" w:eastAsia="Arial" w:hAnsi="Arial"/>
          <w:sz w:val="22"/>
          <w:szCs w:val="22"/>
          <w:color w:val="131313"/>
        </w:rPr>
        <w:t>in this Lease</w:t>
      </w:r>
      <w:r>
        <w:rPr>
          <w:rFonts w:ascii="Arial" w:cs="Arial" w:eastAsia="Arial" w:hAnsi="Arial"/>
          <w:sz w:val="22"/>
          <w:szCs w:val="22"/>
          <w:color w:val="auto"/>
        </w:rPr>
        <w:t xml:space="preserve"> (a) </w:t>
      </w:r>
      <w:r>
        <w:rPr>
          <w:rFonts w:ascii="Arial" w:cs="Arial" w:eastAsia="Arial" w:hAnsi="Arial"/>
          <w:sz w:val="22"/>
          <w:szCs w:val="22"/>
          <w:color w:val="131313"/>
        </w:rPr>
        <w:t>Tenant’s pro rata</w:t>
      </w:r>
      <w:r>
        <w:rPr>
          <w:rFonts w:ascii="Arial" w:cs="Arial" w:eastAsia="Arial" w:hAnsi="Arial"/>
          <w:sz w:val="22"/>
          <w:szCs w:val="22"/>
          <w:color w:val="auto"/>
        </w:rPr>
        <w:t xml:space="preserve"> share, as set </w:t>
      </w:r>
      <w:r>
        <w:rPr>
          <w:rFonts w:ascii="Arial" w:cs="Arial" w:eastAsia="Arial" w:hAnsi="Arial"/>
          <w:sz w:val="22"/>
          <w:szCs w:val="22"/>
          <w:color w:val="131313"/>
        </w:rPr>
        <w:t>forth</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w:t>
      </w:r>
      <w:r>
        <w:rPr>
          <w:rFonts w:ascii="Arial" w:cs="Arial" w:eastAsia="Arial" w:hAnsi="Arial"/>
          <w:sz w:val="22"/>
          <w:szCs w:val="22"/>
          <w:color w:val="131313"/>
        </w:rPr>
        <w:t>(“</w:t>
      </w:r>
      <w:r>
        <w:rPr>
          <w:rFonts w:ascii="Arial" w:cs="Arial" w:eastAsia="Arial" w:hAnsi="Arial"/>
          <w:sz w:val="22"/>
          <w:szCs w:val="22"/>
          <w:u w:val="single" w:color="auto"/>
          <w:color w:val="131313"/>
        </w:rPr>
        <w:t>Tenant’s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w:t>
      </w:r>
      <w:r>
        <w:rPr>
          <w:rFonts w:ascii="Arial" w:cs="Arial" w:eastAsia="Arial" w:hAnsi="Arial"/>
          <w:sz w:val="22"/>
          <w:szCs w:val="22"/>
          <w:color w:val="auto"/>
        </w:rPr>
        <w:t xml:space="preserve"> </w:t>
      </w:r>
      <w:r>
        <w:rPr>
          <w:rFonts w:ascii="Arial" w:cs="Arial" w:eastAsia="Arial" w:hAnsi="Arial"/>
          <w:sz w:val="22"/>
          <w:szCs w:val="22"/>
          <w:u w:val="single" w:color="auto"/>
          <w:color w:val="131313"/>
        </w:rPr>
        <w:t>Rata</w:t>
      </w:r>
      <w:r>
        <w:rPr>
          <w:rFonts w:ascii="Arial" w:cs="Arial" w:eastAsia="Arial" w:hAnsi="Arial"/>
          <w:sz w:val="22"/>
          <w:szCs w:val="22"/>
          <w:color w:val="auto"/>
        </w:rPr>
        <w:t xml:space="preserve"> </w:t>
      </w:r>
      <w:r>
        <w:rPr>
          <w:rFonts w:ascii="Arial" w:cs="Arial" w:eastAsia="Arial" w:hAnsi="Arial"/>
          <w:sz w:val="22"/>
          <w:szCs w:val="22"/>
          <w:u w:val="single" w:color="auto"/>
          <w:color w:val="auto"/>
        </w:rPr>
        <w:t>Share</w:t>
      </w:r>
      <w:r>
        <w:rPr>
          <w:rFonts w:ascii="Arial" w:cs="Arial" w:eastAsia="Arial" w:hAnsi="Arial"/>
          <w:sz w:val="22"/>
          <w:szCs w:val="22"/>
          <w:color w:val="auto"/>
        </w:rPr>
        <w:t xml:space="preserve">”), of </w:t>
      </w:r>
      <w:r>
        <w:rPr>
          <w:rFonts w:ascii="Arial" w:cs="Arial" w:eastAsia="Arial" w:hAnsi="Arial"/>
          <w:sz w:val="22"/>
          <w:szCs w:val="22"/>
          <w:color w:val="131313"/>
        </w:rPr>
        <w:t xml:space="preserve">Operating </w:t>
      </w:r>
      <w:r>
        <w:rPr>
          <w:rFonts w:ascii="Arial" w:cs="Arial" w:eastAsia="Arial" w:hAnsi="Arial"/>
          <w:sz w:val="22"/>
          <w:szCs w:val="22"/>
          <w:color w:val="000000"/>
        </w:rPr>
        <w:t>Expenses,</w:t>
      </w:r>
      <w:r>
        <w:rPr>
          <w:rFonts w:ascii="Arial" w:cs="Arial" w:eastAsia="Arial" w:hAnsi="Arial"/>
          <w:sz w:val="22"/>
          <w:szCs w:val="22"/>
          <w:color w:val="131313"/>
        </w:rPr>
        <w:t xml:space="preserve"> (b) the Property </w:t>
      </w:r>
      <w:r>
        <w:rPr>
          <w:rFonts w:ascii="Arial" w:cs="Arial" w:eastAsia="Arial" w:hAnsi="Arial"/>
          <w:sz w:val="22"/>
          <w:szCs w:val="22"/>
          <w:color w:val="000000"/>
        </w:rPr>
        <w:t>Management Fee</w:t>
      </w:r>
      <w:r>
        <w:rPr>
          <w:rFonts w:ascii="Arial" w:cs="Arial" w:eastAsia="Arial" w:hAnsi="Arial"/>
          <w:sz w:val="22"/>
          <w:szCs w:val="22"/>
          <w:color w:val="131313"/>
        </w:rPr>
        <w:t xml:space="preserve"> (as </w:t>
      </w:r>
      <w:r>
        <w:rPr>
          <w:rFonts w:ascii="Arial" w:cs="Arial" w:eastAsia="Arial" w:hAnsi="Arial"/>
          <w:sz w:val="22"/>
          <w:szCs w:val="22"/>
          <w:color w:val="000000"/>
        </w:rPr>
        <w:t>defined</w:t>
      </w:r>
      <w:r>
        <w:rPr>
          <w:rFonts w:ascii="Arial" w:cs="Arial" w:eastAsia="Arial" w:hAnsi="Arial"/>
          <w:sz w:val="22"/>
          <w:szCs w:val="22"/>
          <w:color w:val="131313"/>
        </w:rPr>
        <w:t xml:space="preserve"> below) </w:t>
      </w:r>
      <w:r>
        <w:rPr>
          <w:rFonts w:ascii="Arial" w:cs="Arial" w:eastAsia="Arial" w:hAnsi="Arial"/>
          <w:sz w:val="22"/>
          <w:szCs w:val="22"/>
          <w:color w:val="000000"/>
        </w:rPr>
        <w:t>and (c) any other amounts that Tenant</w:t>
      </w:r>
      <w:r>
        <w:rPr>
          <w:rFonts w:ascii="Arial" w:cs="Arial" w:eastAsia="Arial" w:hAnsi="Arial"/>
          <w:sz w:val="22"/>
          <w:szCs w:val="22"/>
          <w:color w:val="131313"/>
        </w:rPr>
        <w:t xml:space="preserve"> </w:t>
      </w:r>
      <w:r>
        <w:rPr>
          <w:rFonts w:ascii="Arial" w:cs="Arial" w:eastAsia="Arial" w:hAnsi="Arial"/>
          <w:sz w:val="22"/>
          <w:szCs w:val="22"/>
          <w:color w:val="000000"/>
        </w:rPr>
        <w:t xml:space="preserve">assumes or </w:t>
      </w:r>
      <w:r>
        <w:rPr>
          <w:rFonts w:ascii="Arial" w:cs="Arial" w:eastAsia="Arial" w:hAnsi="Arial"/>
          <w:sz w:val="22"/>
          <w:szCs w:val="22"/>
          <w:color w:val="131313"/>
        </w:rPr>
        <w:t>agrees to pay</w:t>
      </w:r>
      <w:r>
        <w:rPr>
          <w:rFonts w:ascii="Arial" w:cs="Arial" w:eastAsia="Arial" w:hAnsi="Arial"/>
          <w:sz w:val="22"/>
          <w:szCs w:val="22"/>
          <w:color w:val="000000"/>
        </w:rPr>
        <w:t xml:space="preserve"> under the provisions of </w:t>
      </w:r>
      <w:r>
        <w:rPr>
          <w:rFonts w:ascii="Arial" w:cs="Arial" w:eastAsia="Arial" w:hAnsi="Arial"/>
          <w:sz w:val="22"/>
          <w:szCs w:val="22"/>
          <w:color w:val="131313"/>
        </w:rPr>
        <w:t>this</w:t>
      </w:r>
      <w:r>
        <w:rPr>
          <w:rFonts w:ascii="Arial" w:cs="Arial" w:eastAsia="Arial" w:hAnsi="Arial"/>
          <w:sz w:val="22"/>
          <w:szCs w:val="22"/>
          <w:color w:val="000000"/>
        </w:rPr>
        <w:t xml:space="preserve"> Lease that are </w:t>
      </w:r>
      <w:r>
        <w:rPr>
          <w:rFonts w:ascii="Arial" w:cs="Arial" w:eastAsia="Arial" w:hAnsi="Arial"/>
          <w:sz w:val="22"/>
          <w:szCs w:val="22"/>
          <w:color w:val="131313"/>
        </w:rPr>
        <w:t>owed</w:t>
      </w:r>
      <w:r>
        <w:rPr>
          <w:rFonts w:ascii="Arial" w:cs="Arial" w:eastAsia="Arial" w:hAnsi="Arial"/>
          <w:sz w:val="22"/>
          <w:szCs w:val="22"/>
          <w:color w:val="000000"/>
        </w:rPr>
        <w:t xml:space="preserve"> </w:t>
      </w:r>
      <w:r>
        <w:rPr>
          <w:rFonts w:ascii="Arial" w:cs="Arial" w:eastAsia="Arial" w:hAnsi="Arial"/>
          <w:sz w:val="22"/>
          <w:szCs w:val="22"/>
          <w:color w:val="383838"/>
        </w:rPr>
        <w:t>to</w:t>
      </w:r>
      <w:r>
        <w:rPr>
          <w:rFonts w:ascii="Arial" w:cs="Arial" w:eastAsia="Arial" w:hAnsi="Arial"/>
          <w:sz w:val="22"/>
          <w:szCs w:val="22"/>
          <w:color w:val="000000"/>
        </w:rPr>
        <w:t xml:space="preserve"> </w:t>
      </w:r>
      <w:r>
        <w:rPr>
          <w:rFonts w:ascii="Arial" w:cs="Arial" w:eastAsia="Arial" w:hAnsi="Arial"/>
          <w:sz w:val="22"/>
          <w:szCs w:val="22"/>
          <w:color w:val="131313"/>
        </w:rPr>
        <w:t>Landlord, including any</w:t>
      </w:r>
      <w:r>
        <w:rPr>
          <w:rFonts w:ascii="Arial" w:cs="Arial" w:eastAsia="Arial" w:hAnsi="Arial"/>
          <w:sz w:val="22"/>
          <w:szCs w:val="22"/>
          <w:color w:val="000000"/>
        </w:rPr>
        <w:t xml:space="preserve"> and </w:t>
      </w:r>
      <w:r>
        <w:rPr>
          <w:rFonts w:ascii="Arial" w:cs="Arial" w:eastAsia="Arial" w:hAnsi="Arial"/>
          <w:sz w:val="22"/>
          <w:szCs w:val="22"/>
          <w:color w:val="131313"/>
        </w:rPr>
        <w:t>all</w:t>
      </w:r>
      <w:r>
        <w:rPr>
          <w:rFonts w:ascii="Arial" w:cs="Arial" w:eastAsia="Arial" w:hAnsi="Arial"/>
          <w:sz w:val="22"/>
          <w:szCs w:val="22"/>
          <w:color w:val="000000"/>
        </w:rPr>
        <w:t xml:space="preserve"> other sums </w:t>
      </w:r>
      <w:r>
        <w:rPr>
          <w:rFonts w:ascii="Arial" w:cs="Arial" w:eastAsia="Arial" w:hAnsi="Arial"/>
          <w:sz w:val="22"/>
          <w:szCs w:val="22"/>
          <w:color w:val="131313"/>
        </w:rPr>
        <w:t>that may become due</w:t>
      </w:r>
      <w:r>
        <w:rPr>
          <w:rFonts w:ascii="Arial" w:cs="Arial" w:eastAsia="Arial" w:hAnsi="Arial"/>
          <w:sz w:val="22"/>
          <w:szCs w:val="22"/>
          <w:color w:val="000000"/>
        </w:rPr>
        <w:t xml:space="preserve"> by </w:t>
      </w:r>
      <w:r>
        <w:rPr>
          <w:rFonts w:ascii="Arial" w:cs="Arial" w:eastAsia="Arial" w:hAnsi="Arial"/>
          <w:sz w:val="22"/>
          <w:szCs w:val="22"/>
          <w:color w:val="131313"/>
        </w:rPr>
        <w:t>reason of</w:t>
      </w:r>
      <w:r>
        <w:rPr>
          <w:rFonts w:ascii="Arial" w:cs="Arial" w:eastAsia="Arial" w:hAnsi="Arial"/>
          <w:sz w:val="22"/>
          <w:szCs w:val="22"/>
          <w:color w:val="000000"/>
        </w:rPr>
        <w:t xml:space="preserve"> any default </w:t>
      </w:r>
      <w:r>
        <w:rPr>
          <w:rFonts w:ascii="Arial" w:cs="Arial" w:eastAsia="Arial" w:hAnsi="Arial"/>
          <w:sz w:val="22"/>
          <w:szCs w:val="22"/>
          <w:color w:val="131313"/>
        </w:rPr>
        <w:t>of Tenant</w:t>
      </w:r>
      <w:r>
        <w:rPr>
          <w:rFonts w:ascii="Arial" w:cs="Arial" w:eastAsia="Arial" w:hAnsi="Arial"/>
          <w:sz w:val="22"/>
          <w:szCs w:val="22"/>
          <w:color w:val="000000"/>
        </w:rPr>
        <w:t xml:space="preserve"> or failure on </w:t>
      </w:r>
      <w:r>
        <w:rPr>
          <w:rFonts w:ascii="Arial" w:cs="Arial" w:eastAsia="Arial" w:hAnsi="Arial"/>
          <w:sz w:val="22"/>
          <w:szCs w:val="22"/>
          <w:color w:val="131313"/>
        </w:rPr>
        <w:t>Tenant’s part to</w:t>
      </w:r>
      <w:r>
        <w:rPr>
          <w:rFonts w:ascii="Arial" w:cs="Arial" w:eastAsia="Arial" w:hAnsi="Arial"/>
          <w:sz w:val="22"/>
          <w:szCs w:val="22"/>
          <w:color w:val="000000"/>
        </w:rPr>
        <w:t xml:space="preserve"> comply </w:t>
      </w:r>
      <w:r>
        <w:rPr>
          <w:rFonts w:ascii="Arial" w:cs="Arial" w:eastAsia="Arial" w:hAnsi="Arial"/>
          <w:sz w:val="22"/>
          <w:szCs w:val="22"/>
          <w:color w:val="131313"/>
        </w:rPr>
        <w:t>with</w:t>
      </w:r>
      <w:r>
        <w:rPr>
          <w:rFonts w:ascii="Arial" w:cs="Arial" w:eastAsia="Arial" w:hAnsi="Arial"/>
          <w:sz w:val="22"/>
          <w:szCs w:val="22"/>
          <w:color w:val="000000"/>
        </w:rPr>
        <w:t xml:space="preserve"> the agreements, </w:t>
      </w:r>
      <w:r>
        <w:rPr>
          <w:rFonts w:ascii="Arial" w:cs="Arial" w:eastAsia="Arial" w:hAnsi="Arial"/>
          <w:sz w:val="22"/>
          <w:szCs w:val="22"/>
          <w:color w:val="131313"/>
        </w:rPr>
        <w:t>terms, covenants</w:t>
      </w:r>
      <w:r>
        <w:rPr>
          <w:rFonts w:ascii="Arial" w:cs="Arial" w:eastAsia="Arial" w:hAnsi="Arial"/>
          <w:sz w:val="22"/>
          <w:szCs w:val="22"/>
          <w:color w:val="000000"/>
        </w:rPr>
        <w:t xml:space="preserve"> and conditions </w:t>
      </w:r>
      <w:r>
        <w:rPr>
          <w:rFonts w:ascii="Arial" w:cs="Arial" w:eastAsia="Arial" w:hAnsi="Arial"/>
          <w:sz w:val="22"/>
          <w:szCs w:val="22"/>
          <w:color w:val="131313"/>
        </w:rPr>
        <w:t>of this</w:t>
      </w:r>
      <w:r>
        <w:rPr>
          <w:rFonts w:ascii="Arial" w:cs="Arial" w:eastAsia="Arial" w:hAnsi="Arial"/>
          <w:sz w:val="22"/>
          <w:szCs w:val="22"/>
          <w:color w:val="000000"/>
        </w:rPr>
        <w:t xml:space="preserve"> Lease to be </w:t>
      </w:r>
      <w:r>
        <w:rPr>
          <w:rFonts w:ascii="Arial" w:cs="Arial" w:eastAsia="Arial" w:hAnsi="Arial"/>
          <w:sz w:val="22"/>
          <w:szCs w:val="22"/>
          <w:color w:val="131313"/>
        </w:rPr>
        <w:t>performed</w:t>
      </w:r>
      <w:r>
        <w:rPr>
          <w:rFonts w:ascii="Arial" w:cs="Arial" w:eastAsia="Arial" w:hAnsi="Arial"/>
          <w:sz w:val="22"/>
          <w:szCs w:val="22"/>
          <w:color w:val="000000"/>
        </w:rPr>
        <w:t xml:space="preserve"> by Tenant, after notice </w:t>
      </w:r>
      <w:r>
        <w:rPr>
          <w:rFonts w:ascii="Arial" w:cs="Arial" w:eastAsia="Arial" w:hAnsi="Arial"/>
          <w:sz w:val="22"/>
          <w:szCs w:val="22"/>
          <w:color w:val="131313"/>
        </w:rPr>
        <w:t>and</w:t>
      </w:r>
      <w:r>
        <w:rPr>
          <w:rFonts w:ascii="Arial" w:cs="Arial" w:eastAsia="Arial" w:hAnsi="Arial"/>
          <w:sz w:val="22"/>
          <w:szCs w:val="22"/>
          <w:color w:val="000000"/>
        </w:rPr>
        <w:t xml:space="preserve"> </w:t>
      </w:r>
      <w:r>
        <w:rPr>
          <w:rFonts w:ascii="Arial" w:cs="Arial" w:eastAsia="Arial" w:hAnsi="Arial"/>
          <w:sz w:val="22"/>
          <w:szCs w:val="22"/>
          <w:color w:val="383838"/>
        </w:rPr>
        <w:t>the</w:t>
      </w:r>
      <w:r>
        <w:rPr>
          <w:rFonts w:ascii="Arial" w:cs="Arial" w:eastAsia="Arial" w:hAnsi="Arial"/>
          <w:sz w:val="22"/>
          <w:szCs w:val="22"/>
          <w:color w:val="000000"/>
        </w:rPr>
        <w:t xml:space="preserve"> </w:t>
      </w:r>
      <w:r>
        <w:rPr>
          <w:rFonts w:ascii="Arial" w:cs="Arial" w:eastAsia="Arial" w:hAnsi="Arial"/>
          <w:sz w:val="22"/>
          <w:szCs w:val="22"/>
          <w:color w:val="131313"/>
        </w:rPr>
        <w:t>lapse</w:t>
      </w:r>
      <w:r>
        <w:rPr>
          <w:rFonts w:ascii="Arial" w:cs="Arial" w:eastAsia="Arial" w:hAnsi="Arial"/>
          <w:sz w:val="22"/>
          <w:szCs w:val="22"/>
          <w:color w:val="000000"/>
        </w:rPr>
        <w:t xml:space="preserve"> of any </w:t>
      </w:r>
      <w:r>
        <w:rPr>
          <w:rFonts w:ascii="Arial" w:cs="Arial" w:eastAsia="Arial" w:hAnsi="Arial"/>
          <w:sz w:val="22"/>
          <w:szCs w:val="22"/>
          <w:color w:val="131313"/>
        </w:rPr>
        <w:t>applicable</w:t>
      </w:r>
      <w:r>
        <w:rPr>
          <w:rFonts w:ascii="Arial" w:cs="Arial" w:eastAsia="Arial" w:hAnsi="Arial"/>
          <w:sz w:val="22"/>
          <w:szCs w:val="22"/>
          <w:color w:val="000000"/>
        </w:rPr>
        <w:t xml:space="preserve"> cure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323" w:name="page324"/>
    <w:bookmarkEnd w:id="323"/>
    <w:p>
      <w:pPr>
        <w:jc w:val="both"/>
        <w:ind w:left="1300" w:hanging="647"/>
        <w:spacing w:after="0" w:line="249" w:lineRule="auto"/>
        <w:tabs>
          <w:tab w:leader="none" w:pos="12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 xml:space="preserve">Base </w:t>
      </w:r>
      <w:r>
        <w:rPr>
          <w:rFonts w:ascii="Arial" w:cs="Arial" w:eastAsia="Arial" w:hAnsi="Arial"/>
          <w:sz w:val="19"/>
          <w:szCs w:val="19"/>
          <w:color w:val="131313"/>
        </w:rPr>
        <w:t>Rent</w:t>
      </w:r>
      <w:r>
        <w:rPr>
          <w:rFonts w:ascii="Arial" w:cs="Arial" w:eastAsia="Arial" w:hAnsi="Arial"/>
          <w:sz w:val="19"/>
          <w:szCs w:val="19"/>
          <w:color w:val="auto"/>
        </w:rPr>
        <w:t xml:space="preserve"> and </w:t>
      </w:r>
      <w:r>
        <w:rPr>
          <w:rFonts w:ascii="Arial" w:cs="Arial" w:eastAsia="Arial" w:hAnsi="Arial"/>
          <w:sz w:val="19"/>
          <w:szCs w:val="19"/>
          <w:color w:val="131313"/>
        </w:rPr>
        <w:t>Additional</w:t>
      </w:r>
      <w:r>
        <w:rPr>
          <w:rFonts w:ascii="Arial" w:cs="Arial" w:eastAsia="Arial" w:hAnsi="Arial"/>
          <w:sz w:val="19"/>
          <w:szCs w:val="19"/>
          <w:color w:val="auto"/>
        </w:rPr>
        <w:t xml:space="preserve"> Rent shall </w:t>
      </w:r>
      <w:r>
        <w:rPr>
          <w:rFonts w:ascii="Arial" w:cs="Arial" w:eastAsia="Arial" w:hAnsi="Arial"/>
          <w:sz w:val="19"/>
          <w:szCs w:val="19"/>
          <w:color w:val="131313"/>
        </w:rPr>
        <w:t>together be denominated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Rent.</w:t>
      </w:r>
      <w:r>
        <w:rPr>
          <w:rFonts w:ascii="Arial" w:cs="Arial" w:eastAsia="Arial" w:hAnsi="Arial"/>
          <w:sz w:val="19"/>
          <w:szCs w:val="19"/>
          <w:color w:val="auto"/>
        </w:rPr>
        <w:t xml:space="preserve">” </w:t>
      </w:r>
      <w:r>
        <w:rPr>
          <w:rFonts w:ascii="Arial" w:cs="Arial" w:eastAsia="Arial" w:hAnsi="Arial"/>
          <w:sz w:val="19"/>
          <w:szCs w:val="19"/>
          <w:color w:val="383838"/>
        </w:rPr>
        <w:t>Rent shall</w:t>
      </w:r>
      <w:r>
        <w:rPr>
          <w:rFonts w:ascii="Arial" w:cs="Arial" w:eastAsia="Arial" w:hAnsi="Arial"/>
          <w:sz w:val="19"/>
          <w:szCs w:val="19"/>
          <w:color w:val="auto"/>
        </w:rPr>
        <w:t xml:space="preserve"> </w:t>
      </w:r>
      <w:r>
        <w:rPr>
          <w:rFonts w:ascii="Arial" w:cs="Arial" w:eastAsia="Arial" w:hAnsi="Arial"/>
          <w:sz w:val="19"/>
          <w:szCs w:val="19"/>
          <w:color w:val="131313"/>
        </w:rPr>
        <w:t>be paid</w:t>
      </w:r>
      <w:r>
        <w:rPr>
          <w:rFonts w:ascii="Arial" w:cs="Arial" w:eastAsia="Arial" w:hAnsi="Arial"/>
          <w:sz w:val="19"/>
          <w:szCs w:val="19"/>
          <w:color w:val="auto"/>
        </w:rPr>
        <w:t xml:space="preserve"> to Landlord, without abatement, </w:t>
      </w:r>
      <w:r>
        <w:rPr>
          <w:rFonts w:ascii="Arial" w:cs="Arial" w:eastAsia="Arial" w:hAnsi="Arial"/>
          <w:sz w:val="19"/>
          <w:szCs w:val="19"/>
          <w:color w:val="131313"/>
        </w:rPr>
        <w:t>deduction</w:t>
      </w:r>
      <w:r>
        <w:rPr>
          <w:rFonts w:ascii="Arial" w:cs="Arial" w:eastAsia="Arial" w:hAnsi="Arial"/>
          <w:sz w:val="19"/>
          <w:szCs w:val="19"/>
          <w:color w:val="auto"/>
        </w:rPr>
        <w:t xml:space="preserve"> or offset </w:t>
      </w:r>
      <w:r>
        <w:rPr>
          <w:rFonts w:ascii="Arial" w:cs="Arial" w:eastAsia="Arial" w:hAnsi="Arial"/>
          <w:sz w:val="19"/>
          <w:szCs w:val="19"/>
          <w:color w:val="383838"/>
        </w:rPr>
        <w:t>except</w:t>
      </w:r>
      <w:r>
        <w:rPr>
          <w:rFonts w:ascii="Arial" w:cs="Arial" w:eastAsia="Arial" w:hAnsi="Arial"/>
          <w:sz w:val="19"/>
          <w:szCs w:val="19"/>
          <w:color w:val="auto"/>
        </w:rPr>
        <w:t xml:space="preserve"> as expressly </w:t>
      </w:r>
      <w:r>
        <w:rPr>
          <w:rFonts w:ascii="Arial" w:cs="Arial" w:eastAsia="Arial" w:hAnsi="Arial"/>
          <w:sz w:val="19"/>
          <w:szCs w:val="19"/>
          <w:color w:val="131313"/>
        </w:rPr>
        <w:t>provided in</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131313"/>
        </w:rPr>
        <w:t>16.2</w:t>
      </w:r>
      <w:r>
        <w:rPr>
          <w:rFonts w:ascii="Arial" w:cs="Arial" w:eastAsia="Arial" w:hAnsi="Arial"/>
          <w:sz w:val="19"/>
          <w:szCs w:val="19"/>
          <w:color w:val="131313"/>
        </w:rPr>
        <w:t>,</w:t>
      </w:r>
      <w:r>
        <w:rPr>
          <w:rFonts w:ascii="Arial" w:cs="Arial" w:eastAsia="Arial" w:hAnsi="Arial"/>
          <w:sz w:val="19"/>
          <w:szCs w:val="19"/>
          <w:color w:val="auto"/>
        </w:rPr>
        <w:t xml:space="preserve"> </w:t>
      </w:r>
      <w:r>
        <w:rPr>
          <w:rFonts w:ascii="Arial" w:cs="Arial" w:eastAsia="Arial" w:hAnsi="Arial"/>
          <w:sz w:val="19"/>
          <w:szCs w:val="19"/>
          <w:u w:val="single" w:color="auto"/>
          <w:color w:val="131313"/>
        </w:rPr>
        <w:t>24.5</w:t>
      </w:r>
      <w:r>
        <w:rPr>
          <w:rFonts w:ascii="Arial" w:cs="Arial" w:eastAsia="Arial" w:hAnsi="Arial"/>
          <w:sz w:val="19"/>
          <w:szCs w:val="19"/>
          <w:color w:val="auto"/>
        </w:rPr>
        <w:t xml:space="preserve"> </w:t>
      </w:r>
      <w:r>
        <w:rPr>
          <w:rFonts w:ascii="Arial" w:cs="Arial" w:eastAsia="Arial" w:hAnsi="Arial"/>
          <w:sz w:val="19"/>
          <w:szCs w:val="19"/>
          <w:color w:val="131313"/>
        </w:rPr>
        <w:t>and</w:t>
      </w:r>
      <w:r>
        <w:rPr>
          <w:rFonts w:ascii="Arial" w:cs="Arial" w:eastAsia="Arial" w:hAnsi="Arial"/>
          <w:sz w:val="19"/>
          <w:szCs w:val="19"/>
          <w:color w:val="auto"/>
        </w:rPr>
        <w:t xml:space="preserve"> </w:t>
      </w:r>
      <w:r>
        <w:rPr>
          <w:rFonts w:ascii="Arial" w:cs="Arial" w:eastAsia="Arial" w:hAnsi="Arial"/>
          <w:sz w:val="19"/>
          <w:szCs w:val="19"/>
          <w:u w:val="single" w:color="auto"/>
          <w:color w:val="131313"/>
        </w:rPr>
        <w:t>31.14</w:t>
      </w:r>
      <w:r>
        <w:rPr>
          <w:rFonts w:ascii="Arial" w:cs="Arial" w:eastAsia="Arial" w:hAnsi="Arial"/>
          <w:sz w:val="19"/>
          <w:szCs w:val="19"/>
          <w:color w:val="131313"/>
        </w:rPr>
        <w:t>,</w:t>
      </w:r>
      <w:r>
        <w:rPr>
          <w:rFonts w:ascii="Arial" w:cs="Arial" w:eastAsia="Arial" w:hAnsi="Arial"/>
          <w:sz w:val="19"/>
          <w:szCs w:val="19"/>
          <w:color w:val="auto"/>
        </w:rPr>
        <w:t xml:space="preserve"> in </w:t>
      </w:r>
      <w:r>
        <w:rPr>
          <w:rFonts w:ascii="Arial" w:cs="Arial" w:eastAsia="Arial" w:hAnsi="Arial"/>
          <w:sz w:val="19"/>
          <w:szCs w:val="19"/>
          <w:color w:val="131313"/>
        </w:rPr>
        <w:t>lawful money of</w:t>
      </w:r>
      <w:r>
        <w:rPr>
          <w:rFonts w:ascii="Arial" w:cs="Arial" w:eastAsia="Arial" w:hAnsi="Arial"/>
          <w:sz w:val="19"/>
          <w:szCs w:val="19"/>
          <w:color w:val="auto"/>
        </w:rPr>
        <w:t xml:space="preserve"> the United States of America at </w:t>
      </w:r>
      <w:r>
        <w:rPr>
          <w:rFonts w:ascii="Arial" w:cs="Arial" w:eastAsia="Arial" w:hAnsi="Arial"/>
          <w:sz w:val="19"/>
          <w:szCs w:val="19"/>
          <w:color w:val="383838"/>
        </w:rPr>
        <w:t>the</w:t>
      </w:r>
      <w:r>
        <w:rPr>
          <w:rFonts w:ascii="Arial" w:cs="Arial" w:eastAsia="Arial" w:hAnsi="Arial"/>
          <w:sz w:val="19"/>
          <w:szCs w:val="19"/>
          <w:color w:val="auto"/>
        </w:rPr>
        <w:t xml:space="preserve"> office of Landlord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131313"/>
        </w:rPr>
        <w:t>2.8</w:t>
      </w:r>
      <w:r>
        <w:rPr>
          <w:rFonts w:ascii="Arial" w:cs="Arial" w:eastAsia="Arial" w:hAnsi="Arial"/>
          <w:sz w:val="19"/>
          <w:szCs w:val="19"/>
          <w:color w:val="auto"/>
        </w:rPr>
        <w:t xml:space="preserve"> </w:t>
      </w:r>
      <w:r>
        <w:rPr>
          <w:rFonts w:ascii="Arial" w:cs="Arial" w:eastAsia="Arial" w:hAnsi="Arial"/>
          <w:sz w:val="19"/>
          <w:szCs w:val="19"/>
          <w:color w:val="131313"/>
        </w:rPr>
        <w:t>or</w:t>
      </w:r>
      <w:r>
        <w:rPr>
          <w:rFonts w:ascii="Arial" w:cs="Arial" w:eastAsia="Arial" w:hAnsi="Arial"/>
          <w:sz w:val="19"/>
          <w:szCs w:val="19"/>
          <w:color w:val="auto"/>
        </w:rPr>
        <w:t xml:space="preserve"> to such other </w:t>
      </w:r>
      <w:r>
        <w:rPr>
          <w:rFonts w:ascii="Arial" w:cs="Arial" w:eastAsia="Arial" w:hAnsi="Arial"/>
          <w:sz w:val="19"/>
          <w:szCs w:val="19"/>
          <w:color w:val="131313"/>
        </w:rPr>
        <w:t>person</w:t>
      </w:r>
      <w:r>
        <w:rPr>
          <w:rFonts w:ascii="Arial" w:cs="Arial" w:eastAsia="Arial" w:hAnsi="Arial"/>
          <w:sz w:val="19"/>
          <w:szCs w:val="19"/>
          <w:color w:val="auto"/>
        </w:rPr>
        <w:t xml:space="preserve"> or at such </w:t>
      </w:r>
      <w:r>
        <w:rPr>
          <w:rFonts w:ascii="Arial" w:cs="Arial" w:eastAsia="Arial" w:hAnsi="Arial"/>
          <w:sz w:val="19"/>
          <w:szCs w:val="19"/>
          <w:color w:val="131313"/>
        </w:rPr>
        <w:t xml:space="preserve">other </w:t>
      </w:r>
      <w:r>
        <w:rPr>
          <w:rFonts w:ascii="Arial" w:cs="Arial" w:eastAsia="Arial" w:hAnsi="Arial"/>
          <w:sz w:val="19"/>
          <w:szCs w:val="19"/>
          <w:color w:val="000000"/>
        </w:rPr>
        <w:t>place</w:t>
      </w:r>
      <w:r>
        <w:rPr>
          <w:rFonts w:ascii="Arial" w:cs="Arial" w:eastAsia="Arial" w:hAnsi="Arial"/>
          <w:sz w:val="19"/>
          <w:szCs w:val="19"/>
          <w:color w:val="131313"/>
        </w:rPr>
        <w:t xml:space="preserve"> as </w:t>
      </w:r>
      <w:r>
        <w:rPr>
          <w:rFonts w:ascii="Arial" w:cs="Arial" w:eastAsia="Arial" w:hAnsi="Arial"/>
          <w:sz w:val="19"/>
          <w:szCs w:val="19"/>
          <w:color w:val="000000"/>
        </w:rPr>
        <w:t>Landlord</w:t>
      </w:r>
      <w:r>
        <w:rPr>
          <w:rFonts w:ascii="Arial" w:cs="Arial" w:eastAsia="Arial" w:hAnsi="Arial"/>
          <w:sz w:val="19"/>
          <w:szCs w:val="19"/>
          <w:color w:val="131313"/>
        </w:rPr>
        <w:t xml:space="preserve"> may </w:t>
      </w:r>
      <w:r>
        <w:rPr>
          <w:rFonts w:ascii="Arial" w:cs="Arial" w:eastAsia="Arial" w:hAnsi="Arial"/>
          <w:sz w:val="19"/>
          <w:szCs w:val="19"/>
          <w:color w:val="000000"/>
        </w:rPr>
        <w:t>from time</w:t>
      </w:r>
      <w:r>
        <w:rPr>
          <w:rFonts w:ascii="Arial" w:cs="Arial" w:eastAsia="Arial" w:hAnsi="Arial"/>
          <w:sz w:val="19"/>
          <w:szCs w:val="19"/>
          <w:color w:val="131313"/>
        </w:rPr>
        <w:t xml:space="preserve"> designate </w:t>
      </w:r>
      <w:r>
        <w:rPr>
          <w:rFonts w:ascii="Arial" w:cs="Arial" w:eastAsia="Arial" w:hAnsi="Arial"/>
          <w:sz w:val="19"/>
          <w:szCs w:val="19"/>
          <w:color w:val="000000"/>
        </w:rPr>
        <w:t>in writing.</w:t>
      </w:r>
      <w:r>
        <w:rPr>
          <w:rFonts w:ascii="Arial" w:cs="Arial" w:eastAsia="Arial" w:hAnsi="Arial"/>
          <w:sz w:val="19"/>
          <w:szCs w:val="19"/>
          <w:color w:val="131313"/>
        </w:rPr>
        <w:t xml:space="preserve"> In the </w:t>
      </w:r>
      <w:r>
        <w:rPr>
          <w:rFonts w:ascii="Arial" w:cs="Arial" w:eastAsia="Arial" w:hAnsi="Arial"/>
          <w:sz w:val="19"/>
          <w:szCs w:val="19"/>
          <w:color w:val="000000"/>
        </w:rPr>
        <w:t>event</w:t>
      </w:r>
      <w:r>
        <w:rPr>
          <w:rFonts w:ascii="Arial" w:cs="Arial" w:eastAsia="Arial" w:hAnsi="Arial"/>
          <w:sz w:val="19"/>
          <w:szCs w:val="19"/>
          <w:color w:val="131313"/>
        </w:rPr>
        <w:t xml:space="preserve"> the Term </w:t>
      </w:r>
      <w:r>
        <w:rPr>
          <w:rFonts w:ascii="Arial" w:cs="Arial" w:eastAsia="Arial" w:hAnsi="Arial"/>
          <w:sz w:val="19"/>
          <w:szCs w:val="19"/>
          <w:color w:val="000000"/>
        </w:rPr>
        <w:t>commences</w:t>
      </w:r>
      <w:r>
        <w:rPr>
          <w:rFonts w:ascii="Arial" w:cs="Arial" w:eastAsia="Arial" w:hAnsi="Arial"/>
          <w:sz w:val="19"/>
          <w:szCs w:val="19"/>
          <w:color w:val="131313"/>
        </w:rPr>
        <w:t xml:space="preserve"> or </w:t>
      </w:r>
      <w:r>
        <w:rPr>
          <w:rFonts w:ascii="Arial" w:cs="Arial" w:eastAsia="Arial" w:hAnsi="Arial"/>
          <w:sz w:val="19"/>
          <w:szCs w:val="19"/>
          <w:color w:val="000000"/>
        </w:rPr>
        <w:t>ends on a</w:t>
      </w:r>
      <w:r>
        <w:rPr>
          <w:rFonts w:ascii="Arial" w:cs="Arial" w:eastAsia="Arial" w:hAnsi="Arial"/>
          <w:sz w:val="19"/>
          <w:szCs w:val="19"/>
          <w:color w:val="131313"/>
        </w:rPr>
        <w:t xml:space="preserve"> day other than </w:t>
      </w:r>
      <w:r>
        <w:rPr>
          <w:rFonts w:ascii="Arial" w:cs="Arial" w:eastAsia="Arial" w:hAnsi="Arial"/>
          <w:sz w:val="19"/>
          <w:szCs w:val="19"/>
          <w:color w:val="4D4D4D"/>
        </w:rPr>
        <w:t>t</w:t>
      </w:r>
      <w:r>
        <w:rPr>
          <w:rFonts w:ascii="Arial" w:cs="Arial" w:eastAsia="Arial" w:hAnsi="Arial"/>
          <w:sz w:val="19"/>
          <w:szCs w:val="19"/>
          <w:color w:val="131313"/>
        </w:rPr>
        <w:t xml:space="preserve">he </w:t>
      </w:r>
      <w:r>
        <w:rPr>
          <w:rFonts w:ascii="Arial" w:cs="Arial" w:eastAsia="Arial" w:hAnsi="Arial"/>
          <w:sz w:val="19"/>
          <w:szCs w:val="19"/>
          <w:color w:val="000000"/>
        </w:rPr>
        <w:t>first</w:t>
      </w:r>
      <w:r>
        <w:rPr>
          <w:rFonts w:ascii="Arial" w:cs="Arial" w:eastAsia="Arial" w:hAnsi="Arial"/>
          <w:sz w:val="19"/>
          <w:szCs w:val="19"/>
          <w:color w:val="131313"/>
        </w:rPr>
        <w:t xml:space="preserve"> day of a </w:t>
      </w:r>
      <w:r>
        <w:rPr>
          <w:rFonts w:ascii="Arial" w:cs="Arial" w:eastAsia="Arial" w:hAnsi="Arial"/>
          <w:sz w:val="19"/>
          <w:szCs w:val="19"/>
          <w:color w:val="000000"/>
        </w:rPr>
        <w:t>calendar</w:t>
      </w:r>
      <w:r>
        <w:rPr>
          <w:rFonts w:ascii="Arial" w:cs="Arial" w:eastAsia="Arial" w:hAnsi="Arial"/>
          <w:sz w:val="19"/>
          <w:szCs w:val="19"/>
          <w:color w:val="131313"/>
        </w:rPr>
        <w:t xml:space="preserve"> month, </w:t>
      </w:r>
      <w:r>
        <w:rPr>
          <w:rFonts w:ascii="Arial" w:cs="Arial" w:eastAsia="Arial" w:hAnsi="Arial"/>
          <w:sz w:val="19"/>
          <w:szCs w:val="19"/>
          <w:color w:val="000000"/>
        </w:rPr>
        <w:t>then the</w:t>
      </w:r>
      <w:r>
        <w:rPr>
          <w:rFonts w:ascii="Arial" w:cs="Arial" w:eastAsia="Arial" w:hAnsi="Arial"/>
          <w:sz w:val="19"/>
          <w:szCs w:val="19"/>
          <w:color w:val="131313"/>
        </w:rPr>
        <w:t xml:space="preserve"> Rent </w:t>
      </w:r>
      <w:r>
        <w:rPr>
          <w:rFonts w:ascii="Arial" w:cs="Arial" w:eastAsia="Arial" w:hAnsi="Arial"/>
          <w:sz w:val="19"/>
          <w:szCs w:val="19"/>
          <w:color w:val="000000"/>
        </w:rPr>
        <w:t>for such fraction of a month shall</w:t>
      </w:r>
      <w:r>
        <w:rPr>
          <w:rFonts w:ascii="Arial" w:cs="Arial" w:eastAsia="Arial" w:hAnsi="Arial"/>
          <w:sz w:val="19"/>
          <w:szCs w:val="19"/>
          <w:color w:val="131313"/>
        </w:rPr>
        <w:t xml:space="preserve"> be </w:t>
      </w:r>
      <w:r>
        <w:rPr>
          <w:rFonts w:ascii="Arial" w:cs="Arial" w:eastAsia="Arial" w:hAnsi="Arial"/>
          <w:sz w:val="19"/>
          <w:szCs w:val="19"/>
          <w:color w:val="000000"/>
        </w:rPr>
        <w:t>prorated for</w:t>
      </w:r>
      <w:r>
        <w:rPr>
          <w:rFonts w:ascii="Arial" w:cs="Arial" w:eastAsia="Arial" w:hAnsi="Arial"/>
          <w:sz w:val="19"/>
          <w:szCs w:val="19"/>
          <w:color w:val="131313"/>
        </w:rPr>
        <w:t xml:space="preserve"> </w:t>
      </w:r>
      <w:r>
        <w:rPr>
          <w:rFonts w:ascii="Arial" w:cs="Arial" w:eastAsia="Arial" w:hAnsi="Arial"/>
          <w:sz w:val="19"/>
          <w:szCs w:val="19"/>
          <w:color w:val="383838"/>
        </w:rPr>
        <w:t>such</w:t>
      </w:r>
      <w:r>
        <w:rPr>
          <w:rFonts w:ascii="Arial" w:cs="Arial" w:eastAsia="Arial" w:hAnsi="Arial"/>
          <w:sz w:val="19"/>
          <w:szCs w:val="19"/>
          <w:color w:val="131313"/>
        </w:rPr>
        <w:t xml:space="preserve"> </w:t>
      </w:r>
      <w:r>
        <w:rPr>
          <w:rFonts w:ascii="Arial" w:cs="Arial" w:eastAsia="Arial" w:hAnsi="Arial"/>
          <w:sz w:val="19"/>
          <w:szCs w:val="19"/>
          <w:color w:val="000000"/>
        </w:rPr>
        <w:t xml:space="preserve">period </w:t>
      </w:r>
      <w:r>
        <w:rPr>
          <w:rFonts w:ascii="Arial" w:cs="Arial" w:eastAsia="Arial" w:hAnsi="Arial"/>
          <w:sz w:val="19"/>
          <w:szCs w:val="19"/>
          <w:color w:val="131313"/>
        </w:rPr>
        <w:t>on the basis</w:t>
      </w:r>
      <w:r>
        <w:rPr>
          <w:rFonts w:ascii="Arial" w:cs="Arial" w:eastAsia="Arial" w:hAnsi="Arial"/>
          <w:sz w:val="19"/>
          <w:szCs w:val="19"/>
          <w:color w:val="000000"/>
        </w:rPr>
        <w:t xml:space="preserve"> of a thirty </w:t>
      </w:r>
      <w:r>
        <w:rPr>
          <w:rFonts w:ascii="Arial" w:cs="Arial" w:eastAsia="Arial" w:hAnsi="Arial"/>
          <w:sz w:val="19"/>
          <w:szCs w:val="19"/>
          <w:color w:val="131313"/>
        </w:rPr>
        <w:t>(30)</w:t>
      </w:r>
      <w:r>
        <w:rPr>
          <w:rFonts w:ascii="Arial" w:cs="Arial" w:eastAsia="Arial" w:hAnsi="Arial"/>
          <w:sz w:val="19"/>
          <w:szCs w:val="19"/>
          <w:color w:val="000000"/>
        </w:rPr>
        <w:t xml:space="preserve"> day month </w:t>
      </w:r>
      <w:r>
        <w:rPr>
          <w:rFonts w:ascii="Arial" w:cs="Arial" w:eastAsia="Arial" w:hAnsi="Arial"/>
          <w:sz w:val="19"/>
          <w:szCs w:val="19"/>
          <w:color w:val="131313"/>
        </w:rPr>
        <w:t>and</w:t>
      </w:r>
      <w:r>
        <w:rPr>
          <w:rFonts w:ascii="Arial" w:cs="Arial" w:eastAsia="Arial" w:hAnsi="Arial"/>
          <w:sz w:val="19"/>
          <w:szCs w:val="19"/>
          <w:color w:val="000000"/>
        </w:rPr>
        <w:t xml:space="preserve"> </w:t>
      </w:r>
      <w:r>
        <w:rPr>
          <w:rFonts w:ascii="Arial" w:cs="Arial" w:eastAsia="Arial" w:hAnsi="Arial"/>
          <w:sz w:val="19"/>
          <w:szCs w:val="19"/>
          <w:color w:val="383838"/>
        </w:rPr>
        <w:t>shall</w:t>
      </w:r>
      <w:r>
        <w:rPr>
          <w:rFonts w:ascii="Arial" w:cs="Arial" w:eastAsia="Arial" w:hAnsi="Arial"/>
          <w:sz w:val="19"/>
          <w:szCs w:val="19"/>
          <w:color w:val="000000"/>
        </w:rPr>
        <w:t xml:space="preserve"> </w:t>
      </w:r>
      <w:r>
        <w:rPr>
          <w:rFonts w:ascii="Arial" w:cs="Arial" w:eastAsia="Arial" w:hAnsi="Arial"/>
          <w:sz w:val="19"/>
          <w:szCs w:val="19"/>
          <w:color w:val="131313"/>
        </w:rPr>
        <w:t>be paid</w:t>
      </w:r>
      <w:r>
        <w:rPr>
          <w:rFonts w:ascii="Arial" w:cs="Arial" w:eastAsia="Arial" w:hAnsi="Arial"/>
          <w:sz w:val="19"/>
          <w:szCs w:val="19"/>
          <w:color w:val="000000"/>
        </w:rPr>
        <w:t xml:space="preserve"> at </w:t>
      </w:r>
      <w:r>
        <w:rPr>
          <w:rFonts w:ascii="Arial" w:cs="Arial" w:eastAsia="Arial" w:hAnsi="Arial"/>
          <w:sz w:val="19"/>
          <w:szCs w:val="19"/>
          <w:color w:val="131313"/>
        </w:rPr>
        <w:t>the then-current rate for</w:t>
      </w:r>
      <w:r>
        <w:rPr>
          <w:rFonts w:ascii="Arial" w:cs="Arial" w:eastAsia="Arial" w:hAnsi="Arial"/>
          <w:sz w:val="19"/>
          <w:szCs w:val="19"/>
          <w:color w:val="000000"/>
        </w:rPr>
        <w:t xml:space="preserve"> </w:t>
      </w:r>
      <w:r>
        <w:rPr>
          <w:rFonts w:ascii="Arial" w:cs="Arial" w:eastAsia="Arial" w:hAnsi="Arial"/>
          <w:sz w:val="19"/>
          <w:szCs w:val="19"/>
          <w:color w:val="383838"/>
        </w:rPr>
        <w:t>such</w:t>
      </w:r>
      <w:r>
        <w:rPr>
          <w:rFonts w:ascii="Arial" w:cs="Arial" w:eastAsia="Arial" w:hAnsi="Arial"/>
          <w:sz w:val="19"/>
          <w:szCs w:val="19"/>
          <w:color w:val="000000"/>
        </w:rPr>
        <w:t xml:space="preserve"> </w:t>
      </w:r>
      <w:r>
        <w:rPr>
          <w:rFonts w:ascii="Arial" w:cs="Arial" w:eastAsia="Arial" w:hAnsi="Arial"/>
          <w:sz w:val="19"/>
          <w:szCs w:val="19"/>
          <w:color w:val="131313"/>
        </w:rPr>
        <w:t>fractional month.</w:t>
      </w:r>
    </w:p>
    <w:p>
      <w:pPr>
        <w:spacing w:after="0" w:line="152" w:lineRule="exact"/>
        <w:rPr>
          <w:sz w:val="20"/>
          <w:szCs w:val="20"/>
          <w:color w:val="auto"/>
        </w:rPr>
      </w:pPr>
    </w:p>
    <w:p>
      <w:pPr>
        <w:jc w:val="both"/>
        <w:ind w:left="660" w:hanging="652"/>
        <w:spacing w:after="0" w:line="236" w:lineRule="auto"/>
        <w:tabs>
          <w:tab w:leader="none" w:pos="660"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Rent Adjustments</w:t>
      </w:r>
      <w:r>
        <w:rPr>
          <w:rFonts w:ascii="Arial" w:cs="Arial" w:eastAsia="Arial" w:hAnsi="Arial"/>
          <w:sz w:val="19"/>
          <w:szCs w:val="19"/>
          <w:color w:val="auto"/>
        </w:rPr>
        <w:t xml:space="preserve">. </w:t>
      </w:r>
      <w:r>
        <w:rPr>
          <w:rFonts w:ascii="Arial" w:cs="Arial" w:eastAsia="Arial" w:hAnsi="Arial"/>
          <w:sz w:val="19"/>
          <w:szCs w:val="19"/>
          <w:color w:val="131313"/>
        </w:rPr>
        <w:t>Base</w:t>
      </w:r>
      <w:r>
        <w:rPr>
          <w:rFonts w:ascii="Arial" w:cs="Arial" w:eastAsia="Arial" w:hAnsi="Arial"/>
          <w:sz w:val="19"/>
          <w:szCs w:val="19"/>
          <w:color w:val="auto"/>
        </w:rPr>
        <w:t xml:space="preserve"> Rent shall </w:t>
      </w:r>
      <w:r>
        <w:rPr>
          <w:rFonts w:ascii="Arial" w:cs="Arial" w:eastAsia="Arial" w:hAnsi="Arial"/>
          <w:sz w:val="19"/>
          <w:szCs w:val="19"/>
          <w:color w:val="131313"/>
        </w:rPr>
        <w:t>be</w:t>
      </w:r>
      <w:r>
        <w:rPr>
          <w:rFonts w:ascii="Arial" w:cs="Arial" w:eastAsia="Arial" w:hAnsi="Arial"/>
          <w:sz w:val="19"/>
          <w:szCs w:val="19"/>
          <w:color w:val="auto"/>
        </w:rPr>
        <w:t xml:space="preserve"> subject to an annual upward </w:t>
      </w:r>
      <w:r>
        <w:rPr>
          <w:rFonts w:ascii="Arial" w:cs="Arial" w:eastAsia="Arial" w:hAnsi="Arial"/>
          <w:sz w:val="19"/>
          <w:szCs w:val="19"/>
          <w:color w:val="131313"/>
        </w:rPr>
        <w:t>cost-of-living</w:t>
      </w:r>
      <w:r>
        <w:rPr>
          <w:rFonts w:ascii="Arial" w:cs="Arial" w:eastAsia="Arial" w:hAnsi="Arial"/>
          <w:sz w:val="19"/>
          <w:szCs w:val="19"/>
          <w:color w:val="auto"/>
        </w:rPr>
        <w:t xml:space="preserve"> adjustment of the then-current Base Rent </w:t>
      </w:r>
      <w:r>
        <w:rPr>
          <w:rFonts w:ascii="Arial" w:cs="Arial" w:eastAsia="Arial" w:hAnsi="Arial"/>
          <w:sz w:val="19"/>
          <w:szCs w:val="19"/>
          <w:color w:val="131313"/>
        </w:rPr>
        <w:t xml:space="preserve">based upon </w:t>
      </w:r>
      <w:r>
        <w:rPr>
          <w:rFonts w:ascii="Arial" w:cs="Arial" w:eastAsia="Arial" w:hAnsi="Arial"/>
          <w:sz w:val="19"/>
          <w:szCs w:val="19"/>
          <w:color w:val="000000"/>
        </w:rPr>
        <w:t>comparing</w:t>
      </w:r>
      <w:r>
        <w:rPr>
          <w:rFonts w:ascii="Arial" w:cs="Arial" w:eastAsia="Arial" w:hAnsi="Arial"/>
          <w:sz w:val="19"/>
          <w:szCs w:val="19"/>
          <w:color w:val="131313"/>
        </w:rPr>
        <w:t xml:space="preserve"> the increase </w:t>
      </w:r>
      <w:r>
        <w:rPr>
          <w:rFonts w:ascii="Arial" w:cs="Arial" w:eastAsia="Arial" w:hAnsi="Arial"/>
          <w:sz w:val="19"/>
          <w:szCs w:val="19"/>
          <w:color w:val="000000"/>
        </w:rPr>
        <w:t>of the Consumer Price Index</w:t>
      </w:r>
      <w:r>
        <w:rPr>
          <w:rFonts w:ascii="Arial" w:cs="Arial" w:eastAsia="Arial" w:hAnsi="Arial"/>
          <w:sz w:val="19"/>
          <w:szCs w:val="19"/>
          <w:color w:val="131313"/>
        </w:rPr>
        <w:t xml:space="preserve"> numbers </w:t>
      </w:r>
      <w:r>
        <w:rPr>
          <w:rFonts w:ascii="Arial" w:cs="Arial" w:eastAsia="Arial" w:hAnsi="Arial"/>
          <w:sz w:val="19"/>
          <w:szCs w:val="19"/>
          <w:color w:val="000000"/>
        </w:rPr>
        <w:t>published</w:t>
      </w:r>
      <w:r>
        <w:rPr>
          <w:rFonts w:ascii="Arial" w:cs="Arial" w:eastAsia="Arial" w:hAnsi="Arial"/>
          <w:sz w:val="19"/>
          <w:szCs w:val="19"/>
          <w:color w:val="131313"/>
        </w:rPr>
        <w:t xml:space="preserve"> by the </w:t>
      </w:r>
      <w:r>
        <w:rPr>
          <w:rFonts w:ascii="Arial" w:cs="Arial" w:eastAsia="Arial" w:hAnsi="Arial"/>
          <w:sz w:val="19"/>
          <w:szCs w:val="19"/>
          <w:color w:val="000000"/>
        </w:rPr>
        <w:t>United States</w:t>
      </w:r>
      <w:r>
        <w:rPr>
          <w:rFonts w:ascii="Arial" w:cs="Arial" w:eastAsia="Arial" w:hAnsi="Arial"/>
          <w:sz w:val="19"/>
          <w:szCs w:val="19"/>
          <w:color w:val="131313"/>
        </w:rPr>
        <w:t xml:space="preserve"> Department </w:t>
      </w:r>
      <w:r>
        <w:rPr>
          <w:rFonts w:ascii="Arial" w:cs="Arial" w:eastAsia="Arial" w:hAnsi="Arial"/>
          <w:sz w:val="19"/>
          <w:szCs w:val="19"/>
          <w:color w:val="000000"/>
        </w:rPr>
        <w:t>of</w:t>
      </w:r>
      <w:r>
        <w:rPr>
          <w:rFonts w:ascii="Arial" w:cs="Arial" w:eastAsia="Arial" w:hAnsi="Arial"/>
          <w:sz w:val="19"/>
          <w:szCs w:val="19"/>
          <w:color w:val="131313"/>
        </w:rPr>
        <w:t xml:space="preserve"> </w:t>
      </w:r>
      <w:r>
        <w:rPr>
          <w:rFonts w:ascii="Arial" w:cs="Arial" w:eastAsia="Arial" w:hAnsi="Arial"/>
          <w:sz w:val="19"/>
          <w:szCs w:val="19"/>
          <w:color w:val="000000"/>
        </w:rPr>
        <w:t xml:space="preserve">Labor, entitled United States </w:t>
      </w:r>
      <w:r>
        <w:rPr>
          <w:rFonts w:ascii="Arial" w:cs="Arial" w:eastAsia="Arial" w:hAnsi="Arial"/>
          <w:sz w:val="19"/>
          <w:szCs w:val="19"/>
          <w:color w:val="131313"/>
        </w:rPr>
        <w:t>Department of Labor,</w:t>
      </w:r>
      <w:r>
        <w:rPr>
          <w:rFonts w:ascii="Arial" w:cs="Arial" w:eastAsia="Arial" w:hAnsi="Arial"/>
          <w:sz w:val="19"/>
          <w:szCs w:val="19"/>
          <w:color w:val="000000"/>
        </w:rPr>
        <w:t xml:space="preserve"> Bureau </w:t>
      </w:r>
      <w:r>
        <w:rPr>
          <w:rFonts w:ascii="Arial" w:cs="Arial" w:eastAsia="Arial" w:hAnsi="Arial"/>
          <w:sz w:val="19"/>
          <w:szCs w:val="19"/>
          <w:color w:val="131313"/>
        </w:rPr>
        <w:t>of Labor</w:t>
      </w:r>
      <w:r>
        <w:rPr>
          <w:rFonts w:ascii="Arial" w:cs="Arial" w:eastAsia="Arial" w:hAnsi="Arial"/>
          <w:sz w:val="19"/>
          <w:szCs w:val="19"/>
          <w:color w:val="000000"/>
        </w:rPr>
        <w:t xml:space="preserve"> Statistics, Consumer Price Index for All Urban Consumers, Washington-Baltimore, </w:t>
      </w:r>
      <w:r>
        <w:rPr>
          <w:rFonts w:ascii="Arial" w:cs="Arial" w:eastAsia="Arial" w:hAnsi="Arial"/>
          <w:sz w:val="19"/>
          <w:szCs w:val="19"/>
          <w:color w:val="131313"/>
        </w:rPr>
        <w:t>DC-MD-VA-WV</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CPI</w:t>
      </w:r>
      <w:r>
        <w:rPr>
          <w:rFonts w:ascii="Arial" w:cs="Arial" w:eastAsia="Arial" w:hAnsi="Arial"/>
          <w:sz w:val="19"/>
          <w:szCs w:val="19"/>
          <w:color w:val="000000"/>
        </w:rPr>
        <w:t xml:space="preserve"> </w:t>
      </w:r>
      <w:r>
        <w:rPr>
          <w:rFonts w:ascii="Arial" w:cs="Arial" w:eastAsia="Arial" w:hAnsi="Arial"/>
          <w:sz w:val="19"/>
          <w:szCs w:val="19"/>
          <w:u w:val="single" w:color="auto"/>
          <w:color w:val="131313"/>
        </w:rPr>
        <w:t>Index</w:t>
      </w:r>
      <w:r>
        <w:rPr>
          <w:rFonts w:ascii="Arial" w:cs="Arial" w:eastAsia="Arial" w:hAnsi="Arial"/>
          <w:sz w:val="19"/>
          <w:szCs w:val="19"/>
          <w:color w:val="131313"/>
        </w:rPr>
        <w:t>”)</w:t>
      </w:r>
      <w:r>
        <w:rPr>
          <w:rFonts w:ascii="Arial" w:cs="Arial" w:eastAsia="Arial" w:hAnsi="Arial"/>
          <w:sz w:val="19"/>
          <w:szCs w:val="19"/>
          <w:color w:val="000000"/>
        </w:rPr>
        <w:t xml:space="preserve"> for </w:t>
      </w:r>
      <w:r>
        <w:rPr>
          <w:rFonts w:ascii="Arial" w:cs="Arial" w:eastAsia="Arial" w:hAnsi="Arial"/>
          <w:sz w:val="19"/>
          <w:szCs w:val="19"/>
          <w:color w:val="131313"/>
        </w:rPr>
        <w:t>the month immediately preceding the</w:t>
      </w:r>
      <w:r>
        <w:rPr>
          <w:rFonts w:ascii="Arial" w:cs="Arial" w:eastAsia="Arial" w:hAnsi="Arial"/>
          <w:sz w:val="19"/>
          <w:szCs w:val="19"/>
          <w:color w:val="000000"/>
        </w:rPr>
        <w:t xml:space="preserve"> anniversary of </w:t>
      </w:r>
      <w:r>
        <w:rPr>
          <w:rFonts w:ascii="Arial" w:cs="Arial" w:eastAsia="Arial" w:hAnsi="Arial"/>
          <w:sz w:val="19"/>
          <w:szCs w:val="19"/>
          <w:color w:val="131313"/>
        </w:rPr>
        <w:t>the</w:t>
      </w:r>
      <w:r>
        <w:rPr>
          <w:rFonts w:ascii="Arial" w:cs="Arial" w:eastAsia="Arial" w:hAnsi="Arial"/>
          <w:sz w:val="19"/>
          <w:szCs w:val="19"/>
          <w:color w:val="000000"/>
        </w:rPr>
        <w:t xml:space="preserve"> Commencement Date over the CPI </w:t>
      </w:r>
      <w:r>
        <w:rPr>
          <w:rFonts w:ascii="Arial" w:cs="Arial" w:eastAsia="Arial" w:hAnsi="Arial"/>
          <w:sz w:val="19"/>
          <w:szCs w:val="19"/>
          <w:color w:val="131313"/>
        </w:rPr>
        <w:t>Index</w:t>
      </w:r>
      <w:r>
        <w:rPr>
          <w:rFonts w:ascii="Arial" w:cs="Arial" w:eastAsia="Arial" w:hAnsi="Arial"/>
          <w:sz w:val="19"/>
          <w:szCs w:val="19"/>
          <w:color w:val="000000"/>
        </w:rPr>
        <w:t xml:space="preserve"> published for the </w:t>
      </w:r>
      <w:r>
        <w:rPr>
          <w:rFonts w:ascii="Arial" w:cs="Arial" w:eastAsia="Arial" w:hAnsi="Arial"/>
          <w:sz w:val="19"/>
          <w:szCs w:val="19"/>
          <w:color w:val="383838"/>
        </w:rPr>
        <w:t>same</w:t>
      </w:r>
      <w:r>
        <w:rPr>
          <w:rFonts w:ascii="Arial" w:cs="Arial" w:eastAsia="Arial" w:hAnsi="Arial"/>
          <w:sz w:val="19"/>
          <w:szCs w:val="19"/>
          <w:color w:val="000000"/>
        </w:rPr>
        <w:t xml:space="preserve"> calendar month for the prior year, with </w:t>
      </w:r>
      <w:r>
        <w:rPr>
          <w:rFonts w:ascii="Arial" w:cs="Arial" w:eastAsia="Arial" w:hAnsi="Arial"/>
          <w:sz w:val="19"/>
          <w:szCs w:val="19"/>
          <w:color w:val="131313"/>
        </w:rPr>
        <w:t>the</w:t>
      </w:r>
      <w:r>
        <w:rPr>
          <w:rFonts w:ascii="Arial" w:cs="Arial" w:eastAsia="Arial" w:hAnsi="Arial"/>
          <w:sz w:val="19"/>
          <w:szCs w:val="19"/>
          <w:color w:val="000000"/>
        </w:rPr>
        <w:t xml:space="preserve"> </w:t>
      </w:r>
      <w:r>
        <w:rPr>
          <w:rFonts w:ascii="Arial" w:cs="Arial" w:eastAsia="Arial" w:hAnsi="Arial"/>
          <w:sz w:val="19"/>
          <w:szCs w:val="19"/>
          <w:color w:val="131313"/>
        </w:rPr>
        <w:t xml:space="preserve">understanding that this </w:t>
      </w:r>
      <w:r>
        <w:rPr>
          <w:rFonts w:ascii="Arial" w:cs="Arial" w:eastAsia="Arial" w:hAnsi="Arial"/>
          <w:sz w:val="19"/>
          <w:szCs w:val="19"/>
          <w:color w:val="383838"/>
        </w:rPr>
        <w:t>escalation</w:t>
      </w:r>
      <w:r>
        <w:rPr>
          <w:rFonts w:ascii="Arial" w:cs="Arial" w:eastAsia="Arial" w:hAnsi="Arial"/>
          <w:sz w:val="19"/>
          <w:szCs w:val="19"/>
          <w:color w:val="131313"/>
        </w:rPr>
        <w:t xml:space="preserve"> </w:t>
      </w:r>
      <w:r>
        <w:rPr>
          <w:rFonts w:ascii="Arial" w:cs="Arial" w:eastAsia="Arial" w:hAnsi="Arial"/>
          <w:sz w:val="19"/>
          <w:szCs w:val="19"/>
          <w:color w:val="000000"/>
        </w:rPr>
        <w:t>is intended</w:t>
      </w:r>
      <w:r>
        <w:rPr>
          <w:rFonts w:ascii="Arial" w:cs="Arial" w:eastAsia="Arial" w:hAnsi="Arial"/>
          <w:sz w:val="19"/>
          <w:szCs w:val="19"/>
          <w:color w:val="131313"/>
        </w:rPr>
        <w:t xml:space="preserve"> to be a “prior </w:t>
      </w:r>
      <w:r>
        <w:rPr>
          <w:rFonts w:ascii="Arial" w:cs="Arial" w:eastAsia="Arial" w:hAnsi="Arial"/>
          <w:sz w:val="19"/>
          <w:szCs w:val="19"/>
          <w:color w:val="000000"/>
        </w:rPr>
        <w:t>year’’ CPI</w:t>
      </w:r>
      <w:r>
        <w:rPr>
          <w:rFonts w:ascii="Arial" w:cs="Arial" w:eastAsia="Arial" w:hAnsi="Arial"/>
          <w:sz w:val="19"/>
          <w:szCs w:val="19"/>
          <w:color w:val="131313"/>
        </w:rPr>
        <w:t xml:space="preserve"> Index </w:t>
      </w:r>
      <w:r>
        <w:rPr>
          <w:rFonts w:ascii="Arial" w:cs="Arial" w:eastAsia="Arial" w:hAnsi="Arial"/>
          <w:sz w:val="19"/>
          <w:szCs w:val="19"/>
          <w:color w:val="000000"/>
        </w:rPr>
        <w:t>escalation,</w:t>
      </w:r>
      <w:r>
        <w:rPr>
          <w:rFonts w:ascii="Arial" w:cs="Arial" w:eastAsia="Arial" w:hAnsi="Arial"/>
          <w:sz w:val="19"/>
          <w:szCs w:val="19"/>
          <w:color w:val="131313"/>
        </w:rPr>
        <w:t xml:space="preserve"> not a </w:t>
      </w:r>
      <w:r>
        <w:rPr>
          <w:rFonts w:ascii="Arial" w:cs="Arial" w:eastAsia="Arial" w:hAnsi="Arial"/>
          <w:sz w:val="19"/>
          <w:szCs w:val="19"/>
          <w:color w:val="000000"/>
        </w:rPr>
        <w:t>“base year” CPI</w:t>
      </w:r>
      <w:r>
        <w:rPr>
          <w:rFonts w:ascii="Arial" w:cs="Arial" w:eastAsia="Arial" w:hAnsi="Arial"/>
          <w:sz w:val="19"/>
          <w:szCs w:val="19"/>
          <w:color w:val="131313"/>
        </w:rPr>
        <w:t xml:space="preserve"> </w:t>
      </w:r>
      <w:r>
        <w:rPr>
          <w:rFonts w:ascii="Arial" w:cs="Arial" w:eastAsia="Arial" w:hAnsi="Arial"/>
          <w:sz w:val="19"/>
          <w:szCs w:val="19"/>
          <w:color w:val="383838"/>
        </w:rPr>
        <w:t>Index</w:t>
      </w:r>
      <w:r>
        <w:rPr>
          <w:rFonts w:ascii="Arial" w:cs="Arial" w:eastAsia="Arial" w:hAnsi="Arial"/>
          <w:sz w:val="19"/>
          <w:szCs w:val="19"/>
          <w:color w:val="131313"/>
        </w:rPr>
        <w:t xml:space="preserve"> </w:t>
      </w:r>
      <w:r>
        <w:rPr>
          <w:rFonts w:ascii="Arial" w:cs="Arial" w:eastAsia="Arial" w:hAnsi="Arial"/>
          <w:sz w:val="19"/>
          <w:szCs w:val="19"/>
          <w:color w:val="383838"/>
        </w:rPr>
        <w:t xml:space="preserve">escalation. </w:t>
      </w:r>
      <w:r>
        <w:rPr>
          <w:rFonts w:ascii="Arial" w:cs="Arial" w:eastAsia="Arial" w:hAnsi="Arial"/>
          <w:sz w:val="19"/>
          <w:szCs w:val="19"/>
          <w:color w:val="131313"/>
        </w:rPr>
        <w:t>In</w:t>
      </w:r>
      <w:r>
        <w:rPr>
          <w:rFonts w:ascii="Arial" w:cs="Arial" w:eastAsia="Arial" w:hAnsi="Arial"/>
          <w:sz w:val="19"/>
          <w:szCs w:val="19"/>
          <w:color w:val="383838"/>
        </w:rPr>
        <w:t xml:space="preserve"> </w:t>
      </w:r>
      <w:r>
        <w:rPr>
          <w:rFonts w:ascii="Arial" w:cs="Arial" w:eastAsia="Arial" w:hAnsi="Arial"/>
          <w:sz w:val="19"/>
          <w:szCs w:val="19"/>
          <w:color w:val="000000"/>
        </w:rPr>
        <w:t>the event</w:t>
      </w:r>
      <w:r>
        <w:rPr>
          <w:rFonts w:ascii="Arial" w:cs="Arial" w:eastAsia="Arial" w:hAnsi="Arial"/>
          <w:sz w:val="19"/>
          <w:szCs w:val="19"/>
          <w:color w:val="383838"/>
        </w:rPr>
        <w:t xml:space="preserve"> that </w:t>
      </w:r>
      <w:r>
        <w:rPr>
          <w:rFonts w:ascii="Arial" w:cs="Arial" w:eastAsia="Arial" w:hAnsi="Arial"/>
          <w:sz w:val="19"/>
          <w:szCs w:val="19"/>
          <w:color w:val="000000"/>
        </w:rPr>
        <w:t>the CPI</w:t>
      </w:r>
      <w:r>
        <w:rPr>
          <w:rFonts w:ascii="Arial" w:cs="Arial" w:eastAsia="Arial" w:hAnsi="Arial"/>
          <w:sz w:val="19"/>
          <w:szCs w:val="19"/>
          <w:color w:val="383838"/>
        </w:rPr>
        <w:t xml:space="preserve"> </w:t>
      </w:r>
      <w:r>
        <w:rPr>
          <w:rFonts w:ascii="Arial" w:cs="Arial" w:eastAsia="Arial" w:hAnsi="Arial"/>
          <w:sz w:val="19"/>
          <w:szCs w:val="19"/>
          <w:color w:val="131313"/>
        </w:rPr>
        <w:t>Index</w:t>
      </w:r>
      <w:r>
        <w:rPr>
          <w:rFonts w:ascii="Arial" w:cs="Arial" w:eastAsia="Arial" w:hAnsi="Arial"/>
          <w:sz w:val="19"/>
          <w:szCs w:val="19"/>
          <w:color w:val="383838"/>
        </w:rPr>
        <w:t xml:space="preserve"> </w:t>
      </w:r>
      <w:r>
        <w:rPr>
          <w:rFonts w:ascii="Arial" w:cs="Arial" w:eastAsia="Arial" w:hAnsi="Arial"/>
          <w:sz w:val="19"/>
          <w:szCs w:val="19"/>
          <w:color w:val="000000"/>
        </w:rPr>
        <w:t>is</w:t>
      </w:r>
      <w:r>
        <w:rPr>
          <w:rFonts w:ascii="Arial" w:cs="Arial" w:eastAsia="Arial" w:hAnsi="Arial"/>
          <w:sz w:val="19"/>
          <w:szCs w:val="19"/>
          <w:color w:val="383838"/>
        </w:rPr>
        <w:t xml:space="preserve"> </w:t>
      </w:r>
      <w:r>
        <w:rPr>
          <w:rFonts w:ascii="Arial" w:cs="Arial" w:eastAsia="Arial" w:hAnsi="Arial"/>
          <w:sz w:val="19"/>
          <w:szCs w:val="19"/>
          <w:color w:val="131313"/>
        </w:rPr>
        <w:t>not published for</w:t>
      </w:r>
      <w:r>
        <w:rPr>
          <w:rFonts w:ascii="Arial" w:cs="Arial" w:eastAsia="Arial" w:hAnsi="Arial"/>
          <w:sz w:val="19"/>
          <w:szCs w:val="19"/>
          <w:color w:val="383838"/>
        </w:rPr>
        <w:t xml:space="preserve"> </w:t>
      </w:r>
      <w:r>
        <w:rPr>
          <w:rFonts w:ascii="Arial" w:cs="Arial" w:eastAsia="Arial" w:hAnsi="Arial"/>
          <w:sz w:val="19"/>
          <w:szCs w:val="19"/>
          <w:color w:val="000000"/>
        </w:rPr>
        <w:t>one of</w:t>
      </w:r>
      <w:r>
        <w:rPr>
          <w:rFonts w:ascii="Arial" w:cs="Arial" w:eastAsia="Arial" w:hAnsi="Arial"/>
          <w:sz w:val="19"/>
          <w:szCs w:val="19"/>
          <w:color w:val="383838"/>
        </w:rPr>
        <w:t xml:space="preserve"> the </w:t>
      </w:r>
      <w:r>
        <w:rPr>
          <w:rFonts w:ascii="Arial" w:cs="Arial" w:eastAsia="Arial" w:hAnsi="Arial"/>
          <w:sz w:val="19"/>
          <w:szCs w:val="19"/>
          <w:color w:val="000000"/>
        </w:rPr>
        <w:t>months</w:t>
      </w:r>
      <w:r>
        <w:rPr>
          <w:rFonts w:ascii="Arial" w:cs="Arial" w:eastAsia="Arial" w:hAnsi="Arial"/>
          <w:sz w:val="19"/>
          <w:szCs w:val="19"/>
          <w:color w:val="383838"/>
        </w:rPr>
        <w:t xml:space="preserve"> specified </w:t>
      </w:r>
      <w:r>
        <w:rPr>
          <w:rFonts w:ascii="Arial" w:cs="Arial" w:eastAsia="Arial" w:hAnsi="Arial"/>
          <w:sz w:val="19"/>
          <w:szCs w:val="19"/>
          <w:color w:val="000000"/>
        </w:rPr>
        <w:t>in</w:t>
      </w:r>
      <w:r>
        <w:rPr>
          <w:rFonts w:ascii="Arial" w:cs="Arial" w:eastAsia="Arial" w:hAnsi="Arial"/>
          <w:sz w:val="19"/>
          <w:szCs w:val="19"/>
          <w:color w:val="383838"/>
        </w:rPr>
        <w:t xml:space="preserve"> </w:t>
      </w:r>
      <w:r>
        <w:rPr>
          <w:rFonts w:ascii="Arial" w:cs="Arial" w:eastAsia="Arial" w:hAnsi="Arial"/>
          <w:sz w:val="19"/>
          <w:szCs w:val="19"/>
          <w:color w:val="131313"/>
        </w:rPr>
        <w:t>the</w:t>
      </w:r>
      <w:r>
        <w:rPr>
          <w:rFonts w:ascii="Arial" w:cs="Arial" w:eastAsia="Arial" w:hAnsi="Arial"/>
          <w:sz w:val="19"/>
          <w:szCs w:val="19"/>
          <w:color w:val="383838"/>
        </w:rPr>
        <w:t xml:space="preserve"> </w:t>
      </w:r>
      <w:r>
        <w:rPr>
          <w:rFonts w:ascii="Arial" w:cs="Arial" w:eastAsia="Arial" w:hAnsi="Arial"/>
          <w:sz w:val="19"/>
          <w:szCs w:val="19"/>
          <w:color w:val="000000"/>
        </w:rPr>
        <w:t>immediately</w:t>
      </w:r>
      <w:r>
        <w:rPr>
          <w:rFonts w:ascii="Arial" w:cs="Arial" w:eastAsia="Arial" w:hAnsi="Arial"/>
          <w:sz w:val="19"/>
          <w:szCs w:val="19"/>
          <w:color w:val="383838"/>
        </w:rPr>
        <w:t xml:space="preserve"> </w:t>
      </w:r>
      <w:r>
        <w:rPr>
          <w:rFonts w:ascii="Arial" w:cs="Arial" w:eastAsia="Arial" w:hAnsi="Arial"/>
          <w:sz w:val="19"/>
          <w:szCs w:val="19"/>
          <w:color w:val="131313"/>
        </w:rPr>
        <w:t>preceding</w:t>
      </w:r>
      <w:r>
        <w:rPr>
          <w:rFonts w:ascii="Arial" w:cs="Arial" w:eastAsia="Arial" w:hAnsi="Arial"/>
          <w:sz w:val="19"/>
          <w:szCs w:val="19"/>
          <w:color w:val="383838"/>
        </w:rPr>
        <w:t xml:space="preserve"> sentence, </w:t>
      </w:r>
      <w:r>
        <w:rPr>
          <w:rFonts w:ascii="Arial" w:cs="Arial" w:eastAsia="Arial" w:hAnsi="Arial"/>
          <w:sz w:val="19"/>
          <w:szCs w:val="19"/>
          <w:color w:val="131313"/>
        </w:rPr>
        <w:t>the</w:t>
      </w:r>
      <w:r>
        <w:rPr>
          <w:rFonts w:ascii="Arial" w:cs="Arial" w:eastAsia="Arial" w:hAnsi="Arial"/>
          <w:sz w:val="19"/>
          <w:szCs w:val="19"/>
          <w:color w:val="383838"/>
        </w:rPr>
        <w:t xml:space="preserve"> </w:t>
      </w:r>
      <w:r>
        <w:rPr>
          <w:rFonts w:ascii="Arial" w:cs="Arial" w:eastAsia="Arial" w:hAnsi="Arial"/>
          <w:sz w:val="19"/>
          <w:szCs w:val="19"/>
          <w:color w:val="000000"/>
        </w:rPr>
        <w:t>CPI</w:t>
      </w:r>
      <w:r>
        <w:rPr>
          <w:rFonts w:ascii="Arial" w:cs="Arial" w:eastAsia="Arial" w:hAnsi="Arial"/>
          <w:sz w:val="19"/>
          <w:szCs w:val="19"/>
          <w:color w:val="383838"/>
        </w:rPr>
        <w:t xml:space="preserve"> </w:t>
      </w:r>
      <w:r>
        <w:rPr>
          <w:rFonts w:ascii="Arial" w:cs="Arial" w:eastAsia="Arial" w:hAnsi="Arial"/>
          <w:sz w:val="19"/>
          <w:szCs w:val="19"/>
          <w:color w:val="131313"/>
        </w:rPr>
        <w:t>Index to</w:t>
      </w:r>
      <w:r>
        <w:rPr>
          <w:rFonts w:ascii="Arial" w:cs="Arial" w:eastAsia="Arial" w:hAnsi="Arial"/>
          <w:sz w:val="19"/>
          <w:szCs w:val="19"/>
          <w:color w:val="383838"/>
        </w:rPr>
        <w:t xml:space="preserve"> </w:t>
      </w:r>
      <w:r>
        <w:rPr>
          <w:rFonts w:ascii="Arial" w:cs="Arial" w:eastAsia="Arial" w:hAnsi="Arial"/>
          <w:sz w:val="19"/>
          <w:szCs w:val="19"/>
          <w:color w:val="000000"/>
        </w:rPr>
        <w:t>be</w:t>
      </w:r>
      <w:r>
        <w:rPr>
          <w:rFonts w:ascii="Arial" w:cs="Arial" w:eastAsia="Arial" w:hAnsi="Arial"/>
          <w:sz w:val="19"/>
          <w:szCs w:val="19"/>
          <w:color w:val="383838"/>
        </w:rPr>
        <w:t xml:space="preserve"> </w:t>
      </w:r>
      <w:r>
        <w:rPr>
          <w:rFonts w:ascii="Arial" w:cs="Arial" w:eastAsia="Arial" w:hAnsi="Arial"/>
          <w:sz w:val="19"/>
          <w:szCs w:val="19"/>
          <w:color w:val="131313"/>
        </w:rPr>
        <w:t>used</w:t>
      </w:r>
      <w:r>
        <w:rPr>
          <w:rFonts w:ascii="Arial" w:cs="Arial" w:eastAsia="Arial" w:hAnsi="Arial"/>
          <w:sz w:val="19"/>
          <w:szCs w:val="19"/>
          <w:color w:val="383838"/>
        </w:rPr>
        <w:t xml:space="preserve"> shall </w:t>
      </w:r>
      <w:r>
        <w:rPr>
          <w:rFonts w:ascii="Arial" w:cs="Arial" w:eastAsia="Arial" w:hAnsi="Arial"/>
          <w:sz w:val="19"/>
          <w:szCs w:val="19"/>
          <w:color w:val="131313"/>
        </w:rPr>
        <w:t>be</w:t>
      </w:r>
      <w:r>
        <w:rPr>
          <w:rFonts w:ascii="Arial" w:cs="Arial" w:eastAsia="Arial" w:hAnsi="Arial"/>
          <w:sz w:val="19"/>
          <w:szCs w:val="19"/>
          <w:color w:val="383838"/>
        </w:rPr>
        <w:t xml:space="preserve"> </w:t>
      </w:r>
      <w:r>
        <w:rPr>
          <w:rFonts w:ascii="Arial" w:cs="Arial" w:eastAsia="Arial" w:hAnsi="Arial"/>
          <w:sz w:val="19"/>
          <w:szCs w:val="19"/>
          <w:color w:val="000000"/>
        </w:rPr>
        <w:t>the</w:t>
      </w:r>
      <w:r>
        <w:rPr>
          <w:rFonts w:ascii="Arial" w:cs="Arial" w:eastAsia="Arial" w:hAnsi="Arial"/>
          <w:sz w:val="19"/>
          <w:szCs w:val="19"/>
          <w:color w:val="383838"/>
        </w:rPr>
        <w:t xml:space="preserve"> </w:t>
      </w:r>
      <w:r>
        <w:rPr>
          <w:rFonts w:ascii="Arial" w:cs="Arial" w:eastAsia="Arial" w:hAnsi="Arial"/>
          <w:sz w:val="19"/>
          <w:szCs w:val="19"/>
          <w:color w:val="131313"/>
        </w:rPr>
        <w:t>last monthly</w:t>
      </w:r>
      <w:r>
        <w:rPr>
          <w:rFonts w:ascii="Arial" w:cs="Arial" w:eastAsia="Arial" w:hAnsi="Arial"/>
          <w:sz w:val="19"/>
          <w:szCs w:val="19"/>
          <w:color w:val="383838"/>
        </w:rPr>
        <w:t xml:space="preserve"> </w:t>
      </w:r>
      <w:r>
        <w:rPr>
          <w:rFonts w:ascii="Arial" w:cs="Arial" w:eastAsia="Arial" w:hAnsi="Arial"/>
          <w:sz w:val="19"/>
          <w:szCs w:val="19"/>
          <w:color w:val="000000"/>
        </w:rPr>
        <w:t>CPI</w:t>
      </w:r>
      <w:r>
        <w:rPr>
          <w:rFonts w:ascii="Arial" w:cs="Arial" w:eastAsia="Arial" w:hAnsi="Arial"/>
          <w:sz w:val="19"/>
          <w:szCs w:val="19"/>
          <w:color w:val="383838"/>
        </w:rPr>
        <w:t xml:space="preserve"> </w:t>
      </w:r>
      <w:r>
        <w:rPr>
          <w:rFonts w:ascii="Arial" w:cs="Arial" w:eastAsia="Arial" w:hAnsi="Arial"/>
          <w:sz w:val="19"/>
          <w:szCs w:val="19"/>
          <w:color w:val="131313"/>
        </w:rPr>
        <w:t>Index published prior to</w:t>
      </w:r>
      <w:r>
        <w:rPr>
          <w:rFonts w:ascii="Arial" w:cs="Arial" w:eastAsia="Arial" w:hAnsi="Arial"/>
          <w:sz w:val="19"/>
          <w:szCs w:val="19"/>
          <w:color w:val="383838"/>
        </w:rPr>
        <w:t xml:space="preserve"> </w:t>
      </w:r>
      <w:r>
        <w:rPr>
          <w:rFonts w:ascii="Arial" w:cs="Arial" w:eastAsia="Arial" w:hAnsi="Arial"/>
          <w:sz w:val="19"/>
          <w:szCs w:val="19"/>
          <w:color w:val="000000"/>
        </w:rPr>
        <w:t>the month</w:t>
      </w:r>
      <w:r>
        <w:rPr>
          <w:rFonts w:ascii="Arial" w:cs="Arial" w:eastAsia="Arial" w:hAnsi="Arial"/>
          <w:sz w:val="19"/>
          <w:szCs w:val="19"/>
          <w:color w:val="383838"/>
        </w:rPr>
        <w:t xml:space="preserve"> </w:t>
      </w:r>
      <w:r>
        <w:rPr>
          <w:rFonts w:ascii="Arial" w:cs="Arial" w:eastAsia="Arial" w:hAnsi="Arial"/>
          <w:sz w:val="19"/>
          <w:szCs w:val="19"/>
          <w:color w:val="4D4D4D"/>
        </w:rPr>
        <w:t>specified.</w:t>
      </w:r>
      <w:r>
        <w:rPr>
          <w:rFonts w:ascii="Arial" w:cs="Arial" w:eastAsia="Arial" w:hAnsi="Arial"/>
          <w:sz w:val="19"/>
          <w:szCs w:val="19"/>
          <w:color w:val="383838"/>
        </w:rPr>
        <w:t xml:space="preserve"> </w:t>
      </w:r>
      <w:r>
        <w:rPr>
          <w:rFonts w:ascii="Arial" w:cs="Arial" w:eastAsia="Arial" w:hAnsi="Arial"/>
          <w:sz w:val="19"/>
          <w:szCs w:val="19"/>
          <w:color w:val="131313"/>
        </w:rPr>
        <w:t>In</w:t>
      </w:r>
      <w:r>
        <w:rPr>
          <w:rFonts w:ascii="Arial" w:cs="Arial" w:eastAsia="Arial" w:hAnsi="Arial"/>
          <w:sz w:val="19"/>
          <w:szCs w:val="19"/>
          <w:color w:val="383838"/>
        </w:rPr>
        <w:t xml:space="preserve"> </w:t>
      </w:r>
      <w:r>
        <w:rPr>
          <w:rFonts w:ascii="Arial" w:cs="Arial" w:eastAsia="Arial" w:hAnsi="Arial"/>
          <w:sz w:val="19"/>
          <w:szCs w:val="19"/>
          <w:color w:val="000000"/>
        </w:rPr>
        <w:t>the event</w:t>
      </w:r>
      <w:r>
        <w:rPr>
          <w:rFonts w:ascii="Arial" w:cs="Arial" w:eastAsia="Arial" w:hAnsi="Arial"/>
          <w:sz w:val="19"/>
          <w:szCs w:val="19"/>
          <w:color w:val="383838"/>
        </w:rPr>
        <w:t xml:space="preserve"> </w:t>
      </w:r>
      <w:r>
        <w:rPr>
          <w:rFonts w:ascii="Arial" w:cs="Arial" w:eastAsia="Arial" w:hAnsi="Arial"/>
          <w:sz w:val="19"/>
          <w:szCs w:val="19"/>
          <w:color w:val="000000"/>
        </w:rPr>
        <w:t xml:space="preserve">that </w:t>
      </w:r>
      <w:r>
        <w:rPr>
          <w:rFonts w:ascii="Arial" w:cs="Arial" w:eastAsia="Arial" w:hAnsi="Arial"/>
          <w:sz w:val="19"/>
          <w:szCs w:val="19"/>
          <w:color w:val="383838"/>
        </w:rPr>
        <w:t>such</w:t>
      </w:r>
      <w:r>
        <w:rPr>
          <w:rFonts w:ascii="Arial" w:cs="Arial" w:eastAsia="Arial" w:hAnsi="Arial"/>
          <w:sz w:val="19"/>
          <w:szCs w:val="19"/>
          <w:color w:val="000000"/>
        </w:rPr>
        <w:t xml:space="preserve"> </w:t>
      </w:r>
      <w:r>
        <w:rPr>
          <w:rFonts w:ascii="Arial" w:cs="Arial" w:eastAsia="Arial" w:hAnsi="Arial"/>
          <w:sz w:val="19"/>
          <w:szCs w:val="19"/>
          <w:color w:val="131313"/>
        </w:rPr>
        <w:t>index</w:t>
      </w:r>
      <w:r>
        <w:rPr>
          <w:rFonts w:ascii="Arial" w:cs="Arial" w:eastAsia="Arial" w:hAnsi="Arial"/>
          <w:sz w:val="19"/>
          <w:szCs w:val="19"/>
          <w:color w:val="000000"/>
        </w:rPr>
        <w:t xml:space="preserve"> is </w:t>
      </w:r>
      <w:r>
        <w:rPr>
          <w:rFonts w:ascii="Arial" w:cs="Arial" w:eastAsia="Arial" w:hAnsi="Arial"/>
          <w:sz w:val="19"/>
          <w:szCs w:val="19"/>
          <w:color w:val="131313"/>
        </w:rPr>
        <w:t>discontinued, then</w:t>
      </w:r>
      <w:r>
        <w:rPr>
          <w:rFonts w:ascii="Arial" w:cs="Arial" w:eastAsia="Arial" w:hAnsi="Arial"/>
          <w:sz w:val="19"/>
          <w:szCs w:val="19"/>
          <w:color w:val="000000"/>
        </w:rPr>
        <w:t xml:space="preserve"> another comparable </w:t>
      </w:r>
      <w:r>
        <w:rPr>
          <w:rFonts w:ascii="Arial" w:cs="Arial" w:eastAsia="Arial" w:hAnsi="Arial"/>
          <w:sz w:val="19"/>
          <w:szCs w:val="19"/>
          <w:color w:val="131313"/>
        </w:rPr>
        <w:t>index</w:t>
      </w:r>
      <w:r>
        <w:rPr>
          <w:rFonts w:ascii="Arial" w:cs="Arial" w:eastAsia="Arial" w:hAnsi="Arial"/>
          <w:sz w:val="19"/>
          <w:szCs w:val="19"/>
          <w:color w:val="000000"/>
        </w:rPr>
        <w:t xml:space="preserve"> or source of </w:t>
      </w:r>
      <w:r>
        <w:rPr>
          <w:rFonts w:ascii="Arial" w:cs="Arial" w:eastAsia="Arial" w:hAnsi="Arial"/>
          <w:sz w:val="19"/>
          <w:szCs w:val="19"/>
          <w:color w:val="383838"/>
        </w:rPr>
        <w:t>such</w:t>
      </w:r>
      <w:r>
        <w:rPr>
          <w:rFonts w:ascii="Arial" w:cs="Arial" w:eastAsia="Arial" w:hAnsi="Arial"/>
          <w:sz w:val="19"/>
          <w:szCs w:val="19"/>
          <w:color w:val="000000"/>
        </w:rPr>
        <w:t xml:space="preserve"> information generally </w:t>
      </w:r>
      <w:r>
        <w:rPr>
          <w:rFonts w:ascii="Arial" w:cs="Arial" w:eastAsia="Arial" w:hAnsi="Arial"/>
          <w:sz w:val="19"/>
          <w:szCs w:val="19"/>
          <w:color w:val="383838"/>
        </w:rPr>
        <w:t>recognized</w:t>
      </w:r>
      <w:r>
        <w:rPr>
          <w:rFonts w:ascii="Arial" w:cs="Arial" w:eastAsia="Arial" w:hAnsi="Arial"/>
          <w:sz w:val="19"/>
          <w:szCs w:val="19"/>
          <w:color w:val="000000"/>
        </w:rPr>
        <w:t xml:space="preserve"> as authoritative </w:t>
      </w:r>
      <w:r>
        <w:rPr>
          <w:rFonts w:ascii="Arial" w:cs="Arial" w:eastAsia="Arial" w:hAnsi="Arial"/>
          <w:sz w:val="19"/>
          <w:szCs w:val="19"/>
          <w:color w:val="383838"/>
        </w:rPr>
        <w:t>shall</w:t>
      </w:r>
      <w:r>
        <w:rPr>
          <w:rFonts w:ascii="Arial" w:cs="Arial" w:eastAsia="Arial" w:hAnsi="Arial"/>
          <w:sz w:val="19"/>
          <w:szCs w:val="19"/>
          <w:color w:val="000000"/>
        </w:rPr>
        <w:t xml:space="preserve"> </w:t>
      </w:r>
      <w:r>
        <w:rPr>
          <w:rFonts w:ascii="Arial" w:cs="Arial" w:eastAsia="Arial" w:hAnsi="Arial"/>
          <w:sz w:val="19"/>
          <w:szCs w:val="19"/>
          <w:color w:val="131313"/>
        </w:rPr>
        <w:t>be</w:t>
      </w:r>
      <w:r>
        <w:rPr>
          <w:rFonts w:ascii="Arial" w:cs="Arial" w:eastAsia="Arial" w:hAnsi="Arial"/>
          <w:sz w:val="19"/>
          <w:szCs w:val="19"/>
          <w:color w:val="000000"/>
        </w:rPr>
        <w:t xml:space="preserve"> </w:t>
      </w:r>
      <w:r>
        <w:rPr>
          <w:rFonts w:ascii="Arial" w:cs="Arial" w:eastAsia="Arial" w:hAnsi="Arial"/>
          <w:sz w:val="19"/>
          <w:szCs w:val="19"/>
          <w:color w:val="383838"/>
        </w:rPr>
        <w:t>substituted</w:t>
      </w:r>
      <w:r>
        <w:rPr>
          <w:rFonts w:ascii="Arial" w:cs="Arial" w:eastAsia="Arial" w:hAnsi="Arial"/>
          <w:sz w:val="19"/>
          <w:szCs w:val="19"/>
          <w:color w:val="000000"/>
        </w:rPr>
        <w:t xml:space="preserve"> </w:t>
      </w:r>
      <w:r>
        <w:rPr>
          <w:rFonts w:ascii="Arial" w:cs="Arial" w:eastAsia="Arial" w:hAnsi="Arial"/>
          <w:sz w:val="19"/>
          <w:szCs w:val="19"/>
          <w:color w:val="131313"/>
        </w:rPr>
        <w:t>by</w:t>
      </w:r>
      <w:r>
        <w:rPr>
          <w:rFonts w:ascii="Arial" w:cs="Arial" w:eastAsia="Arial" w:hAnsi="Arial"/>
          <w:sz w:val="19"/>
          <w:szCs w:val="19"/>
          <w:color w:val="000000"/>
        </w:rPr>
        <w:t xml:space="preserve"> Landlord with </w:t>
      </w:r>
      <w:r>
        <w:rPr>
          <w:rFonts w:ascii="Arial" w:cs="Arial" w:eastAsia="Arial" w:hAnsi="Arial"/>
          <w:sz w:val="19"/>
          <w:szCs w:val="19"/>
          <w:color w:val="131313"/>
        </w:rPr>
        <w:t>Tenant’s</w:t>
      </w:r>
      <w:r>
        <w:rPr>
          <w:rFonts w:ascii="Arial" w:cs="Arial" w:eastAsia="Arial" w:hAnsi="Arial"/>
          <w:sz w:val="19"/>
          <w:szCs w:val="19"/>
          <w:color w:val="000000"/>
        </w:rPr>
        <w:t xml:space="preserve"> consent, such consent </w:t>
      </w:r>
      <w:r>
        <w:rPr>
          <w:rFonts w:ascii="Arial" w:cs="Arial" w:eastAsia="Arial" w:hAnsi="Arial"/>
          <w:sz w:val="19"/>
          <w:szCs w:val="19"/>
          <w:color w:val="131313"/>
        </w:rPr>
        <w:t>not to be</w:t>
      </w:r>
      <w:r>
        <w:rPr>
          <w:rFonts w:ascii="Arial" w:cs="Arial" w:eastAsia="Arial" w:hAnsi="Arial"/>
          <w:sz w:val="19"/>
          <w:szCs w:val="19"/>
          <w:color w:val="000000"/>
        </w:rPr>
        <w:t xml:space="preserve"> unreasonably withheld, conditioned or </w:t>
      </w:r>
      <w:r>
        <w:rPr>
          <w:rFonts w:ascii="Arial" w:cs="Arial" w:eastAsia="Arial" w:hAnsi="Arial"/>
          <w:sz w:val="19"/>
          <w:szCs w:val="19"/>
          <w:color w:val="131313"/>
        </w:rPr>
        <w:t>delayed. The</w:t>
      </w:r>
      <w:r>
        <w:rPr>
          <w:rFonts w:ascii="Arial" w:cs="Arial" w:eastAsia="Arial" w:hAnsi="Arial"/>
          <w:sz w:val="19"/>
          <w:szCs w:val="19"/>
          <w:color w:val="000000"/>
        </w:rPr>
        <w:t xml:space="preserve"> first such adjustment </w:t>
      </w:r>
      <w:r>
        <w:rPr>
          <w:rFonts w:ascii="Arial" w:cs="Arial" w:eastAsia="Arial" w:hAnsi="Arial"/>
          <w:sz w:val="19"/>
          <w:szCs w:val="19"/>
          <w:color w:val="383838"/>
        </w:rPr>
        <w:t>shall</w:t>
      </w:r>
      <w:r>
        <w:rPr>
          <w:rFonts w:ascii="Arial" w:cs="Arial" w:eastAsia="Arial" w:hAnsi="Arial"/>
          <w:sz w:val="19"/>
          <w:szCs w:val="19"/>
          <w:color w:val="000000"/>
        </w:rPr>
        <w:t xml:space="preserve"> </w:t>
      </w:r>
      <w:r>
        <w:rPr>
          <w:rFonts w:ascii="Arial" w:cs="Arial" w:eastAsia="Arial" w:hAnsi="Arial"/>
          <w:sz w:val="19"/>
          <w:szCs w:val="19"/>
          <w:color w:val="131313"/>
        </w:rPr>
        <w:t>become</w:t>
      </w:r>
      <w:r>
        <w:rPr>
          <w:rFonts w:ascii="Arial" w:cs="Arial" w:eastAsia="Arial" w:hAnsi="Arial"/>
          <w:sz w:val="19"/>
          <w:szCs w:val="19"/>
          <w:color w:val="000000"/>
        </w:rPr>
        <w:t xml:space="preserve"> effective </w:t>
      </w:r>
      <w:r>
        <w:rPr>
          <w:rFonts w:ascii="Arial" w:cs="Arial" w:eastAsia="Arial" w:hAnsi="Arial"/>
          <w:sz w:val="19"/>
          <w:szCs w:val="19"/>
          <w:color w:val="383838"/>
        </w:rPr>
        <w:t>commencing</w:t>
      </w:r>
      <w:r>
        <w:rPr>
          <w:rFonts w:ascii="Arial" w:cs="Arial" w:eastAsia="Arial" w:hAnsi="Arial"/>
          <w:sz w:val="19"/>
          <w:szCs w:val="19"/>
          <w:color w:val="000000"/>
        </w:rPr>
        <w:t xml:space="preserve"> with </w:t>
      </w:r>
      <w:r>
        <w:rPr>
          <w:rFonts w:ascii="Arial" w:cs="Arial" w:eastAsia="Arial" w:hAnsi="Arial"/>
          <w:sz w:val="19"/>
          <w:szCs w:val="19"/>
          <w:color w:val="131313"/>
        </w:rPr>
        <w:t>that</w:t>
      </w:r>
      <w:r>
        <w:rPr>
          <w:rFonts w:ascii="Arial" w:cs="Arial" w:eastAsia="Arial" w:hAnsi="Arial"/>
          <w:sz w:val="19"/>
          <w:szCs w:val="19"/>
          <w:color w:val="000000"/>
        </w:rPr>
        <w:t xml:space="preserve"> monthly </w:t>
      </w:r>
      <w:r>
        <w:rPr>
          <w:rFonts w:ascii="Arial" w:cs="Arial" w:eastAsia="Arial" w:hAnsi="Arial"/>
          <w:sz w:val="19"/>
          <w:szCs w:val="19"/>
          <w:color w:val="131313"/>
        </w:rPr>
        <w:t>rental</w:t>
      </w:r>
      <w:r>
        <w:rPr>
          <w:rFonts w:ascii="Arial" w:cs="Arial" w:eastAsia="Arial" w:hAnsi="Arial"/>
          <w:sz w:val="19"/>
          <w:szCs w:val="19"/>
          <w:color w:val="000000"/>
        </w:rPr>
        <w:t xml:space="preserve"> </w:t>
      </w:r>
      <w:r>
        <w:rPr>
          <w:rFonts w:ascii="Arial" w:cs="Arial" w:eastAsia="Arial" w:hAnsi="Arial"/>
          <w:sz w:val="19"/>
          <w:szCs w:val="19"/>
          <w:color w:val="131313"/>
        </w:rPr>
        <w:t xml:space="preserve">installment </w:t>
      </w:r>
      <w:r>
        <w:rPr>
          <w:rFonts w:ascii="Arial" w:cs="Arial" w:eastAsia="Arial" w:hAnsi="Arial"/>
          <w:sz w:val="19"/>
          <w:szCs w:val="19"/>
          <w:color w:val="000000"/>
        </w:rPr>
        <w:t>that</w:t>
      </w:r>
      <w:r>
        <w:rPr>
          <w:rFonts w:ascii="Arial" w:cs="Arial" w:eastAsia="Arial" w:hAnsi="Arial"/>
          <w:sz w:val="19"/>
          <w:szCs w:val="19"/>
          <w:color w:val="131313"/>
        </w:rPr>
        <w:t xml:space="preserve"> is </w:t>
      </w:r>
      <w:r>
        <w:rPr>
          <w:rFonts w:ascii="Arial" w:cs="Arial" w:eastAsia="Arial" w:hAnsi="Arial"/>
          <w:sz w:val="19"/>
          <w:szCs w:val="19"/>
          <w:color w:val="000000"/>
        </w:rPr>
        <w:t>due on or after</w:t>
      </w:r>
      <w:r>
        <w:rPr>
          <w:rFonts w:ascii="Arial" w:cs="Arial" w:eastAsia="Arial" w:hAnsi="Arial"/>
          <w:sz w:val="19"/>
          <w:szCs w:val="19"/>
          <w:color w:val="131313"/>
        </w:rPr>
        <w:t xml:space="preserve"> the first (1</w:t>
      </w:r>
      <w:r>
        <w:rPr>
          <w:rFonts w:ascii="Arial" w:cs="Arial" w:eastAsia="Arial" w:hAnsi="Arial"/>
          <w:sz w:val="25"/>
          <w:szCs w:val="25"/>
          <w:color w:val="131313"/>
          <w:vertAlign w:val="superscript"/>
        </w:rPr>
        <w:t>st</w:t>
      </w:r>
      <w:r>
        <w:rPr>
          <w:rFonts w:ascii="Arial" w:cs="Arial" w:eastAsia="Arial" w:hAnsi="Arial"/>
          <w:sz w:val="19"/>
          <w:szCs w:val="19"/>
          <w:color w:val="131313"/>
        </w:rPr>
        <w:t xml:space="preserve">) annual anniversary </w:t>
      </w:r>
      <w:r>
        <w:rPr>
          <w:rFonts w:ascii="Arial" w:cs="Arial" w:eastAsia="Arial" w:hAnsi="Arial"/>
          <w:sz w:val="19"/>
          <w:szCs w:val="19"/>
          <w:color w:val="000000"/>
        </w:rPr>
        <w:t>of</w:t>
      </w:r>
      <w:r>
        <w:rPr>
          <w:rFonts w:ascii="Arial" w:cs="Arial" w:eastAsia="Arial" w:hAnsi="Arial"/>
          <w:sz w:val="19"/>
          <w:szCs w:val="19"/>
          <w:color w:val="131313"/>
        </w:rPr>
        <w:t xml:space="preserve"> the </w:t>
      </w:r>
      <w:r>
        <w:rPr>
          <w:rFonts w:ascii="Arial" w:cs="Arial" w:eastAsia="Arial" w:hAnsi="Arial"/>
          <w:sz w:val="19"/>
          <w:szCs w:val="19"/>
          <w:color w:val="000000"/>
        </w:rPr>
        <w:t>Term Commencement</w:t>
      </w:r>
      <w:r>
        <w:rPr>
          <w:rFonts w:ascii="Arial" w:cs="Arial" w:eastAsia="Arial" w:hAnsi="Arial"/>
          <w:sz w:val="19"/>
          <w:szCs w:val="19"/>
          <w:color w:val="131313"/>
        </w:rPr>
        <w:t xml:space="preserve"> Date, </w:t>
      </w:r>
      <w:r>
        <w:rPr>
          <w:rFonts w:ascii="Arial" w:cs="Arial" w:eastAsia="Arial" w:hAnsi="Arial"/>
          <w:sz w:val="19"/>
          <w:szCs w:val="19"/>
          <w:color w:val="000000"/>
        </w:rPr>
        <w:t>and subsequent</w:t>
      </w:r>
      <w:r>
        <w:rPr>
          <w:rFonts w:ascii="Arial" w:cs="Arial" w:eastAsia="Arial" w:hAnsi="Arial"/>
          <w:sz w:val="19"/>
          <w:szCs w:val="19"/>
          <w:color w:val="131313"/>
        </w:rPr>
        <w:t xml:space="preserve"> </w:t>
      </w:r>
      <w:r>
        <w:rPr>
          <w:rFonts w:ascii="Arial" w:cs="Arial" w:eastAsia="Arial" w:hAnsi="Arial"/>
          <w:sz w:val="19"/>
          <w:szCs w:val="19"/>
          <w:color w:val="000000"/>
        </w:rPr>
        <w:t xml:space="preserve">adjustments shall </w:t>
      </w:r>
      <w:r>
        <w:rPr>
          <w:rFonts w:ascii="Arial" w:cs="Arial" w:eastAsia="Arial" w:hAnsi="Arial"/>
          <w:sz w:val="19"/>
          <w:szCs w:val="19"/>
          <w:color w:val="131313"/>
        </w:rPr>
        <w:t>become</w:t>
      </w:r>
      <w:r>
        <w:rPr>
          <w:rFonts w:ascii="Arial" w:cs="Arial" w:eastAsia="Arial" w:hAnsi="Arial"/>
          <w:sz w:val="19"/>
          <w:szCs w:val="19"/>
          <w:color w:val="000000"/>
        </w:rPr>
        <w:t xml:space="preserve"> effective on every successive annual </w:t>
      </w:r>
      <w:r>
        <w:rPr>
          <w:rFonts w:ascii="Arial" w:cs="Arial" w:eastAsia="Arial" w:hAnsi="Arial"/>
          <w:sz w:val="19"/>
          <w:szCs w:val="19"/>
          <w:color w:val="131313"/>
        </w:rPr>
        <w:t>anniversary for</w:t>
      </w:r>
      <w:r>
        <w:rPr>
          <w:rFonts w:ascii="Arial" w:cs="Arial" w:eastAsia="Arial" w:hAnsi="Arial"/>
          <w:sz w:val="19"/>
          <w:szCs w:val="19"/>
          <w:color w:val="000000"/>
        </w:rPr>
        <w:t xml:space="preserve"> so </w:t>
      </w:r>
      <w:r>
        <w:rPr>
          <w:rFonts w:ascii="Arial" w:cs="Arial" w:eastAsia="Arial" w:hAnsi="Arial"/>
          <w:sz w:val="19"/>
          <w:szCs w:val="19"/>
          <w:color w:val="131313"/>
        </w:rPr>
        <w:t>long</w:t>
      </w:r>
      <w:r>
        <w:rPr>
          <w:rFonts w:ascii="Arial" w:cs="Arial" w:eastAsia="Arial" w:hAnsi="Arial"/>
          <w:sz w:val="19"/>
          <w:szCs w:val="19"/>
          <w:color w:val="000000"/>
        </w:rPr>
        <w:t xml:space="preserve"> as </w:t>
      </w:r>
      <w:r>
        <w:rPr>
          <w:rFonts w:ascii="Arial" w:cs="Arial" w:eastAsia="Arial" w:hAnsi="Arial"/>
          <w:sz w:val="19"/>
          <w:szCs w:val="19"/>
          <w:color w:val="131313"/>
        </w:rPr>
        <w:t>this</w:t>
      </w:r>
      <w:r>
        <w:rPr>
          <w:rFonts w:ascii="Arial" w:cs="Arial" w:eastAsia="Arial" w:hAnsi="Arial"/>
          <w:sz w:val="19"/>
          <w:szCs w:val="19"/>
          <w:color w:val="000000"/>
        </w:rPr>
        <w:t xml:space="preserve"> Lease continues </w:t>
      </w:r>
      <w:r>
        <w:rPr>
          <w:rFonts w:ascii="Arial" w:cs="Arial" w:eastAsia="Arial" w:hAnsi="Arial"/>
          <w:sz w:val="19"/>
          <w:szCs w:val="19"/>
          <w:color w:val="131313"/>
        </w:rPr>
        <w:t>in effect;</w:t>
      </w:r>
      <w:r>
        <w:rPr>
          <w:rFonts w:ascii="Arial" w:cs="Arial" w:eastAsia="Arial" w:hAnsi="Arial"/>
          <w:sz w:val="19"/>
          <w:szCs w:val="19"/>
          <w:color w:val="000000"/>
        </w:rPr>
        <w:t xml:space="preserve"> </w:t>
      </w:r>
      <w:r>
        <w:rPr>
          <w:rFonts w:ascii="Arial" w:cs="Arial" w:eastAsia="Arial" w:hAnsi="Arial"/>
          <w:sz w:val="19"/>
          <w:szCs w:val="19"/>
          <w:color w:val="131313"/>
        </w:rPr>
        <w:t xml:space="preserve">provided, in no </w:t>
      </w:r>
      <w:r>
        <w:rPr>
          <w:rFonts w:ascii="Arial" w:cs="Arial" w:eastAsia="Arial" w:hAnsi="Arial"/>
          <w:sz w:val="19"/>
          <w:szCs w:val="19"/>
          <w:color w:val="000000"/>
        </w:rPr>
        <w:t>event shall</w:t>
      </w:r>
      <w:r>
        <w:rPr>
          <w:rFonts w:ascii="Arial" w:cs="Arial" w:eastAsia="Arial" w:hAnsi="Arial"/>
          <w:sz w:val="19"/>
          <w:szCs w:val="19"/>
          <w:color w:val="131313"/>
        </w:rPr>
        <w:t xml:space="preserve"> </w:t>
      </w:r>
      <w:r>
        <w:rPr>
          <w:rFonts w:ascii="Arial" w:cs="Arial" w:eastAsia="Arial" w:hAnsi="Arial"/>
          <w:sz w:val="19"/>
          <w:szCs w:val="19"/>
          <w:color w:val="383838"/>
        </w:rPr>
        <w:t>the</w:t>
      </w:r>
      <w:r>
        <w:rPr>
          <w:rFonts w:ascii="Arial" w:cs="Arial" w:eastAsia="Arial" w:hAnsi="Arial"/>
          <w:sz w:val="19"/>
          <w:szCs w:val="19"/>
          <w:color w:val="131313"/>
        </w:rPr>
        <w:t xml:space="preserve"> </w:t>
      </w:r>
      <w:r>
        <w:rPr>
          <w:rFonts w:ascii="Arial" w:cs="Arial" w:eastAsia="Arial" w:hAnsi="Arial"/>
          <w:sz w:val="19"/>
          <w:szCs w:val="19"/>
          <w:color w:val="000000"/>
        </w:rPr>
        <w:t>Base Rent</w:t>
      </w:r>
      <w:r>
        <w:rPr>
          <w:rFonts w:ascii="Arial" w:cs="Arial" w:eastAsia="Arial" w:hAnsi="Arial"/>
          <w:sz w:val="19"/>
          <w:szCs w:val="19"/>
          <w:color w:val="131313"/>
        </w:rPr>
        <w:t xml:space="preserve"> be </w:t>
      </w:r>
      <w:r>
        <w:rPr>
          <w:rFonts w:ascii="Arial" w:cs="Arial" w:eastAsia="Arial" w:hAnsi="Arial"/>
          <w:sz w:val="19"/>
          <w:szCs w:val="19"/>
          <w:color w:val="000000"/>
        </w:rPr>
        <w:t>increased</w:t>
      </w:r>
      <w:r>
        <w:rPr>
          <w:rFonts w:ascii="Arial" w:cs="Arial" w:eastAsia="Arial" w:hAnsi="Arial"/>
          <w:sz w:val="19"/>
          <w:szCs w:val="19"/>
          <w:color w:val="131313"/>
        </w:rPr>
        <w:t xml:space="preserve"> by less than </w:t>
      </w:r>
      <w:r>
        <w:rPr>
          <w:rFonts w:ascii="Arial" w:cs="Arial" w:eastAsia="Arial" w:hAnsi="Arial"/>
          <w:sz w:val="19"/>
          <w:szCs w:val="19"/>
          <w:u w:val="single" w:color="auto"/>
          <w:color w:val="000000"/>
        </w:rPr>
        <w:t>[***]</w:t>
      </w:r>
      <w:r>
        <w:rPr>
          <w:rFonts w:ascii="Arial" w:cs="Arial" w:eastAsia="Arial" w:hAnsi="Arial"/>
          <w:sz w:val="19"/>
          <w:szCs w:val="19"/>
          <w:color w:val="131313"/>
        </w:rPr>
        <w:t xml:space="preserve"> percent (</w:t>
      </w:r>
      <w:r>
        <w:rPr>
          <w:rFonts w:ascii="Arial" w:cs="Arial" w:eastAsia="Arial" w:hAnsi="Arial"/>
          <w:sz w:val="19"/>
          <w:szCs w:val="19"/>
          <w:u w:val="single" w:color="auto"/>
          <w:color w:val="000000"/>
        </w:rPr>
        <w:t>[***]</w:t>
      </w:r>
      <w:r>
        <w:rPr>
          <w:rFonts w:ascii="Arial" w:cs="Arial" w:eastAsia="Arial" w:hAnsi="Arial"/>
          <w:sz w:val="19"/>
          <w:szCs w:val="19"/>
          <w:color w:val="131313"/>
        </w:rPr>
        <w:t xml:space="preserve">%) of Base Rent in </w:t>
      </w:r>
      <w:r>
        <w:rPr>
          <w:rFonts w:ascii="Arial" w:cs="Arial" w:eastAsia="Arial" w:hAnsi="Arial"/>
          <w:sz w:val="19"/>
          <w:szCs w:val="19"/>
          <w:color w:val="000000"/>
        </w:rPr>
        <w:t>effect for the</w:t>
      </w:r>
      <w:r>
        <w:rPr>
          <w:rFonts w:ascii="Arial" w:cs="Arial" w:eastAsia="Arial" w:hAnsi="Arial"/>
          <w:sz w:val="19"/>
          <w:szCs w:val="19"/>
          <w:color w:val="131313"/>
        </w:rPr>
        <w:t xml:space="preserve"> preceding </w:t>
      </w:r>
      <w:r>
        <w:rPr>
          <w:rFonts w:ascii="Arial" w:cs="Arial" w:eastAsia="Arial" w:hAnsi="Arial"/>
          <w:sz w:val="19"/>
          <w:szCs w:val="19"/>
          <w:color w:val="000000"/>
        </w:rPr>
        <w:t>year, or increased</w:t>
      </w:r>
      <w:r>
        <w:rPr>
          <w:rFonts w:ascii="Arial" w:cs="Arial" w:eastAsia="Arial" w:hAnsi="Arial"/>
          <w:sz w:val="19"/>
          <w:szCs w:val="19"/>
          <w:color w:val="131313"/>
        </w:rPr>
        <w:t xml:space="preserve"> by </w:t>
      </w:r>
      <w:r>
        <w:rPr>
          <w:rFonts w:ascii="Arial" w:cs="Arial" w:eastAsia="Arial" w:hAnsi="Arial"/>
          <w:sz w:val="19"/>
          <w:szCs w:val="19"/>
          <w:color w:val="000000"/>
        </w:rPr>
        <w:t>more</w:t>
      </w:r>
      <w:r>
        <w:rPr>
          <w:rFonts w:ascii="Arial" w:cs="Arial" w:eastAsia="Arial" w:hAnsi="Arial"/>
          <w:sz w:val="19"/>
          <w:szCs w:val="19"/>
          <w:color w:val="131313"/>
        </w:rPr>
        <w:t xml:space="preserve"> than </w:t>
      </w:r>
      <w:r>
        <w:rPr>
          <w:rFonts w:ascii="Arial" w:cs="Arial" w:eastAsia="Arial" w:hAnsi="Arial"/>
          <w:sz w:val="19"/>
          <w:szCs w:val="19"/>
          <w:u w:val="single" w:color="auto"/>
          <w:color w:val="000000"/>
        </w:rPr>
        <w:t>[***]</w:t>
      </w:r>
      <w:r>
        <w:rPr>
          <w:rFonts w:ascii="Arial" w:cs="Arial" w:eastAsia="Arial" w:hAnsi="Arial"/>
          <w:sz w:val="19"/>
          <w:szCs w:val="19"/>
          <w:color w:val="131313"/>
        </w:rPr>
        <w:t xml:space="preserve"> percent (</w:t>
      </w:r>
      <w:r>
        <w:rPr>
          <w:rFonts w:ascii="Arial" w:cs="Arial" w:eastAsia="Arial" w:hAnsi="Arial"/>
          <w:sz w:val="19"/>
          <w:szCs w:val="19"/>
          <w:u w:val="single" w:color="auto"/>
          <w:color w:val="000000"/>
        </w:rPr>
        <w:t>[***]</w:t>
      </w:r>
      <w:r>
        <w:rPr>
          <w:rFonts w:ascii="Arial" w:cs="Arial" w:eastAsia="Arial" w:hAnsi="Arial"/>
          <w:sz w:val="19"/>
          <w:szCs w:val="19"/>
          <w:color w:val="131313"/>
        </w:rPr>
        <w:t xml:space="preserve">%) of the Base Rent in </w:t>
      </w:r>
      <w:r>
        <w:rPr>
          <w:rFonts w:ascii="Arial" w:cs="Arial" w:eastAsia="Arial" w:hAnsi="Arial"/>
          <w:sz w:val="19"/>
          <w:szCs w:val="19"/>
          <w:color w:val="000000"/>
        </w:rPr>
        <w:t>effect</w:t>
      </w:r>
      <w:r>
        <w:rPr>
          <w:rFonts w:ascii="Arial" w:cs="Arial" w:eastAsia="Arial" w:hAnsi="Arial"/>
          <w:sz w:val="19"/>
          <w:szCs w:val="19"/>
          <w:color w:val="131313"/>
        </w:rPr>
        <w:t xml:space="preserve"> </w:t>
      </w:r>
      <w:r>
        <w:rPr>
          <w:rFonts w:ascii="Arial" w:cs="Arial" w:eastAsia="Arial" w:hAnsi="Arial"/>
          <w:sz w:val="19"/>
          <w:szCs w:val="19"/>
          <w:color w:val="383838"/>
        </w:rPr>
        <w:t>for</w:t>
      </w:r>
      <w:r>
        <w:rPr>
          <w:rFonts w:ascii="Arial" w:cs="Arial" w:eastAsia="Arial" w:hAnsi="Arial"/>
          <w:sz w:val="19"/>
          <w:szCs w:val="19"/>
          <w:color w:val="131313"/>
        </w:rPr>
        <w:t xml:space="preserve"> </w:t>
      </w:r>
      <w:r>
        <w:rPr>
          <w:rFonts w:ascii="Arial" w:cs="Arial" w:eastAsia="Arial" w:hAnsi="Arial"/>
          <w:sz w:val="19"/>
          <w:szCs w:val="19"/>
          <w:color w:val="000000"/>
        </w:rPr>
        <w:t>the</w:t>
      </w:r>
      <w:r>
        <w:rPr>
          <w:rFonts w:ascii="Arial" w:cs="Arial" w:eastAsia="Arial" w:hAnsi="Arial"/>
          <w:sz w:val="19"/>
          <w:szCs w:val="19"/>
          <w:color w:val="131313"/>
        </w:rPr>
        <w:t xml:space="preserve"> preceding </w:t>
      </w:r>
      <w:r>
        <w:rPr>
          <w:rFonts w:ascii="Arial" w:cs="Arial" w:eastAsia="Arial" w:hAnsi="Arial"/>
          <w:sz w:val="19"/>
          <w:szCs w:val="19"/>
          <w:color w:val="000000"/>
        </w:rPr>
        <w:t>year.</w:t>
      </w:r>
    </w:p>
    <w:p>
      <w:pPr>
        <w:spacing w:after="0" w:line="165" w:lineRule="exact"/>
        <w:rPr>
          <w:rFonts w:ascii="Arial" w:cs="Arial" w:eastAsia="Arial" w:hAnsi="Arial"/>
          <w:sz w:val="19"/>
          <w:szCs w:val="19"/>
          <w:color w:val="auto"/>
        </w:rPr>
      </w:pPr>
    </w:p>
    <w:p>
      <w:pPr>
        <w:ind w:left="660" w:hanging="652"/>
        <w:spacing w:after="0"/>
        <w:tabs>
          <w:tab w:leader="none" w:pos="660"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Operating Expenses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14" w:lineRule="auto"/>
        <w:rPr>
          <w:rFonts w:ascii="Arial" w:cs="Arial" w:eastAsia="Arial" w:hAnsi="Arial"/>
          <w:sz w:val="22"/>
          <w:szCs w:val="22"/>
          <w:color w:val="auto"/>
        </w:rPr>
      </w:pPr>
      <w:r>
        <w:rPr>
          <w:rFonts w:ascii="Arial" w:cs="Arial" w:eastAsia="Arial" w:hAnsi="Arial"/>
          <w:sz w:val="22"/>
          <w:szCs w:val="22"/>
          <w:color w:val="auto"/>
        </w:rPr>
        <w:t xml:space="preserve">9.1 As used herein, subject to the exclusions listed below and the provisions of </w:t>
      </w:r>
      <w:r>
        <w:rPr>
          <w:rFonts w:ascii="Arial" w:cs="Arial" w:eastAsia="Arial" w:hAnsi="Arial"/>
          <w:sz w:val="22"/>
          <w:szCs w:val="22"/>
          <w:u w:val="single" w:color="auto"/>
          <w:color w:val="auto"/>
        </w:rPr>
        <w:t>Article 43</w:t>
      </w:r>
      <w:r>
        <w:rPr>
          <w:rFonts w:ascii="Arial" w:cs="Arial" w:eastAsia="Arial" w:hAnsi="Arial"/>
          <w:sz w:val="22"/>
          <w:szCs w:val="22"/>
          <w:color w:val="auto"/>
        </w:rPr>
        <w:t>, the term “</w:t>
      </w:r>
      <w:r>
        <w:rPr>
          <w:rFonts w:ascii="Arial" w:cs="Arial" w:eastAsia="Arial" w:hAnsi="Arial"/>
          <w:sz w:val="22"/>
          <w:szCs w:val="22"/>
          <w:u w:val="single" w:color="auto"/>
          <w:color w:val="auto"/>
        </w:rPr>
        <w:t>Operating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Expenses</w:t>
      </w:r>
      <w:r>
        <w:rPr>
          <w:rFonts w:ascii="Arial" w:cs="Arial" w:eastAsia="Arial" w:hAnsi="Arial"/>
          <w:sz w:val="22"/>
          <w:szCs w:val="22"/>
          <w:color w:val="auto"/>
        </w:rPr>
        <w:t>” shall include the following costs and expenses with respect to the Building and the Common Areas consistent with the standards applicable to comparable first-class combined laboratory/office facilities in the Rockville, Maryland area (“</w:t>
      </w:r>
      <w:r>
        <w:rPr>
          <w:rFonts w:ascii="Arial" w:cs="Arial" w:eastAsia="Arial" w:hAnsi="Arial"/>
          <w:sz w:val="22"/>
          <w:szCs w:val="22"/>
          <w:u w:val="single" w:color="auto"/>
          <w:color w:val="auto"/>
        </w:rPr>
        <w:t>Comparable Buildings</w:t>
      </w:r>
      <w:r>
        <w:rPr>
          <w:rFonts w:ascii="Arial" w:cs="Arial" w:eastAsia="Arial" w:hAnsi="Arial"/>
          <w:sz w:val="22"/>
          <w:szCs w:val="22"/>
          <w:color w:val="auto"/>
        </w:rPr>
        <w:t>”), with the understanding that if the cost or expense relates to the Common Areas then the Tenant’s Pro Rata Share of Common Areas shall apply, not the Tenant’s Pro Rata Share of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-2499360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9" w:lineRule="exact"/>
        <w:rPr>
          <w:sz w:val="20"/>
          <w:szCs w:val="20"/>
          <w:color w:val="auto"/>
        </w:rPr>
      </w:pPr>
    </w:p>
    <w:p>
      <w:pPr>
        <w:jc w:val="both"/>
        <w:ind w:left="1960" w:hanging="647"/>
        <w:spacing w:after="0" w:line="246" w:lineRule="auto"/>
        <w:rPr>
          <w:sz w:val="20"/>
          <w:szCs w:val="20"/>
          <w:color w:val="auto"/>
        </w:rPr>
      </w:pPr>
      <w:r>
        <w:rPr>
          <w:rFonts w:ascii="Arial" w:cs="Arial" w:eastAsia="Arial" w:hAnsi="Arial"/>
          <w:sz w:val="19"/>
          <w:szCs w:val="19"/>
          <w:color w:val="auto"/>
        </w:rPr>
        <w:t>9.1.1. Government impositions including property tax costs consisting of real and personal property taxes and assessments, including amounts due under any improvement bond upon the Building or the Common Areas, including the parcel or parcels of real property upon which the Building and areas serving the Building are located or assessments in lieu thereof imposed by any federal, state, regional, local or municipal governmental authority, agency or subdivision (each, a “</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are levied; taxes on or measured by gross rentals received from the rental of space in the Building or the Common Areas; taxes based on the square footage of the Premises, the Building or the Common Areas, as well as any parking charges, utilities surcharges or any other costs levied, assessed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324" w:name="page325"/>
    <w:bookmarkEnd w:id="324"/>
    <w:p>
      <w:pPr>
        <w:jc w:val="both"/>
        <w:ind w:left="840"/>
        <w:spacing w:after="0" w:line="211" w:lineRule="auto"/>
        <w:rPr>
          <w:sz w:val="20"/>
          <w:szCs w:val="20"/>
          <w:color w:val="auto"/>
        </w:rPr>
      </w:pPr>
      <w:r>
        <w:rPr>
          <w:rFonts w:ascii="Arial" w:cs="Arial" w:eastAsia="Arial" w:hAnsi="Arial"/>
          <w:sz w:val="22"/>
          <w:szCs w:val="22"/>
          <w:color w:val="auto"/>
        </w:rPr>
        <w:t>or imposed by, or at the direction of, or resulting from Applicable Laws or interpretations thereof, promulgated by any Governmental Authority in connection with the use or occupancy of the Building or the Common Areas; any fee for a business license to operate an office building; and any expenses, including the reasonable cost of attorneys or experts, reasonably incurred by Landlord in seeking reduction by the taxing authority of the applicable taxes, with a credit against Operating Expenses for any tax refunds obtained as a result of an application for review thereof (or a payment of such refunds if the Term has expired). Operating Expenses shall not include any net income, franchise, capital stock, gift, estate or inheritance taxes, or taxes that are the personal obligation of Landlord or of another tenant of the Project; and</w:t>
      </w:r>
    </w:p>
    <w:p>
      <w:pPr>
        <w:spacing w:after="0" w:line="158" w:lineRule="exact"/>
        <w:rPr>
          <w:sz w:val="20"/>
          <w:szCs w:val="20"/>
          <w:color w:val="auto"/>
        </w:rPr>
      </w:pPr>
    </w:p>
    <w:p>
      <w:pPr>
        <w:jc w:val="both"/>
        <w:ind w:left="840" w:hanging="647"/>
        <w:spacing w:after="0" w:line="239" w:lineRule="auto"/>
        <w:rPr>
          <w:sz w:val="20"/>
          <w:szCs w:val="20"/>
          <w:color w:val="auto"/>
        </w:rPr>
      </w:pPr>
      <w:r>
        <w:rPr>
          <w:rFonts w:ascii="Arial" w:cs="Arial" w:eastAsia="Arial" w:hAnsi="Arial"/>
          <w:sz w:val="19"/>
          <w:szCs w:val="19"/>
          <w:color w:val="auto"/>
        </w:rPr>
        <w:t xml:space="preserve">9.1.2. All other costs of any kind paid or incurred by Landlord in connection with the operation or maintenance of the Building (including, without limitation, the service corridors, stairways, elevators, public restrooms and public lobbies contained therein) and the Common Areas, including costs of repairs and replacements to improvements within the Building and the Common Areas as appropriate to maintain the Building and the Common Areas as required hereunder, excluding costs of funding such reserves for future repairs and replacements; costs of utilities furnished to the Building and the Common Areas; sewer fees; trash collection; cleaning, including windows; heating; ventilation; air-conditioning; maintenance of landscaping and grounds; maintenance of drives and parking areas; maintenance of the roof; security services and devices; building supplies; maintenance or replacement of equipment utilized for operation and maintenance of the Building and the Common Areas; license, permit and inspection fees; sales, use and excise taxes on goods and services purchased by Landlord in connection with the </w:t>
      </w:r>
      <w:r>
        <w:rPr>
          <w:rFonts w:ascii="Arial" w:cs="Arial" w:eastAsia="Arial" w:hAnsi="Arial"/>
          <w:sz w:val="19"/>
          <w:szCs w:val="19"/>
          <w:color w:val="232323"/>
        </w:rPr>
        <w:t>operation,</w:t>
      </w:r>
      <w:r>
        <w:rPr>
          <w:rFonts w:ascii="Arial" w:cs="Arial" w:eastAsia="Arial" w:hAnsi="Arial"/>
          <w:sz w:val="19"/>
          <w:szCs w:val="19"/>
          <w:color w:val="auto"/>
        </w:rPr>
        <w:t xml:space="preserve"> </w:t>
      </w:r>
      <w:r>
        <w:rPr>
          <w:rFonts w:ascii="Arial" w:cs="Arial" w:eastAsia="Arial" w:hAnsi="Arial"/>
          <w:sz w:val="19"/>
          <w:szCs w:val="19"/>
          <w:color w:val="111111"/>
        </w:rPr>
        <w:t>maintenance</w:t>
      </w:r>
      <w:r>
        <w:rPr>
          <w:rFonts w:ascii="Arial" w:cs="Arial" w:eastAsia="Arial" w:hAnsi="Arial"/>
          <w:sz w:val="19"/>
          <w:szCs w:val="19"/>
          <w:color w:val="auto"/>
        </w:rPr>
        <w:t xml:space="preserve"> </w:t>
      </w:r>
      <w:r>
        <w:rPr>
          <w:rFonts w:ascii="Arial" w:cs="Arial" w:eastAsia="Arial" w:hAnsi="Arial"/>
          <w:sz w:val="19"/>
          <w:szCs w:val="19"/>
          <w:color w:val="232323"/>
        </w:rPr>
        <w:t xml:space="preserve">or repair of the Building or Common Areas systems and equipment; </w:t>
      </w:r>
      <w:r>
        <w:rPr>
          <w:rFonts w:ascii="Arial" w:cs="Arial" w:eastAsia="Arial" w:hAnsi="Arial"/>
          <w:sz w:val="19"/>
          <w:szCs w:val="19"/>
          <w:color w:val="111111"/>
        </w:rPr>
        <w:t>telephone, postage,</w:t>
      </w:r>
      <w:r>
        <w:rPr>
          <w:rFonts w:ascii="Arial" w:cs="Arial" w:eastAsia="Arial" w:hAnsi="Arial"/>
          <w:sz w:val="19"/>
          <w:szCs w:val="19"/>
          <w:color w:val="232323"/>
        </w:rPr>
        <w:t xml:space="preserve"> </w:t>
      </w:r>
      <w:r>
        <w:rPr>
          <w:rFonts w:ascii="Arial" w:cs="Arial" w:eastAsia="Arial" w:hAnsi="Arial"/>
          <w:sz w:val="19"/>
          <w:szCs w:val="19"/>
          <w:color w:val="383838"/>
        </w:rPr>
        <w:t>stationery supplies</w:t>
      </w:r>
      <w:r>
        <w:rPr>
          <w:rFonts w:ascii="Arial" w:cs="Arial" w:eastAsia="Arial" w:hAnsi="Arial"/>
          <w:sz w:val="19"/>
          <w:szCs w:val="19"/>
          <w:color w:val="232323"/>
        </w:rPr>
        <w:t xml:space="preserve"> and other </w:t>
      </w:r>
      <w:r>
        <w:rPr>
          <w:rFonts w:ascii="Arial" w:cs="Arial" w:eastAsia="Arial" w:hAnsi="Arial"/>
          <w:sz w:val="19"/>
          <w:szCs w:val="19"/>
          <w:color w:val="383838"/>
        </w:rPr>
        <w:t>similar</w:t>
      </w:r>
      <w:r>
        <w:rPr>
          <w:rFonts w:ascii="Arial" w:cs="Arial" w:eastAsia="Arial" w:hAnsi="Arial"/>
          <w:sz w:val="19"/>
          <w:szCs w:val="19"/>
          <w:color w:val="232323"/>
        </w:rPr>
        <w:t xml:space="preserve"> expenses </w:t>
      </w:r>
      <w:r>
        <w:rPr>
          <w:rFonts w:ascii="Arial" w:cs="Arial" w:eastAsia="Arial" w:hAnsi="Arial"/>
          <w:sz w:val="19"/>
          <w:szCs w:val="19"/>
          <w:color w:val="111111"/>
        </w:rPr>
        <w:t>incurred</w:t>
      </w:r>
      <w:r>
        <w:rPr>
          <w:rFonts w:ascii="Arial" w:cs="Arial" w:eastAsia="Arial" w:hAnsi="Arial"/>
          <w:sz w:val="19"/>
          <w:szCs w:val="19"/>
          <w:color w:val="232323"/>
        </w:rPr>
        <w:t xml:space="preserve"> in connection with </w:t>
      </w:r>
      <w:r>
        <w:rPr>
          <w:rFonts w:ascii="Arial" w:cs="Arial" w:eastAsia="Arial" w:hAnsi="Arial"/>
          <w:sz w:val="19"/>
          <w:szCs w:val="19"/>
          <w:color w:val="111111"/>
        </w:rPr>
        <w:t>the</w:t>
      </w:r>
      <w:r>
        <w:rPr>
          <w:rFonts w:ascii="Arial" w:cs="Arial" w:eastAsia="Arial" w:hAnsi="Arial"/>
          <w:sz w:val="19"/>
          <w:szCs w:val="19"/>
          <w:color w:val="232323"/>
        </w:rPr>
        <w:t xml:space="preserve"> operation, maintenance or repair of </w:t>
      </w:r>
      <w:r>
        <w:rPr>
          <w:rFonts w:ascii="Arial" w:cs="Arial" w:eastAsia="Arial" w:hAnsi="Arial"/>
          <w:sz w:val="19"/>
          <w:szCs w:val="19"/>
          <w:color w:val="111111"/>
        </w:rPr>
        <w:t>the</w:t>
      </w:r>
      <w:r>
        <w:rPr>
          <w:rFonts w:ascii="Arial" w:cs="Arial" w:eastAsia="Arial" w:hAnsi="Arial"/>
          <w:sz w:val="19"/>
          <w:szCs w:val="19"/>
          <w:color w:val="232323"/>
        </w:rPr>
        <w:t xml:space="preserve"> Building and </w:t>
      </w:r>
      <w:r>
        <w:rPr>
          <w:rFonts w:ascii="Arial" w:cs="Arial" w:eastAsia="Arial" w:hAnsi="Arial"/>
          <w:sz w:val="19"/>
          <w:szCs w:val="19"/>
          <w:color w:val="111111"/>
        </w:rPr>
        <w:t>the</w:t>
      </w:r>
      <w:r>
        <w:rPr>
          <w:rFonts w:ascii="Arial" w:cs="Arial" w:eastAsia="Arial" w:hAnsi="Arial"/>
          <w:sz w:val="19"/>
          <w:szCs w:val="19"/>
          <w:color w:val="232323"/>
        </w:rPr>
        <w:t xml:space="preserve"> Common Areas; accounting, </w:t>
      </w:r>
      <w:r>
        <w:rPr>
          <w:rFonts w:ascii="Arial" w:cs="Arial" w:eastAsia="Arial" w:hAnsi="Arial"/>
          <w:sz w:val="19"/>
          <w:szCs w:val="19"/>
          <w:color w:val="111111"/>
        </w:rPr>
        <w:t>legal</w:t>
      </w:r>
      <w:r>
        <w:rPr>
          <w:rFonts w:ascii="Arial" w:cs="Arial" w:eastAsia="Arial" w:hAnsi="Arial"/>
          <w:sz w:val="19"/>
          <w:szCs w:val="19"/>
          <w:color w:val="232323"/>
        </w:rPr>
        <w:t xml:space="preserve"> and other </w:t>
      </w:r>
      <w:r>
        <w:rPr>
          <w:rFonts w:ascii="Arial" w:cs="Arial" w:eastAsia="Arial" w:hAnsi="Arial"/>
          <w:sz w:val="19"/>
          <w:szCs w:val="19"/>
          <w:color w:val="111111"/>
        </w:rPr>
        <w:t>professional</w:t>
      </w:r>
      <w:r>
        <w:rPr>
          <w:rFonts w:ascii="Arial" w:cs="Arial" w:eastAsia="Arial" w:hAnsi="Arial"/>
          <w:sz w:val="19"/>
          <w:szCs w:val="19"/>
          <w:color w:val="232323"/>
        </w:rPr>
        <w:t xml:space="preserve"> fees </w:t>
      </w:r>
      <w:r>
        <w:rPr>
          <w:rFonts w:ascii="Arial" w:cs="Arial" w:eastAsia="Arial" w:hAnsi="Arial"/>
          <w:sz w:val="19"/>
          <w:szCs w:val="19"/>
          <w:color w:val="111111"/>
        </w:rPr>
        <w:t>and</w:t>
      </w:r>
      <w:r>
        <w:rPr>
          <w:rFonts w:ascii="Arial" w:cs="Arial" w:eastAsia="Arial" w:hAnsi="Arial"/>
          <w:sz w:val="19"/>
          <w:szCs w:val="19"/>
          <w:color w:val="232323"/>
        </w:rPr>
        <w:t xml:space="preserve"> expenses </w:t>
      </w:r>
      <w:r>
        <w:rPr>
          <w:rFonts w:ascii="Arial" w:cs="Arial" w:eastAsia="Arial" w:hAnsi="Arial"/>
          <w:sz w:val="19"/>
          <w:szCs w:val="19"/>
          <w:color w:val="111111"/>
        </w:rPr>
        <w:t>incurred in</w:t>
      </w:r>
      <w:r>
        <w:rPr>
          <w:rFonts w:ascii="Arial" w:cs="Arial" w:eastAsia="Arial" w:hAnsi="Arial"/>
          <w:sz w:val="19"/>
          <w:szCs w:val="19"/>
          <w:color w:val="232323"/>
        </w:rPr>
        <w:t xml:space="preserve"> connection </w:t>
      </w:r>
      <w:r>
        <w:rPr>
          <w:rFonts w:ascii="Arial" w:cs="Arial" w:eastAsia="Arial" w:hAnsi="Arial"/>
          <w:sz w:val="19"/>
          <w:szCs w:val="19"/>
          <w:color w:val="383838"/>
        </w:rPr>
        <w:t xml:space="preserve">with </w:t>
      </w:r>
      <w:r>
        <w:rPr>
          <w:rFonts w:ascii="Arial" w:cs="Arial" w:eastAsia="Arial" w:hAnsi="Arial"/>
          <w:sz w:val="19"/>
          <w:szCs w:val="19"/>
          <w:color w:val="232323"/>
        </w:rPr>
        <w:t>the Building and</w:t>
      </w:r>
      <w:r>
        <w:rPr>
          <w:rFonts w:ascii="Arial" w:cs="Arial" w:eastAsia="Arial" w:hAnsi="Arial"/>
          <w:sz w:val="19"/>
          <w:szCs w:val="19"/>
          <w:color w:val="383838"/>
        </w:rPr>
        <w:t xml:space="preserve"> the </w:t>
      </w:r>
      <w:r>
        <w:rPr>
          <w:rFonts w:ascii="Arial" w:cs="Arial" w:eastAsia="Arial" w:hAnsi="Arial"/>
          <w:sz w:val="19"/>
          <w:szCs w:val="19"/>
          <w:color w:val="232323"/>
        </w:rPr>
        <w:t>Common Areas; costs of carpeting,</w:t>
      </w:r>
      <w:r>
        <w:rPr>
          <w:rFonts w:ascii="Arial" w:cs="Arial" w:eastAsia="Arial" w:hAnsi="Arial"/>
          <w:sz w:val="19"/>
          <w:szCs w:val="19"/>
          <w:color w:val="383838"/>
        </w:rPr>
        <w:t xml:space="preserve"> </w:t>
      </w:r>
      <w:r>
        <w:rPr>
          <w:rFonts w:ascii="Arial" w:cs="Arial" w:eastAsia="Arial" w:hAnsi="Arial"/>
          <w:sz w:val="19"/>
          <w:szCs w:val="19"/>
          <w:color w:val="111111"/>
        </w:rPr>
        <w:t>landscaping</w:t>
      </w:r>
      <w:r>
        <w:rPr>
          <w:rFonts w:ascii="Arial" w:cs="Arial" w:eastAsia="Arial" w:hAnsi="Arial"/>
          <w:sz w:val="19"/>
          <w:szCs w:val="19"/>
          <w:color w:val="383838"/>
        </w:rPr>
        <w:t xml:space="preserve"> </w:t>
      </w:r>
      <w:r>
        <w:rPr>
          <w:rFonts w:ascii="Arial" w:cs="Arial" w:eastAsia="Arial" w:hAnsi="Arial"/>
          <w:sz w:val="19"/>
          <w:szCs w:val="19"/>
          <w:color w:val="232323"/>
        </w:rPr>
        <w:t>and other customary</w:t>
      </w:r>
      <w:r>
        <w:rPr>
          <w:rFonts w:ascii="Arial" w:cs="Arial" w:eastAsia="Arial" w:hAnsi="Arial"/>
          <w:sz w:val="19"/>
          <w:szCs w:val="19"/>
          <w:color w:val="383838"/>
        </w:rPr>
        <w:t xml:space="preserve"> </w:t>
      </w:r>
      <w:r>
        <w:rPr>
          <w:rFonts w:ascii="Arial" w:cs="Arial" w:eastAsia="Arial" w:hAnsi="Arial"/>
          <w:sz w:val="19"/>
          <w:szCs w:val="19"/>
          <w:color w:val="111111"/>
        </w:rPr>
        <w:t>and</w:t>
      </w:r>
      <w:r>
        <w:rPr>
          <w:rFonts w:ascii="Arial" w:cs="Arial" w:eastAsia="Arial" w:hAnsi="Arial"/>
          <w:sz w:val="19"/>
          <w:szCs w:val="19"/>
          <w:color w:val="383838"/>
        </w:rPr>
        <w:t xml:space="preserve"> </w:t>
      </w:r>
      <w:r>
        <w:rPr>
          <w:rFonts w:ascii="Arial" w:cs="Arial" w:eastAsia="Arial" w:hAnsi="Arial"/>
          <w:sz w:val="19"/>
          <w:szCs w:val="19"/>
          <w:color w:val="232323"/>
        </w:rPr>
        <w:t xml:space="preserve">ordinary items of </w:t>
      </w:r>
      <w:r>
        <w:rPr>
          <w:rFonts w:ascii="Arial" w:cs="Arial" w:eastAsia="Arial" w:hAnsi="Arial"/>
          <w:sz w:val="19"/>
          <w:szCs w:val="19"/>
          <w:color w:val="111111"/>
        </w:rPr>
        <w:t>personal property</w:t>
      </w:r>
      <w:r>
        <w:rPr>
          <w:rFonts w:ascii="Arial" w:cs="Arial" w:eastAsia="Arial" w:hAnsi="Arial"/>
          <w:sz w:val="19"/>
          <w:szCs w:val="19"/>
          <w:color w:val="232323"/>
        </w:rPr>
        <w:t xml:space="preserve"> provided </w:t>
      </w:r>
      <w:r>
        <w:rPr>
          <w:rFonts w:ascii="Arial" w:cs="Arial" w:eastAsia="Arial" w:hAnsi="Arial"/>
          <w:sz w:val="19"/>
          <w:szCs w:val="19"/>
          <w:color w:val="111111"/>
        </w:rPr>
        <w:t>by Landlord</w:t>
      </w:r>
      <w:r>
        <w:rPr>
          <w:rFonts w:ascii="Arial" w:cs="Arial" w:eastAsia="Arial" w:hAnsi="Arial"/>
          <w:sz w:val="19"/>
          <w:szCs w:val="19"/>
          <w:color w:val="232323"/>
        </w:rPr>
        <w:t xml:space="preserve"> </w:t>
      </w:r>
      <w:r>
        <w:rPr>
          <w:rFonts w:ascii="Arial" w:cs="Arial" w:eastAsia="Arial" w:hAnsi="Arial"/>
          <w:sz w:val="19"/>
          <w:szCs w:val="19"/>
          <w:color w:val="383838"/>
        </w:rPr>
        <w:t>for</w:t>
      </w:r>
      <w:r>
        <w:rPr>
          <w:rFonts w:ascii="Arial" w:cs="Arial" w:eastAsia="Arial" w:hAnsi="Arial"/>
          <w:sz w:val="19"/>
          <w:szCs w:val="19"/>
          <w:color w:val="232323"/>
        </w:rPr>
        <w:t xml:space="preserve"> use in </w:t>
      </w:r>
      <w:r>
        <w:rPr>
          <w:rFonts w:ascii="Arial" w:cs="Arial" w:eastAsia="Arial" w:hAnsi="Arial"/>
          <w:sz w:val="19"/>
          <w:szCs w:val="19"/>
          <w:color w:val="111111"/>
        </w:rPr>
        <w:t>the Building</w:t>
      </w:r>
      <w:r>
        <w:rPr>
          <w:rFonts w:ascii="Arial" w:cs="Arial" w:eastAsia="Arial" w:hAnsi="Arial"/>
          <w:sz w:val="19"/>
          <w:szCs w:val="19"/>
          <w:color w:val="232323"/>
        </w:rPr>
        <w:t xml:space="preserve"> and </w:t>
      </w:r>
      <w:r>
        <w:rPr>
          <w:rFonts w:ascii="Arial" w:cs="Arial" w:eastAsia="Arial" w:hAnsi="Arial"/>
          <w:sz w:val="19"/>
          <w:szCs w:val="19"/>
          <w:color w:val="111111"/>
        </w:rPr>
        <w:t>the</w:t>
      </w:r>
      <w:r>
        <w:rPr>
          <w:rFonts w:ascii="Arial" w:cs="Arial" w:eastAsia="Arial" w:hAnsi="Arial"/>
          <w:sz w:val="19"/>
          <w:szCs w:val="19"/>
          <w:color w:val="232323"/>
        </w:rPr>
        <w:t xml:space="preserve"> Common Areas; Capital Expenditures, as </w:t>
      </w:r>
      <w:r>
        <w:rPr>
          <w:rFonts w:ascii="Arial" w:cs="Arial" w:eastAsia="Arial" w:hAnsi="Arial"/>
          <w:sz w:val="19"/>
          <w:szCs w:val="19"/>
          <w:color w:val="111111"/>
        </w:rPr>
        <w:t>hereinafter</w:t>
      </w:r>
      <w:r>
        <w:rPr>
          <w:rFonts w:ascii="Arial" w:cs="Arial" w:eastAsia="Arial" w:hAnsi="Arial"/>
          <w:sz w:val="19"/>
          <w:szCs w:val="19"/>
          <w:color w:val="232323"/>
        </w:rPr>
        <w:t xml:space="preserve"> defined (provided </w:t>
      </w:r>
      <w:r>
        <w:rPr>
          <w:rFonts w:ascii="Arial" w:cs="Arial" w:eastAsia="Arial" w:hAnsi="Arial"/>
          <w:sz w:val="19"/>
          <w:szCs w:val="19"/>
          <w:color w:val="383838"/>
        </w:rPr>
        <w:t>Capital</w:t>
      </w:r>
      <w:r>
        <w:rPr>
          <w:rFonts w:ascii="Arial" w:cs="Arial" w:eastAsia="Arial" w:hAnsi="Arial"/>
          <w:sz w:val="19"/>
          <w:szCs w:val="19"/>
          <w:color w:val="232323"/>
        </w:rPr>
        <w:t xml:space="preserve"> Expenditures </w:t>
      </w:r>
      <w:r>
        <w:rPr>
          <w:rFonts w:ascii="Arial" w:cs="Arial" w:eastAsia="Arial" w:hAnsi="Arial"/>
          <w:sz w:val="19"/>
          <w:szCs w:val="19"/>
          <w:color w:val="383838"/>
        </w:rPr>
        <w:t>shall</w:t>
      </w:r>
      <w:r>
        <w:rPr>
          <w:rFonts w:ascii="Arial" w:cs="Arial" w:eastAsia="Arial" w:hAnsi="Arial"/>
          <w:sz w:val="19"/>
          <w:szCs w:val="19"/>
          <w:color w:val="232323"/>
        </w:rPr>
        <w:t xml:space="preserve"> </w:t>
      </w:r>
      <w:r>
        <w:rPr>
          <w:rFonts w:ascii="Arial" w:cs="Arial" w:eastAsia="Arial" w:hAnsi="Arial"/>
          <w:sz w:val="19"/>
          <w:szCs w:val="19"/>
          <w:color w:val="111111"/>
        </w:rPr>
        <w:t>be</w:t>
      </w:r>
      <w:r>
        <w:rPr>
          <w:rFonts w:ascii="Arial" w:cs="Arial" w:eastAsia="Arial" w:hAnsi="Arial"/>
          <w:sz w:val="19"/>
          <w:szCs w:val="19"/>
          <w:color w:val="232323"/>
        </w:rPr>
        <w:t xml:space="preserve"> amortized over their useful life with an interest rate </w:t>
      </w:r>
      <w:r>
        <w:rPr>
          <w:rFonts w:ascii="Arial" w:cs="Arial" w:eastAsia="Arial" w:hAnsi="Arial"/>
          <w:sz w:val="19"/>
          <w:szCs w:val="19"/>
          <w:color w:val="111111"/>
        </w:rPr>
        <w:t>not</w:t>
      </w:r>
      <w:r>
        <w:rPr>
          <w:rFonts w:ascii="Arial" w:cs="Arial" w:eastAsia="Arial" w:hAnsi="Arial"/>
          <w:sz w:val="19"/>
          <w:szCs w:val="19"/>
          <w:color w:val="232323"/>
        </w:rPr>
        <w:t xml:space="preserve"> </w:t>
      </w:r>
      <w:r>
        <w:rPr>
          <w:rFonts w:ascii="Arial" w:cs="Arial" w:eastAsia="Arial" w:hAnsi="Arial"/>
          <w:sz w:val="19"/>
          <w:szCs w:val="19"/>
          <w:color w:val="383838"/>
        </w:rPr>
        <w:t>to</w:t>
      </w:r>
      <w:r>
        <w:rPr>
          <w:rFonts w:ascii="Arial" w:cs="Arial" w:eastAsia="Arial" w:hAnsi="Arial"/>
          <w:sz w:val="19"/>
          <w:szCs w:val="19"/>
          <w:color w:val="232323"/>
        </w:rPr>
        <w:t xml:space="preserve"> exceed </w:t>
      </w:r>
      <w:r>
        <w:rPr>
          <w:rFonts w:ascii="Arial" w:cs="Arial" w:eastAsia="Arial" w:hAnsi="Arial"/>
          <w:sz w:val="19"/>
          <w:szCs w:val="19"/>
          <w:color w:val="111111"/>
        </w:rPr>
        <w:t>the prime rate</w:t>
      </w:r>
      <w:r>
        <w:rPr>
          <w:rFonts w:ascii="Arial" w:cs="Arial" w:eastAsia="Arial" w:hAnsi="Arial"/>
          <w:sz w:val="19"/>
          <w:szCs w:val="19"/>
          <w:color w:val="232323"/>
        </w:rPr>
        <w:t xml:space="preserve"> </w:t>
      </w:r>
      <w:r>
        <w:rPr>
          <w:rFonts w:ascii="Arial" w:cs="Arial" w:eastAsia="Arial" w:hAnsi="Arial"/>
          <w:sz w:val="19"/>
          <w:szCs w:val="19"/>
          <w:color w:val="383838"/>
        </w:rPr>
        <w:t>listed</w:t>
      </w:r>
      <w:r>
        <w:rPr>
          <w:rFonts w:ascii="Arial" w:cs="Arial" w:eastAsia="Arial" w:hAnsi="Arial"/>
          <w:sz w:val="19"/>
          <w:szCs w:val="19"/>
          <w:color w:val="232323"/>
        </w:rPr>
        <w:t xml:space="preserve"> in the Wall Street </w:t>
      </w:r>
      <w:r>
        <w:rPr>
          <w:rFonts w:ascii="Arial" w:cs="Arial" w:eastAsia="Arial" w:hAnsi="Arial"/>
          <w:sz w:val="19"/>
          <w:szCs w:val="19"/>
          <w:color w:val="111111"/>
        </w:rPr>
        <w:t>Journal plus</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w:t>
      </w:r>
      <w:r>
        <w:rPr>
          <w:rFonts w:ascii="Arial" w:cs="Arial" w:eastAsia="Arial" w:hAnsi="Arial"/>
          <w:sz w:val="19"/>
          <w:szCs w:val="19"/>
          <w:color w:val="232323"/>
        </w:rPr>
        <w:t xml:space="preserve"> percent </w:t>
      </w:r>
      <w:r>
        <w:rPr>
          <w:rFonts w:ascii="Arial" w:cs="Arial" w:eastAsia="Arial" w:hAnsi="Arial"/>
          <w:sz w:val="19"/>
          <w:szCs w:val="19"/>
          <w:u w:val="single" w:color="auto"/>
          <w:color w:val="000000"/>
        </w:rPr>
        <w:t>[***]</w:t>
      </w:r>
      <w:r>
        <w:rPr>
          <w:rFonts w:ascii="Arial" w:cs="Arial" w:eastAsia="Arial" w:hAnsi="Arial"/>
          <w:sz w:val="19"/>
          <w:szCs w:val="19"/>
          <w:color w:val="111111"/>
        </w:rPr>
        <w:t>%)</w:t>
      </w:r>
      <w:r>
        <w:rPr>
          <w:rFonts w:ascii="Arial" w:cs="Arial" w:eastAsia="Arial" w:hAnsi="Arial"/>
          <w:sz w:val="19"/>
          <w:szCs w:val="19"/>
          <w:color w:val="232323"/>
        </w:rPr>
        <w:t xml:space="preserve"> per annum) determined pursuant to generally accepted </w:t>
      </w:r>
      <w:r>
        <w:rPr>
          <w:rFonts w:ascii="Arial" w:cs="Arial" w:eastAsia="Arial" w:hAnsi="Arial"/>
          <w:sz w:val="19"/>
          <w:szCs w:val="19"/>
          <w:color w:val="111111"/>
        </w:rPr>
        <w:t>accounting</w:t>
      </w:r>
      <w:r>
        <w:rPr>
          <w:rFonts w:ascii="Arial" w:cs="Arial" w:eastAsia="Arial" w:hAnsi="Arial"/>
          <w:sz w:val="19"/>
          <w:szCs w:val="19"/>
          <w:color w:val="232323"/>
        </w:rPr>
        <w:t xml:space="preserve"> principles </w:t>
      </w:r>
      <w:r>
        <w:rPr>
          <w:rFonts w:ascii="Arial" w:cs="Arial" w:eastAsia="Arial" w:hAnsi="Arial"/>
          <w:sz w:val="19"/>
          <w:szCs w:val="19"/>
          <w:color w:val="383838"/>
        </w:rPr>
        <w:t>applied</w:t>
      </w:r>
      <w:r>
        <w:rPr>
          <w:rFonts w:ascii="Arial" w:cs="Arial" w:eastAsia="Arial" w:hAnsi="Arial"/>
          <w:sz w:val="19"/>
          <w:szCs w:val="19"/>
          <w:color w:val="232323"/>
        </w:rPr>
        <w:t xml:space="preserve"> on a consistent basis; costs of complying with Applicable </w:t>
      </w:r>
      <w:r>
        <w:rPr>
          <w:rFonts w:ascii="Arial" w:cs="Arial" w:eastAsia="Arial" w:hAnsi="Arial"/>
          <w:sz w:val="19"/>
          <w:szCs w:val="19"/>
          <w:color w:val="111111"/>
        </w:rPr>
        <w:t>Laws</w:t>
      </w:r>
      <w:r>
        <w:rPr>
          <w:rFonts w:ascii="Arial" w:cs="Arial" w:eastAsia="Arial" w:hAnsi="Arial"/>
          <w:sz w:val="19"/>
          <w:szCs w:val="19"/>
          <w:color w:val="232323"/>
        </w:rPr>
        <w:t xml:space="preserve"> (except to the extent such costs are incurred </w:t>
      </w:r>
      <w:r>
        <w:rPr>
          <w:rFonts w:ascii="Arial" w:cs="Arial" w:eastAsia="Arial" w:hAnsi="Arial"/>
          <w:sz w:val="19"/>
          <w:szCs w:val="19"/>
          <w:color w:val="111111"/>
        </w:rPr>
        <w:t>to</w:t>
      </w:r>
      <w:r>
        <w:rPr>
          <w:rFonts w:ascii="Arial" w:cs="Arial" w:eastAsia="Arial" w:hAnsi="Arial"/>
          <w:sz w:val="19"/>
          <w:szCs w:val="19"/>
          <w:color w:val="232323"/>
        </w:rPr>
        <w:t xml:space="preserve"> </w:t>
      </w:r>
      <w:r>
        <w:rPr>
          <w:rFonts w:ascii="Arial" w:cs="Arial" w:eastAsia="Arial" w:hAnsi="Arial"/>
          <w:sz w:val="19"/>
          <w:szCs w:val="19"/>
          <w:color w:val="383838"/>
        </w:rPr>
        <w:t xml:space="preserve">remedy </w:t>
      </w:r>
      <w:r>
        <w:rPr>
          <w:rFonts w:ascii="Arial" w:cs="Arial" w:eastAsia="Arial" w:hAnsi="Arial"/>
          <w:sz w:val="19"/>
          <w:szCs w:val="19"/>
          <w:color w:val="111111"/>
        </w:rPr>
        <w:t>non</w:t>
      </w:r>
      <w:r>
        <w:rPr>
          <w:rFonts w:ascii="Arial" w:cs="Arial" w:eastAsia="Arial" w:hAnsi="Arial"/>
          <w:sz w:val="19"/>
          <w:szCs w:val="19"/>
          <w:color w:val="232323"/>
        </w:rPr>
        <w:t>compliance</w:t>
      </w:r>
      <w:r>
        <w:rPr>
          <w:rFonts w:ascii="Arial" w:cs="Arial" w:eastAsia="Arial" w:hAnsi="Arial"/>
          <w:sz w:val="19"/>
          <w:szCs w:val="19"/>
          <w:color w:val="383838"/>
        </w:rPr>
        <w:t xml:space="preserve"> </w:t>
      </w:r>
      <w:r>
        <w:rPr>
          <w:rFonts w:ascii="Arial" w:cs="Arial" w:eastAsia="Arial" w:hAnsi="Arial"/>
          <w:sz w:val="19"/>
          <w:szCs w:val="19"/>
          <w:color w:val="111111"/>
        </w:rPr>
        <w:t>as of the Execution Date</w:t>
      </w:r>
      <w:r>
        <w:rPr>
          <w:rFonts w:ascii="Arial" w:cs="Arial" w:eastAsia="Arial" w:hAnsi="Arial"/>
          <w:sz w:val="19"/>
          <w:szCs w:val="19"/>
          <w:color w:val="383838"/>
        </w:rPr>
        <w:t xml:space="preserve"> </w:t>
      </w:r>
      <w:r>
        <w:rPr>
          <w:rFonts w:ascii="Arial" w:cs="Arial" w:eastAsia="Arial" w:hAnsi="Arial"/>
          <w:sz w:val="19"/>
          <w:szCs w:val="19"/>
          <w:color w:val="232323"/>
        </w:rPr>
        <w:t>with Applicable</w:t>
      </w:r>
      <w:r>
        <w:rPr>
          <w:rFonts w:ascii="Arial" w:cs="Arial" w:eastAsia="Arial" w:hAnsi="Arial"/>
          <w:sz w:val="19"/>
          <w:szCs w:val="19"/>
          <w:color w:val="383838"/>
        </w:rPr>
        <w:t xml:space="preserve"> </w:t>
      </w:r>
      <w:r>
        <w:rPr>
          <w:rFonts w:ascii="Arial" w:cs="Arial" w:eastAsia="Arial" w:hAnsi="Arial"/>
          <w:sz w:val="19"/>
          <w:szCs w:val="19"/>
          <w:color w:val="111111"/>
        </w:rPr>
        <w:t>Laws);</w:t>
      </w:r>
      <w:r>
        <w:rPr>
          <w:rFonts w:ascii="Arial" w:cs="Arial" w:eastAsia="Arial" w:hAnsi="Arial"/>
          <w:sz w:val="19"/>
          <w:szCs w:val="19"/>
          <w:color w:val="383838"/>
        </w:rPr>
        <w:t xml:space="preserve"> so </w:t>
      </w:r>
      <w:r>
        <w:rPr>
          <w:rFonts w:ascii="Arial" w:cs="Arial" w:eastAsia="Arial" w:hAnsi="Arial"/>
          <w:sz w:val="19"/>
          <w:szCs w:val="19"/>
          <w:color w:val="111111"/>
        </w:rPr>
        <w:t>long</w:t>
      </w:r>
      <w:r>
        <w:rPr>
          <w:rFonts w:ascii="Arial" w:cs="Arial" w:eastAsia="Arial" w:hAnsi="Arial"/>
          <w:sz w:val="19"/>
          <w:szCs w:val="19"/>
          <w:color w:val="383838"/>
        </w:rPr>
        <w:t xml:space="preserve"> </w:t>
      </w:r>
      <w:r>
        <w:rPr>
          <w:rFonts w:ascii="Arial" w:cs="Arial" w:eastAsia="Arial" w:hAnsi="Arial"/>
          <w:sz w:val="19"/>
          <w:szCs w:val="19"/>
          <w:color w:val="232323"/>
        </w:rPr>
        <w:t>as</w:t>
      </w:r>
      <w:r>
        <w:rPr>
          <w:rFonts w:ascii="Arial" w:cs="Arial" w:eastAsia="Arial" w:hAnsi="Arial"/>
          <w:sz w:val="19"/>
          <w:szCs w:val="19"/>
          <w:color w:val="383838"/>
        </w:rPr>
        <w:t xml:space="preserve"> </w:t>
      </w:r>
      <w:r>
        <w:rPr>
          <w:rFonts w:ascii="Arial" w:cs="Arial" w:eastAsia="Arial" w:hAnsi="Arial"/>
          <w:sz w:val="19"/>
          <w:szCs w:val="19"/>
          <w:color w:val="111111"/>
        </w:rPr>
        <w:t>Landlord</w:t>
      </w:r>
      <w:r>
        <w:rPr>
          <w:rFonts w:ascii="Arial" w:cs="Arial" w:eastAsia="Arial" w:hAnsi="Arial"/>
          <w:sz w:val="19"/>
          <w:szCs w:val="19"/>
          <w:color w:val="383838"/>
        </w:rPr>
        <w:t xml:space="preserve"> </w:t>
      </w:r>
      <w:r>
        <w:rPr>
          <w:rFonts w:ascii="Arial" w:cs="Arial" w:eastAsia="Arial" w:hAnsi="Arial"/>
          <w:sz w:val="19"/>
          <w:szCs w:val="19"/>
          <w:color w:val="232323"/>
        </w:rPr>
        <w:t>owns solely</w:t>
      </w:r>
      <w:r>
        <w:rPr>
          <w:rFonts w:ascii="Arial" w:cs="Arial" w:eastAsia="Arial" w:hAnsi="Arial"/>
          <w:sz w:val="19"/>
          <w:szCs w:val="19"/>
          <w:color w:val="383838"/>
        </w:rPr>
        <w:t xml:space="preserve"> </w:t>
      </w:r>
      <w:r>
        <w:rPr>
          <w:rFonts w:ascii="Arial" w:cs="Arial" w:eastAsia="Arial" w:hAnsi="Arial"/>
          <w:sz w:val="19"/>
          <w:szCs w:val="19"/>
          <w:color w:val="232323"/>
        </w:rPr>
        <w:t xml:space="preserve">the </w:t>
      </w:r>
      <w:r>
        <w:rPr>
          <w:rFonts w:ascii="Arial" w:cs="Arial" w:eastAsia="Arial" w:hAnsi="Arial"/>
          <w:sz w:val="19"/>
          <w:szCs w:val="19"/>
          <w:color w:val="111111"/>
        </w:rPr>
        <w:t>Project,</w:t>
      </w:r>
      <w:r>
        <w:rPr>
          <w:rFonts w:ascii="Arial" w:cs="Arial" w:eastAsia="Arial" w:hAnsi="Arial"/>
          <w:sz w:val="19"/>
          <w:szCs w:val="19"/>
          <w:color w:val="232323"/>
        </w:rPr>
        <w:t xml:space="preserve"> the costs </w:t>
      </w:r>
      <w:r>
        <w:rPr>
          <w:rFonts w:ascii="Arial" w:cs="Arial" w:eastAsia="Arial" w:hAnsi="Arial"/>
          <w:sz w:val="19"/>
          <w:szCs w:val="19"/>
          <w:color w:val="383838"/>
        </w:rPr>
        <w:t>and</w:t>
      </w:r>
      <w:r>
        <w:rPr>
          <w:rFonts w:ascii="Arial" w:cs="Arial" w:eastAsia="Arial" w:hAnsi="Arial"/>
          <w:sz w:val="19"/>
          <w:szCs w:val="19"/>
          <w:color w:val="232323"/>
        </w:rPr>
        <w:t xml:space="preserve"> expenses </w:t>
      </w:r>
      <w:r>
        <w:rPr>
          <w:rFonts w:ascii="Arial" w:cs="Arial" w:eastAsia="Arial" w:hAnsi="Arial"/>
          <w:sz w:val="19"/>
          <w:szCs w:val="19"/>
          <w:color w:val="111111"/>
        </w:rPr>
        <w:t>incurred</w:t>
      </w:r>
      <w:r>
        <w:rPr>
          <w:rFonts w:ascii="Arial" w:cs="Arial" w:eastAsia="Arial" w:hAnsi="Arial"/>
          <w:sz w:val="19"/>
          <w:szCs w:val="19"/>
          <w:color w:val="232323"/>
        </w:rPr>
        <w:t xml:space="preserve"> by Landlord associated with </w:t>
      </w:r>
      <w:r>
        <w:rPr>
          <w:rFonts w:ascii="Arial" w:cs="Arial" w:eastAsia="Arial" w:hAnsi="Arial"/>
          <w:sz w:val="19"/>
          <w:szCs w:val="19"/>
          <w:color w:val="111111"/>
        </w:rPr>
        <w:t>the operation</w:t>
      </w:r>
      <w:r>
        <w:rPr>
          <w:rFonts w:ascii="Arial" w:cs="Arial" w:eastAsia="Arial" w:hAnsi="Arial"/>
          <w:sz w:val="19"/>
          <w:szCs w:val="19"/>
          <w:color w:val="232323"/>
        </w:rPr>
        <w:t xml:space="preserve"> of business of the </w:t>
      </w:r>
      <w:r>
        <w:rPr>
          <w:rFonts w:ascii="Arial" w:cs="Arial" w:eastAsia="Arial" w:hAnsi="Arial"/>
          <w:sz w:val="19"/>
          <w:szCs w:val="19"/>
          <w:color w:val="111111"/>
        </w:rPr>
        <w:t xml:space="preserve">legal </w:t>
      </w:r>
      <w:r>
        <w:rPr>
          <w:rFonts w:ascii="Arial" w:cs="Arial" w:eastAsia="Arial" w:hAnsi="Arial"/>
          <w:sz w:val="19"/>
          <w:szCs w:val="19"/>
          <w:color w:val="232323"/>
        </w:rPr>
        <w:t>entity or entities which constitute</w:t>
      </w:r>
      <w:r>
        <w:rPr>
          <w:rFonts w:ascii="Arial" w:cs="Arial" w:eastAsia="Arial" w:hAnsi="Arial"/>
          <w:sz w:val="19"/>
          <w:szCs w:val="19"/>
          <w:color w:val="111111"/>
        </w:rPr>
        <w:t xml:space="preserve"> Landlord, not to </w:t>
      </w:r>
      <w:r>
        <w:rPr>
          <w:rFonts w:ascii="Arial" w:cs="Arial" w:eastAsia="Arial" w:hAnsi="Arial"/>
          <w:sz w:val="19"/>
          <w:szCs w:val="19"/>
          <w:color w:val="232323"/>
        </w:rPr>
        <w:t>exceed $</w:t>
      </w:r>
      <w:r>
        <w:rPr>
          <w:rFonts w:ascii="Arial" w:cs="Arial" w:eastAsia="Arial" w:hAnsi="Arial"/>
          <w:sz w:val="19"/>
          <w:szCs w:val="19"/>
          <w:u w:val="single" w:color="auto"/>
          <w:color w:val="000000"/>
        </w:rPr>
        <w:t>[***]</w:t>
      </w:r>
      <w:r>
        <w:rPr>
          <w:rFonts w:ascii="Arial" w:cs="Arial" w:eastAsia="Arial" w:hAnsi="Arial"/>
          <w:sz w:val="19"/>
          <w:szCs w:val="19"/>
          <w:color w:val="232323"/>
        </w:rPr>
        <w:t>; costs</w:t>
      </w:r>
      <w:r>
        <w:rPr>
          <w:rFonts w:ascii="Arial" w:cs="Arial" w:eastAsia="Arial" w:hAnsi="Arial"/>
          <w:sz w:val="19"/>
          <w:szCs w:val="19"/>
          <w:color w:val="111111"/>
        </w:rPr>
        <w:t xml:space="preserve"> to </w:t>
      </w:r>
      <w:r>
        <w:rPr>
          <w:rFonts w:ascii="Arial" w:cs="Arial" w:eastAsia="Arial" w:hAnsi="Arial"/>
          <w:sz w:val="19"/>
          <w:szCs w:val="19"/>
          <w:color w:val="232323"/>
        </w:rPr>
        <w:t>keep</w:t>
      </w:r>
      <w:r>
        <w:rPr>
          <w:rFonts w:ascii="Arial" w:cs="Arial" w:eastAsia="Arial" w:hAnsi="Arial"/>
          <w:sz w:val="19"/>
          <w:szCs w:val="19"/>
          <w:color w:val="111111"/>
        </w:rPr>
        <w:t xml:space="preserve"> </w:t>
      </w:r>
      <w:r>
        <w:rPr>
          <w:rFonts w:ascii="Arial" w:cs="Arial" w:eastAsia="Arial" w:hAnsi="Arial"/>
          <w:sz w:val="19"/>
          <w:szCs w:val="19"/>
          <w:color w:val="383838"/>
        </w:rPr>
        <w:t>the</w:t>
      </w:r>
      <w:r>
        <w:rPr>
          <w:rFonts w:ascii="Arial" w:cs="Arial" w:eastAsia="Arial" w:hAnsi="Arial"/>
          <w:sz w:val="19"/>
          <w:szCs w:val="19"/>
          <w:color w:val="111111"/>
        </w:rPr>
        <w:t xml:space="preserve"> </w:t>
      </w:r>
      <w:r>
        <w:rPr>
          <w:rFonts w:ascii="Arial" w:cs="Arial" w:eastAsia="Arial" w:hAnsi="Arial"/>
          <w:sz w:val="19"/>
          <w:szCs w:val="19"/>
          <w:color w:val="232323"/>
        </w:rPr>
        <w:t>Building and the</w:t>
      </w:r>
      <w:r>
        <w:rPr>
          <w:rFonts w:ascii="Arial" w:cs="Arial" w:eastAsia="Arial" w:hAnsi="Arial"/>
          <w:sz w:val="19"/>
          <w:szCs w:val="19"/>
          <w:color w:val="111111"/>
        </w:rPr>
        <w:t xml:space="preserve"> </w:t>
      </w:r>
      <w:r>
        <w:rPr>
          <w:rFonts w:ascii="Arial" w:cs="Arial" w:eastAsia="Arial" w:hAnsi="Arial"/>
          <w:sz w:val="19"/>
          <w:szCs w:val="19"/>
          <w:color w:val="232323"/>
        </w:rPr>
        <w:t xml:space="preserve">Common Areas </w:t>
      </w:r>
      <w:r>
        <w:rPr>
          <w:rFonts w:ascii="Arial" w:cs="Arial" w:eastAsia="Arial" w:hAnsi="Arial"/>
          <w:sz w:val="19"/>
          <w:szCs w:val="19"/>
          <w:color w:val="383838"/>
        </w:rPr>
        <w:t>in</w:t>
      </w:r>
      <w:r>
        <w:rPr>
          <w:rFonts w:ascii="Arial" w:cs="Arial" w:eastAsia="Arial" w:hAnsi="Arial"/>
          <w:sz w:val="19"/>
          <w:szCs w:val="19"/>
          <w:color w:val="232323"/>
        </w:rPr>
        <w:t xml:space="preserve"> compliance with, or </w:t>
      </w:r>
      <w:r>
        <w:rPr>
          <w:rFonts w:ascii="Arial" w:cs="Arial" w:eastAsia="Arial" w:hAnsi="Arial"/>
          <w:sz w:val="19"/>
          <w:szCs w:val="19"/>
          <w:color w:val="111111"/>
        </w:rPr>
        <w:t>fees</w:t>
      </w:r>
      <w:r>
        <w:rPr>
          <w:rFonts w:ascii="Arial" w:cs="Arial" w:eastAsia="Arial" w:hAnsi="Arial"/>
          <w:sz w:val="19"/>
          <w:szCs w:val="19"/>
          <w:color w:val="232323"/>
        </w:rPr>
        <w:t xml:space="preserve"> otherwise </w:t>
      </w:r>
      <w:r>
        <w:rPr>
          <w:rFonts w:ascii="Arial" w:cs="Arial" w:eastAsia="Arial" w:hAnsi="Arial"/>
          <w:sz w:val="19"/>
          <w:szCs w:val="19"/>
          <w:color w:val="111111"/>
        </w:rPr>
        <w:t>required</w:t>
      </w:r>
      <w:r>
        <w:rPr>
          <w:rFonts w:ascii="Arial" w:cs="Arial" w:eastAsia="Arial" w:hAnsi="Arial"/>
          <w:sz w:val="19"/>
          <w:szCs w:val="19"/>
          <w:color w:val="232323"/>
        </w:rPr>
        <w:t xml:space="preserve"> under, any CC&amp;Rs (as </w:t>
      </w:r>
      <w:r>
        <w:rPr>
          <w:rFonts w:ascii="Arial" w:cs="Arial" w:eastAsia="Arial" w:hAnsi="Arial"/>
          <w:sz w:val="19"/>
          <w:szCs w:val="19"/>
          <w:color w:val="111111"/>
        </w:rPr>
        <w:t>defined</w:t>
      </w:r>
      <w:r>
        <w:rPr>
          <w:rFonts w:ascii="Arial" w:cs="Arial" w:eastAsia="Arial" w:hAnsi="Arial"/>
          <w:sz w:val="19"/>
          <w:szCs w:val="19"/>
          <w:color w:val="232323"/>
        </w:rPr>
        <w:t xml:space="preserve"> below); insurance premiums, including premiums for </w:t>
      </w:r>
      <w:r>
        <w:rPr>
          <w:rFonts w:ascii="Arial" w:cs="Arial" w:eastAsia="Arial" w:hAnsi="Arial"/>
          <w:sz w:val="19"/>
          <w:szCs w:val="19"/>
          <w:color w:val="111111"/>
        </w:rPr>
        <w:t>public liability,</w:t>
      </w:r>
      <w:r>
        <w:rPr>
          <w:rFonts w:ascii="Arial" w:cs="Arial" w:eastAsia="Arial" w:hAnsi="Arial"/>
          <w:sz w:val="19"/>
          <w:szCs w:val="19"/>
          <w:color w:val="232323"/>
        </w:rPr>
        <w:t xml:space="preserve"> property casualty, terrorism and environmental coverages </w:t>
      </w:r>
      <w:r>
        <w:rPr>
          <w:rFonts w:ascii="Arial" w:cs="Arial" w:eastAsia="Arial" w:hAnsi="Arial"/>
          <w:sz w:val="19"/>
          <w:szCs w:val="19"/>
          <w:color w:val="111111"/>
        </w:rPr>
        <w:t>(but not</w:t>
      </w:r>
      <w:r>
        <w:rPr>
          <w:rFonts w:ascii="Arial" w:cs="Arial" w:eastAsia="Arial" w:hAnsi="Arial"/>
          <w:sz w:val="19"/>
          <w:szCs w:val="19"/>
          <w:color w:val="232323"/>
        </w:rPr>
        <w:t xml:space="preserve"> earthquake coverage); </w:t>
      </w:r>
      <w:r>
        <w:rPr>
          <w:rFonts w:ascii="Arial" w:cs="Arial" w:eastAsia="Arial" w:hAnsi="Arial"/>
          <w:sz w:val="19"/>
          <w:szCs w:val="19"/>
          <w:color w:val="111111"/>
        </w:rPr>
        <w:t>portions</w:t>
      </w:r>
      <w:r>
        <w:rPr>
          <w:rFonts w:ascii="Arial" w:cs="Arial" w:eastAsia="Arial" w:hAnsi="Arial"/>
          <w:sz w:val="19"/>
          <w:szCs w:val="19"/>
          <w:color w:val="232323"/>
        </w:rPr>
        <w:t xml:space="preserve"> of </w:t>
      </w:r>
      <w:r>
        <w:rPr>
          <w:rFonts w:ascii="Arial" w:cs="Arial" w:eastAsia="Arial" w:hAnsi="Arial"/>
          <w:sz w:val="19"/>
          <w:szCs w:val="19"/>
          <w:color w:val="383838"/>
        </w:rPr>
        <w:t>insured</w:t>
      </w:r>
      <w:r>
        <w:rPr>
          <w:rFonts w:ascii="Arial" w:cs="Arial" w:eastAsia="Arial" w:hAnsi="Arial"/>
          <w:sz w:val="19"/>
          <w:szCs w:val="19"/>
          <w:color w:val="232323"/>
        </w:rPr>
        <w:t xml:space="preserve"> </w:t>
      </w:r>
      <w:r>
        <w:rPr>
          <w:rFonts w:ascii="Arial" w:cs="Arial" w:eastAsia="Arial" w:hAnsi="Arial"/>
          <w:sz w:val="19"/>
          <w:szCs w:val="19"/>
          <w:color w:val="111111"/>
        </w:rPr>
        <w:t>losses paid</w:t>
      </w:r>
      <w:r>
        <w:rPr>
          <w:rFonts w:ascii="Arial" w:cs="Arial" w:eastAsia="Arial" w:hAnsi="Arial"/>
          <w:sz w:val="19"/>
          <w:szCs w:val="19"/>
          <w:color w:val="232323"/>
        </w:rPr>
        <w:t xml:space="preserve"> by Landlord </w:t>
      </w:r>
      <w:r>
        <w:rPr>
          <w:rFonts w:ascii="Arial" w:cs="Arial" w:eastAsia="Arial" w:hAnsi="Arial"/>
          <w:sz w:val="19"/>
          <w:szCs w:val="19"/>
          <w:color w:val="383838"/>
        </w:rPr>
        <w:t>as</w:t>
      </w:r>
      <w:r>
        <w:rPr>
          <w:rFonts w:ascii="Arial" w:cs="Arial" w:eastAsia="Arial" w:hAnsi="Arial"/>
          <w:sz w:val="19"/>
          <w:szCs w:val="19"/>
          <w:color w:val="232323"/>
        </w:rPr>
        <w:t xml:space="preserve"> part of the </w:t>
      </w:r>
      <w:r>
        <w:rPr>
          <w:rFonts w:ascii="Arial" w:cs="Arial" w:eastAsia="Arial" w:hAnsi="Arial"/>
          <w:sz w:val="19"/>
          <w:szCs w:val="19"/>
          <w:color w:val="111111"/>
        </w:rPr>
        <w:t>deductible</w:t>
      </w:r>
      <w:r>
        <w:rPr>
          <w:rFonts w:ascii="Arial" w:cs="Arial" w:eastAsia="Arial" w:hAnsi="Arial"/>
          <w:sz w:val="19"/>
          <w:szCs w:val="19"/>
          <w:color w:val="232323"/>
        </w:rPr>
        <w:t xml:space="preserve"> portion of a </w:t>
      </w:r>
      <w:r>
        <w:rPr>
          <w:rFonts w:ascii="Arial" w:cs="Arial" w:eastAsia="Arial" w:hAnsi="Arial"/>
          <w:sz w:val="19"/>
          <w:szCs w:val="19"/>
          <w:color w:val="111111"/>
        </w:rPr>
        <w:t>loss pursuant</w:t>
      </w:r>
      <w:r>
        <w:rPr>
          <w:rFonts w:ascii="Arial" w:cs="Arial" w:eastAsia="Arial" w:hAnsi="Arial"/>
          <w:sz w:val="19"/>
          <w:szCs w:val="19"/>
          <w:color w:val="232323"/>
        </w:rPr>
        <w:t xml:space="preserve"> to the </w:t>
      </w:r>
      <w:r>
        <w:rPr>
          <w:rFonts w:ascii="Arial" w:cs="Arial" w:eastAsia="Arial" w:hAnsi="Arial"/>
          <w:sz w:val="19"/>
          <w:szCs w:val="19"/>
          <w:color w:val="383838"/>
        </w:rPr>
        <w:t>terms</w:t>
      </w:r>
      <w:r>
        <w:rPr>
          <w:rFonts w:ascii="Arial" w:cs="Arial" w:eastAsia="Arial" w:hAnsi="Arial"/>
          <w:sz w:val="19"/>
          <w:szCs w:val="19"/>
          <w:color w:val="232323"/>
        </w:rPr>
        <w:t xml:space="preserve"> of insurance policies; service contracts; costs of services of </w:t>
      </w:r>
      <w:r>
        <w:rPr>
          <w:rFonts w:ascii="Arial" w:cs="Arial" w:eastAsia="Arial" w:hAnsi="Arial"/>
          <w:sz w:val="19"/>
          <w:szCs w:val="19"/>
          <w:color w:val="111111"/>
        </w:rPr>
        <w:t>independent</w:t>
      </w:r>
      <w:r>
        <w:rPr>
          <w:rFonts w:ascii="Arial" w:cs="Arial" w:eastAsia="Arial" w:hAnsi="Arial"/>
          <w:sz w:val="19"/>
          <w:szCs w:val="19"/>
          <w:color w:val="232323"/>
        </w:rPr>
        <w:t xml:space="preserve"> contractors retained to do work of </w:t>
      </w:r>
      <w:r>
        <w:rPr>
          <w:rFonts w:ascii="Arial" w:cs="Arial" w:eastAsia="Arial" w:hAnsi="Arial"/>
          <w:sz w:val="19"/>
          <w:szCs w:val="19"/>
          <w:color w:val="383838"/>
        </w:rPr>
        <w:t>a</w:t>
      </w:r>
      <w:r>
        <w:rPr>
          <w:rFonts w:ascii="Arial" w:cs="Arial" w:eastAsia="Arial" w:hAnsi="Arial"/>
          <w:sz w:val="19"/>
          <w:szCs w:val="19"/>
          <w:color w:val="232323"/>
        </w:rPr>
        <w:t xml:space="preserve"> </w:t>
      </w:r>
      <w:r>
        <w:rPr>
          <w:rFonts w:ascii="Arial" w:cs="Arial" w:eastAsia="Arial" w:hAnsi="Arial"/>
          <w:sz w:val="19"/>
          <w:szCs w:val="19"/>
          <w:color w:val="111111"/>
        </w:rPr>
        <w:t>nature</w:t>
      </w:r>
      <w:r>
        <w:rPr>
          <w:rFonts w:ascii="Arial" w:cs="Arial" w:eastAsia="Arial" w:hAnsi="Arial"/>
          <w:sz w:val="19"/>
          <w:szCs w:val="19"/>
          <w:color w:val="232323"/>
        </w:rPr>
        <w:t xml:space="preserve"> </w:t>
      </w:r>
      <w:r>
        <w:rPr>
          <w:rFonts w:ascii="Arial" w:cs="Arial" w:eastAsia="Arial" w:hAnsi="Arial"/>
          <w:sz w:val="19"/>
          <w:szCs w:val="19"/>
          <w:color w:val="383838"/>
        </w:rPr>
        <w:t>referenced</w:t>
      </w:r>
      <w:r>
        <w:rPr>
          <w:rFonts w:ascii="Arial" w:cs="Arial" w:eastAsia="Arial" w:hAnsi="Arial"/>
          <w:sz w:val="19"/>
          <w:szCs w:val="19"/>
          <w:color w:val="232323"/>
        </w:rPr>
        <w:t xml:space="preserve"> above; and costs </w:t>
      </w:r>
      <w:r>
        <w:rPr>
          <w:rFonts w:ascii="Arial" w:cs="Arial" w:eastAsia="Arial" w:hAnsi="Arial"/>
          <w:sz w:val="19"/>
          <w:szCs w:val="19"/>
          <w:color w:val="111111"/>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20"/>
          </w:cols>
          <w:pgMar w:left="1440" w:top="1401" w:right="339" w:bottom="1440" w:gutter="0" w:footer="0" w:header="0"/>
        </w:sectPr>
      </w:pPr>
    </w:p>
    <w:bookmarkStart w:id="325" w:name="page326"/>
    <w:bookmarkEnd w:id="325"/>
    <w:p>
      <w:pPr>
        <w:jc w:val="both"/>
        <w:ind w:left="1960"/>
        <w:spacing w:after="0" w:line="221" w:lineRule="auto"/>
        <w:rPr>
          <w:sz w:val="20"/>
          <w:szCs w:val="20"/>
          <w:color w:val="auto"/>
        </w:rPr>
      </w:pPr>
      <w:r>
        <w:rPr>
          <w:rFonts w:ascii="Arial" w:cs="Arial" w:eastAsia="Arial" w:hAnsi="Arial"/>
          <w:sz w:val="21"/>
          <w:szCs w:val="21"/>
          <w:color w:val="232323"/>
        </w:rPr>
        <w:t xml:space="preserve">compensation (including </w:t>
      </w:r>
      <w:r>
        <w:rPr>
          <w:rFonts w:ascii="Arial" w:cs="Arial" w:eastAsia="Arial" w:hAnsi="Arial"/>
          <w:sz w:val="21"/>
          <w:szCs w:val="21"/>
          <w:color w:val="111111"/>
        </w:rPr>
        <w:t>employment</w:t>
      </w:r>
      <w:r>
        <w:rPr>
          <w:rFonts w:ascii="Arial" w:cs="Arial" w:eastAsia="Arial" w:hAnsi="Arial"/>
          <w:sz w:val="21"/>
          <w:szCs w:val="21"/>
          <w:color w:val="232323"/>
        </w:rPr>
        <w:t xml:space="preserve"> taxes and fringe benefits) of all </w:t>
      </w:r>
      <w:r>
        <w:rPr>
          <w:rFonts w:ascii="Arial" w:cs="Arial" w:eastAsia="Arial" w:hAnsi="Arial"/>
          <w:sz w:val="21"/>
          <w:szCs w:val="21"/>
          <w:color w:val="111111"/>
        </w:rPr>
        <w:t>persons</w:t>
      </w:r>
      <w:r>
        <w:rPr>
          <w:rFonts w:ascii="Arial" w:cs="Arial" w:eastAsia="Arial" w:hAnsi="Arial"/>
          <w:sz w:val="21"/>
          <w:szCs w:val="21"/>
          <w:color w:val="232323"/>
        </w:rPr>
        <w:t xml:space="preserve"> who perform regular </w:t>
      </w:r>
      <w:r>
        <w:rPr>
          <w:rFonts w:ascii="Arial" w:cs="Arial" w:eastAsia="Arial" w:hAnsi="Arial"/>
          <w:sz w:val="21"/>
          <w:szCs w:val="21"/>
          <w:color w:val="111111"/>
        </w:rPr>
        <w:t>and</w:t>
      </w:r>
      <w:r>
        <w:rPr>
          <w:rFonts w:ascii="Arial" w:cs="Arial" w:eastAsia="Arial" w:hAnsi="Arial"/>
          <w:sz w:val="21"/>
          <w:szCs w:val="21"/>
          <w:color w:val="232323"/>
        </w:rPr>
        <w:t xml:space="preserve"> </w:t>
      </w:r>
      <w:r>
        <w:rPr>
          <w:rFonts w:ascii="Arial" w:cs="Arial" w:eastAsia="Arial" w:hAnsi="Arial"/>
          <w:sz w:val="21"/>
          <w:szCs w:val="21"/>
          <w:color w:val="111111"/>
        </w:rPr>
        <w:t xml:space="preserve">recurring </w:t>
      </w:r>
      <w:r>
        <w:rPr>
          <w:rFonts w:ascii="Arial" w:cs="Arial" w:eastAsia="Arial" w:hAnsi="Arial"/>
          <w:sz w:val="21"/>
          <w:szCs w:val="21"/>
          <w:color w:val="232323"/>
        </w:rPr>
        <w:t>duties connected with</w:t>
      </w:r>
      <w:r>
        <w:rPr>
          <w:rFonts w:ascii="Arial" w:cs="Arial" w:eastAsia="Arial" w:hAnsi="Arial"/>
          <w:sz w:val="21"/>
          <w:szCs w:val="21"/>
          <w:color w:val="111111"/>
        </w:rPr>
        <w:t xml:space="preserve"> the day-today </w:t>
      </w:r>
      <w:r>
        <w:rPr>
          <w:rFonts w:ascii="Arial" w:cs="Arial" w:eastAsia="Arial" w:hAnsi="Arial"/>
          <w:sz w:val="21"/>
          <w:szCs w:val="21"/>
          <w:color w:val="232323"/>
        </w:rPr>
        <w:t>operation and</w:t>
      </w:r>
      <w:r>
        <w:rPr>
          <w:rFonts w:ascii="Arial" w:cs="Arial" w:eastAsia="Arial" w:hAnsi="Arial"/>
          <w:sz w:val="21"/>
          <w:szCs w:val="21"/>
          <w:color w:val="111111"/>
        </w:rPr>
        <w:t xml:space="preserve"> maintenance </w:t>
      </w:r>
      <w:r>
        <w:rPr>
          <w:rFonts w:ascii="Arial" w:cs="Arial" w:eastAsia="Arial" w:hAnsi="Arial"/>
          <w:sz w:val="21"/>
          <w:szCs w:val="21"/>
          <w:color w:val="232323"/>
        </w:rPr>
        <w:t>of</w:t>
      </w:r>
      <w:r>
        <w:rPr>
          <w:rFonts w:ascii="Arial" w:cs="Arial" w:eastAsia="Arial" w:hAnsi="Arial"/>
          <w:sz w:val="21"/>
          <w:szCs w:val="21"/>
          <w:color w:val="111111"/>
        </w:rPr>
        <w:t xml:space="preserve"> the Building </w:t>
      </w:r>
      <w:r>
        <w:rPr>
          <w:rFonts w:ascii="Arial" w:cs="Arial" w:eastAsia="Arial" w:hAnsi="Arial"/>
          <w:sz w:val="21"/>
          <w:szCs w:val="21"/>
          <w:color w:val="232323"/>
        </w:rPr>
        <w:t>and</w:t>
      </w:r>
      <w:r>
        <w:rPr>
          <w:rFonts w:ascii="Arial" w:cs="Arial" w:eastAsia="Arial" w:hAnsi="Arial"/>
          <w:sz w:val="21"/>
          <w:szCs w:val="21"/>
          <w:color w:val="111111"/>
        </w:rPr>
        <w:t xml:space="preserve"> the </w:t>
      </w:r>
      <w:r>
        <w:rPr>
          <w:rFonts w:ascii="Arial" w:cs="Arial" w:eastAsia="Arial" w:hAnsi="Arial"/>
          <w:sz w:val="21"/>
          <w:szCs w:val="21"/>
          <w:color w:val="232323"/>
        </w:rPr>
        <w:t>Common</w:t>
      </w:r>
      <w:r>
        <w:rPr>
          <w:rFonts w:ascii="Arial" w:cs="Arial" w:eastAsia="Arial" w:hAnsi="Arial"/>
          <w:sz w:val="21"/>
          <w:szCs w:val="21"/>
          <w:color w:val="111111"/>
        </w:rPr>
        <w:t xml:space="preserve"> </w:t>
      </w:r>
      <w:r>
        <w:rPr>
          <w:rFonts w:ascii="Arial" w:cs="Arial" w:eastAsia="Arial" w:hAnsi="Arial"/>
          <w:sz w:val="21"/>
          <w:szCs w:val="21"/>
          <w:color w:val="232323"/>
        </w:rPr>
        <w:t xml:space="preserve">Areas, </w:t>
      </w:r>
      <w:r>
        <w:rPr>
          <w:rFonts w:ascii="Arial" w:cs="Arial" w:eastAsia="Arial" w:hAnsi="Arial"/>
          <w:sz w:val="21"/>
          <w:szCs w:val="21"/>
          <w:color w:val="111111"/>
        </w:rPr>
        <w:t>its equipment,</w:t>
      </w:r>
      <w:r>
        <w:rPr>
          <w:rFonts w:ascii="Arial" w:cs="Arial" w:eastAsia="Arial" w:hAnsi="Arial"/>
          <w:sz w:val="21"/>
          <w:szCs w:val="21"/>
          <w:color w:val="232323"/>
        </w:rPr>
        <w:t xml:space="preserve"> </w:t>
      </w:r>
      <w:r>
        <w:rPr>
          <w:rFonts w:ascii="Arial" w:cs="Arial" w:eastAsia="Arial" w:hAnsi="Arial"/>
          <w:sz w:val="21"/>
          <w:szCs w:val="21"/>
          <w:color w:val="383838"/>
        </w:rPr>
        <w:t>the</w:t>
      </w:r>
      <w:r>
        <w:rPr>
          <w:rFonts w:ascii="Arial" w:cs="Arial" w:eastAsia="Arial" w:hAnsi="Arial"/>
          <w:sz w:val="21"/>
          <w:szCs w:val="21"/>
          <w:color w:val="232323"/>
        </w:rPr>
        <w:t xml:space="preserve"> adjacent walks, landscaped areas, drives and </w:t>
      </w:r>
      <w:r>
        <w:rPr>
          <w:rFonts w:ascii="Arial" w:cs="Arial" w:eastAsia="Arial" w:hAnsi="Arial"/>
          <w:sz w:val="21"/>
          <w:szCs w:val="21"/>
          <w:color w:val="111111"/>
        </w:rPr>
        <w:t>parking</w:t>
      </w:r>
      <w:r>
        <w:rPr>
          <w:rFonts w:ascii="Arial" w:cs="Arial" w:eastAsia="Arial" w:hAnsi="Arial"/>
          <w:sz w:val="21"/>
          <w:szCs w:val="21"/>
          <w:color w:val="232323"/>
        </w:rPr>
        <w:t xml:space="preserve"> areas, </w:t>
      </w:r>
      <w:r>
        <w:rPr>
          <w:rFonts w:ascii="Arial" w:cs="Arial" w:eastAsia="Arial" w:hAnsi="Arial"/>
          <w:sz w:val="21"/>
          <w:szCs w:val="21"/>
          <w:color w:val="111111"/>
        </w:rPr>
        <w:t>including janitors,</w:t>
      </w:r>
      <w:r>
        <w:rPr>
          <w:rFonts w:ascii="Arial" w:cs="Arial" w:eastAsia="Arial" w:hAnsi="Arial"/>
          <w:sz w:val="21"/>
          <w:szCs w:val="21"/>
          <w:color w:val="232323"/>
        </w:rPr>
        <w:t xml:space="preserve"> </w:t>
      </w:r>
      <w:r>
        <w:rPr>
          <w:rFonts w:ascii="Arial" w:cs="Arial" w:eastAsia="Arial" w:hAnsi="Arial"/>
          <w:sz w:val="21"/>
          <w:szCs w:val="21"/>
          <w:color w:val="111111"/>
        </w:rPr>
        <w:t xml:space="preserve">floor </w:t>
      </w:r>
      <w:r>
        <w:rPr>
          <w:rFonts w:ascii="Arial" w:cs="Arial" w:eastAsia="Arial" w:hAnsi="Arial"/>
          <w:sz w:val="21"/>
          <w:szCs w:val="21"/>
          <w:color w:val="232323"/>
        </w:rPr>
        <w:t>waxers, window washers, watchmen, gardeners, sweepers and</w:t>
      </w:r>
      <w:r>
        <w:rPr>
          <w:rFonts w:ascii="Arial" w:cs="Arial" w:eastAsia="Arial" w:hAnsi="Arial"/>
          <w:sz w:val="21"/>
          <w:szCs w:val="21"/>
          <w:color w:val="111111"/>
        </w:rPr>
        <w:t xml:space="preserve"> handymen, </w:t>
      </w:r>
      <w:r>
        <w:rPr>
          <w:rFonts w:ascii="Arial" w:cs="Arial" w:eastAsia="Arial" w:hAnsi="Arial"/>
          <w:sz w:val="21"/>
          <w:szCs w:val="21"/>
          <w:color w:val="232323"/>
        </w:rPr>
        <w:t>pro-rated</w:t>
      </w:r>
      <w:r>
        <w:rPr>
          <w:rFonts w:ascii="Arial" w:cs="Arial" w:eastAsia="Arial" w:hAnsi="Arial"/>
          <w:sz w:val="21"/>
          <w:szCs w:val="21"/>
          <w:color w:val="111111"/>
        </w:rPr>
        <w:t xml:space="preserve"> </w:t>
      </w:r>
      <w:r>
        <w:rPr>
          <w:rFonts w:ascii="Arial" w:cs="Arial" w:eastAsia="Arial" w:hAnsi="Arial"/>
          <w:sz w:val="21"/>
          <w:szCs w:val="21"/>
          <w:color w:val="383838"/>
        </w:rPr>
        <w:t>if</w:t>
      </w:r>
      <w:r>
        <w:rPr>
          <w:rFonts w:ascii="Arial" w:cs="Arial" w:eastAsia="Arial" w:hAnsi="Arial"/>
          <w:sz w:val="21"/>
          <w:szCs w:val="21"/>
          <w:color w:val="111111"/>
        </w:rPr>
        <w:t xml:space="preserve"> </w:t>
      </w:r>
      <w:r>
        <w:rPr>
          <w:rFonts w:ascii="Arial" w:cs="Arial" w:eastAsia="Arial" w:hAnsi="Arial"/>
          <w:sz w:val="21"/>
          <w:szCs w:val="21"/>
          <w:color w:val="232323"/>
        </w:rPr>
        <w:t>their services</w:t>
      </w:r>
      <w:r>
        <w:rPr>
          <w:rFonts w:ascii="Arial" w:cs="Arial" w:eastAsia="Arial" w:hAnsi="Arial"/>
          <w:sz w:val="21"/>
          <w:szCs w:val="21"/>
          <w:color w:val="111111"/>
        </w:rPr>
        <w:t xml:space="preserve"> are part-time </w:t>
      </w:r>
      <w:r>
        <w:rPr>
          <w:rFonts w:ascii="Arial" w:cs="Arial" w:eastAsia="Arial" w:hAnsi="Arial"/>
          <w:sz w:val="21"/>
          <w:szCs w:val="21"/>
          <w:color w:val="383838"/>
        </w:rPr>
        <w:t>to</w:t>
      </w:r>
      <w:r>
        <w:rPr>
          <w:rFonts w:ascii="Arial" w:cs="Arial" w:eastAsia="Arial" w:hAnsi="Arial"/>
          <w:sz w:val="21"/>
          <w:szCs w:val="21"/>
          <w:color w:val="111111"/>
        </w:rPr>
        <w:t xml:space="preserve"> </w:t>
      </w:r>
      <w:r>
        <w:rPr>
          <w:rFonts w:ascii="Arial" w:cs="Arial" w:eastAsia="Arial" w:hAnsi="Arial"/>
          <w:sz w:val="21"/>
          <w:szCs w:val="21"/>
          <w:color w:val="232323"/>
        </w:rPr>
        <w:t>the Building and the Common Areas as applicable. For purposes of this</w:t>
      </w:r>
      <w:r>
        <w:rPr>
          <w:rFonts w:ascii="Arial" w:cs="Arial" w:eastAsia="Arial" w:hAnsi="Arial"/>
          <w:sz w:val="21"/>
          <w:szCs w:val="21"/>
          <w:color w:val="111111"/>
        </w:rPr>
        <w:t xml:space="preserve"> Lease, </w:t>
      </w:r>
      <w:r>
        <w:rPr>
          <w:rFonts w:ascii="Arial" w:cs="Arial" w:eastAsia="Arial" w:hAnsi="Arial"/>
          <w:sz w:val="21"/>
          <w:szCs w:val="21"/>
          <w:color w:val="383838"/>
        </w:rPr>
        <w:t>the</w:t>
      </w:r>
      <w:r>
        <w:rPr>
          <w:rFonts w:ascii="Arial" w:cs="Arial" w:eastAsia="Arial" w:hAnsi="Arial"/>
          <w:sz w:val="21"/>
          <w:szCs w:val="21"/>
          <w:color w:val="111111"/>
        </w:rPr>
        <w:t xml:space="preserve"> </w:t>
      </w:r>
      <w:r>
        <w:rPr>
          <w:rFonts w:ascii="Arial" w:cs="Arial" w:eastAsia="Arial" w:hAnsi="Arial"/>
          <w:sz w:val="21"/>
          <w:szCs w:val="21"/>
          <w:color w:val="232323"/>
        </w:rPr>
        <w:t>term</w:t>
      </w:r>
      <w:r>
        <w:rPr>
          <w:rFonts w:ascii="Arial" w:cs="Arial" w:eastAsia="Arial" w:hAnsi="Arial"/>
          <w:sz w:val="21"/>
          <w:szCs w:val="21"/>
          <w:color w:val="111111"/>
        </w:rPr>
        <w:t xml:space="preserve"> </w:t>
      </w:r>
      <w:r>
        <w:rPr>
          <w:rFonts w:ascii="Arial" w:cs="Arial" w:eastAsia="Arial" w:hAnsi="Arial"/>
          <w:sz w:val="21"/>
          <w:szCs w:val="21"/>
          <w:color w:val="232323"/>
        </w:rPr>
        <w:t>“</w:t>
      </w:r>
      <w:r>
        <w:rPr>
          <w:rFonts w:ascii="Arial" w:cs="Arial" w:eastAsia="Arial" w:hAnsi="Arial"/>
          <w:sz w:val="21"/>
          <w:szCs w:val="21"/>
          <w:u w:val="single" w:color="auto"/>
          <w:color w:val="232323"/>
        </w:rPr>
        <w:t>Capital</w:t>
      </w:r>
      <w:r>
        <w:rPr>
          <w:rFonts w:ascii="Arial" w:cs="Arial" w:eastAsia="Arial" w:hAnsi="Arial"/>
          <w:sz w:val="21"/>
          <w:szCs w:val="21"/>
          <w:color w:val="232323"/>
        </w:rPr>
        <w:t xml:space="preserve"> </w:t>
      </w:r>
      <w:r>
        <w:rPr>
          <w:rFonts w:ascii="Arial" w:cs="Arial" w:eastAsia="Arial" w:hAnsi="Arial"/>
          <w:sz w:val="21"/>
          <w:szCs w:val="21"/>
          <w:u w:val="single" w:color="auto"/>
          <w:color w:val="383838"/>
        </w:rPr>
        <w:t>Expenditures</w:t>
      </w:r>
      <w:r>
        <w:rPr>
          <w:rFonts w:ascii="Arial" w:cs="Arial" w:eastAsia="Arial" w:hAnsi="Arial"/>
          <w:sz w:val="21"/>
          <w:szCs w:val="21"/>
          <w:color w:val="383838"/>
        </w:rPr>
        <w:t>”</w:t>
      </w:r>
      <w:r>
        <w:rPr>
          <w:rFonts w:ascii="Arial" w:cs="Arial" w:eastAsia="Arial" w:hAnsi="Arial"/>
          <w:sz w:val="21"/>
          <w:szCs w:val="21"/>
          <w:color w:val="232323"/>
        </w:rPr>
        <w:t xml:space="preserve"> shall include </w:t>
      </w:r>
      <w:r>
        <w:rPr>
          <w:rFonts w:ascii="Arial" w:cs="Arial" w:eastAsia="Arial" w:hAnsi="Arial"/>
          <w:sz w:val="21"/>
          <w:szCs w:val="21"/>
          <w:color w:val="111111"/>
        </w:rPr>
        <w:t>(1)</w:t>
      </w:r>
      <w:r>
        <w:rPr>
          <w:rFonts w:ascii="Arial" w:cs="Arial" w:eastAsia="Arial" w:hAnsi="Arial"/>
          <w:sz w:val="21"/>
          <w:szCs w:val="21"/>
          <w:color w:val="232323"/>
        </w:rPr>
        <w:t xml:space="preserve"> any </w:t>
      </w:r>
      <w:r>
        <w:rPr>
          <w:rFonts w:ascii="Arial" w:cs="Arial" w:eastAsia="Arial" w:hAnsi="Arial"/>
          <w:sz w:val="21"/>
          <w:szCs w:val="21"/>
          <w:color w:val="383838"/>
        </w:rPr>
        <w:t>capital</w:t>
      </w:r>
      <w:r>
        <w:rPr>
          <w:rFonts w:ascii="Arial" w:cs="Arial" w:eastAsia="Arial" w:hAnsi="Arial"/>
          <w:sz w:val="21"/>
          <w:szCs w:val="21"/>
          <w:color w:val="232323"/>
        </w:rPr>
        <w:t xml:space="preserve"> </w:t>
      </w:r>
      <w:r>
        <w:rPr>
          <w:rFonts w:ascii="Arial" w:cs="Arial" w:eastAsia="Arial" w:hAnsi="Arial"/>
          <w:sz w:val="21"/>
          <w:szCs w:val="21"/>
          <w:color w:val="111111"/>
        </w:rPr>
        <w:t>replacements</w:t>
      </w:r>
      <w:r>
        <w:rPr>
          <w:rFonts w:ascii="Arial" w:cs="Arial" w:eastAsia="Arial" w:hAnsi="Arial"/>
          <w:sz w:val="21"/>
          <w:szCs w:val="21"/>
          <w:color w:val="232323"/>
        </w:rPr>
        <w:t xml:space="preserve"> of </w:t>
      </w:r>
      <w:r>
        <w:rPr>
          <w:rFonts w:ascii="Arial" w:cs="Arial" w:eastAsia="Arial" w:hAnsi="Arial"/>
          <w:sz w:val="21"/>
          <w:szCs w:val="21"/>
          <w:color w:val="111111"/>
        </w:rPr>
        <w:t>improvements, fixtures,</w:t>
      </w:r>
      <w:r>
        <w:rPr>
          <w:rFonts w:ascii="Arial" w:cs="Arial" w:eastAsia="Arial" w:hAnsi="Arial"/>
          <w:sz w:val="21"/>
          <w:szCs w:val="21"/>
          <w:color w:val="232323"/>
        </w:rPr>
        <w:t xml:space="preserve"> </w:t>
      </w:r>
      <w:r>
        <w:rPr>
          <w:rFonts w:ascii="Arial" w:cs="Arial" w:eastAsia="Arial" w:hAnsi="Arial"/>
          <w:sz w:val="21"/>
          <w:szCs w:val="21"/>
          <w:color w:val="383838"/>
        </w:rPr>
        <w:t>equipment,</w:t>
      </w:r>
      <w:r>
        <w:rPr>
          <w:rFonts w:ascii="Arial" w:cs="Arial" w:eastAsia="Arial" w:hAnsi="Arial"/>
          <w:sz w:val="21"/>
          <w:szCs w:val="21"/>
          <w:color w:val="232323"/>
        </w:rPr>
        <w:t xml:space="preserve"> systems and </w:t>
      </w:r>
      <w:r>
        <w:rPr>
          <w:rFonts w:ascii="Arial" w:cs="Arial" w:eastAsia="Arial" w:hAnsi="Arial"/>
          <w:sz w:val="21"/>
          <w:szCs w:val="21"/>
          <w:color w:val="383838"/>
        </w:rPr>
        <w:t>similar</w:t>
      </w:r>
      <w:r>
        <w:rPr>
          <w:rFonts w:ascii="Arial" w:cs="Arial" w:eastAsia="Arial" w:hAnsi="Arial"/>
          <w:sz w:val="21"/>
          <w:szCs w:val="21"/>
          <w:color w:val="232323"/>
        </w:rPr>
        <w:t xml:space="preserve"> property at the end of such </w:t>
      </w:r>
      <w:r>
        <w:rPr>
          <w:rFonts w:ascii="Arial" w:cs="Arial" w:eastAsia="Arial" w:hAnsi="Arial"/>
          <w:sz w:val="21"/>
          <w:szCs w:val="21"/>
          <w:color w:val="111111"/>
        </w:rPr>
        <w:t>property’s</w:t>
      </w:r>
      <w:r>
        <w:rPr>
          <w:rFonts w:ascii="Arial" w:cs="Arial" w:eastAsia="Arial" w:hAnsi="Arial"/>
          <w:sz w:val="21"/>
          <w:szCs w:val="21"/>
          <w:color w:val="232323"/>
        </w:rPr>
        <w:t xml:space="preserve"> useful </w:t>
      </w:r>
      <w:r>
        <w:rPr>
          <w:rFonts w:ascii="Arial" w:cs="Arial" w:eastAsia="Arial" w:hAnsi="Arial"/>
          <w:sz w:val="21"/>
          <w:szCs w:val="21"/>
          <w:color w:val="383838"/>
        </w:rPr>
        <w:t>life;</w:t>
      </w:r>
      <w:r>
        <w:rPr>
          <w:rFonts w:ascii="Arial" w:cs="Arial" w:eastAsia="Arial" w:hAnsi="Arial"/>
          <w:sz w:val="21"/>
          <w:szCs w:val="21"/>
          <w:color w:val="232323"/>
        </w:rPr>
        <w:t xml:space="preserve"> </w:t>
      </w:r>
      <w:r>
        <w:rPr>
          <w:rFonts w:ascii="Arial" w:cs="Arial" w:eastAsia="Arial" w:hAnsi="Arial"/>
          <w:sz w:val="21"/>
          <w:szCs w:val="21"/>
          <w:color w:val="111111"/>
        </w:rPr>
        <w:t>and (2)</w:t>
      </w:r>
      <w:r>
        <w:rPr>
          <w:rFonts w:ascii="Arial" w:cs="Arial" w:eastAsia="Arial" w:hAnsi="Arial"/>
          <w:sz w:val="21"/>
          <w:szCs w:val="21"/>
          <w:color w:val="232323"/>
        </w:rPr>
        <w:t xml:space="preserve"> any capital expenditures </w:t>
      </w:r>
      <w:r>
        <w:rPr>
          <w:rFonts w:ascii="Arial" w:cs="Arial" w:eastAsia="Arial" w:hAnsi="Arial"/>
          <w:sz w:val="21"/>
          <w:szCs w:val="21"/>
          <w:color w:val="111111"/>
        </w:rPr>
        <w:t xml:space="preserve">required </w:t>
      </w:r>
      <w:r>
        <w:rPr>
          <w:rFonts w:ascii="Arial" w:cs="Arial" w:eastAsia="Arial" w:hAnsi="Arial"/>
          <w:sz w:val="21"/>
          <w:szCs w:val="21"/>
          <w:color w:val="232323"/>
        </w:rPr>
        <w:t>of Landlord</w:t>
      </w:r>
      <w:r>
        <w:rPr>
          <w:rFonts w:ascii="Arial" w:cs="Arial" w:eastAsia="Arial" w:hAnsi="Arial"/>
          <w:sz w:val="21"/>
          <w:szCs w:val="21"/>
          <w:color w:val="111111"/>
        </w:rPr>
        <w:t xml:space="preserve"> pursuant to </w:t>
      </w:r>
      <w:r>
        <w:rPr>
          <w:rFonts w:ascii="Arial" w:cs="Arial" w:eastAsia="Arial" w:hAnsi="Arial"/>
          <w:sz w:val="21"/>
          <w:szCs w:val="21"/>
          <w:color w:val="232323"/>
        </w:rPr>
        <w:t>the</w:t>
      </w:r>
      <w:r>
        <w:rPr>
          <w:rFonts w:ascii="Arial" w:cs="Arial" w:eastAsia="Arial" w:hAnsi="Arial"/>
          <w:sz w:val="21"/>
          <w:szCs w:val="21"/>
          <w:color w:val="111111"/>
        </w:rPr>
        <w:t xml:space="preserve"> terms </w:t>
      </w:r>
      <w:r>
        <w:rPr>
          <w:rFonts w:ascii="Arial" w:cs="Arial" w:eastAsia="Arial" w:hAnsi="Arial"/>
          <w:sz w:val="21"/>
          <w:szCs w:val="21"/>
          <w:color w:val="232323"/>
        </w:rPr>
        <w:t>of</w:t>
      </w:r>
      <w:r>
        <w:rPr>
          <w:rFonts w:ascii="Arial" w:cs="Arial" w:eastAsia="Arial" w:hAnsi="Arial"/>
          <w:sz w:val="21"/>
          <w:szCs w:val="21"/>
          <w:color w:val="111111"/>
        </w:rPr>
        <w:t xml:space="preserve"> this </w:t>
      </w:r>
      <w:r>
        <w:rPr>
          <w:rFonts w:ascii="Arial" w:cs="Arial" w:eastAsia="Arial" w:hAnsi="Arial"/>
          <w:sz w:val="21"/>
          <w:szCs w:val="21"/>
          <w:color w:val="232323"/>
        </w:rPr>
        <w:t>Lease, but shall</w:t>
      </w:r>
      <w:r>
        <w:rPr>
          <w:rFonts w:ascii="Arial" w:cs="Arial" w:eastAsia="Arial" w:hAnsi="Arial"/>
          <w:sz w:val="21"/>
          <w:szCs w:val="21"/>
          <w:color w:val="111111"/>
        </w:rPr>
        <w:t xml:space="preserve"> </w:t>
      </w:r>
      <w:r>
        <w:rPr>
          <w:rFonts w:ascii="Arial" w:cs="Arial" w:eastAsia="Arial" w:hAnsi="Arial"/>
          <w:sz w:val="21"/>
          <w:szCs w:val="21"/>
          <w:color w:val="383838"/>
        </w:rPr>
        <w:t>specifically</w:t>
      </w:r>
      <w:r>
        <w:rPr>
          <w:rFonts w:ascii="Arial" w:cs="Arial" w:eastAsia="Arial" w:hAnsi="Arial"/>
          <w:sz w:val="21"/>
          <w:szCs w:val="21"/>
          <w:color w:val="111111"/>
        </w:rPr>
        <w:t xml:space="preserve"> </w:t>
      </w:r>
      <w:r>
        <w:rPr>
          <w:rFonts w:ascii="Arial" w:cs="Arial" w:eastAsia="Arial" w:hAnsi="Arial"/>
          <w:sz w:val="21"/>
          <w:szCs w:val="21"/>
          <w:color w:val="232323"/>
        </w:rPr>
        <w:t>exclude any enhancements</w:t>
      </w:r>
      <w:r>
        <w:rPr>
          <w:rFonts w:ascii="Arial" w:cs="Arial" w:eastAsia="Arial" w:hAnsi="Arial"/>
          <w:sz w:val="21"/>
          <w:szCs w:val="21"/>
          <w:color w:val="111111"/>
        </w:rPr>
        <w:t xml:space="preserve"> </w:t>
      </w:r>
      <w:r>
        <w:rPr>
          <w:rFonts w:ascii="Arial" w:cs="Arial" w:eastAsia="Arial" w:hAnsi="Arial"/>
          <w:sz w:val="21"/>
          <w:szCs w:val="21"/>
          <w:color w:val="232323"/>
        </w:rPr>
        <w:t xml:space="preserve">or additions </w:t>
      </w:r>
      <w:r>
        <w:rPr>
          <w:rFonts w:ascii="Arial" w:cs="Arial" w:eastAsia="Arial" w:hAnsi="Arial"/>
          <w:sz w:val="21"/>
          <w:szCs w:val="21"/>
          <w:color w:val="111111"/>
        </w:rPr>
        <w:t>to</w:t>
      </w:r>
      <w:r>
        <w:rPr>
          <w:rFonts w:ascii="Arial" w:cs="Arial" w:eastAsia="Arial" w:hAnsi="Arial"/>
          <w:sz w:val="21"/>
          <w:szCs w:val="21"/>
          <w:color w:val="232323"/>
        </w:rPr>
        <w:t xml:space="preserve"> the Common Areas.</w:t>
      </w:r>
    </w:p>
    <w:p>
      <w:pPr>
        <w:spacing w:after="0" w:line="159" w:lineRule="exact"/>
        <w:rPr>
          <w:sz w:val="20"/>
          <w:szCs w:val="20"/>
          <w:color w:val="auto"/>
        </w:rPr>
      </w:pPr>
    </w:p>
    <w:p>
      <w:pPr>
        <w:jc w:val="both"/>
        <w:ind w:firstLine="1952"/>
        <w:spacing w:after="0"/>
        <w:tabs>
          <w:tab w:leader="none" w:pos="258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color w:val="111111"/>
        </w:rPr>
        <w:t>the</w:t>
      </w:r>
      <w:r>
        <w:rPr>
          <w:rFonts w:ascii="Arial" w:cs="Arial" w:eastAsia="Arial" w:hAnsi="Arial"/>
          <w:sz w:val="19"/>
          <w:szCs w:val="19"/>
          <w:color w:val="auto"/>
        </w:rPr>
        <w:t xml:space="preserve"> foregoing, Operating Expenses </w:t>
      </w:r>
      <w:r>
        <w:rPr>
          <w:rFonts w:ascii="Arial" w:cs="Arial" w:eastAsia="Arial" w:hAnsi="Arial"/>
          <w:sz w:val="19"/>
          <w:szCs w:val="19"/>
          <w:color w:val="383838"/>
        </w:rPr>
        <w:t>shall</w:t>
      </w:r>
      <w:r>
        <w:rPr>
          <w:rFonts w:ascii="Arial" w:cs="Arial" w:eastAsia="Arial" w:hAnsi="Arial"/>
          <w:sz w:val="19"/>
          <w:szCs w:val="19"/>
          <w:color w:val="auto"/>
        </w:rPr>
        <w:t xml:space="preserve"> </w:t>
      </w:r>
      <w:r>
        <w:rPr>
          <w:rFonts w:ascii="Arial" w:cs="Arial" w:eastAsia="Arial" w:hAnsi="Arial"/>
          <w:sz w:val="19"/>
          <w:szCs w:val="19"/>
          <w:color w:val="111111"/>
        </w:rPr>
        <w:t>not</w:t>
      </w:r>
      <w:r>
        <w:rPr>
          <w:rFonts w:ascii="Arial" w:cs="Arial" w:eastAsia="Arial" w:hAnsi="Arial"/>
          <w:sz w:val="19"/>
          <w:szCs w:val="19"/>
          <w:color w:val="auto"/>
        </w:rPr>
        <w:t xml:space="preserve"> </w:t>
      </w:r>
      <w:r>
        <w:rPr>
          <w:rFonts w:ascii="Arial" w:cs="Arial" w:eastAsia="Arial" w:hAnsi="Arial"/>
          <w:sz w:val="19"/>
          <w:szCs w:val="19"/>
          <w:color w:val="383838"/>
        </w:rPr>
        <w:t>include</w:t>
      </w:r>
      <w:r>
        <w:rPr>
          <w:rFonts w:ascii="Arial" w:cs="Arial" w:eastAsia="Arial" w:hAnsi="Arial"/>
          <w:sz w:val="19"/>
          <w:szCs w:val="19"/>
          <w:color w:val="auto"/>
        </w:rPr>
        <w:t xml:space="preserve"> any </w:t>
      </w:r>
      <w:r>
        <w:rPr>
          <w:rFonts w:ascii="Arial" w:cs="Arial" w:eastAsia="Arial" w:hAnsi="Arial"/>
          <w:sz w:val="19"/>
          <w:szCs w:val="19"/>
          <w:color w:val="111111"/>
        </w:rPr>
        <w:t>leasing</w:t>
      </w:r>
      <w:r>
        <w:rPr>
          <w:rFonts w:ascii="Arial" w:cs="Arial" w:eastAsia="Arial" w:hAnsi="Arial"/>
          <w:sz w:val="19"/>
          <w:szCs w:val="19"/>
          <w:color w:val="auto"/>
        </w:rPr>
        <w:t xml:space="preserve"> commissions; expenses </w:t>
      </w:r>
      <w:r>
        <w:rPr>
          <w:rFonts w:ascii="Arial" w:cs="Arial" w:eastAsia="Arial" w:hAnsi="Arial"/>
          <w:sz w:val="19"/>
          <w:szCs w:val="19"/>
          <w:color w:val="111111"/>
        </w:rPr>
        <w:t>that relate</w:t>
      </w:r>
      <w:r>
        <w:rPr>
          <w:rFonts w:ascii="Arial" w:cs="Arial" w:eastAsia="Arial" w:hAnsi="Arial"/>
          <w:sz w:val="19"/>
          <w:szCs w:val="19"/>
          <w:color w:val="auto"/>
        </w:rPr>
        <w:t xml:space="preserve"> to </w:t>
      </w:r>
      <w:r>
        <w:rPr>
          <w:rFonts w:ascii="Arial" w:cs="Arial" w:eastAsia="Arial" w:hAnsi="Arial"/>
          <w:sz w:val="19"/>
          <w:szCs w:val="19"/>
          <w:color w:val="111111"/>
        </w:rPr>
        <w:t>preparation</w:t>
      </w:r>
      <w:r>
        <w:rPr>
          <w:rFonts w:ascii="Arial" w:cs="Arial" w:eastAsia="Arial" w:hAnsi="Arial"/>
          <w:sz w:val="19"/>
          <w:szCs w:val="19"/>
          <w:color w:val="auto"/>
        </w:rPr>
        <w:t xml:space="preserve"> of </w:t>
      </w:r>
      <w:r>
        <w:rPr>
          <w:rFonts w:ascii="Arial" w:cs="Arial" w:eastAsia="Arial" w:hAnsi="Arial"/>
          <w:sz w:val="19"/>
          <w:szCs w:val="19"/>
          <w:color w:val="111111"/>
        </w:rPr>
        <w:t>rental</w:t>
      </w:r>
      <w:r>
        <w:rPr>
          <w:rFonts w:ascii="Arial" w:cs="Arial" w:eastAsia="Arial" w:hAnsi="Arial"/>
          <w:sz w:val="19"/>
          <w:szCs w:val="19"/>
          <w:color w:val="auto"/>
        </w:rPr>
        <w:t xml:space="preserve"> </w:t>
      </w:r>
      <w:r>
        <w:rPr>
          <w:rFonts w:ascii="Arial" w:cs="Arial" w:eastAsia="Arial" w:hAnsi="Arial"/>
          <w:sz w:val="19"/>
          <w:szCs w:val="19"/>
          <w:color w:val="383838"/>
        </w:rPr>
        <w:t>space</w:t>
      </w:r>
      <w:r>
        <w:rPr>
          <w:rFonts w:ascii="Arial" w:cs="Arial" w:eastAsia="Arial" w:hAnsi="Arial"/>
          <w:sz w:val="19"/>
          <w:szCs w:val="19"/>
          <w:color w:val="auto"/>
        </w:rPr>
        <w:t xml:space="preserve"> for </w:t>
      </w:r>
      <w:r>
        <w:rPr>
          <w:rFonts w:ascii="Arial" w:cs="Arial" w:eastAsia="Arial" w:hAnsi="Arial"/>
          <w:sz w:val="19"/>
          <w:szCs w:val="19"/>
          <w:color w:val="383838"/>
        </w:rPr>
        <w:t>a tenant;</w:t>
      </w:r>
      <w:r>
        <w:rPr>
          <w:rFonts w:ascii="Arial" w:cs="Arial" w:eastAsia="Arial" w:hAnsi="Arial"/>
          <w:sz w:val="19"/>
          <w:szCs w:val="19"/>
          <w:color w:val="auto"/>
        </w:rPr>
        <w:t xml:space="preserve"> expenses of </w:t>
      </w:r>
      <w:r>
        <w:rPr>
          <w:rFonts w:ascii="Arial" w:cs="Arial" w:eastAsia="Arial" w:hAnsi="Arial"/>
          <w:sz w:val="19"/>
          <w:szCs w:val="19"/>
          <w:color w:val="111111"/>
        </w:rPr>
        <w:t>initial development</w:t>
      </w:r>
      <w:r>
        <w:rPr>
          <w:rFonts w:ascii="Arial" w:cs="Arial" w:eastAsia="Arial" w:hAnsi="Arial"/>
          <w:sz w:val="19"/>
          <w:szCs w:val="19"/>
          <w:color w:val="auto"/>
        </w:rPr>
        <w:t xml:space="preserve"> and construction, </w:t>
      </w:r>
      <w:r>
        <w:rPr>
          <w:rFonts w:ascii="Arial" w:cs="Arial" w:eastAsia="Arial" w:hAnsi="Arial"/>
          <w:sz w:val="19"/>
          <w:szCs w:val="19"/>
          <w:color w:val="111111"/>
        </w:rPr>
        <w:t>including</w:t>
      </w:r>
      <w:r>
        <w:rPr>
          <w:rFonts w:ascii="Arial" w:cs="Arial" w:eastAsia="Arial" w:hAnsi="Arial"/>
          <w:sz w:val="19"/>
          <w:szCs w:val="19"/>
          <w:color w:val="auto"/>
        </w:rPr>
        <w:t xml:space="preserve"> grading, </w:t>
      </w:r>
      <w:r>
        <w:rPr>
          <w:rFonts w:ascii="Arial" w:cs="Arial" w:eastAsia="Arial" w:hAnsi="Arial"/>
          <w:sz w:val="19"/>
          <w:szCs w:val="19"/>
          <w:color w:val="111111"/>
        </w:rPr>
        <w:t>paving,</w:t>
      </w:r>
      <w:r>
        <w:rPr>
          <w:rFonts w:ascii="Arial" w:cs="Arial" w:eastAsia="Arial" w:hAnsi="Arial"/>
          <w:sz w:val="19"/>
          <w:szCs w:val="19"/>
          <w:color w:val="auto"/>
        </w:rPr>
        <w:t xml:space="preserve"> </w:t>
      </w:r>
      <w:r>
        <w:rPr>
          <w:rFonts w:ascii="Arial" w:cs="Arial" w:eastAsia="Arial" w:hAnsi="Arial"/>
          <w:sz w:val="19"/>
          <w:szCs w:val="19"/>
          <w:color w:val="383838"/>
        </w:rPr>
        <w:t>landscaping</w:t>
      </w:r>
      <w:r>
        <w:rPr>
          <w:rFonts w:ascii="Arial" w:cs="Arial" w:eastAsia="Arial" w:hAnsi="Arial"/>
          <w:sz w:val="19"/>
          <w:szCs w:val="19"/>
          <w:color w:val="auto"/>
        </w:rPr>
        <w:t xml:space="preserve"> and </w:t>
      </w:r>
      <w:r>
        <w:rPr>
          <w:rFonts w:ascii="Arial" w:cs="Arial" w:eastAsia="Arial" w:hAnsi="Arial"/>
          <w:sz w:val="19"/>
          <w:szCs w:val="19"/>
          <w:color w:val="111111"/>
        </w:rPr>
        <w:t>decorating</w:t>
      </w:r>
      <w:r>
        <w:rPr>
          <w:rFonts w:ascii="Arial" w:cs="Arial" w:eastAsia="Arial" w:hAnsi="Arial"/>
          <w:sz w:val="19"/>
          <w:szCs w:val="19"/>
          <w:color w:val="auto"/>
        </w:rPr>
        <w:t xml:space="preserve"> (as distinguished from </w:t>
      </w:r>
      <w:r>
        <w:rPr>
          <w:rFonts w:ascii="Arial" w:cs="Arial" w:eastAsia="Arial" w:hAnsi="Arial"/>
          <w:sz w:val="19"/>
          <w:szCs w:val="19"/>
          <w:color w:val="111111"/>
        </w:rPr>
        <w:t>maintenance, repair</w:t>
      </w:r>
      <w:r>
        <w:rPr>
          <w:rFonts w:ascii="Arial" w:cs="Arial" w:eastAsia="Arial" w:hAnsi="Arial"/>
          <w:sz w:val="19"/>
          <w:szCs w:val="19"/>
          <w:color w:val="auto"/>
        </w:rPr>
        <w:t xml:space="preserve"> and replacement of </w:t>
      </w:r>
      <w:r>
        <w:rPr>
          <w:rFonts w:ascii="Arial" w:cs="Arial" w:eastAsia="Arial" w:hAnsi="Arial"/>
          <w:sz w:val="19"/>
          <w:szCs w:val="19"/>
          <w:color w:val="111111"/>
        </w:rPr>
        <w:t>the</w:t>
      </w:r>
      <w:r>
        <w:rPr>
          <w:rFonts w:ascii="Arial" w:cs="Arial" w:eastAsia="Arial" w:hAnsi="Arial"/>
          <w:sz w:val="19"/>
          <w:szCs w:val="19"/>
          <w:color w:val="auto"/>
        </w:rPr>
        <w:t xml:space="preserve"> foregoing); </w:t>
      </w:r>
      <w:r>
        <w:rPr>
          <w:rFonts w:ascii="Arial" w:cs="Arial" w:eastAsia="Arial" w:hAnsi="Arial"/>
          <w:sz w:val="19"/>
          <w:szCs w:val="19"/>
          <w:color w:val="111111"/>
        </w:rPr>
        <w:t>legal</w:t>
      </w:r>
      <w:r>
        <w:rPr>
          <w:rFonts w:ascii="Arial" w:cs="Arial" w:eastAsia="Arial" w:hAnsi="Arial"/>
          <w:sz w:val="19"/>
          <w:szCs w:val="19"/>
          <w:color w:val="auto"/>
        </w:rPr>
        <w:t xml:space="preserve"> expenses </w:t>
      </w:r>
      <w:r>
        <w:rPr>
          <w:rFonts w:ascii="Arial" w:cs="Arial" w:eastAsia="Arial" w:hAnsi="Arial"/>
          <w:sz w:val="19"/>
          <w:szCs w:val="19"/>
          <w:color w:val="111111"/>
        </w:rPr>
        <w:t>relating to</w:t>
      </w:r>
      <w:r>
        <w:rPr>
          <w:rFonts w:ascii="Arial" w:cs="Arial" w:eastAsia="Arial" w:hAnsi="Arial"/>
          <w:sz w:val="19"/>
          <w:szCs w:val="19"/>
          <w:color w:val="auto"/>
        </w:rPr>
        <w:t xml:space="preserve"> other </w:t>
      </w:r>
      <w:r>
        <w:rPr>
          <w:rFonts w:ascii="Arial" w:cs="Arial" w:eastAsia="Arial" w:hAnsi="Arial"/>
          <w:sz w:val="19"/>
          <w:szCs w:val="19"/>
          <w:color w:val="111111"/>
        </w:rPr>
        <w:t>tenants;</w:t>
      </w:r>
      <w:r>
        <w:rPr>
          <w:rFonts w:ascii="Arial" w:cs="Arial" w:eastAsia="Arial" w:hAnsi="Arial"/>
          <w:sz w:val="19"/>
          <w:szCs w:val="19"/>
          <w:color w:val="auto"/>
        </w:rPr>
        <w:t xml:space="preserve"> costs </w:t>
      </w:r>
      <w:r>
        <w:rPr>
          <w:rFonts w:ascii="Arial" w:cs="Arial" w:eastAsia="Arial" w:hAnsi="Arial"/>
          <w:sz w:val="19"/>
          <w:szCs w:val="19"/>
          <w:color w:val="111111"/>
        </w:rPr>
        <w:t>of repairs to the</w:t>
      </w:r>
      <w:r>
        <w:rPr>
          <w:rFonts w:ascii="Arial" w:cs="Arial" w:eastAsia="Arial" w:hAnsi="Arial"/>
          <w:sz w:val="19"/>
          <w:szCs w:val="19"/>
          <w:color w:val="auto"/>
        </w:rPr>
        <w:t xml:space="preserve"> extent </w:t>
      </w:r>
      <w:r>
        <w:rPr>
          <w:rFonts w:ascii="Arial" w:cs="Arial" w:eastAsia="Arial" w:hAnsi="Arial"/>
          <w:sz w:val="19"/>
          <w:szCs w:val="19"/>
          <w:color w:val="111111"/>
        </w:rPr>
        <w:t>reimbursed by</w:t>
      </w:r>
      <w:r>
        <w:rPr>
          <w:rFonts w:ascii="Arial" w:cs="Arial" w:eastAsia="Arial" w:hAnsi="Arial"/>
          <w:sz w:val="19"/>
          <w:szCs w:val="19"/>
          <w:color w:val="auto"/>
        </w:rPr>
        <w:t xml:space="preserve"> payment of </w:t>
      </w:r>
      <w:r>
        <w:rPr>
          <w:rFonts w:ascii="Arial" w:cs="Arial" w:eastAsia="Arial" w:hAnsi="Arial"/>
          <w:sz w:val="19"/>
          <w:szCs w:val="19"/>
          <w:color w:val="383838"/>
        </w:rPr>
        <w:t>insurance</w:t>
      </w:r>
      <w:r>
        <w:rPr>
          <w:rFonts w:ascii="Arial" w:cs="Arial" w:eastAsia="Arial" w:hAnsi="Arial"/>
          <w:sz w:val="19"/>
          <w:szCs w:val="19"/>
          <w:color w:val="auto"/>
        </w:rPr>
        <w:t xml:space="preserve"> </w:t>
      </w:r>
      <w:r>
        <w:rPr>
          <w:rFonts w:ascii="Arial" w:cs="Arial" w:eastAsia="Arial" w:hAnsi="Arial"/>
          <w:sz w:val="19"/>
          <w:szCs w:val="19"/>
          <w:color w:val="111111"/>
        </w:rPr>
        <w:t>proceeds received by</w:t>
      </w:r>
      <w:r>
        <w:rPr>
          <w:rFonts w:ascii="Arial" w:cs="Arial" w:eastAsia="Arial" w:hAnsi="Arial"/>
          <w:sz w:val="19"/>
          <w:szCs w:val="19"/>
          <w:color w:val="auto"/>
        </w:rPr>
        <w:t xml:space="preserve"> Landlord; </w:t>
      </w:r>
      <w:r>
        <w:rPr>
          <w:rFonts w:ascii="Arial" w:cs="Arial" w:eastAsia="Arial" w:hAnsi="Arial"/>
          <w:sz w:val="19"/>
          <w:szCs w:val="19"/>
          <w:color w:val="111111"/>
        </w:rPr>
        <w:t>interest</w:t>
      </w:r>
      <w:r>
        <w:rPr>
          <w:rFonts w:ascii="Arial" w:cs="Arial" w:eastAsia="Arial" w:hAnsi="Arial"/>
          <w:sz w:val="19"/>
          <w:szCs w:val="19"/>
          <w:color w:val="auto"/>
        </w:rPr>
        <w:t xml:space="preserve"> upon loans </w:t>
      </w:r>
      <w:r>
        <w:rPr>
          <w:rFonts w:ascii="Arial" w:cs="Arial" w:eastAsia="Arial" w:hAnsi="Arial"/>
          <w:sz w:val="19"/>
          <w:szCs w:val="19"/>
          <w:color w:val="383838"/>
        </w:rPr>
        <w:t>to</w:t>
      </w:r>
      <w:r>
        <w:rPr>
          <w:rFonts w:ascii="Arial" w:cs="Arial" w:eastAsia="Arial" w:hAnsi="Arial"/>
          <w:sz w:val="19"/>
          <w:szCs w:val="19"/>
          <w:color w:val="auto"/>
        </w:rPr>
        <w:t xml:space="preserve"> </w:t>
      </w:r>
      <w:r>
        <w:rPr>
          <w:rFonts w:ascii="Arial" w:cs="Arial" w:eastAsia="Arial" w:hAnsi="Arial"/>
          <w:sz w:val="19"/>
          <w:szCs w:val="19"/>
          <w:color w:val="111111"/>
        </w:rPr>
        <w:t>Landlord</w:t>
      </w:r>
      <w:r>
        <w:rPr>
          <w:rFonts w:ascii="Arial" w:cs="Arial" w:eastAsia="Arial" w:hAnsi="Arial"/>
          <w:sz w:val="19"/>
          <w:szCs w:val="19"/>
          <w:color w:val="auto"/>
        </w:rPr>
        <w:t xml:space="preserve"> or </w:t>
      </w:r>
      <w:r>
        <w:rPr>
          <w:rFonts w:ascii="Arial" w:cs="Arial" w:eastAsia="Arial" w:hAnsi="Arial"/>
          <w:sz w:val="19"/>
          <w:szCs w:val="19"/>
          <w:color w:val="383838"/>
        </w:rPr>
        <w:t>secured</w:t>
      </w:r>
      <w:r>
        <w:rPr>
          <w:rFonts w:ascii="Arial" w:cs="Arial" w:eastAsia="Arial" w:hAnsi="Arial"/>
          <w:sz w:val="19"/>
          <w:szCs w:val="19"/>
          <w:color w:val="auto"/>
        </w:rPr>
        <w:t xml:space="preserve"> </w:t>
      </w:r>
      <w:r>
        <w:rPr>
          <w:rFonts w:ascii="Arial" w:cs="Arial" w:eastAsia="Arial" w:hAnsi="Arial"/>
          <w:sz w:val="19"/>
          <w:szCs w:val="19"/>
          <w:color w:val="111111"/>
        </w:rPr>
        <w:t>by</w:t>
      </w:r>
      <w:r>
        <w:rPr>
          <w:rFonts w:ascii="Arial" w:cs="Arial" w:eastAsia="Arial" w:hAnsi="Arial"/>
          <w:sz w:val="19"/>
          <w:szCs w:val="19"/>
          <w:color w:val="auto"/>
        </w:rPr>
        <w:t xml:space="preserve"> a </w:t>
      </w:r>
      <w:r>
        <w:rPr>
          <w:rFonts w:ascii="Arial" w:cs="Arial" w:eastAsia="Arial" w:hAnsi="Arial"/>
          <w:sz w:val="19"/>
          <w:szCs w:val="19"/>
          <w:color w:val="111111"/>
        </w:rPr>
        <w:t>mortgage</w:t>
      </w:r>
      <w:r>
        <w:rPr>
          <w:rFonts w:ascii="Arial" w:cs="Arial" w:eastAsia="Arial" w:hAnsi="Arial"/>
          <w:sz w:val="19"/>
          <w:szCs w:val="19"/>
          <w:color w:val="auto"/>
        </w:rPr>
        <w:t xml:space="preserve"> or </w:t>
      </w:r>
      <w:r>
        <w:rPr>
          <w:rFonts w:ascii="Arial" w:cs="Arial" w:eastAsia="Arial" w:hAnsi="Arial"/>
          <w:sz w:val="19"/>
          <w:szCs w:val="19"/>
          <w:color w:val="111111"/>
        </w:rPr>
        <w:t>deed of trust</w:t>
      </w:r>
      <w:r>
        <w:rPr>
          <w:rFonts w:ascii="Arial" w:cs="Arial" w:eastAsia="Arial" w:hAnsi="Arial"/>
          <w:sz w:val="19"/>
          <w:szCs w:val="19"/>
          <w:color w:val="auto"/>
        </w:rPr>
        <w:t xml:space="preserve"> covering </w:t>
      </w:r>
      <w:r>
        <w:rPr>
          <w:rFonts w:ascii="Arial" w:cs="Arial" w:eastAsia="Arial" w:hAnsi="Arial"/>
          <w:sz w:val="19"/>
          <w:szCs w:val="19"/>
          <w:color w:val="111111"/>
        </w:rPr>
        <w:t>the</w:t>
      </w:r>
      <w:r>
        <w:rPr>
          <w:rFonts w:ascii="Arial" w:cs="Arial" w:eastAsia="Arial" w:hAnsi="Arial"/>
          <w:sz w:val="19"/>
          <w:szCs w:val="19"/>
          <w:color w:val="auto"/>
        </w:rPr>
        <w:t xml:space="preserve"> Project or a portion </w:t>
      </w:r>
      <w:r>
        <w:rPr>
          <w:rFonts w:ascii="Arial" w:cs="Arial" w:eastAsia="Arial" w:hAnsi="Arial"/>
          <w:sz w:val="19"/>
          <w:szCs w:val="19"/>
          <w:color w:val="111111"/>
        </w:rPr>
        <w:t>thereof</w:t>
      </w:r>
      <w:r>
        <w:rPr>
          <w:rFonts w:ascii="Arial" w:cs="Arial" w:eastAsia="Arial" w:hAnsi="Arial"/>
          <w:sz w:val="19"/>
          <w:szCs w:val="19"/>
          <w:color w:val="auto"/>
        </w:rPr>
        <w:t xml:space="preserve"> </w:t>
      </w:r>
      <w:r>
        <w:rPr>
          <w:rFonts w:ascii="Arial" w:cs="Arial" w:eastAsia="Arial" w:hAnsi="Arial"/>
          <w:sz w:val="19"/>
          <w:szCs w:val="19"/>
          <w:color w:val="111111"/>
        </w:rPr>
        <w:t>(</w:t>
      </w:r>
      <w:r>
        <w:rPr>
          <w:rFonts w:ascii="Arial" w:cs="Arial" w:eastAsia="Arial" w:hAnsi="Arial"/>
          <w:sz w:val="19"/>
          <w:szCs w:val="19"/>
          <w:u w:val="single" w:color="auto"/>
          <w:color w:val="111111"/>
        </w:rPr>
        <w:t>provided</w:t>
      </w:r>
      <w:r>
        <w:rPr>
          <w:rFonts w:ascii="Arial" w:cs="Arial" w:eastAsia="Arial" w:hAnsi="Arial"/>
          <w:sz w:val="19"/>
          <w:szCs w:val="19"/>
          <w:color w:val="111111"/>
        </w:rPr>
        <w:t xml:space="preserve"> that interest </w:t>
      </w:r>
      <w:r>
        <w:rPr>
          <w:rFonts w:ascii="Arial" w:cs="Arial" w:eastAsia="Arial" w:hAnsi="Arial"/>
          <w:sz w:val="19"/>
          <w:szCs w:val="19"/>
          <w:color w:val="000000"/>
        </w:rPr>
        <w:t>upon a government</w:t>
      </w:r>
      <w:r>
        <w:rPr>
          <w:rFonts w:ascii="Arial" w:cs="Arial" w:eastAsia="Arial" w:hAnsi="Arial"/>
          <w:sz w:val="19"/>
          <w:szCs w:val="19"/>
          <w:color w:val="111111"/>
        </w:rPr>
        <w:t xml:space="preserve"> </w:t>
      </w:r>
      <w:r>
        <w:rPr>
          <w:rFonts w:ascii="Arial" w:cs="Arial" w:eastAsia="Arial" w:hAnsi="Arial"/>
          <w:sz w:val="19"/>
          <w:szCs w:val="19"/>
          <w:color w:val="383838"/>
        </w:rPr>
        <w:t>assessment</w:t>
      </w:r>
      <w:r>
        <w:rPr>
          <w:rFonts w:ascii="Arial" w:cs="Arial" w:eastAsia="Arial" w:hAnsi="Arial"/>
          <w:sz w:val="19"/>
          <w:szCs w:val="19"/>
          <w:color w:val="111111"/>
        </w:rPr>
        <w:t xml:space="preserve"> </w:t>
      </w:r>
      <w:r>
        <w:rPr>
          <w:rFonts w:ascii="Arial" w:cs="Arial" w:eastAsia="Arial" w:hAnsi="Arial"/>
          <w:sz w:val="19"/>
          <w:szCs w:val="19"/>
          <w:color w:val="000000"/>
        </w:rPr>
        <w:t>or</w:t>
      </w:r>
      <w:r>
        <w:rPr>
          <w:rFonts w:ascii="Arial" w:cs="Arial" w:eastAsia="Arial" w:hAnsi="Arial"/>
          <w:sz w:val="19"/>
          <w:szCs w:val="19"/>
          <w:color w:val="111111"/>
        </w:rPr>
        <w:t xml:space="preserve"> improvement bond payable </w:t>
      </w:r>
      <w:r>
        <w:rPr>
          <w:rFonts w:ascii="Arial" w:cs="Arial" w:eastAsia="Arial" w:hAnsi="Arial"/>
          <w:sz w:val="19"/>
          <w:szCs w:val="19"/>
          <w:color w:val="000000"/>
        </w:rPr>
        <w:t>in installments</w:t>
      </w:r>
      <w:r>
        <w:rPr>
          <w:rFonts w:ascii="Arial" w:cs="Arial" w:eastAsia="Arial" w:hAnsi="Arial"/>
          <w:sz w:val="19"/>
          <w:szCs w:val="19"/>
          <w:color w:val="111111"/>
        </w:rPr>
        <w:t xml:space="preserve"> </w:t>
      </w:r>
      <w:r>
        <w:rPr>
          <w:rFonts w:ascii="Arial" w:cs="Arial" w:eastAsia="Arial" w:hAnsi="Arial"/>
          <w:sz w:val="19"/>
          <w:szCs w:val="19"/>
          <w:color w:val="383838"/>
        </w:rPr>
        <w:t>shall</w:t>
      </w:r>
      <w:r>
        <w:rPr>
          <w:rFonts w:ascii="Arial" w:cs="Arial" w:eastAsia="Arial" w:hAnsi="Arial"/>
          <w:sz w:val="19"/>
          <w:szCs w:val="19"/>
          <w:color w:val="111111"/>
        </w:rPr>
        <w:t xml:space="preserve"> constitute </w:t>
      </w:r>
      <w:r>
        <w:rPr>
          <w:rFonts w:ascii="Arial" w:cs="Arial" w:eastAsia="Arial" w:hAnsi="Arial"/>
          <w:sz w:val="19"/>
          <w:szCs w:val="19"/>
          <w:color w:val="000000"/>
        </w:rPr>
        <w:t>an Operating</w:t>
      </w:r>
      <w:r>
        <w:rPr>
          <w:rFonts w:ascii="Arial" w:cs="Arial" w:eastAsia="Arial" w:hAnsi="Arial"/>
          <w:sz w:val="19"/>
          <w:szCs w:val="19"/>
          <w:color w:val="111111"/>
        </w:rPr>
        <w:t xml:space="preserve"> </w:t>
      </w:r>
      <w:r>
        <w:rPr>
          <w:rFonts w:ascii="Arial" w:cs="Arial" w:eastAsia="Arial" w:hAnsi="Arial"/>
          <w:sz w:val="19"/>
          <w:szCs w:val="19"/>
          <w:color w:val="000000"/>
        </w:rPr>
        <w:t xml:space="preserve">Expense </w:t>
      </w:r>
      <w:r>
        <w:rPr>
          <w:rFonts w:ascii="Arial" w:cs="Arial" w:eastAsia="Arial" w:hAnsi="Arial"/>
          <w:sz w:val="19"/>
          <w:szCs w:val="19"/>
          <w:color w:val="111111"/>
        </w:rPr>
        <w:t>under</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Subsection 9.1.1</w:t>
      </w:r>
      <w:r>
        <w:rPr>
          <w:rFonts w:ascii="Arial" w:cs="Arial" w:eastAsia="Arial" w:hAnsi="Arial"/>
          <w:sz w:val="19"/>
          <w:szCs w:val="19"/>
          <w:color w:val="000000"/>
        </w:rPr>
        <w:t xml:space="preserve">); any ground rent; </w:t>
      </w:r>
      <w:r>
        <w:rPr>
          <w:rFonts w:ascii="Arial" w:cs="Arial" w:eastAsia="Arial" w:hAnsi="Arial"/>
          <w:sz w:val="19"/>
          <w:szCs w:val="19"/>
          <w:color w:val="383838"/>
        </w:rPr>
        <w:t>salaries</w:t>
      </w:r>
      <w:r>
        <w:rPr>
          <w:rFonts w:ascii="Arial" w:cs="Arial" w:eastAsia="Arial" w:hAnsi="Arial"/>
          <w:sz w:val="19"/>
          <w:szCs w:val="19"/>
          <w:color w:val="000000"/>
        </w:rPr>
        <w:t xml:space="preserve"> of executive officers of Landlord </w:t>
      </w:r>
      <w:r>
        <w:rPr>
          <w:rFonts w:ascii="Arial" w:cs="Arial" w:eastAsia="Arial" w:hAnsi="Arial"/>
          <w:sz w:val="19"/>
          <w:szCs w:val="19"/>
          <w:color w:val="111111"/>
        </w:rPr>
        <w:t>and</w:t>
      </w:r>
      <w:r>
        <w:rPr>
          <w:rFonts w:ascii="Arial" w:cs="Arial" w:eastAsia="Arial" w:hAnsi="Arial"/>
          <w:sz w:val="19"/>
          <w:szCs w:val="19"/>
          <w:color w:val="000000"/>
        </w:rPr>
        <w:t xml:space="preserve"> any employee of Landlord at or above </w:t>
      </w:r>
      <w:r>
        <w:rPr>
          <w:rFonts w:ascii="Arial" w:cs="Arial" w:eastAsia="Arial" w:hAnsi="Arial"/>
          <w:sz w:val="19"/>
          <w:szCs w:val="19"/>
          <w:color w:val="111111"/>
        </w:rPr>
        <w:t>the</w:t>
      </w:r>
      <w:r>
        <w:rPr>
          <w:rFonts w:ascii="Arial" w:cs="Arial" w:eastAsia="Arial" w:hAnsi="Arial"/>
          <w:sz w:val="19"/>
          <w:szCs w:val="19"/>
          <w:color w:val="000000"/>
        </w:rPr>
        <w:t xml:space="preserve"> </w:t>
      </w:r>
      <w:r>
        <w:rPr>
          <w:rFonts w:ascii="Arial" w:cs="Arial" w:eastAsia="Arial" w:hAnsi="Arial"/>
          <w:sz w:val="19"/>
          <w:szCs w:val="19"/>
          <w:color w:val="383838"/>
        </w:rPr>
        <w:t>level</w:t>
      </w:r>
      <w:r>
        <w:rPr>
          <w:rFonts w:ascii="Arial" w:cs="Arial" w:eastAsia="Arial" w:hAnsi="Arial"/>
          <w:sz w:val="19"/>
          <w:szCs w:val="19"/>
          <w:color w:val="000000"/>
        </w:rPr>
        <w:t xml:space="preserve"> of director (or </w:t>
      </w:r>
      <w:r>
        <w:rPr>
          <w:rFonts w:ascii="Arial" w:cs="Arial" w:eastAsia="Arial" w:hAnsi="Arial"/>
          <w:sz w:val="19"/>
          <w:szCs w:val="19"/>
          <w:color w:val="111111"/>
        </w:rPr>
        <w:t>that</w:t>
      </w:r>
      <w:r>
        <w:rPr>
          <w:rFonts w:ascii="Arial" w:cs="Arial" w:eastAsia="Arial" w:hAnsi="Arial"/>
          <w:sz w:val="19"/>
          <w:szCs w:val="19"/>
          <w:color w:val="000000"/>
        </w:rPr>
        <w:t xml:space="preserve"> </w:t>
      </w:r>
      <w:r>
        <w:rPr>
          <w:rFonts w:ascii="Arial" w:cs="Arial" w:eastAsia="Arial" w:hAnsi="Arial"/>
          <w:sz w:val="19"/>
          <w:szCs w:val="19"/>
          <w:color w:val="383838"/>
        </w:rPr>
        <w:t>is</w:t>
      </w:r>
      <w:r>
        <w:rPr>
          <w:rFonts w:ascii="Arial" w:cs="Arial" w:eastAsia="Arial" w:hAnsi="Arial"/>
          <w:sz w:val="19"/>
          <w:szCs w:val="19"/>
          <w:color w:val="000000"/>
        </w:rPr>
        <w:t xml:space="preserve"> above </w:t>
      </w:r>
      <w:r>
        <w:rPr>
          <w:rFonts w:ascii="Arial" w:cs="Arial" w:eastAsia="Arial" w:hAnsi="Arial"/>
          <w:sz w:val="19"/>
          <w:szCs w:val="19"/>
          <w:color w:val="111111"/>
        </w:rPr>
        <w:t>the level</w:t>
      </w:r>
      <w:r>
        <w:rPr>
          <w:rFonts w:ascii="Arial" w:cs="Arial" w:eastAsia="Arial" w:hAnsi="Arial"/>
          <w:sz w:val="19"/>
          <w:szCs w:val="19"/>
          <w:color w:val="000000"/>
        </w:rPr>
        <w:t xml:space="preserve"> of the property </w:t>
      </w:r>
      <w:r>
        <w:rPr>
          <w:rFonts w:ascii="Arial" w:cs="Arial" w:eastAsia="Arial" w:hAnsi="Arial"/>
          <w:sz w:val="19"/>
          <w:szCs w:val="19"/>
          <w:color w:val="111111"/>
        </w:rPr>
        <w:t>manager</w:t>
      </w:r>
      <w:r>
        <w:rPr>
          <w:rFonts w:ascii="Arial" w:cs="Arial" w:eastAsia="Arial" w:hAnsi="Arial"/>
          <w:sz w:val="19"/>
          <w:szCs w:val="19"/>
          <w:color w:val="000000"/>
        </w:rPr>
        <w:t xml:space="preserve"> or building </w:t>
      </w:r>
      <w:r>
        <w:rPr>
          <w:rFonts w:ascii="Arial" w:cs="Arial" w:eastAsia="Arial" w:hAnsi="Arial"/>
          <w:sz w:val="19"/>
          <w:szCs w:val="19"/>
          <w:color w:val="383838"/>
        </w:rPr>
        <w:t>engineer);</w:t>
      </w:r>
      <w:r>
        <w:rPr>
          <w:rFonts w:ascii="Arial" w:cs="Arial" w:eastAsia="Arial" w:hAnsi="Arial"/>
          <w:sz w:val="19"/>
          <w:szCs w:val="19"/>
          <w:color w:val="000000"/>
        </w:rPr>
        <w:t xml:space="preserve"> </w:t>
      </w:r>
      <w:r>
        <w:rPr>
          <w:rFonts w:ascii="Arial" w:cs="Arial" w:eastAsia="Arial" w:hAnsi="Arial"/>
          <w:sz w:val="19"/>
          <w:szCs w:val="19"/>
          <w:color w:val="111111"/>
        </w:rPr>
        <w:t>depreciation claimed by</w:t>
      </w:r>
      <w:r>
        <w:rPr>
          <w:rFonts w:ascii="Arial" w:cs="Arial" w:eastAsia="Arial" w:hAnsi="Arial"/>
          <w:sz w:val="19"/>
          <w:szCs w:val="19"/>
          <w:color w:val="000000"/>
        </w:rPr>
        <w:t xml:space="preserve"> Landlord for </w:t>
      </w:r>
      <w:r>
        <w:rPr>
          <w:rFonts w:ascii="Arial" w:cs="Arial" w:eastAsia="Arial" w:hAnsi="Arial"/>
          <w:sz w:val="19"/>
          <w:szCs w:val="19"/>
          <w:color w:val="111111"/>
        </w:rPr>
        <w:t>tax purposes (</w:t>
      </w:r>
      <w:r>
        <w:rPr>
          <w:rFonts w:ascii="Arial" w:cs="Arial" w:eastAsia="Arial" w:hAnsi="Arial"/>
          <w:sz w:val="19"/>
          <w:szCs w:val="19"/>
          <w:u w:val="single" w:color="auto"/>
          <w:color w:val="111111"/>
        </w:rPr>
        <w:t>provided</w:t>
      </w:r>
      <w:r>
        <w:rPr>
          <w:rFonts w:ascii="Arial" w:cs="Arial" w:eastAsia="Arial" w:hAnsi="Arial"/>
          <w:sz w:val="19"/>
          <w:szCs w:val="19"/>
          <w:color w:val="000000"/>
        </w:rPr>
        <w:t xml:space="preserve"> </w:t>
      </w:r>
      <w:r>
        <w:rPr>
          <w:rFonts w:ascii="Arial" w:cs="Arial" w:eastAsia="Arial" w:hAnsi="Arial"/>
          <w:sz w:val="19"/>
          <w:szCs w:val="19"/>
          <w:color w:val="111111"/>
        </w:rPr>
        <w:t>that</w:t>
      </w:r>
      <w:r>
        <w:rPr>
          <w:rFonts w:ascii="Arial" w:cs="Arial" w:eastAsia="Arial" w:hAnsi="Arial"/>
          <w:sz w:val="19"/>
          <w:szCs w:val="19"/>
          <w:color w:val="000000"/>
        </w:rPr>
        <w:t xml:space="preserve"> this exclusion of depreciation is not intended to delete from Operating Expenses actual costs of repairs and replacements that are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for in </w:t>
      </w:r>
      <w:r>
        <w:rPr>
          <w:rFonts w:ascii="Arial" w:cs="Arial" w:eastAsia="Arial" w:hAnsi="Arial"/>
          <w:sz w:val="19"/>
          <w:szCs w:val="19"/>
          <w:u w:val="single" w:color="auto"/>
          <w:color w:val="000000"/>
        </w:rPr>
        <w:t>Subsection 9.1.2</w:t>
      </w:r>
      <w:r>
        <w:rPr>
          <w:rFonts w:ascii="Arial" w:cs="Arial" w:eastAsia="Arial" w:hAnsi="Arial"/>
          <w:sz w:val="19"/>
          <w:szCs w:val="19"/>
          <w:color w:val="000000"/>
        </w:rPr>
        <w:t xml:space="preserve">); taxes that are excluded from Operating Expenses by the last sentence of </w:t>
      </w:r>
      <w:r>
        <w:rPr>
          <w:rFonts w:ascii="Arial" w:cs="Arial" w:eastAsia="Arial" w:hAnsi="Arial"/>
          <w:sz w:val="19"/>
          <w:szCs w:val="19"/>
          <w:u w:val="single" w:color="auto"/>
          <w:color w:val="000000"/>
        </w:rPr>
        <w:t>Subsection 9.1.1</w:t>
      </w:r>
      <w:r>
        <w:rPr>
          <w:rFonts w:ascii="Arial" w:cs="Arial" w:eastAsia="Arial" w:hAnsi="Arial"/>
          <w:sz w:val="19"/>
          <w:szCs w:val="19"/>
          <w:color w:val="000000"/>
        </w:rPr>
        <w:t>; property management fees and expenses (except for the Property Management Fee); general overhead and administrative and accounting expenses, except to the extent reasonably and properly directly allocable to the operation of the Building and the Common Areas; advertising, legal and space planning expenses and leasing commissions and other costs and expenses incurred in procuring and leasing space to tenants for the Project, including any free rent and construction allowances for tenants; legal and other expenses incurred in (i) the negotiation, interpretation, preparation, termination or enforcement of leases or other occupancy agreements affecting the Project or (ii) the review, approval or other actions in connection with the sublease or assignment of tenant leases; costs to be reimbursed by other tenants of the Project or taxes to be paid directly by Tenant or other tenants of the Project, whether or not actually paid; the salaries, wages, benefits and other compensation paid to any employee of Landlord or Landlord’s managing agent who does not devote substantially all of his or her time to the Project, except to the extent such wages and benefits are reasonably, properly and equitably allocable to time spent by such employee in directly servicing the Project; at such time as Landlord owns real property and assets unrelated to the Project, the costs and expenses incurred by Landlord associated with the operation of the business of the legal entity or entities which constitute Landlord; bad debt losses, rent losses and 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Project; costs incurred by Landlord due to the violation by Landlord, its employees, agents or contractors or any tenant of the terms and conditions of any lease of space in the Project (except Tenant); penalties, fines or interest incurred as a result of Landlord’s inability or failure to make payment of Taxes and/or to file any tax or informational returns when due, or from Landlord’s failure to make any payment of taxes required to be made by Landlord hereunder before delinquency, unless such failure is due to Tenant’s failure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326" w:name="page327"/>
    <w:bookmarkEnd w:id="326"/>
    <w:p>
      <w:pPr>
        <w:jc w:val="both"/>
        <w:spacing w:after="0" w:line="241" w:lineRule="auto"/>
        <w:rPr>
          <w:sz w:val="20"/>
          <w:szCs w:val="20"/>
          <w:color w:val="auto"/>
        </w:rPr>
      </w:pPr>
      <w:r>
        <w:rPr>
          <w:rFonts w:ascii="Arial" w:cs="Arial" w:eastAsia="Arial" w:hAnsi="Arial"/>
          <w:sz w:val="19"/>
          <w:szCs w:val="19"/>
          <w:color w:val="auto"/>
        </w:rPr>
        <w:t xml:space="preserve">any Rent due hereunder; the costs of any item paid to Landlord or to any entity or person related to or affiliated with Landlord to the extent such cost exceeds the amount payable for such services at then-existing market rates to unrelated persons or entities; costs of Landlord’s charitable or political contributions, or of fine art maintained at the Project; costs in connection with services (including electricity), items or other benefits which are not available to Tenant without specific charges therefor, but which are provided to another tenant or occupant of the Project, whether or not such other tenant or occupant is specifically charged therefor by Landlord; costs incurred in the sale or refinancing of the Project; rent for any commercially reasonable sized office at market rates for Landlord or its managing agent located in the Project or offsite; costs associated maintaining, managing, operating, repairing or replacing any of the buildings comprising the Lower Campus; costs associated with any property or building other than the Building and the Common Areas; costs of repairs and replacements caused by the exercise of any right of condemnation or eminent domain by any public or quasi-public authority; and any other costs or expenses for which Landlord actually receives reimbursement from any source (except from tenants as part of their operating expense obligations), including condemnation awards and costs for which Landlord has been reimbursed by its insurance carrier, any tenant’s insurance carrier, any tenant, any warrantor or </w:t>
      </w:r>
      <w:r>
        <w:rPr>
          <w:rFonts w:ascii="Arial" w:cs="Arial" w:eastAsia="Arial" w:hAnsi="Arial"/>
          <w:sz w:val="19"/>
          <w:szCs w:val="19"/>
          <w:color w:val="181818"/>
        </w:rPr>
        <w:t>any other third party. To the extent</w:t>
      </w:r>
      <w:r>
        <w:rPr>
          <w:rFonts w:ascii="Arial" w:cs="Arial" w:eastAsia="Arial" w:hAnsi="Arial"/>
          <w:sz w:val="19"/>
          <w:szCs w:val="19"/>
          <w:color w:val="auto"/>
        </w:rPr>
        <w:t xml:space="preserve"> </w:t>
      </w:r>
      <w:r>
        <w:rPr>
          <w:rFonts w:ascii="Arial" w:cs="Arial" w:eastAsia="Arial" w:hAnsi="Arial"/>
          <w:sz w:val="19"/>
          <w:szCs w:val="19"/>
          <w:color w:val="2F2F2F"/>
        </w:rPr>
        <w:t>that</w:t>
      </w:r>
      <w:r>
        <w:rPr>
          <w:rFonts w:ascii="Arial" w:cs="Arial" w:eastAsia="Arial" w:hAnsi="Arial"/>
          <w:sz w:val="19"/>
          <w:szCs w:val="19"/>
          <w:color w:val="auto"/>
        </w:rPr>
        <w:t xml:space="preserve"> </w:t>
      </w:r>
      <w:r>
        <w:rPr>
          <w:rFonts w:ascii="Arial" w:cs="Arial" w:eastAsia="Arial" w:hAnsi="Arial"/>
          <w:sz w:val="19"/>
          <w:szCs w:val="19"/>
          <w:color w:val="181818"/>
        </w:rPr>
        <w:t>Tenant uses more than Tenant’s Pro Rata Share</w:t>
      </w:r>
      <w:r>
        <w:rPr>
          <w:rFonts w:ascii="Arial" w:cs="Arial" w:eastAsia="Arial" w:hAnsi="Arial"/>
          <w:sz w:val="19"/>
          <w:szCs w:val="19"/>
          <w:color w:val="auto"/>
        </w:rPr>
        <w:t xml:space="preserve"> </w:t>
      </w:r>
      <w:r>
        <w:rPr>
          <w:rFonts w:ascii="Arial" w:cs="Arial" w:eastAsia="Arial" w:hAnsi="Arial"/>
          <w:sz w:val="19"/>
          <w:szCs w:val="19"/>
          <w:color w:val="2F2F2F"/>
        </w:rPr>
        <w:t>of</w:t>
      </w:r>
      <w:r>
        <w:rPr>
          <w:rFonts w:ascii="Arial" w:cs="Arial" w:eastAsia="Arial" w:hAnsi="Arial"/>
          <w:sz w:val="19"/>
          <w:szCs w:val="19"/>
          <w:color w:val="auto"/>
        </w:rPr>
        <w:t xml:space="preserve"> </w:t>
      </w:r>
      <w:r>
        <w:rPr>
          <w:rFonts w:ascii="Arial" w:cs="Arial" w:eastAsia="Arial" w:hAnsi="Arial"/>
          <w:sz w:val="19"/>
          <w:szCs w:val="19"/>
          <w:color w:val="181818"/>
        </w:rPr>
        <w:t>any item</w:t>
      </w:r>
      <w:r>
        <w:rPr>
          <w:rFonts w:ascii="Arial" w:cs="Arial" w:eastAsia="Arial" w:hAnsi="Arial"/>
          <w:sz w:val="19"/>
          <w:szCs w:val="19"/>
          <w:color w:val="auto"/>
        </w:rPr>
        <w:t xml:space="preserve"> </w:t>
      </w:r>
      <w:r>
        <w:rPr>
          <w:rFonts w:ascii="Arial" w:cs="Arial" w:eastAsia="Arial" w:hAnsi="Arial"/>
          <w:sz w:val="19"/>
          <w:szCs w:val="19"/>
          <w:color w:val="181818"/>
        </w:rPr>
        <w:t xml:space="preserve">of Operating Expenses, Tenant </w:t>
      </w:r>
      <w:r>
        <w:rPr>
          <w:rFonts w:ascii="Arial" w:cs="Arial" w:eastAsia="Arial" w:hAnsi="Arial"/>
          <w:sz w:val="19"/>
          <w:szCs w:val="19"/>
          <w:color w:val="2F2F2F"/>
        </w:rPr>
        <w:t>shall</w:t>
      </w:r>
      <w:r>
        <w:rPr>
          <w:rFonts w:ascii="Arial" w:cs="Arial" w:eastAsia="Arial" w:hAnsi="Arial"/>
          <w:sz w:val="19"/>
          <w:szCs w:val="19"/>
          <w:color w:val="181818"/>
        </w:rPr>
        <w:t xml:space="preserve"> pay Landlord </w:t>
      </w:r>
      <w:r>
        <w:rPr>
          <w:rFonts w:ascii="Arial" w:cs="Arial" w:eastAsia="Arial" w:hAnsi="Arial"/>
          <w:sz w:val="19"/>
          <w:szCs w:val="19"/>
          <w:color w:val="2F2F2F"/>
        </w:rPr>
        <w:t>for such excess</w:t>
      </w:r>
      <w:r>
        <w:rPr>
          <w:rFonts w:ascii="Arial" w:cs="Arial" w:eastAsia="Arial" w:hAnsi="Arial"/>
          <w:sz w:val="19"/>
          <w:szCs w:val="19"/>
          <w:color w:val="181818"/>
        </w:rPr>
        <w:t xml:space="preserve"> in addition to Tenant’s </w:t>
      </w:r>
      <w:r>
        <w:rPr>
          <w:rFonts w:ascii="Arial" w:cs="Arial" w:eastAsia="Arial" w:hAnsi="Arial"/>
          <w:sz w:val="19"/>
          <w:szCs w:val="19"/>
          <w:color w:val="2F2F2F"/>
        </w:rPr>
        <w:t>obligation to</w:t>
      </w:r>
      <w:r>
        <w:rPr>
          <w:rFonts w:ascii="Arial" w:cs="Arial" w:eastAsia="Arial" w:hAnsi="Arial"/>
          <w:sz w:val="19"/>
          <w:szCs w:val="19"/>
          <w:color w:val="181818"/>
        </w:rPr>
        <w:t xml:space="preserve"> pay Tenant’s Pro Rata </w:t>
      </w:r>
      <w:r>
        <w:rPr>
          <w:rFonts w:ascii="Arial" w:cs="Arial" w:eastAsia="Arial" w:hAnsi="Arial"/>
          <w:sz w:val="19"/>
          <w:szCs w:val="19"/>
          <w:color w:val="2F2F2F"/>
        </w:rPr>
        <w:t xml:space="preserve">Share </w:t>
      </w:r>
      <w:r>
        <w:rPr>
          <w:rFonts w:ascii="Arial" w:cs="Arial" w:eastAsia="Arial" w:hAnsi="Arial"/>
          <w:sz w:val="19"/>
          <w:szCs w:val="19"/>
          <w:color w:val="181818"/>
        </w:rPr>
        <w:t>of Operating Expenses. In</w:t>
      </w:r>
      <w:r>
        <w:rPr>
          <w:rFonts w:ascii="Arial" w:cs="Arial" w:eastAsia="Arial" w:hAnsi="Arial"/>
          <w:sz w:val="19"/>
          <w:szCs w:val="19"/>
          <w:color w:val="2F2F2F"/>
        </w:rPr>
        <w:t xml:space="preserve"> no </w:t>
      </w:r>
      <w:r>
        <w:rPr>
          <w:rFonts w:ascii="Arial" w:cs="Arial" w:eastAsia="Arial" w:hAnsi="Arial"/>
          <w:sz w:val="19"/>
          <w:szCs w:val="19"/>
          <w:color w:val="181818"/>
        </w:rPr>
        <w:t>event</w:t>
      </w:r>
      <w:r>
        <w:rPr>
          <w:rFonts w:ascii="Arial" w:cs="Arial" w:eastAsia="Arial" w:hAnsi="Arial"/>
          <w:sz w:val="19"/>
          <w:szCs w:val="19"/>
          <w:color w:val="2F2F2F"/>
        </w:rPr>
        <w:t xml:space="preserve"> shall </w:t>
      </w:r>
      <w:r>
        <w:rPr>
          <w:rFonts w:ascii="Arial" w:cs="Arial" w:eastAsia="Arial" w:hAnsi="Arial"/>
          <w:sz w:val="19"/>
          <w:szCs w:val="19"/>
          <w:color w:val="181818"/>
        </w:rPr>
        <w:t>Tenant be required to pay any</w:t>
      </w:r>
      <w:r>
        <w:rPr>
          <w:rFonts w:ascii="Arial" w:cs="Arial" w:eastAsia="Arial" w:hAnsi="Arial"/>
          <w:sz w:val="19"/>
          <w:szCs w:val="19"/>
          <w:color w:val="2F2F2F"/>
        </w:rPr>
        <w:t xml:space="preserve"> expense, </w:t>
      </w:r>
      <w:r>
        <w:rPr>
          <w:rFonts w:ascii="Arial" w:cs="Arial" w:eastAsia="Arial" w:hAnsi="Arial"/>
          <w:sz w:val="19"/>
          <w:szCs w:val="19"/>
          <w:color w:val="181818"/>
        </w:rPr>
        <w:t>cost or tax twice under the</w:t>
      </w:r>
      <w:r>
        <w:rPr>
          <w:rFonts w:ascii="Arial" w:cs="Arial" w:eastAsia="Arial" w:hAnsi="Arial"/>
          <w:sz w:val="19"/>
          <w:szCs w:val="19"/>
          <w:color w:val="2F2F2F"/>
        </w:rPr>
        <w:t xml:space="preserve"> terms of this </w:t>
      </w:r>
      <w:r>
        <w:rPr>
          <w:rFonts w:ascii="Arial" w:cs="Arial" w:eastAsia="Arial" w:hAnsi="Arial"/>
          <w:sz w:val="19"/>
          <w:szCs w:val="19"/>
          <w:color w:val="181818"/>
        </w:rPr>
        <w:t>Lease.</w:t>
      </w:r>
    </w:p>
    <w:p>
      <w:pPr>
        <w:spacing w:after="0" w:line="381" w:lineRule="exact"/>
        <w:rPr>
          <w:sz w:val="20"/>
          <w:szCs w:val="20"/>
          <w:color w:val="auto"/>
        </w:rPr>
      </w:pPr>
    </w:p>
    <w:p>
      <w:pPr>
        <w:jc w:val="both"/>
        <w:ind w:left="1300" w:hanging="647"/>
        <w:spacing w:after="0" w:line="234" w:lineRule="auto"/>
        <w:tabs>
          <w:tab w:leader="none" w:pos="1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2F2F2F"/>
        </w:rPr>
        <w:t xml:space="preserve">Tenant shall </w:t>
      </w:r>
      <w:r>
        <w:rPr>
          <w:rFonts w:ascii="Arial" w:cs="Arial" w:eastAsia="Arial" w:hAnsi="Arial"/>
          <w:sz w:val="21"/>
          <w:szCs w:val="21"/>
          <w:color w:val="000000"/>
        </w:rPr>
        <w:t>pay to Landlord on the</w:t>
      </w:r>
      <w:r>
        <w:rPr>
          <w:rFonts w:ascii="Arial" w:cs="Arial" w:eastAsia="Arial" w:hAnsi="Arial"/>
          <w:sz w:val="21"/>
          <w:szCs w:val="21"/>
          <w:color w:val="2F2F2F"/>
        </w:rPr>
        <w:t xml:space="preserve"> first </w:t>
      </w:r>
      <w:r>
        <w:rPr>
          <w:rFonts w:ascii="Arial" w:cs="Arial" w:eastAsia="Arial" w:hAnsi="Arial"/>
          <w:sz w:val="21"/>
          <w:szCs w:val="21"/>
          <w:color w:val="000000"/>
        </w:rPr>
        <w:t>day of</w:t>
      </w:r>
      <w:r>
        <w:rPr>
          <w:rFonts w:ascii="Arial" w:cs="Arial" w:eastAsia="Arial" w:hAnsi="Arial"/>
          <w:sz w:val="21"/>
          <w:szCs w:val="21"/>
          <w:color w:val="2F2F2F"/>
        </w:rPr>
        <w:t xml:space="preserve"> each calendar </w:t>
      </w:r>
      <w:r>
        <w:rPr>
          <w:rFonts w:ascii="Arial" w:cs="Arial" w:eastAsia="Arial" w:hAnsi="Arial"/>
          <w:sz w:val="21"/>
          <w:szCs w:val="21"/>
          <w:color w:val="000000"/>
        </w:rPr>
        <w:t>month of the Term, as Additional Rent,</w:t>
      </w:r>
      <w:r>
        <w:rPr>
          <w:rFonts w:ascii="Arial" w:cs="Arial" w:eastAsia="Arial" w:hAnsi="Arial"/>
          <w:sz w:val="21"/>
          <w:szCs w:val="21"/>
          <w:color w:val="2F2F2F"/>
        </w:rPr>
        <w:t xml:space="preserve"> (a) </w:t>
      </w:r>
      <w:r>
        <w:rPr>
          <w:rFonts w:ascii="Arial" w:cs="Arial" w:eastAsia="Arial" w:hAnsi="Arial"/>
          <w:sz w:val="21"/>
          <w:szCs w:val="21"/>
          <w:color w:val="000000"/>
        </w:rPr>
        <w:t>the</w:t>
      </w:r>
      <w:r>
        <w:rPr>
          <w:rFonts w:ascii="Arial" w:cs="Arial" w:eastAsia="Arial" w:hAnsi="Arial"/>
          <w:sz w:val="21"/>
          <w:szCs w:val="21"/>
          <w:color w:val="2F2F2F"/>
        </w:rPr>
        <w:t xml:space="preserve"> </w:t>
      </w:r>
      <w:r>
        <w:rPr>
          <w:rFonts w:ascii="Arial" w:cs="Arial" w:eastAsia="Arial" w:hAnsi="Arial"/>
          <w:sz w:val="21"/>
          <w:szCs w:val="21"/>
          <w:color w:val="000000"/>
        </w:rPr>
        <w:t xml:space="preserve">Property Management Fee and (b). Landlord’s reasonable estimate of Tenant’s </w:t>
      </w:r>
      <w:r>
        <w:rPr>
          <w:rFonts w:ascii="Arial" w:cs="Arial" w:eastAsia="Arial" w:hAnsi="Arial"/>
          <w:sz w:val="21"/>
          <w:szCs w:val="21"/>
          <w:color w:val="2F2F2F"/>
        </w:rPr>
        <w:t>Pro</w:t>
      </w:r>
      <w:r>
        <w:rPr>
          <w:rFonts w:ascii="Arial" w:cs="Arial" w:eastAsia="Arial" w:hAnsi="Arial"/>
          <w:sz w:val="21"/>
          <w:szCs w:val="21"/>
          <w:color w:val="000000"/>
        </w:rPr>
        <w:t xml:space="preserve"> Rata </w:t>
      </w:r>
      <w:r>
        <w:rPr>
          <w:rFonts w:ascii="Arial" w:cs="Arial" w:eastAsia="Arial" w:hAnsi="Arial"/>
          <w:sz w:val="21"/>
          <w:szCs w:val="21"/>
          <w:color w:val="2F2F2F"/>
        </w:rPr>
        <w:t>Share</w:t>
      </w:r>
      <w:r>
        <w:rPr>
          <w:rFonts w:ascii="Arial" w:cs="Arial" w:eastAsia="Arial" w:hAnsi="Arial"/>
          <w:sz w:val="21"/>
          <w:szCs w:val="21"/>
          <w:color w:val="000000"/>
        </w:rPr>
        <w:t xml:space="preserve"> of </w:t>
      </w:r>
      <w:r>
        <w:rPr>
          <w:rFonts w:ascii="Arial" w:cs="Arial" w:eastAsia="Arial" w:hAnsi="Arial"/>
          <w:sz w:val="21"/>
          <w:szCs w:val="21"/>
          <w:color w:val="2F2F2F"/>
        </w:rPr>
        <w:t>Operating</w:t>
      </w:r>
      <w:r>
        <w:rPr>
          <w:rFonts w:ascii="Arial" w:cs="Arial" w:eastAsia="Arial" w:hAnsi="Arial"/>
          <w:sz w:val="21"/>
          <w:szCs w:val="21"/>
          <w:color w:val="000000"/>
        </w:rPr>
        <w:t xml:space="preserve"> </w:t>
      </w:r>
      <w:r>
        <w:rPr>
          <w:rFonts w:ascii="Arial" w:cs="Arial" w:eastAsia="Arial" w:hAnsi="Arial"/>
          <w:sz w:val="21"/>
          <w:szCs w:val="21"/>
          <w:color w:val="2F2F2F"/>
        </w:rPr>
        <w:t xml:space="preserve">Expenses </w:t>
      </w:r>
      <w:r>
        <w:rPr>
          <w:rFonts w:ascii="Arial" w:cs="Arial" w:eastAsia="Arial" w:hAnsi="Arial"/>
          <w:sz w:val="21"/>
          <w:szCs w:val="21"/>
          <w:color w:val="000000"/>
        </w:rPr>
        <w:t>with respect</w:t>
      </w:r>
      <w:r>
        <w:rPr>
          <w:rFonts w:ascii="Arial" w:cs="Arial" w:eastAsia="Arial" w:hAnsi="Arial"/>
          <w:sz w:val="21"/>
          <w:szCs w:val="21"/>
          <w:color w:val="2F2F2F"/>
        </w:rPr>
        <w:t xml:space="preserve"> to the Building </w:t>
      </w:r>
      <w:r>
        <w:rPr>
          <w:rFonts w:ascii="Arial" w:cs="Arial" w:eastAsia="Arial" w:hAnsi="Arial"/>
          <w:sz w:val="21"/>
          <w:szCs w:val="21"/>
          <w:color w:val="000000"/>
        </w:rPr>
        <w:t>and the Project, as</w:t>
      </w:r>
      <w:r>
        <w:rPr>
          <w:rFonts w:ascii="Arial" w:cs="Arial" w:eastAsia="Arial" w:hAnsi="Arial"/>
          <w:sz w:val="21"/>
          <w:szCs w:val="21"/>
          <w:color w:val="2F2F2F"/>
        </w:rPr>
        <w:t xml:space="preserve"> applicable, </w:t>
      </w:r>
      <w:r>
        <w:rPr>
          <w:rFonts w:ascii="Arial" w:cs="Arial" w:eastAsia="Arial" w:hAnsi="Arial"/>
          <w:sz w:val="21"/>
          <w:szCs w:val="21"/>
          <w:color w:val="000000"/>
        </w:rPr>
        <w:t>for</w:t>
      </w:r>
      <w:r>
        <w:rPr>
          <w:rFonts w:ascii="Arial" w:cs="Arial" w:eastAsia="Arial" w:hAnsi="Arial"/>
          <w:sz w:val="21"/>
          <w:szCs w:val="21"/>
          <w:color w:val="2F2F2F"/>
        </w:rPr>
        <w:t xml:space="preserve"> such </w:t>
      </w:r>
      <w:r>
        <w:rPr>
          <w:rFonts w:ascii="Arial" w:cs="Arial" w:eastAsia="Arial" w:hAnsi="Arial"/>
          <w:sz w:val="21"/>
          <w:szCs w:val="21"/>
          <w:color w:val="000000"/>
        </w:rPr>
        <w:t>month</w:t>
      </w:r>
      <w:r>
        <w:rPr>
          <w:rFonts w:ascii="Arial" w:cs="Arial" w:eastAsia="Arial" w:hAnsi="Arial"/>
          <w:sz w:val="21"/>
          <w:szCs w:val="21"/>
          <w:color w:val="494949"/>
        </w:rPr>
        <w:t>.</w:t>
      </w:r>
    </w:p>
    <w:p>
      <w:pPr>
        <w:spacing w:after="0" w:line="158" w:lineRule="exact"/>
        <w:rPr>
          <w:sz w:val="20"/>
          <w:szCs w:val="20"/>
          <w:color w:val="auto"/>
        </w:rPr>
      </w:pPr>
    </w:p>
    <w:p>
      <w:pPr>
        <w:ind w:left="3120" w:hanging="520"/>
        <w:spacing w:after="0"/>
        <w:tabs>
          <w:tab w:leader="none" w:pos="312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Property Management Fee</w:t>
      </w:r>
      <w:r>
        <w:rPr>
          <w:rFonts w:ascii="Arial" w:cs="Arial" w:eastAsia="Arial" w:hAnsi="Arial"/>
          <w:sz w:val="19"/>
          <w:szCs w:val="19"/>
          <w:color w:val="auto"/>
        </w:rPr>
        <w:t xml:space="preserve">” </w:t>
      </w:r>
      <w:r>
        <w:rPr>
          <w:rFonts w:ascii="Arial" w:cs="Arial" w:eastAsia="Arial" w:hAnsi="Arial"/>
          <w:sz w:val="19"/>
          <w:szCs w:val="19"/>
          <w:color w:val="2F2F2F"/>
        </w:rPr>
        <w:t>shall</w:t>
      </w:r>
      <w:r>
        <w:rPr>
          <w:rFonts w:ascii="Arial" w:cs="Arial" w:eastAsia="Arial" w:hAnsi="Arial"/>
          <w:sz w:val="19"/>
          <w:szCs w:val="19"/>
          <w:color w:val="auto"/>
        </w:rPr>
        <w:t xml:space="preserve"> equal </w:t>
      </w:r>
      <w:r>
        <w:rPr>
          <w:rFonts w:ascii="Arial" w:cs="Arial" w:eastAsia="Arial" w:hAnsi="Arial"/>
          <w:sz w:val="19"/>
          <w:szCs w:val="19"/>
          <w:u w:val="single" w:color="auto"/>
          <w:color w:val="auto"/>
        </w:rPr>
        <w:t>[***]</w:t>
      </w:r>
      <w:r>
        <w:rPr>
          <w:rFonts w:ascii="Arial" w:cs="Arial" w:eastAsia="Arial" w:hAnsi="Arial"/>
          <w:sz w:val="19"/>
          <w:szCs w:val="19"/>
          <w:color w:val="auto"/>
        </w:rPr>
        <w:t xml:space="preserve"> percent (</w:t>
      </w:r>
      <w:r>
        <w:rPr>
          <w:rFonts w:ascii="Arial" w:cs="Arial" w:eastAsia="Arial" w:hAnsi="Arial"/>
          <w:sz w:val="19"/>
          <w:szCs w:val="19"/>
          <w:u w:val="single" w:color="auto"/>
          <w:color w:val="auto"/>
        </w:rPr>
        <w:t>[***]</w:t>
      </w:r>
      <w:r>
        <w:rPr>
          <w:rFonts w:ascii="Arial" w:cs="Arial" w:eastAsia="Arial" w:hAnsi="Arial"/>
          <w:sz w:val="19"/>
          <w:szCs w:val="19"/>
          <w:color w:val="auto"/>
        </w:rPr>
        <w:t>%) of Base Rent due from</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Tenant.</w:t>
      </w:r>
    </w:p>
    <w:p>
      <w:pPr>
        <w:spacing w:after="0" w:line="161" w:lineRule="exact"/>
        <w:rPr>
          <w:sz w:val="20"/>
          <w:szCs w:val="20"/>
          <w:color w:val="auto"/>
        </w:rPr>
      </w:pPr>
    </w:p>
    <w:p>
      <w:pPr>
        <w:jc w:val="both"/>
        <w:ind w:firstLine="2600"/>
        <w:spacing w:after="0" w:line="247" w:lineRule="auto"/>
        <w:tabs>
          <w:tab w:leader="none" w:pos="3067" w:val="left"/>
        </w:tabs>
        <w:numPr>
          <w:ilvl w:val="0"/>
          <w:numId w:val="282"/>
        </w:numPr>
        <w:rPr>
          <w:rFonts w:ascii="Arial" w:cs="Arial" w:eastAsia="Arial" w:hAnsi="Arial"/>
          <w:sz w:val="19"/>
          <w:szCs w:val="19"/>
          <w:color w:val="auto"/>
        </w:rPr>
      </w:pPr>
      <w:r>
        <w:rPr>
          <w:rFonts w:ascii="Arial" w:cs="Arial" w:eastAsia="Arial" w:hAnsi="Arial"/>
          <w:sz w:val="19"/>
          <w:szCs w:val="19"/>
          <w:color w:val="auto"/>
        </w:rPr>
        <w:t xml:space="preserve">Within </w:t>
      </w:r>
      <w:r>
        <w:rPr>
          <w:rFonts w:ascii="Arial" w:cs="Arial" w:eastAsia="Arial" w:hAnsi="Arial"/>
          <w:sz w:val="19"/>
          <w:szCs w:val="19"/>
          <w:u w:val="single" w:color="auto"/>
          <w:color w:val="auto"/>
        </w:rPr>
        <w:t>[***]</w:t>
      </w:r>
      <w:r>
        <w:rPr>
          <w:rFonts w:ascii="Arial" w:cs="Arial" w:eastAsia="Arial" w:hAnsi="Arial"/>
          <w:sz w:val="19"/>
          <w:szCs w:val="19"/>
          <w:color w:val="auto"/>
        </w:rPr>
        <w:t xml:space="preserve"> days </w:t>
      </w:r>
      <w:r>
        <w:rPr>
          <w:rFonts w:ascii="Arial" w:cs="Arial" w:eastAsia="Arial" w:hAnsi="Arial"/>
          <w:sz w:val="19"/>
          <w:szCs w:val="19"/>
          <w:color w:val="2F2F2F"/>
        </w:rPr>
        <w:t>after the conclusion</w:t>
      </w:r>
      <w:r>
        <w:rPr>
          <w:rFonts w:ascii="Arial" w:cs="Arial" w:eastAsia="Arial" w:hAnsi="Arial"/>
          <w:sz w:val="19"/>
          <w:szCs w:val="19"/>
          <w:color w:val="auto"/>
        </w:rPr>
        <w:t xml:space="preserve"> of each calendar </w:t>
      </w:r>
      <w:r>
        <w:rPr>
          <w:rFonts w:ascii="Arial" w:cs="Arial" w:eastAsia="Arial" w:hAnsi="Arial"/>
          <w:sz w:val="19"/>
          <w:szCs w:val="19"/>
          <w:color w:val="2F2F2F"/>
        </w:rPr>
        <w:t>year</w:t>
      </w:r>
      <w:r>
        <w:rPr>
          <w:rFonts w:ascii="Arial" w:cs="Arial" w:eastAsia="Arial" w:hAnsi="Arial"/>
          <w:sz w:val="19"/>
          <w:szCs w:val="19"/>
          <w:color w:val="auto"/>
        </w:rPr>
        <w:t xml:space="preserve"> (or </w:t>
      </w:r>
      <w:r>
        <w:rPr>
          <w:rFonts w:ascii="Arial" w:cs="Arial" w:eastAsia="Arial" w:hAnsi="Arial"/>
          <w:sz w:val="19"/>
          <w:szCs w:val="19"/>
          <w:color w:val="2F2F2F"/>
        </w:rPr>
        <w:t>such</w:t>
      </w:r>
      <w:r>
        <w:rPr>
          <w:rFonts w:ascii="Arial" w:cs="Arial" w:eastAsia="Arial" w:hAnsi="Arial"/>
          <w:sz w:val="19"/>
          <w:szCs w:val="19"/>
          <w:color w:val="auto"/>
        </w:rPr>
        <w:t xml:space="preserve"> longer period as </w:t>
      </w:r>
      <w:r>
        <w:rPr>
          <w:rFonts w:ascii="Arial" w:cs="Arial" w:eastAsia="Arial" w:hAnsi="Arial"/>
          <w:sz w:val="19"/>
          <w:szCs w:val="19"/>
          <w:color w:val="2F2F2F"/>
        </w:rPr>
        <w:t>may</w:t>
      </w:r>
      <w:r>
        <w:rPr>
          <w:rFonts w:ascii="Arial" w:cs="Arial" w:eastAsia="Arial" w:hAnsi="Arial"/>
          <w:sz w:val="19"/>
          <w:szCs w:val="19"/>
          <w:color w:val="auto"/>
        </w:rPr>
        <w:t xml:space="preserve"> be reasonably required by Landlord, but no later than </w:t>
      </w:r>
      <w:r>
        <w:rPr>
          <w:rFonts w:ascii="Arial" w:cs="Arial" w:eastAsia="Arial" w:hAnsi="Arial"/>
          <w:sz w:val="19"/>
          <w:szCs w:val="19"/>
          <w:u w:val="single" w:color="auto"/>
          <w:color w:val="auto"/>
        </w:rPr>
        <w:t>[***]</w:t>
      </w:r>
      <w:r>
        <w:rPr>
          <w:rFonts w:ascii="Arial" w:cs="Arial" w:eastAsia="Arial" w:hAnsi="Arial"/>
          <w:sz w:val="19"/>
          <w:szCs w:val="19"/>
          <w:color w:val="auto"/>
        </w:rPr>
        <w:t xml:space="preserve"> days </w:t>
      </w:r>
      <w:r>
        <w:rPr>
          <w:rFonts w:ascii="Arial" w:cs="Arial" w:eastAsia="Arial" w:hAnsi="Arial"/>
          <w:sz w:val="19"/>
          <w:szCs w:val="19"/>
          <w:color w:val="2F2F2F"/>
        </w:rPr>
        <w:t>after</w:t>
      </w:r>
      <w:r>
        <w:rPr>
          <w:rFonts w:ascii="Arial" w:cs="Arial" w:eastAsia="Arial" w:hAnsi="Arial"/>
          <w:sz w:val="19"/>
          <w:szCs w:val="19"/>
          <w:color w:val="auto"/>
        </w:rPr>
        <w:t xml:space="preserve"> the end of the applicable year)</w:t>
      </w:r>
      <w:r>
        <w:rPr>
          <w:rFonts w:ascii="Arial" w:cs="Arial" w:eastAsia="Arial" w:hAnsi="Arial"/>
          <w:sz w:val="19"/>
          <w:szCs w:val="19"/>
          <w:color w:val="494949"/>
        </w:rPr>
        <w:t>,</w:t>
      </w:r>
      <w:r>
        <w:rPr>
          <w:rFonts w:ascii="Arial" w:cs="Arial" w:eastAsia="Arial" w:hAnsi="Arial"/>
          <w:sz w:val="19"/>
          <w:szCs w:val="19"/>
          <w:color w:val="auto"/>
        </w:rPr>
        <w:t xml:space="preserve"> Landlord </w:t>
      </w:r>
      <w:r>
        <w:rPr>
          <w:rFonts w:ascii="Arial" w:cs="Arial" w:eastAsia="Arial" w:hAnsi="Arial"/>
          <w:sz w:val="19"/>
          <w:szCs w:val="19"/>
          <w:color w:val="2F2F2F"/>
        </w:rPr>
        <w:t>shall</w:t>
      </w:r>
      <w:r>
        <w:rPr>
          <w:rFonts w:ascii="Arial" w:cs="Arial" w:eastAsia="Arial" w:hAnsi="Arial"/>
          <w:sz w:val="19"/>
          <w:szCs w:val="19"/>
          <w:color w:val="auto"/>
        </w:rPr>
        <w:t xml:space="preserve"> furnish to Tenant a </w:t>
      </w:r>
      <w:r>
        <w:rPr>
          <w:rFonts w:ascii="Arial" w:cs="Arial" w:eastAsia="Arial" w:hAnsi="Arial"/>
          <w:sz w:val="19"/>
          <w:szCs w:val="19"/>
          <w:color w:val="2F2F2F"/>
        </w:rPr>
        <w:t>statement showing in</w:t>
      </w:r>
      <w:r>
        <w:rPr>
          <w:rFonts w:ascii="Arial" w:cs="Arial" w:eastAsia="Arial" w:hAnsi="Arial"/>
          <w:sz w:val="19"/>
          <w:szCs w:val="19"/>
          <w:color w:val="auto"/>
        </w:rPr>
        <w:t xml:space="preserve"> reasonable detail the </w:t>
      </w:r>
      <w:r>
        <w:rPr>
          <w:rFonts w:ascii="Arial" w:cs="Arial" w:eastAsia="Arial" w:hAnsi="Arial"/>
          <w:sz w:val="19"/>
          <w:szCs w:val="19"/>
          <w:color w:val="2F2F2F"/>
        </w:rPr>
        <w:t>actual</w:t>
      </w:r>
      <w:r>
        <w:rPr>
          <w:rFonts w:ascii="Arial" w:cs="Arial" w:eastAsia="Arial" w:hAnsi="Arial"/>
          <w:sz w:val="19"/>
          <w:szCs w:val="19"/>
          <w:color w:val="auto"/>
        </w:rPr>
        <w:t xml:space="preserve"> Operating </w:t>
      </w:r>
      <w:r>
        <w:rPr>
          <w:rFonts w:ascii="Arial" w:cs="Arial" w:eastAsia="Arial" w:hAnsi="Arial"/>
          <w:sz w:val="19"/>
          <w:szCs w:val="19"/>
          <w:color w:val="2F2F2F"/>
        </w:rPr>
        <w:t>Expenses</w:t>
      </w:r>
      <w:r>
        <w:rPr>
          <w:rFonts w:ascii="Arial" w:cs="Arial" w:eastAsia="Arial" w:hAnsi="Arial"/>
          <w:sz w:val="19"/>
          <w:szCs w:val="19"/>
          <w:color w:val="auto"/>
        </w:rPr>
        <w:t xml:space="preserve"> and Tenant’s </w:t>
      </w:r>
      <w:r>
        <w:rPr>
          <w:rFonts w:ascii="Arial" w:cs="Arial" w:eastAsia="Arial" w:hAnsi="Arial"/>
          <w:sz w:val="19"/>
          <w:szCs w:val="19"/>
          <w:color w:val="2F2F2F"/>
        </w:rPr>
        <w:t>Pro</w:t>
      </w:r>
      <w:r>
        <w:rPr>
          <w:rFonts w:ascii="Arial" w:cs="Arial" w:eastAsia="Arial" w:hAnsi="Arial"/>
          <w:sz w:val="19"/>
          <w:szCs w:val="19"/>
          <w:color w:val="auto"/>
        </w:rPr>
        <w:t xml:space="preserve"> Rata Share of Operating Expenses </w:t>
      </w:r>
      <w:r>
        <w:rPr>
          <w:rFonts w:ascii="Arial" w:cs="Arial" w:eastAsia="Arial" w:hAnsi="Arial"/>
          <w:sz w:val="19"/>
          <w:szCs w:val="19"/>
          <w:color w:val="2F2F2F"/>
        </w:rPr>
        <w:t>for</w:t>
      </w:r>
      <w:r>
        <w:rPr>
          <w:rFonts w:ascii="Arial" w:cs="Arial" w:eastAsia="Arial" w:hAnsi="Arial"/>
          <w:sz w:val="19"/>
          <w:szCs w:val="19"/>
          <w:color w:val="auto"/>
        </w:rPr>
        <w:t xml:space="preserve"> the previous calendar year. Any </w:t>
      </w:r>
      <w:r>
        <w:rPr>
          <w:rFonts w:ascii="Arial" w:cs="Arial" w:eastAsia="Arial" w:hAnsi="Arial"/>
          <w:sz w:val="19"/>
          <w:szCs w:val="19"/>
          <w:color w:val="2F2F2F"/>
        </w:rPr>
        <w:t>additional sum</w:t>
      </w:r>
      <w:r>
        <w:rPr>
          <w:rFonts w:ascii="Arial" w:cs="Arial" w:eastAsia="Arial" w:hAnsi="Arial"/>
          <w:sz w:val="19"/>
          <w:szCs w:val="19"/>
          <w:color w:val="auto"/>
        </w:rPr>
        <w:t xml:space="preserve"> due from Tenant to Landlord </w:t>
      </w:r>
      <w:r>
        <w:rPr>
          <w:rFonts w:ascii="Arial" w:cs="Arial" w:eastAsia="Arial" w:hAnsi="Arial"/>
          <w:sz w:val="19"/>
          <w:szCs w:val="19"/>
          <w:color w:val="2F2F2F"/>
        </w:rPr>
        <w:t>shall</w:t>
      </w:r>
      <w:r>
        <w:rPr>
          <w:rFonts w:ascii="Arial" w:cs="Arial" w:eastAsia="Arial" w:hAnsi="Arial"/>
          <w:sz w:val="19"/>
          <w:szCs w:val="19"/>
          <w:color w:val="auto"/>
        </w:rPr>
        <w:t xml:space="preserve"> be immediately due and payable</w:t>
      </w:r>
      <w:r>
        <w:rPr>
          <w:rFonts w:ascii="Arial" w:cs="Arial" w:eastAsia="Arial" w:hAnsi="Arial"/>
          <w:sz w:val="19"/>
          <w:szCs w:val="19"/>
          <w:color w:val="494949"/>
        </w:rPr>
        <w:t>.</w:t>
      </w:r>
      <w:r>
        <w:rPr>
          <w:rFonts w:ascii="Arial" w:cs="Arial" w:eastAsia="Arial" w:hAnsi="Arial"/>
          <w:sz w:val="19"/>
          <w:szCs w:val="19"/>
          <w:color w:val="auto"/>
        </w:rPr>
        <w:t xml:space="preserve"> If the amounts paid by </w:t>
      </w:r>
      <w:r>
        <w:rPr>
          <w:rFonts w:ascii="Arial" w:cs="Arial" w:eastAsia="Arial" w:hAnsi="Arial"/>
          <w:sz w:val="19"/>
          <w:szCs w:val="19"/>
          <w:color w:val="2F2F2F"/>
        </w:rPr>
        <w:t>Tenant</w:t>
      </w:r>
      <w:r>
        <w:rPr>
          <w:rFonts w:ascii="Arial" w:cs="Arial" w:eastAsia="Arial" w:hAnsi="Arial"/>
          <w:sz w:val="19"/>
          <w:szCs w:val="19"/>
          <w:color w:val="auto"/>
        </w:rPr>
        <w:t xml:space="preserve"> pursuant to this </w:t>
      </w:r>
      <w:r>
        <w:rPr>
          <w:rFonts w:ascii="Arial" w:cs="Arial" w:eastAsia="Arial" w:hAnsi="Arial"/>
          <w:sz w:val="19"/>
          <w:szCs w:val="19"/>
          <w:color w:val="2F2F2F"/>
        </w:rPr>
        <w:t>Section</w:t>
      </w:r>
      <w:r>
        <w:rPr>
          <w:rFonts w:ascii="Arial" w:cs="Arial" w:eastAsia="Arial" w:hAnsi="Arial"/>
          <w:sz w:val="19"/>
          <w:szCs w:val="19"/>
          <w:color w:val="auto"/>
        </w:rPr>
        <w:t xml:space="preserve"> exceed Tenant’s Pro Rata </w:t>
      </w:r>
      <w:r>
        <w:rPr>
          <w:rFonts w:ascii="Arial" w:cs="Arial" w:eastAsia="Arial" w:hAnsi="Arial"/>
          <w:sz w:val="19"/>
          <w:szCs w:val="19"/>
          <w:color w:val="2F2F2F"/>
        </w:rPr>
        <w:t>Share of</w:t>
      </w:r>
      <w:r>
        <w:rPr>
          <w:rFonts w:ascii="Arial" w:cs="Arial" w:eastAsia="Arial" w:hAnsi="Arial"/>
          <w:sz w:val="19"/>
          <w:szCs w:val="19"/>
          <w:color w:val="auto"/>
        </w:rPr>
        <w:t xml:space="preserve"> Operating Expenses for the previous </w:t>
      </w:r>
      <w:r>
        <w:rPr>
          <w:rFonts w:ascii="Arial" w:cs="Arial" w:eastAsia="Arial" w:hAnsi="Arial"/>
          <w:sz w:val="19"/>
          <w:szCs w:val="19"/>
          <w:color w:val="2F2F2F"/>
        </w:rPr>
        <w:t xml:space="preserve">calendar </w:t>
      </w:r>
      <w:r>
        <w:rPr>
          <w:rFonts w:ascii="Arial" w:cs="Arial" w:eastAsia="Arial" w:hAnsi="Arial"/>
          <w:sz w:val="19"/>
          <w:szCs w:val="19"/>
          <w:color w:val="000000"/>
        </w:rPr>
        <w:t>year, then Landlord</w:t>
      </w:r>
      <w:r>
        <w:rPr>
          <w:rFonts w:ascii="Arial" w:cs="Arial" w:eastAsia="Arial" w:hAnsi="Arial"/>
          <w:sz w:val="19"/>
          <w:szCs w:val="19"/>
          <w:color w:val="2F2F2F"/>
        </w:rPr>
        <w:t xml:space="preserve"> shall </w:t>
      </w:r>
      <w:r>
        <w:rPr>
          <w:rFonts w:ascii="Arial" w:cs="Arial" w:eastAsia="Arial" w:hAnsi="Arial"/>
          <w:sz w:val="19"/>
          <w:szCs w:val="19"/>
          <w:color w:val="000000"/>
        </w:rPr>
        <w:t>credit</w:t>
      </w:r>
      <w:r>
        <w:rPr>
          <w:rFonts w:ascii="Arial" w:cs="Arial" w:eastAsia="Arial" w:hAnsi="Arial"/>
          <w:sz w:val="19"/>
          <w:szCs w:val="19"/>
          <w:color w:val="2F2F2F"/>
        </w:rPr>
        <w:t xml:space="preserve"> the </w:t>
      </w:r>
      <w:r>
        <w:rPr>
          <w:rFonts w:ascii="Arial" w:cs="Arial" w:eastAsia="Arial" w:hAnsi="Arial"/>
          <w:sz w:val="19"/>
          <w:szCs w:val="19"/>
          <w:color w:val="000000"/>
        </w:rPr>
        <w:t>difference against the Rent next due and owing</w:t>
      </w:r>
      <w:r>
        <w:rPr>
          <w:rFonts w:ascii="Arial" w:cs="Arial" w:eastAsia="Arial" w:hAnsi="Arial"/>
          <w:sz w:val="19"/>
          <w:szCs w:val="19"/>
          <w:color w:val="2F2F2F"/>
        </w:rPr>
        <w:t xml:space="preserve"> from </w:t>
      </w:r>
      <w:r>
        <w:rPr>
          <w:rFonts w:ascii="Arial" w:cs="Arial" w:eastAsia="Arial" w:hAnsi="Arial"/>
          <w:sz w:val="19"/>
          <w:szCs w:val="19"/>
          <w:color w:val="000000"/>
        </w:rPr>
        <w:t>Tenant;</w:t>
      </w:r>
      <w:r>
        <w:rPr>
          <w:rFonts w:ascii="Arial" w:cs="Arial" w:eastAsia="Arial" w:hAnsi="Arial"/>
          <w:sz w:val="19"/>
          <w:szCs w:val="19"/>
          <w:color w:val="2F2F2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2F2F2F"/>
        </w:rPr>
        <w:t xml:space="preserve"> </w:t>
      </w:r>
      <w:r>
        <w:rPr>
          <w:rFonts w:ascii="Arial" w:cs="Arial" w:eastAsia="Arial" w:hAnsi="Arial"/>
          <w:sz w:val="19"/>
          <w:szCs w:val="19"/>
          <w:color w:val="000000"/>
        </w:rPr>
        <w:t>that,</w:t>
      </w:r>
      <w:r>
        <w:rPr>
          <w:rFonts w:ascii="Arial" w:cs="Arial" w:eastAsia="Arial" w:hAnsi="Arial"/>
          <w:sz w:val="19"/>
          <w:szCs w:val="19"/>
          <w:color w:val="2F2F2F"/>
        </w:rPr>
        <w:t xml:space="preserve"> if </w:t>
      </w:r>
      <w:r>
        <w:rPr>
          <w:rFonts w:ascii="Arial" w:cs="Arial" w:eastAsia="Arial" w:hAnsi="Arial"/>
          <w:sz w:val="19"/>
          <w:szCs w:val="19"/>
          <w:color w:val="000000"/>
        </w:rPr>
        <w:t>the</w:t>
      </w:r>
      <w:r>
        <w:rPr>
          <w:rFonts w:ascii="Arial" w:cs="Arial" w:eastAsia="Arial" w:hAnsi="Arial"/>
          <w:sz w:val="19"/>
          <w:szCs w:val="19"/>
          <w:color w:val="2F2F2F"/>
        </w:rPr>
        <w:t xml:space="preserve"> </w:t>
      </w:r>
      <w:r>
        <w:rPr>
          <w:rFonts w:ascii="Arial" w:cs="Arial" w:eastAsia="Arial" w:hAnsi="Arial"/>
          <w:sz w:val="19"/>
          <w:szCs w:val="19"/>
          <w:color w:val="494949"/>
        </w:rPr>
        <w:t>T</w:t>
      </w:r>
      <w:r>
        <w:rPr>
          <w:rFonts w:ascii="Arial" w:cs="Arial" w:eastAsia="Arial" w:hAnsi="Arial"/>
          <w:sz w:val="19"/>
          <w:szCs w:val="19"/>
          <w:color w:val="000000"/>
        </w:rPr>
        <w:t>erm has expired, Landlord</w:t>
      </w:r>
      <w:r>
        <w:rPr>
          <w:rFonts w:ascii="Arial" w:cs="Arial" w:eastAsia="Arial" w:hAnsi="Arial"/>
          <w:sz w:val="19"/>
          <w:szCs w:val="19"/>
          <w:color w:val="494949"/>
        </w:rPr>
        <w:t xml:space="preserve"> </w:t>
      </w:r>
      <w:r>
        <w:rPr>
          <w:rFonts w:ascii="Arial" w:cs="Arial" w:eastAsia="Arial" w:hAnsi="Arial"/>
          <w:sz w:val="19"/>
          <w:szCs w:val="19"/>
          <w:color w:val="2F2F2F"/>
        </w:rPr>
        <w:t>shall</w:t>
      </w:r>
      <w:r>
        <w:rPr>
          <w:rFonts w:ascii="Arial" w:cs="Arial" w:eastAsia="Arial" w:hAnsi="Arial"/>
          <w:sz w:val="19"/>
          <w:szCs w:val="19"/>
          <w:color w:val="494949"/>
        </w:rPr>
        <w:t xml:space="preserve"> </w:t>
      </w:r>
      <w:r>
        <w:rPr>
          <w:rFonts w:ascii="Arial" w:cs="Arial" w:eastAsia="Arial" w:hAnsi="Arial"/>
          <w:sz w:val="19"/>
          <w:szCs w:val="19"/>
          <w:color w:val="000000"/>
        </w:rPr>
        <w:t>accompany</w:t>
      </w:r>
      <w:r>
        <w:rPr>
          <w:rFonts w:ascii="Arial" w:cs="Arial" w:eastAsia="Arial" w:hAnsi="Arial"/>
          <w:sz w:val="19"/>
          <w:szCs w:val="19"/>
          <w:color w:val="494949"/>
        </w:rPr>
        <w:t xml:space="preserve"> </w:t>
      </w:r>
      <w:r>
        <w:rPr>
          <w:rFonts w:ascii="Arial" w:cs="Arial" w:eastAsia="Arial" w:hAnsi="Arial"/>
          <w:sz w:val="19"/>
          <w:szCs w:val="19"/>
          <w:color w:val="2F2F2F"/>
        </w:rPr>
        <w:t>said statement</w:t>
      </w:r>
      <w:r>
        <w:rPr>
          <w:rFonts w:ascii="Arial" w:cs="Arial" w:eastAsia="Arial" w:hAnsi="Arial"/>
          <w:sz w:val="19"/>
          <w:szCs w:val="19"/>
          <w:color w:val="494949"/>
        </w:rPr>
        <w:t xml:space="preserve"> </w:t>
      </w:r>
      <w:r>
        <w:rPr>
          <w:rFonts w:ascii="Arial" w:cs="Arial" w:eastAsia="Arial" w:hAnsi="Arial"/>
          <w:sz w:val="19"/>
          <w:szCs w:val="19"/>
          <w:color w:val="000000"/>
        </w:rPr>
        <w:t>with payment for</w:t>
      </w:r>
      <w:r>
        <w:rPr>
          <w:rFonts w:ascii="Arial" w:cs="Arial" w:eastAsia="Arial" w:hAnsi="Arial"/>
          <w:sz w:val="19"/>
          <w:szCs w:val="19"/>
          <w:color w:val="494949"/>
        </w:rPr>
        <w:t xml:space="preserve"> </w:t>
      </w:r>
      <w:r>
        <w:rPr>
          <w:rFonts w:ascii="Arial" w:cs="Arial" w:eastAsia="Arial" w:hAnsi="Arial"/>
          <w:sz w:val="19"/>
          <w:szCs w:val="19"/>
          <w:color w:val="2F2F2F"/>
        </w:rPr>
        <w:t>the amount</w:t>
      </w:r>
      <w:r>
        <w:rPr>
          <w:rFonts w:ascii="Arial" w:cs="Arial" w:eastAsia="Arial" w:hAnsi="Arial"/>
          <w:sz w:val="19"/>
          <w:szCs w:val="19"/>
          <w:color w:val="494949"/>
        </w:rPr>
        <w:t xml:space="preserve"> </w:t>
      </w:r>
      <w:r>
        <w:rPr>
          <w:rFonts w:ascii="Arial" w:cs="Arial" w:eastAsia="Arial" w:hAnsi="Arial"/>
          <w:sz w:val="19"/>
          <w:szCs w:val="19"/>
          <w:color w:val="000000"/>
        </w:rPr>
        <w:t>of such difference.</w:t>
      </w:r>
    </w:p>
    <w:p>
      <w:pPr>
        <w:spacing w:after="0" w:line="153" w:lineRule="exact"/>
        <w:rPr>
          <w:rFonts w:ascii="Arial" w:cs="Arial" w:eastAsia="Arial" w:hAnsi="Arial"/>
          <w:sz w:val="19"/>
          <w:szCs w:val="19"/>
          <w:color w:val="auto"/>
        </w:rPr>
      </w:pPr>
    </w:p>
    <w:p>
      <w:pPr>
        <w:ind w:firstLine="2600"/>
        <w:spacing w:after="0" w:line="232" w:lineRule="auto"/>
        <w:tabs>
          <w:tab w:leader="none" w:pos="3156" w:val="left"/>
        </w:tabs>
        <w:numPr>
          <w:ilvl w:val="0"/>
          <w:numId w:val="282"/>
        </w:numPr>
        <w:rPr>
          <w:rFonts w:ascii="Arial" w:cs="Arial" w:eastAsia="Arial" w:hAnsi="Arial"/>
          <w:sz w:val="22"/>
          <w:szCs w:val="22"/>
          <w:color w:val="auto"/>
        </w:rPr>
      </w:pPr>
      <w:r>
        <w:rPr>
          <w:rFonts w:ascii="Arial" w:cs="Arial" w:eastAsia="Arial" w:hAnsi="Arial"/>
          <w:sz w:val="22"/>
          <w:szCs w:val="22"/>
          <w:color w:val="auto"/>
        </w:rPr>
        <w:t xml:space="preserve">Any amount due under this </w:t>
      </w:r>
      <w:r>
        <w:rPr>
          <w:rFonts w:ascii="Arial" w:cs="Arial" w:eastAsia="Arial" w:hAnsi="Arial"/>
          <w:sz w:val="22"/>
          <w:szCs w:val="22"/>
          <w:color w:val="2F2F2F"/>
        </w:rPr>
        <w:t>Section for any</w:t>
      </w:r>
      <w:r>
        <w:rPr>
          <w:rFonts w:ascii="Arial" w:cs="Arial" w:eastAsia="Arial" w:hAnsi="Arial"/>
          <w:sz w:val="22"/>
          <w:szCs w:val="22"/>
          <w:color w:val="auto"/>
        </w:rPr>
        <w:t xml:space="preserve"> period that is less than </w:t>
      </w:r>
      <w:r>
        <w:rPr>
          <w:rFonts w:ascii="Arial" w:cs="Arial" w:eastAsia="Arial" w:hAnsi="Arial"/>
          <w:sz w:val="22"/>
          <w:szCs w:val="22"/>
          <w:color w:val="2F2F2F"/>
        </w:rPr>
        <w:t>a</w:t>
      </w:r>
      <w:r>
        <w:rPr>
          <w:rFonts w:ascii="Arial" w:cs="Arial" w:eastAsia="Arial" w:hAnsi="Arial"/>
          <w:sz w:val="22"/>
          <w:szCs w:val="22"/>
          <w:color w:val="auto"/>
        </w:rPr>
        <w:t xml:space="preserve"> full month </w:t>
      </w:r>
      <w:r>
        <w:rPr>
          <w:rFonts w:ascii="Arial" w:cs="Arial" w:eastAsia="Arial" w:hAnsi="Arial"/>
          <w:sz w:val="22"/>
          <w:szCs w:val="22"/>
          <w:color w:val="2F2F2F"/>
        </w:rPr>
        <w:t>shall</w:t>
      </w:r>
      <w:r>
        <w:rPr>
          <w:rFonts w:ascii="Arial" w:cs="Arial" w:eastAsia="Arial" w:hAnsi="Arial"/>
          <w:sz w:val="22"/>
          <w:szCs w:val="22"/>
          <w:color w:val="auto"/>
        </w:rPr>
        <w:t xml:space="preserve"> be prorated (based on </w:t>
      </w:r>
      <w:r>
        <w:rPr>
          <w:rFonts w:ascii="Arial" w:cs="Arial" w:eastAsia="Arial" w:hAnsi="Arial"/>
          <w:sz w:val="22"/>
          <w:szCs w:val="22"/>
          <w:color w:val="2F2F2F"/>
        </w:rPr>
        <w:t>a</w:t>
      </w:r>
      <w:r>
        <w:rPr>
          <w:rFonts w:ascii="Arial" w:cs="Arial" w:eastAsia="Arial" w:hAnsi="Arial"/>
          <w:sz w:val="22"/>
          <w:szCs w:val="22"/>
          <w:color w:val="auto"/>
        </w:rPr>
        <w:t xml:space="preserve"> thirty (30)-day month) for </w:t>
      </w:r>
      <w:r>
        <w:rPr>
          <w:rFonts w:ascii="Arial" w:cs="Arial" w:eastAsia="Arial" w:hAnsi="Arial"/>
          <w:sz w:val="22"/>
          <w:szCs w:val="22"/>
          <w:color w:val="2F2F2F"/>
        </w:rPr>
        <w:t>such fractional month.</w:t>
      </w:r>
    </w:p>
    <w:p>
      <w:pPr>
        <w:spacing w:after="0" w:line="159" w:lineRule="exact"/>
        <w:rPr>
          <w:sz w:val="20"/>
          <w:szCs w:val="20"/>
          <w:color w:val="auto"/>
        </w:rPr>
      </w:pPr>
    </w:p>
    <w:p>
      <w:pPr>
        <w:jc w:val="both"/>
        <w:ind w:left="1300" w:hanging="647"/>
        <w:spacing w:after="0" w:line="222" w:lineRule="auto"/>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color w:val="auto"/>
        </w:rPr>
        <w:t xml:space="preserve">Landlord’s annual </w:t>
      </w:r>
      <w:r>
        <w:rPr>
          <w:rFonts w:ascii="Arial" w:cs="Arial" w:eastAsia="Arial" w:hAnsi="Arial"/>
          <w:sz w:val="21"/>
          <w:szCs w:val="21"/>
          <w:color w:val="2F2F2F"/>
        </w:rPr>
        <w:t>statement shall</w:t>
      </w:r>
      <w:r>
        <w:rPr>
          <w:rFonts w:ascii="Arial" w:cs="Arial" w:eastAsia="Arial" w:hAnsi="Arial"/>
          <w:sz w:val="21"/>
          <w:szCs w:val="21"/>
          <w:color w:val="auto"/>
        </w:rPr>
        <w:t xml:space="preserve"> be </w:t>
      </w:r>
      <w:r>
        <w:rPr>
          <w:rFonts w:ascii="Arial" w:cs="Arial" w:eastAsia="Arial" w:hAnsi="Arial"/>
          <w:sz w:val="21"/>
          <w:szCs w:val="21"/>
          <w:color w:val="2F2F2F"/>
        </w:rPr>
        <w:t>final and</w:t>
      </w:r>
      <w:r>
        <w:rPr>
          <w:rFonts w:ascii="Arial" w:cs="Arial" w:eastAsia="Arial" w:hAnsi="Arial"/>
          <w:sz w:val="21"/>
          <w:szCs w:val="21"/>
          <w:color w:val="auto"/>
        </w:rPr>
        <w:t xml:space="preserve"> binding upon Tenant unless Tenant</w:t>
      </w:r>
      <w:r>
        <w:rPr>
          <w:rFonts w:ascii="Arial" w:cs="Arial" w:eastAsia="Arial" w:hAnsi="Arial"/>
          <w:sz w:val="21"/>
          <w:szCs w:val="21"/>
          <w:color w:val="494949"/>
        </w:rPr>
        <w:t>,</w:t>
      </w:r>
      <w:r>
        <w:rPr>
          <w:rFonts w:ascii="Arial" w:cs="Arial" w:eastAsia="Arial" w:hAnsi="Arial"/>
          <w:sz w:val="21"/>
          <w:szCs w:val="21"/>
          <w:color w:val="auto"/>
        </w:rPr>
        <w:t xml:space="preserve"> within </w:t>
      </w:r>
      <w:r>
        <w:rPr>
          <w:rFonts w:ascii="Arial" w:cs="Arial" w:eastAsia="Arial" w:hAnsi="Arial"/>
          <w:sz w:val="21"/>
          <w:szCs w:val="21"/>
          <w:u w:val="single" w:color="auto"/>
          <w:color w:val="auto"/>
        </w:rPr>
        <w:t>[***]</w:t>
      </w:r>
      <w:r>
        <w:rPr>
          <w:rFonts w:ascii="Arial" w:cs="Arial" w:eastAsia="Arial" w:hAnsi="Arial"/>
          <w:sz w:val="21"/>
          <w:szCs w:val="21"/>
          <w:color w:val="auto"/>
        </w:rPr>
        <w:t xml:space="preserve"> days after Tenant’s receipt thereof, </w:t>
      </w:r>
      <w:r>
        <w:rPr>
          <w:rFonts w:ascii="Arial" w:cs="Arial" w:eastAsia="Arial" w:hAnsi="Arial"/>
          <w:sz w:val="21"/>
          <w:szCs w:val="21"/>
          <w:color w:val="2F2F2F"/>
        </w:rPr>
        <w:t>shall</w:t>
      </w:r>
      <w:r>
        <w:rPr>
          <w:rFonts w:ascii="Arial" w:cs="Arial" w:eastAsia="Arial" w:hAnsi="Arial"/>
          <w:sz w:val="21"/>
          <w:szCs w:val="21"/>
          <w:color w:val="auto"/>
        </w:rPr>
        <w:t xml:space="preserve"> request </w:t>
      </w:r>
      <w:r>
        <w:rPr>
          <w:rFonts w:ascii="Arial" w:cs="Arial" w:eastAsia="Arial" w:hAnsi="Arial"/>
          <w:sz w:val="21"/>
          <w:szCs w:val="21"/>
          <w:color w:val="2F2F2F"/>
        </w:rPr>
        <w:t>the right</w:t>
      </w:r>
      <w:r>
        <w:rPr>
          <w:rFonts w:ascii="Arial" w:cs="Arial" w:eastAsia="Arial" w:hAnsi="Arial"/>
          <w:sz w:val="21"/>
          <w:szCs w:val="21"/>
          <w:color w:val="auto"/>
        </w:rPr>
        <w:t xml:space="preserve"> to </w:t>
      </w:r>
      <w:r>
        <w:rPr>
          <w:rFonts w:ascii="Arial" w:cs="Arial" w:eastAsia="Arial" w:hAnsi="Arial"/>
          <w:sz w:val="21"/>
          <w:szCs w:val="21"/>
          <w:color w:val="2F2F2F"/>
        </w:rPr>
        <w:t>review</w:t>
      </w:r>
      <w:r>
        <w:rPr>
          <w:rFonts w:ascii="Arial" w:cs="Arial" w:eastAsia="Arial" w:hAnsi="Arial"/>
          <w:sz w:val="21"/>
          <w:szCs w:val="21"/>
          <w:color w:val="auto"/>
        </w:rPr>
        <w:t xml:space="preserve"> and </w:t>
      </w:r>
      <w:r>
        <w:rPr>
          <w:rFonts w:ascii="Arial" w:cs="Arial" w:eastAsia="Arial" w:hAnsi="Arial"/>
          <w:sz w:val="21"/>
          <w:szCs w:val="21"/>
          <w:color w:val="2F2F2F"/>
        </w:rPr>
        <w:t>audit the same.</w:t>
      </w:r>
      <w:r>
        <w:rPr>
          <w:rFonts w:ascii="Arial" w:cs="Arial" w:eastAsia="Arial" w:hAnsi="Arial"/>
          <w:sz w:val="21"/>
          <w:szCs w:val="21"/>
          <w:color w:val="auto"/>
        </w:rPr>
        <w:t xml:space="preserve"> In </w:t>
      </w:r>
      <w:r>
        <w:rPr>
          <w:rFonts w:ascii="Arial" w:cs="Arial" w:eastAsia="Arial" w:hAnsi="Arial"/>
          <w:sz w:val="21"/>
          <w:szCs w:val="21"/>
          <w:color w:val="2F2F2F"/>
        </w:rPr>
        <w:t>such</w:t>
      </w:r>
      <w:r>
        <w:rPr>
          <w:rFonts w:ascii="Arial" w:cs="Arial" w:eastAsia="Arial" w:hAnsi="Arial"/>
          <w:sz w:val="21"/>
          <w:szCs w:val="21"/>
          <w:color w:val="auto"/>
        </w:rPr>
        <w:t xml:space="preserve"> event, Landlord </w:t>
      </w:r>
      <w:r>
        <w:rPr>
          <w:rFonts w:ascii="Arial" w:cs="Arial" w:eastAsia="Arial" w:hAnsi="Arial"/>
          <w:sz w:val="21"/>
          <w:szCs w:val="21"/>
          <w:color w:val="2F2F2F"/>
        </w:rPr>
        <w:t>shall</w:t>
      </w:r>
      <w:r>
        <w:rPr>
          <w:rFonts w:ascii="Arial" w:cs="Arial" w:eastAsia="Arial" w:hAnsi="Arial"/>
          <w:sz w:val="21"/>
          <w:szCs w:val="21"/>
          <w:color w:val="auto"/>
        </w:rPr>
        <w:t xml:space="preserve"> provide Tenant with reasonable access </w:t>
      </w:r>
      <w:r>
        <w:rPr>
          <w:rFonts w:ascii="Arial" w:cs="Arial" w:eastAsia="Arial" w:hAnsi="Arial"/>
          <w:sz w:val="21"/>
          <w:szCs w:val="21"/>
          <w:color w:val="2F2F2F"/>
        </w:rPr>
        <w:t>to</w:t>
      </w:r>
      <w:r>
        <w:rPr>
          <w:rFonts w:ascii="Arial" w:cs="Arial" w:eastAsia="Arial" w:hAnsi="Arial"/>
          <w:sz w:val="21"/>
          <w:szCs w:val="21"/>
          <w:color w:val="auto"/>
        </w:rPr>
        <w:t xml:space="preserve"> Landlord’s </w:t>
      </w:r>
      <w:r>
        <w:rPr>
          <w:rFonts w:ascii="Arial" w:cs="Arial" w:eastAsia="Arial" w:hAnsi="Arial"/>
          <w:sz w:val="21"/>
          <w:szCs w:val="21"/>
          <w:color w:val="2F2F2F"/>
        </w:rPr>
        <w:t>books and</w:t>
      </w:r>
      <w:r>
        <w:rPr>
          <w:rFonts w:ascii="Arial" w:cs="Arial" w:eastAsia="Arial" w:hAnsi="Arial"/>
          <w:sz w:val="21"/>
          <w:szCs w:val="21"/>
          <w:color w:val="auto"/>
        </w:rPr>
        <w:t xml:space="preserve"> records </w:t>
      </w:r>
      <w:r>
        <w:rPr>
          <w:rFonts w:ascii="Arial" w:cs="Arial" w:eastAsia="Arial" w:hAnsi="Arial"/>
          <w:sz w:val="21"/>
          <w:szCs w:val="21"/>
          <w:color w:val="2F2F2F"/>
        </w:rPr>
        <w:t>to</w:t>
      </w:r>
      <w:r>
        <w:rPr>
          <w:rFonts w:ascii="Arial" w:cs="Arial" w:eastAsia="Arial" w:hAnsi="Arial"/>
          <w:sz w:val="21"/>
          <w:szCs w:val="21"/>
          <w:color w:val="auto"/>
        </w:rPr>
        <w:t xml:space="preserve"> the extent relevant </w:t>
      </w:r>
      <w:r>
        <w:rPr>
          <w:rFonts w:ascii="Arial" w:cs="Arial" w:eastAsia="Arial" w:hAnsi="Arial"/>
          <w:sz w:val="21"/>
          <w:szCs w:val="21"/>
          <w:color w:val="2F2F2F"/>
        </w:rPr>
        <w:t>to</w:t>
      </w:r>
      <w:r>
        <w:rPr>
          <w:rFonts w:ascii="Arial" w:cs="Arial" w:eastAsia="Arial" w:hAnsi="Arial"/>
          <w:sz w:val="21"/>
          <w:szCs w:val="21"/>
          <w:color w:val="auto"/>
        </w:rPr>
        <w:t xml:space="preserve"> determination of Operating </w:t>
      </w:r>
      <w:r>
        <w:rPr>
          <w:rFonts w:ascii="Arial" w:cs="Arial" w:eastAsia="Arial" w:hAnsi="Arial"/>
          <w:sz w:val="21"/>
          <w:szCs w:val="21"/>
          <w:color w:val="2F2F2F"/>
        </w:rPr>
        <w:t xml:space="preserve">Expenses, </w:t>
      </w:r>
      <w:r>
        <w:rPr>
          <w:rFonts w:ascii="Arial" w:cs="Arial" w:eastAsia="Arial" w:hAnsi="Arial"/>
          <w:sz w:val="21"/>
          <w:szCs w:val="21"/>
          <w:color w:val="000000"/>
        </w:rPr>
        <w:t>and</w:t>
      </w:r>
      <w:r>
        <w:rPr>
          <w:rFonts w:ascii="Arial" w:cs="Arial" w:eastAsia="Arial" w:hAnsi="Arial"/>
          <w:sz w:val="21"/>
          <w:szCs w:val="21"/>
          <w:color w:val="2F2F2F"/>
        </w:rPr>
        <w:t xml:space="preserve"> such </w:t>
      </w:r>
      <w:r>
        <w:rPr>
          <w:rFonts w:ascii="Arial" w:cs="Arial" w:eastAsia="Arial" w:hAnsi="Arial"/>
          <w:sz w:val="21"/>
          <w:szCs w:val="21"/>
          <w:color w:val="000000"/>
        </w:rPr>
        <w:t>information as Landlord reasonably determines to be responsive to Tenant’s</w:t>
      </w:r>
      <w:r>
        <w:rPr>
          <w:rFonts w:ascii="Arial" w:cs="Arial" w:eastAsia="Arial" w:hAnsi="Arial"/>
          <w:sz w:val="21"/>
          <w:szCs w:val="21"/>
          <w:color w:val="2F2F2F"/>
        </w:rPr>
        <w:t xml:space="preserve"> written inquiries. </w:t>
      </w:r>
      <w:r>
        <w:rPr>
          <w:rFonts w:ascii="Arial" w:cs="Arial" w:eastAsia="Arial" w:hAnsi="Arial"/>
          <w:sz w:val="21"/>
          <w:szCs w:val="21"/>
          <w:color w:val="000000"/>
        </w:rPr>
        <w:t xml:space="preserve">In </w:t>
      </w:r>
      <w:r>
        <w:rPr>
          <w:rFonts w:ascii="Arial" w:cs="Arial" w:eastAsia="Arial" w:hAnsi="Arial"/>
          <w:sz w:val="21"/>
          <w:szCs w:val="21"/>
          <w:color w:val="2F2F2F"/>
        </w:rPr>
        <w:t>the event that, after</w:t>
      </w:r>
      <w:r>
        <w:rPr>
          <w:rFonts w:ascii="Arial" w:cs="Arial" w:eastAsia="Arial" w:hAnsi="Arial"/>
          <w:sz w:val="21"/>
          <w:szCs w:val="21"/>
          <w:color w:val="000000"/>
        </w:rPr>
        <w:t xml:space="preserve"> Tenant’s review o</w:t>
      </w:r>
      <w:r>
        <w:rPr>
          <w:rFonts w:ascii="Arial" w:cs="Arial" w:eastAsia="Arial" w:hAnsi="Arial"/>
          <w:sz w:val="21"/>
          <w:szCs w:val="21"/>
          <w:color w:val="494949"/>
        </w:rPr>
        <w:t>f</w:t>
      </w:r>
      <w:r>
        <w:rPr>
          <w:rFonts w:ascii="Arial" w:cs="Arial" w:eastAsia="Arial" w:hAnsi="Arial"/>
          <w:sz w:val="21"/>
          <w:szCs w:val="21"/>
          <w:color w:val="000000"/>
        </w:rPr>
        <w:t xml:space="preserve"> </w:t>
      </w:r>
      <w:r>
        <w:rPr>
          <w:rFonts w:ascii="Arial" w:cs="Arial" w:eastAsia="Arial" w:hAnsi="Arial"/>
          <w:sz w:val="21"/>
          <w:szCs w:val="21"/>
          <w:color w:val="2F2F2F"/>
        </w:rPr>
        <w:t>such information,</w:t>
      </w:r>
      <w:r>
        <w:rPr>
          <w:rFonts w:ascii="Arial" w:cs="Arial" w:eastAsia="Arial" w:hAnsi="Arial"/>
          <w:sz w:val="21"/>
          <w:szCs w:val="21"/>
          <w:color w:val="000000"/>
        </w:rPr>
        <w:t xml:space="preserve"> Landlord and Tenant cannot agree upon the amount </w:t>
      </w:r>
      <w:r>
        <w:rPr>
          <w:rFonts w:ascii="Arial" w:cs="Arial" w:eastAsia="Arial" w:hAnsi="Arial"/>
          <w:sz w:val="21"/>
          <w:szCs w:val="21"/>
          <w:color w:val="2F2F2F"/>
        </w:rPr>
        <w:t>of</w:t>
      </w:r>
      <w:r>
        <w:rPr>
          <w:rFonts w:ascii="Arial" w:cs="Arial" w:eastAsia="Arial" w:hAnsi="Arial"/>
          <w:sz w:val="21"/>
          <w:szCs w:val="21"/>
          <w:color w:val="000000"/>
        </w:rPr>
        <w:t xml:space="preserve"> Tenant’s Pro Rata Share of Opera</w:t>
      </w:r>
      <w:r>
        <w:rPr>
          <w:rFonts w:ascii="Arial" w:cs="Arial" w:eastAsia="Arial" w:hAnsi="Arial"/>
          <w:sz w:val="21"/>
          <w:szCs w:val="21"/>
          <w:color w:val="494949"/>
        </w:rPr>
        <w:t>t</w:t>
      </w:r>
      <w:r>
        <w:rPr>
          <w:rFonts w:ascii="Arial" w:cs="Arial" w:eastAsia="Arial" w:hAnsi="Arial"/>
          <w:sz w:val="21"/>
          <w:szCs w:val="21"/>
          <w:color w:val="000000"/>
        </w:rPr>
        <w:t xml:space="preserve">ing Expenses or </w:t>
      </w:r>
      <w:r>
        <w:rPr>
          <w:rFonts w:ascii="Arial" w:cs="Arial" w:eastAsia="Arial" w:hAnsi="Arial"/>
          <w:sz w:val="21"/>
          <w:szCs w:val="21"/>
          <w:color w:val="2F2F2F"/>
        </w:rPr>
        <w:t>if</w:t>
      </w:r>
      <w:r>
        <w:rPr>
          <w:rFonts w:ascii="Arial" w:cs="Arial" w:eastAsia="Arial" w:hAnsi="Arial"/>
          <w:sz w:val="21"/>
          <w:szCs w:val="21"/>
          <w:color w:val="000000"/>
        </w:rPr>
        <w:t xml:space="preserve"> </w:t>
      </w:r>
      <w:r>
        <w:rPr>
          <w:rFonts w:ascii="Arial" w:cs="Arial" w:eastAsia="Arial" w:hAnsi="Arial"/>
          <w:sz w:val="21"/>
          <w:szCs w:val="21"/>
          <w:color w:val="494949"/>
        </w:rPr>
        <w:t>T</w:t>
      </w:r>
      <w:r>
        <w:rPr>
          <w:rFonts w:ascii="Arial" w:cs="Arial" w:eastAsia="Arial" w:hAnsi="Arial"/>
          <w:sz w:val="21"/>
          <w:szCs w:val="21"/>
          <w:color w:val="000000"/>
        </w:rPr>
        <w:t xml:space="preserve">enant desires </w:t>
      </w:r>
      <w:r>
        <w:rPr>
          <w:rFonts w:ascii="Arial" w:cs="Arial" w:eastAsia="Arial" w:hAnsi="Arial"/>
          <w:sz w:val="21"/>
          <w:szCs w:val="21"/>
          <w:color w:val="2F2F2F"/>
        </w:rPr>
        <w:t>to</w:t>
      </w:r>
      <w:r>
        <w:rPr>
          <w:rFonts w:ascii="Arial" w:cs="Arial" w:eastAsia="Arial" w:hAnsi="Arial"/>
          <w:sz w:val="21"/>
          <w:szCs w:val="21"/>
          <w:color w:val="000000"/>
        </w:rPr>
        <w:t xml:space="preserve"> have </w:t>
      </w:r>
      <w:r>
        <w:rPr>
          <w:rFonts w:ascii="Arial" w:cs="Arial" w:eastAsia="Arial" w:hAnsi="Arial"/>
          <w:sz w:val="21"/>
          <w:szCs w:val="21"/>
          <w:color w:val="2F2F2F"/>
        </w:rPr>
        <w:t>a third</w:t>
      </w:r>
      <w:r>
        <w:rPr>
          <w:rFonts w:ascii="Arial" w:cs="Arial" w:eastAsia="Arial" w:hAnsi="Arial"/>
          <w:sz w:val="21"/>
          <w:szCs w:val="21"/>
          <w:color w:val="000000"/>
        </w:rPr>
        <w:t xml:space="preserve"> party review and audit the </w:t>
      </w:r>
      <w:r>
        <w:rPr>
          <w:rFonts w:ascii="Arial" w:cs="Arial" w:eastAsia="Arial" w:hAnsi="Arial"/>
          <w:sz w:val="21"/>
          <w:szCs w:val="21"/>
          <w:color w:val="2F2F2F"/>
        </w:rPr>
        <w:t xml:space="preserve">same, then </w:t>
      </w:r>
      <w:r>
        <w:rPr>
          <w:rFonts w:ascii="Arial" w:cs="Arial" w:eastAsia="Arial" w:hAnsi="Arial"/>
          <w:sz w:val="21"/>
          <w:szCs w:val="21"/>
          <w:color w:val="000000"/>
        </w:rPr>
        <w:t>Tenant</w:t>
      </w:r>
      <w:r>
        <w:rPr>
          <w:rFonts w:ascii="Arial" w:cs="Arial" w:eastAsia="Arial" w:hAnsi="Arial"/>
          <w:sz w:val="21"/>
          <w:szCs w:val="21"/>
          <w:color w:val="2F2F2F"/>
        </w:rPr>
        <w:t xml:space="preserve"> shall </w:t>
      </w:r>
      <w:r>
        <w:rPr>
          <w:rFonts w:ascii="Arial" w:cs="Arial" w:eastAsia="Arial" w:hAnsi="Arial"/>
          <w:sz w:val="21"/>
          <w:szCs w:val="21"/>
          <w:color w:val="000000"/>
        </w:rPr>
        <w:t>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327" w:name="page328"/>
    <w:bookmarkEnd w:id="327"/>
    <w:p>
      <w:pPr>
        <w:jc w:val="both"/>
        <w:ind w:left="180"/>
        <w:spacing w:after="0"/>
        <w:rPr>
          <w:sz w:val="20"/>
          <w:szCs w:val="20"/>
          <w:color w:val="auto"/>
        </w:rPr>
      </w:pPr>
      <w:r>
        <w:rPr>
          <w:rFonts w:ascii="Arial" w:cs="Arial" w:eastAsia="Arial" w:hAnsi="Arial"/>
          <w:sz w:val="19"/>
          <w:szCs w:val="19"/>
          <w:color w:val="auto"/>
        </w:rPr>
        <w:t xml:space="preserve">right to have an independent public accountant </w:t>
      </w:r>
      <w:r>
        <w:rPr>
          <w:rFonts w:ascii="Arial" w:cs="Arial" w:eastAsia="Arial" w:hAnsi="Arial"/>
          <w:sz w:val="19"/>
          <w:szCs w:val="19"/>
          <w:color w:val="2F2F2F"/>
        </w:rPr>
        <w:t>or</w:t>
      </w:r>
      <w:r>
        <w:rPr>
          <w:rFonts w:ascii="Arial" w:cs="Arial" w:eastAsia="Arial" w:hAnsi="Arial"/>
          <w:sz w:val="19"/>
          <w:szCs w:val="19"/>
          <w:color w:val="auto"/>
        </w:rPr>
        <w:t xml:space="preserve"> other person </w:t>
      </w:r>
      <w:r>
        <w:rPr>
          <w:rFonts w:ascii="Arial" w:cs="Arial" w:eastAsia="Arial" w:hAnsi="Arial"/>
          <w:sz w:val="19"/>
          <w:szCs w:val="19"/>
          <w:color w:val="2F2F2F"/>
        </w:rPr>
        <w:t>or</w:t>
      </w:r>
      <w:r>
        <w:rPr>
          <w:rFonts w:ascii="Arial" w:cs="Arial" w:eastAsia="Arial" w:hAnsi="Arial"/>
          <w:sz w:val="19"/>
          <w:szCs w:val="19"/>
          <w:color w:val="auto"/>
        </w:rPr>
        <w:t xml:space="preserve"> firm </w:t>
      </w:r>
      <w:r>
        <w:rPr>
          <w:rFonts w:ascii="Arial" w:cs="Arial" w:eastAsia="Arial" w:hAnsi="Arial"/>
          <w:sz w:val="19"/>
          <w:szCs w:val="19"/>
          <w:color w:val="2F2F2F"/>
        </w:rPr>
        <w:t>with expertise</w:t>
      </w:r>
      <w:r>
        <w:rPr>
          <w:rFonts w:ascii="Arial" w:cs="Arial" w:eastAsia="Arial" w:hAnsi="Arial"/>
          <w:sz w:val="19"/>
          <w:szCs w:val="19"/>
          <w:color w:val="auto"/>
        </w:rPr>
        <w:t xml:space="preserve"> in commercial real estate accounting and auditing (“</w:t>
      </w:r>
      <w:r>
        <w:rPr>
          <w:rFonts w:ascii="Arial" w:cs="Arial" w:eastAsia="Arial" w:hAnsi="Arial"/>
          <w:sz w:val="19"/>
          <w:szCs w:val="19"/>
          <w:u w:val="single" w:color="auto"/>
          <w:color w:val="auto"/>
        </w:rPr>
        <w:t>Auditor</w:t>
      </w:r>
      <w:r>
        <w:rPr>
          <w:rFonts w:ascii="Arial" w:cs="Arial" w:eastAsia="Arial" w:hAnsi="Arial"/>
          <w:sz w:val="19"/>
          <w:szCs w:val="19"/>
          <w:color w:val="auto"/>
        </w:rPr>
        <w:t xml:space="preserve">”) hired </w:t>
      </w:r>
      <w:r>
        <w:rPr>
          <w:rFonts w:ascii="Arial" w:cs="Arial" w:eastAsia="Arial" w:hAnsi="Arial"/>
          <w:sz w:val="19"/>
          <w:szCs w:val="19"/>
          <w:color w:val="2F2F2F"/>
        </w:rPr>
        <w:t>by</w:t>
      </w:r>
      <w:r>
        <w:rPr>
          <w:rFonts w:ascii="Arial" w:cs="Arial" w:eastAsia="Arial" w:hAnsi="Arial"/>
          <w:sz w:val="19"/>
          <w:szCs w:val="19"/>
          <w:color w:val="auto"/>
        </w:rPr>
        <w:t xml:space="preserve"> Tenant </w:t>
      </w:r>
      <w:r>
        <w:rPr>
          <w:rFonts w:ascii="Arial" w:cs="Arial" w:eastAsia="Arial" w:hAnsi="Arial"/>
          <w:sz w:val="19"/>
          <w:szCs w:val="19"/>
          <w:color w:val="2F2F2F"/>
        </w:rPr>
        <w:t>not</w:t>
      </w:r>
      <w:r>
        <w:rPr>
          <w:rFonts w:ascii="Arial" w:cs="Arial" w:eastAsia="Arial" w:hAnsi="Arial"/>
          <w:sz w:val="19"/>
          <w:szCs w:val="19"/>
          <w:color w:val="auto"/>
        </w:rPr>
        <w:t xml:space="preserve"> on </w:t>
      </w:r>
      <w:r>
        <w:rPr>
          <w:rFonts w:ascii="Arial" w:cs="Arial" w:eastAsia="Arial" w:hAnsi="Arial"/>
          <w:sz w:val="19"/>
          <w:szCs w:val="19"/>
          <w:color w:val="2F2F2F"/>
        </w:rPr>
        <w:t>a</w:t>
      </w:r>
      <w:r>
        <w:rPr>
          <w:rFonts w:ascii="Arial" w:cs="Arial" w:eastAsia="Arial" w:hAnsi="Arial"/>
          <w:sz w:val="19"/>
          <w:szCs w:val="19"/>
          <w:color w:val="auto"/>
        </w:rPr>
        <w:t xml:space="preserve"> contingent </w:t>
      </w:r>
      <w:r>
        <w:rPr>
          <w:rFonts w:ascii="Arial" w:cs="Arial" w:eastAsia="Arial" w:hAnsi="Arial"/>
          <w:sz w:val="19"/>
          <w:szCs w:val="19"/>
          <w:color w:val="2F2F2F"/>
        </w:rPr>
        <w:t>fee</w:t>
      </w:r>
      <w:r>
        <w:rPr>
          <w:rFonts w:ascii="Arial" w:cs="Arial" w:eastAsia="Arial" w:hAnsi="Arial"/>
          <w:sz w:val="19"/>
          <w:szCs w:val="19"/>
          <w:color w:val="auto"/>
        </w:rPr>
        <w:t xml:space="preserve"> basis (at Tenant’s </w:t>
      </w:r>
      <w:r>
        <w:rPr>
          <w:rFonts w:ascii="Arial" w:cs="Arial" w:eastAsia="Arial" w:hAnsi="Arial"/>
          <w:sz w:val="19"/>
          <w:szCs w:val="19"/>
          <w:color w:val="2F2F2F"/>
        </w:rPr>
        <w:t>sole</w:t>
      </w:r>
      <w:r>
        <w:rPr>
          <w:rFonts w:ascii="Arial" w:cs="Arial" w:eastAsia="Arial" w:hAnsi="Arial"/>
          <w:sz w:val="19"/>
          <w:szCs w:val="19"/>
          <w:color w:val="auto"/>
        </w:rPr>
        <w:t xml:space="preserve"> cost and </w:t>
      </w:r>
      <w:r>
        <w:rPr>
          <w:rFonts w:ascii="Arial" w:cs="Arial" w:eastAsia="Arial" w:hAnsi="Arial"/>
          <w:sz w:val="19"/>
          <w:szCs w:val="19"/>
          <w:color w:val="2F2F2F"/>
        </w:rPr>
        <w:t xml:space="preserve">expense) and </w:t>
      </w:r>
      <w:r>
        <w:rPr>
          <w:rFonts w:ascii="Arial" w:cs="Arial" w:eastAsia="Arial" w:hAnsi="Arial"/>
          <w:sz w:val="19"/>
          <w:szCs w:val="19"/>
          <w:color w:val="000000"/>
        </w:rPr>
        <w:t>approved by Landlord (which approval Landlord</w:t>
      </w:r>
      <w:r>
        <w:rPr>
          <w:rFonts w:ascii="Arial" w:cs="Arial" w:eastAsia="Arial" w:hAnsi="Arial"/>
          <w:sz w:val="19"/>
          <w:szCs w:val="19"/>
          <w:color w:val="2F2F2F"/>
        </w:rPr>
        <w:t xml:space="preserve"> shall </w:t>
      </w:r>
      <w:r>
        <w:rPr>
          <w:rFonts w:ascii="Arial" w:cs="Arial" w:eastAsia="Arial" w:hAnsi="Arial"/>
          <w:sz w:val="19"/>
          <w:szCs w:val="19"/>
          <w:color w:val="000000"/>
        </w:rPr>
        <w:t>not unreasonably</w:t>
      </w:r>
      <w:r>
        <w:rPr>
          <w:rFonts w:ascii="Arial" w:cs="Arial" w:eastAsia="Arial" w:hAnsi="Arial"/>
          <w:sz w:val="19"/>
          <w:szCs w:val="19"/>
          <w:color w:val="2F2F2F"/>
        </w:rPr>
        <w:t xml:space="preserve"> withhold, condition </w:t>
      </w:r>
      <w:r>
        <w:rPr>
          <w:rFonts w:ascii="Arial" w:cs="Arial" w:eastAsia="Arial" w:hAnsi="Arial"/>
          <w:sz w:val="19"/>
          <w:szCs w:val="19"/>
          <w:color w:val="000000"/>
        </w:rPr>
        <w:t>or</w:t>
      </w:r>
      <w:r>
        <w:rPr>
          <w:rFonts w:ascii="Arial" w:cs="Arial" w:eastAsia="Arial" w:hAnsi="Arial"/>
          <w:sz w:val="19"/>
          <w:szCs w:val="19"/>
          <w:color w:val="2F2F2F"/>
        </w:rPr>
        <w:t xml:space="preserve"> </w:t>
      </w:r>
      <w:r>
        <w:rPr>
          <w:rFonts w:ascii="Arial" w:cs="Arial" w:eastAsia="Arial" w:hAnsi="Arial"/>
          <w:sz w:val="19"/>
          <w:szCs w:val="19"/>
          <w:color w:val="000000"/>
        </w:rPr>
        <w:t xml:space="preserve">delay) audit and review such of Landlord’s books and </w:t>
      </w:r>
      <w:r>
        <w:rPr>
          <w:rFonts w:ascii="Arial" w:cs="Arial" w:eastAsia="Arial" w:hAnsi="Arial"/>
          <w:sz w:val="19"/>
          <w:szCs w:val="19"/>
          <w:color w:val="2F2F2F"/>
        </w:rPr>
        <w:t>records for</w:t>
      </w:r>
      <w:r>
        <w:rPr>
          <w:rFonts w:ascii="Arial" w:cs="Arial" w:eastAsia="Arial" w:hAnsi="Arial"/>
          <w:sz w:val="19"/>
          <w:szCs w:val="19"/>
          <w:color w:val="000000"/>
        </w:rPr>
        <w:t xml:space="preserve"> the </w:t>
      </w:r>
      <w:r>
        <w:rPr>
          <w:rFonts w:ascii="Arial" w:cs="Arial" w:eastAsia="Arial" w:hAnsi="Arial"/>
          <w:sz w:val="19"/>
          <w:szCs w:val="19"/>
          <w:color w:val="2F2F2F"/>
        </w:rPr>
        <w:t>year in</w:t>
      </w:r>
      <w:r>
        <w:rPr>
          <w:rFonts w:ascii="Arial" w:cs="Arial" w:eastAsia="Arial" w:hAnsi="Arial"/>
          <w:sz w:val="19"/>
          <w:szCs w:val="19"/>
          <w:color w:val="000000"/>
        </w:rPr>
        <w:t xml:space="preserve"> question </w:t>
      </w:r>
      <w:r>
        <w:rPr>
          <w:rFonts w:ascii="Arial" w:cs="Arial" w:eastAsia="Arial" w:hAnsi="Arial"/>
          <w:sz w:val="19"/>
          <w:szCs w:val="19"/>
          <w:color w:val="2F2F2F"/>
        </w:rPr>
        <w:t>as</w:t>
      </w:r>
      <w:r>
        <w:rPr>
          <w:rFonts w:ascii="Arial" w:cs="Arial" w:eastAsia="Arial" w:hAnsi="Arial"/>
          <w:sz w:val="19"/>
          <w:szCs w:val="19"/>
          <w:color w:val="000000"/>
        </w:rPr>
        <w:t xml:space="preserve"> directly relate to the determination of Operating </w:t>
      </w:r>
      <w:r>
        <w:rPr>
          <w:rFonts w:ascii="Arial" w:cs="Arial" w:eastAsia="Arial" w:hAnsi="Arial"/>
          <w:sz w:val="19"/>
          <w:szCs w:val="19"/>
          <w:color w:val="2F2F2F"/>
        </w:rPr>
        <w:t>Expenses</w:t>
      </w:r>
      <w:r>
        <w:rPr>
          <w:rFonts w:ascii="Arial" w:cs="Arial" w:eastAsia="Arial" w:hAnsi="Arial"/>
          <w:sz w:val="19"/>
          <w:szCs w:val="19"/>
          <w:color w:val="000000"/>
        </w:rPr>
        <w:t xml:space="preserve"> for </w:t>
      </w:r>
      <w:r>
        <w:rPr>
          <w:rFonts w:ascii="Arial" w:cs="Arial" w:eastAsia="Arial" w:hAnsi="Arial"/>
          <w:sz w:val="19"/>
          <w:szCs w:val="19"/>
          <w:color w:val="2F2F2F"/>
        </w:rPr>
        <w:t>such year</w:t>
      </w:r>
      <w:r>
        <w:rPr>
          <w:rFonts w:ascii="Arial" w:cs="Arial" w:eastAsia="Arial" w:hAnsi="Arial"/>
          <w:sz w:val="19"/>
          <w:szCs w:val="19"/>
          <w:color w:val="000000"/>
        </w:rPr>
        <w:t xml:space="preserve"> (the </w:t>
      </w:r>
      <w:r>
        <w:rPr>
          <w:rFonts w:ascii="Arial" w:cs="Arial" w:eastAsia="Arial" w:hAnsi="Arial"/>
          <w:sz w:val="19"/>
          <w:szCs w:val="19"/>
          <w:color w:val="2F2F2F"/>
        </w:rPr>
        <w:t>“</w:t>
      </w:r>
      <w:r>
        <w:rPr>
          <w:rFonts w:ascii="Arial" w:cs="Arial" w:eastAsia="Arial" w:hAnsi="Arial"/>
          <w:sz w:val="19"/>
          <w:szCs w:val="19"/>
          <w:u w:val="single" w:color="auto"/>
          <w:color w:val="2F2F2F"/>
        </w:rPr>
        <w:t>Independent Review</w:t>
      </w:r>
      <w:r>
        <w:rPr>
          <w:rFonts w:ascii="Arial" w:cs="Arial" w:eastAsia="Arial" w:hAnsi="Arial"/>
          <w:sz w:val="19"/>
          <w:szCs w:val="19"/>
          <w:color w:val="2F2F2F"/>
        </w:rPr>
        <w:t>”).</w:t>
      </w:r>
      <w:r>
        <w:rPr>
          <w:rFonts w:ascii="Arial" w:cs="Arial" w:eastAsia="Arial" w:hAnsi="Arial"/>
          <w:sz w:val="19"/>
          <w:szCs w:val="19"/>
          <w:color w:val="000000"/>
        </w:rPr>
        <w:t xml:space="preserve"> Landlord </w:t>
      </w:r>
      <w:r>
        <w:rPr>
          <w:rFonts w:ascii="Arial" w:cs="Arial" w:eastAsia="Arial" w:hAnsi="Arial"/>
          <w:sz w:val="19"/>
          <w:szCs w:val="19"/>
          <w:color w:val="2F2F2F"/>
        </w:rPr>
        <w:t>shall</w:t>
      </w:r>
      <w:r>
        <w:rPr>
          <w:rFonts w:ascii="Arial" w:cs="Arial" w:eastAsia="Arial" w:hAnsi="Arial"/>
          <w:sz w:val="19"/>
          <w:szCs w:val="19"/>
          <w:color w:val="000000"/>
        </w:rPr>
        <w:t xml:space="preserve"> make such books </w:t>
      </w:r>
      <w:r>
        <w:rPr>
          <w:rFonts w:ascii="Arial" w:cs="Arial" w:eastAsia="Arial" w:hAnsi="Arial"/>
          <w:sz w:val="19"/>
          <w:szCs w:val="19"/>
          <w:color w:val="2F2F2F"/>
        </w:rPr>
        <w:t xml:space="preserve">and records </w:t>
      </w:r>
      <w:r>
        <w:rPr>
          <w:rFonts w:ascii="Arial" w:cs="Arial" w:eastAsia="Arial" w:hAnsi="Arial"/>
          <w:sz w:val="19"/>
          <w:szCs w:val="19"/>
          <w:color w:val="000000"/>
        </w:rPr>
        <w:t>available</w:t>
      </w:r>
      <w:r>
        <w:rPr>
          <w:rFonts w:ascii="Arial" w:cs="Arial" w:eastAsia="Arial" w:hAnsi="Arial"/>
          <w:sz w:val="19"/>
          <w:szCs w:val="19"/>
          <w:color w:val="2F2F2F"/>
        </w:rPr>
        <w:t xml:space="preserve"> to Tenant </w:t>
      </w:r>
      <w:r>
        <w:rPr>
          <w:rFonts w:ascii="Arial" w:cs="Arial" w:eastAsia="Arial" w:hAnsi="Arial"/>
          <w:sz w:val="19"/>
          <w:szCs w:val="19"/>
          <w:color w:val="000000"/>
        </w:rPr>
        <w:t>and</w:t>
      </w:r>
      <w:r>
        <w:rPr>
          <w:rFonts w:ascii="Arial" w:cs="Arial" w:eastAsia="Arial" w:hAnsi="Arial"/>
          <w:sz w:val="19"/>
          <w:szCs w:val="19"/>
          <w:color w:val="2F2F2F"/>
        </w:rPr>
        <w:t xml:space="preserve"> its </w:t>
      </w:r>
      <w:r>
        <w:rPr>
          <w:rFonts w:ascii="Arial" w:cs="Arial" w:eastAsia="Arial" w:hAnsi="Arial"/>
          <w:sz w:val="19"/>
          <w:szCs w:val="19"/>
          <w:color w:val="000000"/>
        </w:rPr>
        <w:t>Auditor</w:t>
      </w:r>
      <w:r>
        <w:rPr>
          <w:rFonts w:ascii="Arial" w:cs="Arial" w:eastAsia="Arial" w:hAnsi="Arial"/>
          <w:sz w:val="19"/>
          <w:szCs w:val="19"/>
          <w:color w:val="2F2F2F"/>
        </w:rPr>
        <w:t xml:space="preserve"> for </w:t>
      </w:r>
      <w:r>
        <w:rPr>
          <w:rFonts w:ascii="Arial" w:cs="Arial" w:eastAsia="Arial" w:hAnsi="Arial"/>
          <w:sz w:val="19"/>
          <w:szCs w:val="19"/>
          <w:color w:val="000000"/>
        </w:rPr>
        <w:t>review and copying at the location where Landlord maintains</w:t>
      </w:r>
      <w:r>
        <w:rPr>
          <w:rFonts w:ascii="Arial" w:cs="Arial" w:eastAsia="Arial" w:hAnsi="Arial"/>
          <w:sz w:val="19"/>
          <w:szCs w:val="19"/>
          <w:color w:val="2F2F2F"/>
        </w:rPr>
        <w:t xml:space="preserve"> them in </w:t>
      </w:r>
      <w:r>
        <w:rPr>
          <w:rFonts w:ascii="Arial" w:cs="Arial" w:eastAsia="Arial" w:hAnsi="Arial"/>
          <w:sz w:val="19"/>
          <w:szCs w:val="19"/>
          <w:color w:val="000000"/>
        </w:rPr>
        <w:t>the ordinary course of its</w:t>
      </w:r>
      <w:r>
        <w:rPr>
          <w:rFonts w:ascii="Arial" w:cs="Arial" w:eastAsia="Arial" w:hAnsi="Arial"/>
          <w:sz w:val="19"/>
          <w:szCs w:val="19"/>
          <w:color w:val="2F2F2F"/>
        </w:rPr>
        <w:t xml:space="preserve"> business. </w:t>
      </w:r>
      <w:r>
        <w:rPr>
          <w:rFonts w:ascii="Arial" w:cs="Arial" w:eastAsia="Arial" w:hAnsi="Arial"/>
          <w:sz w:val="19"/>
          <w:szCs w:val="19"/>
          <w:color w:val="000000"/>
        </w:rPr>
        <w:t>Landlord need not provide copies of any book</w:t>
      </w:r>
      <w:r>
        <w:rPr>
          <w:rFonts w:ascii="Arial" w:cs="Arial" w:eastAsia="Arial" w:hAnsi="Arial"/>
          <w:sz w:val="19"/>
          <w:szCs w:val="19"/>
          <w:color w:val="494949"/>
        </w:rPr>
        <w:t>s</w:t>
      </w:r>
      <w:r>
        <w:rPr>
          <w:rFonts w:ascii="Arial" w:cs="Arial" w:eastAsia="Arial" w:hAnsi="Arial"/>
          <w:sz w:val="19"/>
          <w:szCs w:val="19"/>
          <w:color w:val="2F2F2F"/>
        </w:rPr>
        <w:t xml:space="preserve"> </w:t>
      </w:r>
      <w:r>
        <w:rPr>
          <w:rFonts w:ascii="Arial" w:cs="Arial" w:eastAsia="Arial" w:hAnsi="Arial"/>
          <w:sz w:val="19"/>
          <w:szCs w:val="19"/>
          <w:color w:val="000000"/>
        </w:rPr>
        <w:t>or records. Tenant</w:t>
      </w:r>
      <w:r>
        <w:rPr>
          <w:rFonts w:ascii="Arial" w:cs="Arial" w:eastAsia="Arial" w:hAnsi="Arial"/>
          <w:sz w:val="19"/>
          <w:szCs w:val="19"/>
          <w:color w:val="2F2F2F"/>
        </w:rPr>
        <w:t xml:space="preserve"> shall </w:t>
      </w:r>
      <w:r>
        <w:rPr>
          <w:rFonts w:ascii="Arial" w:cs="Arial" w:eastAsia="Arial" w:hAnsi="Arial"/>
          <w:sz w:val="19"/>
          <w:szCs w:val="19"/>
          <w:color w:val="000000"/>
        </w:rPr>
        <w:t xml:space="preserve">commence </w:t>
      </w:r>
      <w:r>
        <w:rPr>
          <w:rFonts w:ascii="Arial" w:cs="Arial" w:eastAsia="Arial" w:hAnsi="Arial"/>
          <w:sz w:val="19"/>
          <w:szCs w:val="19"/>
          <w:color w:val="2F2F2F"/>
        </w:rPr>
        <w:t>the</w:t>
      </w:r>
      <w:r>
        <w:rPr>
          <w:rFonts w:ascii="Arial" w:cs="Arial" w:eastAsia="Arial" w:hAnsi="Arial"/>
          <w:sz w:val="19"/>
          <w:szCs w:val="19"/>
          <w:color w:val="000000"/>
        </w:rPr>
        <w:t xml:space="preserve"> Independent Review </w:t>
      </w:r>
      <w:r>
        <w:rPr>
          <w:rFonts w:ascii="Arial" w:cs="Arial" w:eastAsia="Arial" w:hAnsi="Arial"/>
          <w:sz w:val="19"/>
          <w:szCs w:val="19"/>
          <w:color w:val="2F2F2F"/>
        </w:rPr>
        <w:t>within fifteen</w:t>
      </w:r>
      <w:r>
        <w:rPr>
          <w:rFonts w:ascii="Arial" w:cs="Arial" w:eastAsia="Arial" w:hAnsi="Arial"/>
          <w:sz w:val="19"/>
          <w:szCs w:val="19"/>
          <w:color w:val="000000"/>
        </w:rPr>
        <w:t xml:space="preserve"> (15) days after the </w:t>
      </w:r>
      <w:r>
        <w:rPr>
          <w:rFonts w:ascii="Arial" w:cs="Arial" w:eastAsia="Arial" w:hAnsi="Arial"/>
          <w:sz w:val="19"/>
          <w:szCs w:val="19"/>
          <w:color w:val="2F2F2F"/>
        </w:rPr>
        <w:t>date</w:t>
      </w:r>
      <w:r>
        <w:rPr>
          <w:rFonts w:ascii="Arial" w:cs="Arial" w:eastAsia="Arial" w:hAnsi="Arial"/>
          <w:sz w:val="19"/>
          <w:szCs w:val="19"/>
          <w:color w:val="000000"/>
        </w:rPr>
        <w:t xml:space="preserve"> Landlord has given Tenant </w:t>
      </w:r>
      <w:r>
        <w:rPr>
          <w:rFonts w:ascii="Arial" w:cs="Arial" w:eastAsia="Arial" w:hAnsi="Arial"/>
          <w:sz w:val="19"/>
          <w:szCs w:val="19"/>
          <w:color w:val="2F2F2F"/>
        </w:rPr>
        <w:t>access</w:t>
      </w:r>
      <w:r>
        <w:rPr>
          <w:rFonts w:ascii="Arial" w:cs="Arial" w:eastAsia="Arial" w:hAnsi="Arial"/>
          <w:sz w:val="19"/>
          <w:szCs w:val="19"/>
          <w:color w:val="000000"/>
        </w:rPr>
        <w:t xml:space="preserve"> to Landlord’s books </w:t>
      </w:r>
      <w:r>
        <w:rPr>
          <w:rFonts w:ascii="Arial" w:cs="Arial" w:eastAsia="Arial" w:hAnsi="Arial"/>
          <w:sz w:val="19"/>
          <w:szCs w:val="19"/>
          <w:color w:val="2F2F2F"/>
        </w:rPr>
        <w:t>and</w:t>
      </w:r>
      <w:r>
        <w:rPr>
          <w:rFonts w:ascii="Arial" w:cs="Arial" w:eastAsia="Arial" w:hAnsi="Arial"/>
          <w:sz w:val="19"/>
          <w:szCs w:val="19"/>
          <w:color w:val="000000"/>
        </w:rPr>
        <w:t xml:space="preserve"> records for </w:t>
      </w:r>
      <w:r>
        <w:rPr>
          <w:rFonts w:ascii="Arial" w:cs="Arial" w:eastAsia="Arial" w:hAnsi="Arial"/>
          <w:sz w:val="19"/>
          <w:szCs w:val="19"/>
          <w:color w:val="1F1F1F"/>
        </w:rPr>
        <w:t>the</w:t>
      </w:r>
      <w:r>
        <w:rPr>
          <w:rFonts w:ascii="Arial" w:cs="Arial" w:eastAsia="Arial" w:hAnsi="Arial"/>
          <w:sz w:val="19"/>
          <w:szCs w:val="19"/>
          <w:color w:val="000000"/>
        </w:rPr>
        <w:t xml:space="preserve"> </w:t>
      </w:r>
      <w:r>
        <w:rPr>
          <w:rFonts w:ascii="Arial" w:cs="Arial" w:eastAsia="Arial" w:hAnsi="Arial"/>
          <w:sz w:val="19"/>
          <w:szCs w:val="19"/>
          <w:color w:val="0E0E0E"/>
        </w:rPr>
        <w:t>Independent</w:t>
      </w:r>
      <w:r>
        <w:rPr>
          <w:rFonts w:ascii="Arial" w:cs="Arial" w:eastAsia="Arial" w:hAnsi="Arial"/>
          <w:sz w:val="19"/>
          <w:szCs w:val="19"/>
          <w:color w:val="000000"/>
        </w:rPr>
        <w:t xml:space="preserve"> </w:t>
      </w:r>
      <w:r>
        <w:rPr>
          <w:rFonts w:ascii="Arial" w:cs="Arial" w:eastAsia="Arial" w:hAnsi="Arial"/>
          <w:sz w:val="19"/>
          <w:szCs w:val="19"/>
          <w:color w:val="1F1F1F"/>
        </w:rPr>
        <w:t>Review. Tenant shall complete the Independent Review and</w:t>
      </w:r>
      <w:r>
        <w:rPr>
          <w:rFonts w:ascii="Arial" w:cs="Arial" w:eastAsia="Arial" w:hAnsi="Arial"/>
          <w:sz w:val="19"/>
          <w:szCs w:val="19"/>
          <w:color w:val="000000"/>
        </w:rPr>
        <w:t xml:space="preserve"> </w:t>
      </w:r>
      <w:r>
        <w:rPr>
          <w:rFonts w:ascii="Arial" w:cs="Arial" w:eastAsia="Arial" w:hAnsi="Arial"/>
          <w:sz w:val="19"/>
          <w:szCs w:val="19"/>
          <w:color w:val="1F1F1F"/>
        </w:rPr>
        <w:t xml:space="preserve">notify Landlord </w:t>
      </w:r>
      <w:r>
        <w:rPr>
          <w:rFonts w:ascii="Arial" w:cs="Arial" w:eastAsia="Arial" w:hAnsi="Arial"/>
          <w:sz w:val="19"/>
          <w:szCs w:val="19"/>
          <w:color w:val="343434"/>
        </w:rPr>
        <w:t>in writing</w:t>
      </w:r>
      <w:r>
        <w:rPr>
          <w:rFonts w:ascii="Arial" w:cs="Arial" w:eastAsia="Arial" w:hAnsi="Arial"/>
          <w:sz w:val="19"/>
          <w:szCs w:val="19"/>
          <w:color w:val="1F1F1F"/>
        </w:rPr>
        <w:t xml:space="preserve"> of Tenant’s </w:t>
      </w:r>
      <w:r>
        <w:rPr>
          <w:rFonts w:ascii="Arial" w:cs="Arial" w:eastAsia="Arial" w:hAnsi="Arial"/>
          <w:sz w:val="19"/>
          <w:szCs w:val="19"/>
          <w:color w:val="343434"/>
        </w:rPr>
        <w:t>specific</w:t>
      </w:r>
      <w:r>
        <w:rPr>
          <w:rFonts w:ascii="Arial" w:cs="Arial" w:eastAsia="Arial" w:hAnsi="Arial"/>
          <w:sz w:val="19"/>
          <w:szCs w:val="19"/>
          <w:color w:val="1F1F1F"/>
        </w:rPr>
        <w:t xml:space="preserve"> objections to Landlord’s calculation of Operating Expenses (including Tenant’s </w:t>
      </w:r>
      <w:r>
        <w:rPr>
          <w:rFonts w:ascii="Arial" w:cs="Arial" w:eastAsia="Arial" w:hAnsi="Arial"/>
          <w:sz w:val="19"/>
          <w:szCs w:val="19"/>
          <w:color w:val="343434"/>
        </w:rPr>
        <w:t>Auditor’s</w:t>
      </w:r>
      <w:r>
        <w:rPr>
          <w:rFonts w:ascii="Arial" w:cs="Arial" w:eastAsia="Arial" w:hAnsi="Arial"/>
          <w:sz w:val="19"/>
          <w:szCs w:val="19"/>
          <w:color w:val="1F1F1F"/>
        </w:rPr>
        <w:t xml:space="preserve"> written statement of the </w:t>
      </w:r>
      <w:r>
        <w:rPr>
          <w:rFonts w:ascii="Arial" w:cs="Arial" w:eastAsia="Arial" w:hAnsi="Arial"/>
          <w:sz w:val="19"/>
          <w:szCs w:val="19"/>
          <w:color w:val="0E0E0E"/>
        </w:rPr>
        <w:t>basis,</w:t>
      </w:r>
      <w:r>
        <w:rPr>
          <w:rFonts w:ascii="Arial" w:cs="Arial" w:eastAsia="Arial" w:hAnsi="Arial"/>
          <w:sz w:val="19"/>
          <w:szCs w:val="19"/>
          <w:color w:val="1F1F1F"/>
        </w:rPr>
        <w:t xml:space="preserve"> nature and amount of each </w:t>
      </w:r>
      <w:r>
        <w:rPr>
          <w:rFonts w:ascii="Arial" w:cs="Arial" w:eastAsia="Arial" w:hAnsi="Arial"/>
          <w:sz w:val="19"/>
          <w:szCs w:val="19"/>
          <w:color w:val="0E0E0E"/>
        </w:rPr>
        <w:t>proposed</w:t>
      </w:r>
      <w:r>
        <w:rPr>
          <w:rFonts w:ascii="Arial" w:cs="Arial" w:eastAsia="Arial" w:hAnsi="Arial"/>
          <w:sz w:val="19"/>
          <w:szCs w:val="19"/>
          <w:color w:val="1F1F1F"/>
        </w:rPr>
        <w:t xml:space="preserve"> </w:t>
      </w:r>
      <w:r>
        <w:rPr>
          <w:rFonts w:ascii="Arial" w:cs="Arial" w:eastAsia="Arial" w:hAnsi="Arial"/>
          <w:sz w:val="19"/>
          <w:szCs w:val="19"/>
          <w:color w:val="343434"/>
        </w:rPr>
        <w:t>adjustment)</w:t>
      </w:r>
      <w:r>
        <w:rPr>
          <w:rFonts w:ascii="Arial" w:cs="Arial" w:eastAsia="Arial" w:hAnsi="Arial"/>
          <w:sz w:val="19"/>
          <w:szCs w:val="19"/>
          <w:color w:val="1F1F1F"/>
        </w:rPr>
        <w:t xml:space="preserve"> no later than </w:t>
      </w:r>
      <w:r>
        <w:rPr>
          <w:rFonts w:ascii="Arial" w:cs="Arial" w:eastAsia="Arial" w:hAnsi="Arial"/>
          <w:sz w:val="19"/>
          <w:szCs w:val="19"/>
          <w:u w:val="single" w:color="auto"/>
          <w:color w:val="000000"/>
        </w:rPr>
        <w:t>[***]</w:t>
      </w:r>
      <w:r>
        <w:rPr>
          <w:rFonts w:ascii="Arial" w:cs="Arial" w:eastAsia="Arial" w:hAnsi="Arial"/>
          <w:sz w:val="19"/>
          <w:szCs w:val="19"/>
          <w:color w:val="1F1F1F"/>
        </w:rPr>
        <w:t xml:space="preserve"> </w:t>
      </w:r>
      <w:r>
        <w:rPr>
          <w:rFonts w:ascii="Arial" w:cs="Arial" w:eastAsia="Arial" w:hAnsi="Arial"/>
          <w:sz w:val="19"/>
          <w:szCs w:val="19"/>
          <w:color w:val="0E0E0E"/>
        </w:rPr>
        <w:t>days</w:t>
      </w:r>
      <w:r>
        <w:rPr>
          <w:rFonts w:ascii="Arial" w:cs="Arial" w:eastAsia="Arial" w:hAnsi="Arial"/>
          <w:sz w:val="19"/>
          <w:szCs w:val="19"/>
          <w:color w:val="1F1F1F"/>
        </w:rPr>
        <w:t xml:space="preserve"> after Landlord </w:t>
      </w:r>
      <w:r>
        <w:rPr>
          <w:rFonts w:ascii="Arial" w:cs="Arial" w:eastAsia="Arial" w:hAnsi="Arial"/>
          <w:sz w:val="19"/>
          <w:szCs w:val="19"/>
          <w:color w:val="0E0E0E"/>
        </w:rPr>
        <w:t>has</w:t>
      </w:r>
      <w:r>
        <w:rPr>
          <w:rFonts w:ascii="Arial" w:cs="Arial" w:eastAsia="Arial" w:hAnsi="Arial"/>
          <w:sz w:val="19"/>
          <w:szCs w:val="19"/>
          <w:color w:val="1F1F1F"/>
        </w:rPr>
        <w:t xml:space="preserve"> </w:t>
      </w:r>
      <w:r>
        <w:rPr>
          <w:rFonts w:ascii="Arial" w:cs="Arial" w:eastAsia="Arial" w:hAnsi="Arial"/>
          <w:sz w:val="19"/>
          <w:szCs w:val="19"/>
          <w:color w:val="343434"/>
        </w:rPr>
        <w:t>first</w:t>
      </w:r>
      <w:r>
        <w:rPr>
          <w:rFonts w:ascii="Arial" w:cs="Arial" w:eastAsia="Arial" w:hAnsi="Arial"/>
          <w:sz w:val="19"/>
          <w:szCs w:val="19"/>
          <w:color w:val="1F1F1F"/>
        </w:rPr>
        <w:t xml:space="preserve"> given Tenant access </w:t>
      </w:r>
      <w:r>
        <w:rPr>
          <w:rFonts w:ascii="Arial" w:cs="Arial" w:eastAsia="Arial" w:hAnsi="Arial"/>
          <w:sz w:val="19"/>
          <w:szCs w:val="19"/>
          <w:color w:val="0E0E0E"/>
        </w:rPr>
        <w:t>to</w:t>
      </w:r>
      <w:r>
        <w:rPr>
          <w:rFonts w:ascii="Arial" w:cs="Arial" w:eastAsia="Arial" w:hAnsi="Arial"/>
          <w:sz w:val="19"/>
          <w:szCs w:val="19"/>
          <w:color w:val="1F1F1F"/>
        </w:rPr>
        <w:t xml:space="preserve"> Landlord’s </w:t>
      </w:r>
      <w:r>
        <w:rPr>
          <w:rFonts w:ascii="Arial" w:cs="Arial" w:eastAsia="Arial" w:hAnsi="Arial"/>
          <w:sz w:val="19"/>
          <w:szCs w:val="19"/>
          <w:color w:val="0E0E0E"/>
        </w:rPr>
        <w:t>books</w:t>
      </w:r>
      <w:r>
        <w:rPr>
          <w:rFonts w:ascii="Arial" w:cs="Arial" w:eastAsia="Arial" w:hAnsi="Arial"/>
          <w:sz w:val="19"/>
          <w:szCs w:val="19"/>
          <w:color w:val="1F1F1F"/>
        </w:rPr>
        <w:t xml:space="preserve"> and </w:t>
      </w:r>
      <w:r>
        <w:rPr>
          <w:rFonts w:ascii="Arial" w:cs="Arial" w:eastAsia="Arial" w:hAnsi="Arial"/>
          <w:sz w:val="19"/>
          <w:szCs w:val="19"/>
          <w:color w:val="0E0E0E"/>
        </w:rPr>
        <w:t>records for the</w:t>
      </w:r>
      <w:r>
        <w:rPr>
          <w:rFonts w:ascii="Arial" w:cs="Arial" w:eastAsia="Arial" w:hAnsi="Arial"/>
          <w:sz w:val="19"/>
          <w:szCs w:val="19"/>
          <w:color w:val="1F1F1F"/>
        </w:rPr>
        <w:t xml:space="preserve"> Independent Review. Landlord shall review the </w:t>
      </w:r>
      <w:r>
        <w:rPr>
          <w:rFonts w:ascii="Arial" w:cs="Arial" w:eastAsia="Arial" w:hAnsi="Arial"/>
          <w:sz w:val="19"/>
          <w:szCs w:val="19"/>
          <w:color w:val="0E0E0E"/>
        </w:rPr>
        <w:t>results of</w:t>
      </w:r>
      <w:r>
        <w:rPr>
          <w:rFonts w:ascii="Arial" w:cs="Arial" w:eastAsia="Arial" w:hAnsi="Arial"/>
          <w:sz w:val="19"/>
          <w:szCs w:val="19"/>
          <w:color w:val="1F1F1F"/>
        </w:rPr>
        <w:t xml:space="preserve"> any such Independent </w:t>
      </w:r>
      <w:r>
        <w:rPr>
          <w:rFonts w:ascii="Arial" w:cs="Arial" w:eastAsia="Arial" w:hAnsi="Arial"/>
          <w:sz w:val="19"/>
          <w:szCs w:val="19"/>
          <w:color w:val="0E0E0E"/>
        </w:rPr>
        <w:t>Review.</w:t>
      </w:r>
      <w:r>
        <w:rPr>
          <w:rFonts w:ascii="Arial" w:cs="Arial" w:eastAsia="Arial" w:hAnsi="Arial"/>
          <w:sz w:val="19"/>
          <w:szCs w:val="19"/>
          <w:color w:val="1F1F1F"/>
        </w:rPr>
        <w:t xml:space="preserve"> </w:t>
      </w:r>
      <w:r>
        <w:rPr>
          <w:rFonts w:ascii="Arial" w:cs="Arial" w:eastAsia="Arial" w:hAnsi="Arial"/>
          <w:sz w:val="19"/>
          <w:szCs w:val="19"/>
          <w:color w:val="343434"/>
        </w:rPr>
        <w:t>The</w:t>
      </w:r>
      <w:r>
        <w:rPr>
          <w:rFonts w:ascii="Arial" w:cs="Arial" w:eastAsia="Arial" w:hAnsi="Arial"/>
          <w:sz w:val="19"/>
          <w:szCs w:val="19"/>
          <w:color w:val="1F1F1F"/>
        </w:rPr>
        <w:t xml:space="preserve"> parties </w:t>
      </w:r>
      <w:r>
        <w:rPr>
          <w:rFonts w:ascii="Arial" w:cs="Arial" w:eastAsia="Arial" w:hAnsi="Arial"/>
          <w:sz w:val="19"/>
          <w:szCs w:val="19"/>
          <w:color w:val="343434"/>
        </w:rPr>
        <w:t>shall</w:t>
      </w:r>
      <w:r>
        <w:rPr>
          <w:rFonts w:ascii="Arial" w:cs="Arial" w:eastAsia="Arial" w:hAnsi="Arial"/>
          <w:sz w:val="19"/>
          <w:szCs w:val="19"/>
          <w:color w:val="1F1F1F"/>
        </w:rPr>
        <w:t xml:space="preserve"> endeavor to agree </w:t>
      </w:r>
      <w:r>
        <w:rPr>
          <w:rFonts w:ascii="Arial" w:cs="Arial" w:eastAsia="Arial" w:hAnsi="Arial"/>
          <w:sz w:val="19"/>
          <w:szCs w:val="19"/>
          <w:color w:val="0E0E0E"/>
        </w:rPr>
        <w:t>promptly and</w:t>
      </w:r>
      <w:r>
        <w:rPr>
          <w:rFonts w:ascii="Arial" w:cs="Arial" w:eastAsia="Arial" w:hAnsi="Arial"/>
          <w:sz w:val="19"/>
          <w:szCs w:val="19"/>
          <w:color w:val="1F1F1F"/>
        </w:rPr>
        <w:t xml:space="preserve"> reasonably upon Operating </w:t>
      </w:r>
      <w:r>
        <w:rPr>
          <w:rFonts w:ascii="Arial" w:cs="Arial" w:eastAsia="Arial" w:hAnsi="Arial"/>
          <w:sz w:val="19"/>
          <w:szCs w:val="19"/>
          <w:color w:val="343434"/>
        </w:rPr>
        <w:t>Expenses</w:t>
      </w:r>
      <w:r>
        <w:rPr>
          <w:rFonts w:ascii="Arial" w:cs="Arial" w:eastAsia="Arial" w:hAnsi="Arial"/>
          <w:sz w:val="19"/>
          <w:szCs w:val="19"/>
          <w:color w:val="1F1F1F"/>
        </w:rPr>
        <w:t xml:space="preserve"> taking </w:t>
      </w:r>
      <w:r>
        <w:rPr>
          <w:rFonts w:ascii="Arial" w:cs="Arial" w:eastAsia="Arial" w:hAnsi="Arial"/>
          <w:sz w:val="19"/>
          <w:szCs w:val="19"/>
          <w:color w:val="0E0E0E"/>
        </w:rPr>
        <w:t>into</w:t>
      </w:r>
      <w:r>
        <w:rPr>
          <w:rFonts w:ascii="Arial" w:cs="Arial" w:eastAsia="Arial" w:hAnsi="Arial"/>
          <w:sz w:val="19"/>
          <w:szCs w:val="19"/>
          <w:color w:val="1F1F1F"/>
        </w:rPr>
        <w:t xml:space="preserve"> account the results of such Independent Review. If, as of </w:t>
      </w:r>
      <w:r>
        <w:rPr>
          <w:rFonts w:ascii="Arial" w:cs="Arial" w:eastAsia="Arial" w:hAnsi="Arial"/>
          <w:sz w:val="19"/>
          <w:szCs w:val="19"/>
          <w:u w:val="single" w:color="auto"/>
          <w:color w:val="000000"/>
        </w:rPr>
        <w:t>[***]</w:t>
      </w:r>
      <w:r>
        <w:rPr>
          <w:rFonts w:ascii="Arial" w:cs="Arial" w:eastAsia="Arial" w:hAnsi="Arial"/>
          <w:sz w:val="19"/>
          <w:szCs w:val="19"/>
          <w:color w:val="1F1F1F"/>
        </w:rPr>
        <w:t xml:space="preserve"> days after Tenant </w:t>
      </w:r>
      <w:r>
        <w:rPr>
          <w:rFonts w:ascii="Arial" w:cs="Arial" w:eastAsia="Arial" w:hAnsi="Arial"/>
          <w:sz w:val="19"/>
          <w:szCs w:val="19"/>
          <w:color w:val="0E0E0E"/>
        </w:rPr>
        <w:t>has</w:t>
      </w:r>
      <w:r>
        <w:rPr>
          <w:rFonts w:ascii="Arial" w:cs="Arial" w:eastAsia="Arial" w:hAnsi="Arial"/>
          <w:sz w:val="19"/>
          <w:szCs w:val="19"/>
          <w:color w:val="1F1F1F"/>
        </w:rPr>
        <w:t xml:space="preserve"> </w:t>
      </w:r>
      <w:r>
        <w:rPr>
          <w:rFonts w:ascii="Arial" w:cs="Arial" w:eastAsia="Arial" w:hAnsi="Arial"/>
          <w:sz w:val="19"/>
          <w:szCs w:val="19"/>
          <w:color w:val="343434"/>
        </w:rPr>
        <w:t>submitted</w:t>
      </w:r>
      <w:r>
        <w:rPr>
          <w:rFonts w:ascii="Arial" w:cs="Arial" w:eastAsia="Arial" w:hAnsi="Arial"/>
          <w:sz w:val="19"/>
          <w:szCs w:val="19"/>
          <w:color w:val="1F1F1F"/>
        </w:rPr>
        <w:t xml:space="preserve"> the </w:t>
      </w:r>
      <w:r>
        <w:rPr>
          <w:rFonts w:ascii="Arial" w:cs="Arial" w:eastAsia="Arial" w:hAnsi="Arial"/>
          <w:sz w:val="19"/>
          <w:szCs w:val="19"/>
          <w:color w:val="343434"/>
        </w:rPr>
        <w:t>Independent</w:t>
      </w:r>
      <w:r>
        <w:rPr>
          <w:rFonts w:ascii="Arial" w:cs="Arial" w:eastAsia="Arial" w:hAnsi="Arial"/>
          <w:sz w:val="19"/>
          <w:szCs w:val="19"/>
          <w:color w:val="1F1F1F"/>
        </w:rPr>
        <w:t xml:space="preserve"> </w:t>
      </w:r>
      <w:r>
        <w:rPr>
          <w:rFonts w:ascii="Arial" w:cs="Arial" w:eastAsia="Arial" w:hAnsi="Arial"/>
          <w:sz w:val="19"/>
          <w:szCs w:val="19"/>
          <w:color w:val="0E0E0E"/>
        </w:rPr>
        <w:t>Review</w:t>
      </w:r>
      <w:r>
        <w:rPr>
          <w:rFonts w:ascii="Arial" w:cs="Arial" w:eastAsia="Arial" w:hAnsi="Arial"/>
          <w:sz w:val="19"/>
          <w:szCs w:val="19"/>
          <w:color w:val="1F1F1F"/>
        </w:rPr>
        <w:t xml:space="preserve"> to Landlord, the parties have </w:t>
      </w:r>
      <w:r>
        <w:rPr>
          <w:rFonts w:ascii="Arial" w:cs="Arial" w:eastAsia="Arial" w:hAnsi="Arial"/>
          <w:sz w:val="19"/>
          <w:szCs w:val="19"/>
          <w:color w:val="0E0E0E"/>
        </w:rPr>
        <w:t>not</w:t>
      </w:r>
      <w:r>
        <w:rPr>
          <w:rFonts w:ascii="Arial" w:cs="Arial" w:eastAsia="Arial" w:hAnsi="Arial"/>
          <w:sz w:val="19"/>
          <w:szCs w:val="19"/>
          <w:color w:val="1F1F1F"/>
        </w:rPr>
        <w:t xml:space="preserve"> agreed on the appropriate adjustments to Operating Expenses, then the parties </w:t>
      </w:r>
      <w:r>
        <w:rPr>
          <w:rFonts w:ascii="Arial" w:cs="Arial" w:eastAsia="Arial" w:hAnsi="Arial"/>
          <w:sz w:val="19"/>
          <w:szCs w:val="19"/>
          <w:color w:val="343434"/>
        </w:rPr>
        <w:t>shall</w:t>
      </w:r>
      <w:r>
        <w:rPr>
          <w:rFonts w:ascii="Arial" w:cs="Arial" w:eastAsia="Arial" w:hAnsi="Arial"/>
          <w:sz w:val="19"/>
          <w:szCs w:val="19"/>
          <w:color w:val="1F1F1F"/>
        </w:rPr>
        <w:t xml:space="preserve"> engage a </w:t>
      </w:r>
      <w:r>
        <w:rPr>
          <w:rFonts w:ascii="Arial" w:cs="Arial" w:eastAsia="Arial" w:hAnsi="Arial"/>
          <w:sz w:val="19"/>
          <w:szCs w:val="19"/>
          <w:color w:val="343434"/>
        </w:rPr>
        <w:t xml:space="preserve">mutually </w:t>
      </w:r>
      <w:r>
        <w:rPr>
          <w:rFonts w:ascii="Arial" w:cs="Arial" w:eastAsia="Arial" w:hAnsi="Arial"/>
          <w:sz w:val="19"/>
          <w:szCs w:val="19"/>
          <w:color w:val="1F1F1F"/>
        </w:rPr>
        <w:t>agreeable independent third</w:t>
      </w:r>
      <w:r>
        <w:rPr>
          <w:rFonts w:ascii="Arial" w:cs="Arial" w:eastAsia="Arial" w:hAnsi="Arial"/>
          <w:sz w:val="19"/>
          <w:szCs w:val="19"/>
          <w:color w:val="343434"/>
        </w:rPr>
        <w:t xml:space="preserve"> </w:t>
      </w:r>
      <w:r>
        <w:rPr>
          <w:rFonts w:ascii="Arial" w:cs="Arial" w:eastAsia="Arial" w:hAnsi="Arial"/>
          <w:sz w:val="19"/>
          <w:szCs w:val="19"/>
          <w:color w:val="0E0E0E"/>
        </w:rPr>
        <w:t>party</w:t>
      </w:r>
      <w:r>
        <w:rPr>
          <w:rFonts w:ascii="Arial" w:cs="Arial" w:eastAsia="Arial" w:hAnsi="Arial"/>
          <w:sz w:val="19"/>
          <w:szCs w:val="19"/>
          <w:color w:val="343434"/>
        </w:rPr>
        <w:t xml:space="preserve"> </w:t>
      </w:r>
      <w:r>
        <w:rPr>
          <w:rFonts w:ascii="Arial" w:cs="Arial" w:eastAsia="Arial" w:hAnsi="Arial"/>
          <w:sz w:val="19"/>
          <w:szCs w:val="19"/>
          <w:color w:val="1F1F1F"/>
        </w:rPr>
        <w:t>accountant with at</w:t>
      </w:r>
      <w:r>
        <w:rPr>
          <w:rFonts w:ascii="Arial" w:cs="Arial" w:eastAsia="Arial" w:hAnsi="Arial"/>
          <w:sz w:val="19"/>
          <w:szCs w:val="19"/>
          <w:color w:val="343434"/>
        </w:rPr>
        <w:t xml:space="preserve"> least </w:t>
      </w:r>
      <w:r>
        <w:rPr>
          <w:rFonts w:ascii="Arial" w:cs="Arial" w:eastAsia="Arial" w:hAnsi="Arial"/>
          <w:sz w:val="19"/>
          <w:szCs w:val="19"/>
          <w:u w:val="single" w:color="auto"/>
          <w:color w:val="000000"/>
        </w:rPr>
        <w:t>[***]</w:t>
      </w:r>
      <w:r>
        <w:rPr>
          <w:rFonts w:ascii="Arial" w:cs="Arial" w:eastAsia="Arial" w:hAnsi="Arial"/>
          <w:sz w:val="19"/>
          <w:szCs w:val="19"/>
          <w:color w:val="343434"/>
        </w:rPr>
        <w:t xml:space="preserve"> </w:t>
      </w:r>
      <w:r>
        <w:rPr>
          <w:rFonts w:ascii="Arial" w:cs="Arial" w:eastAsia="Arial" w:hAnsi="Arial"/>
          <w:sz w:val="19"/>
          <w:szCs w:val="19"/>
          <w:color w:val="1F1F1F"/>
        </w:rPr>
        <w:t>years’ experience</w:t>
      </w:r>
      <w:r>
        <w:rPr>
          <w:rFonts w:ascii="Arial" w:cs="Arial" w:eastAsia="Arial" w:hAnsi="Arial"/>
          <w:sz w:val="19"/>
          <w:szCs w:val="19"/>
          <w:color w:val="343434"/>
        </w:rPr>
        <w:t xml:space="preserve"> </w:t>
      </w:r>
      <w:r>
        <w:rPr>
          <w:rFonts w:ascii="Arial" w:cs="Arial" w:eastAsia="Arial" w:hAnsi="Arial"/>
          <w:sz w:val="19"/>
          <w:szCs w:val="19"/>
          <w:color w:val="0E0E0E"/>
        </w:rPr>
        <w:t>in</w:t>
      </w:r>
      <w:r>
        <w:rPr>
          <w:rFonts w:ascii="Arial" w:cs="Arial" w:eastAsia="Arial" w:hAnsi="Arial"/>
          <w:sz w:val="19"/>
          <w:szCs w:val="19"/>
          <w:color w:val="343434"/>
        </w:rPr>
        <w:t xml:space="preserve"> </w:t>
      </w:r>
      <w:r>
        <w:rPr>
          <w:rFonts w:ascii="Arial" w:cs="Arial" w:eastAsia="Arial" w:hAnsi="Arial"/>
          <w:sz w:val="19"/>
          <w:szCs w:val="19"/>
          <w:color w:val="1F1F1F"/>
        </w:rPr>
        <w:t>commercial real</w:t>
      </w:r>
      <w:r>
        <w:rPr>
          <w:rFonts w:ascii="Arial" w:cs="Arial" w:eastAsia="Arial" w:hAnsi="Arial"/>
          <w:sz w:val="19"/>
          <w:szCs w:val="19"/>
          <w:color w:val="343434"/>
        </w:rPr>
        <w:t xml:space="preserve"> </w:t>
      </w:r>
      <w:r>
        <w:rPr>
          <w:rFonts w:ascii="Arial" w:cs="Arial" w:eastAsia="Arial" w:hAnsi="Arial"/>
          <w:sz w:val="19"/>
          <w:szCs w:val="19"/>
          <w:color w:val="1F1F1F"/>
        </w:rPr>
        <w:t xml:space="preserve">estate </w:t>
      </w:r>
      <w:r>
        <w:rPr>
          <w:rFonts w:ascii="Arial" w:cs="Arial" w:eastAsia="Arial" w:hAnsi="Arial"/>
          <w:sz w:val="19"/>
          <w:szCs w:val="19"/>
          <w:color w:val="343434"/>
        </w:rPr>
        <w:t>accounting</w:t>
      </w:r>
      <w:r>
        <w:rPr>
          <w:rFonts w:ascii="Arial" w:cs="Arial" w:eastAsia="Arial" w:hAnsi="Arial"/>
          <w:sz w:val="19"/>
          <w:szCs w:val="19"/>
          <w:color w:val="1F1F1F"/>
        </w:rPr>
        <w:t xml:space="preserve"> and auditing </w:t>
      </w:r>
      <w:r>
        <w:rPr>
          <w:rFonts w:ascii="Arial" w:cs="Arial" w:eastAsia="Arial" w:hAnsi="Arial"/>
          <w:sz w:val="19"/>
          <w:szCs w:val="19"/>
          <w:color w:val="0E0E0E"/>
        </w:rPr>
        <w:t>in</w:t>
      </w:r>
      <w:r>
        <w:rPr>
          <w:rFonts w:ascii="Arial" w:cs="Arial" w:eastAsia="Arial" w:hAnsi="Arial"/>
          <w:sz w:val="19"/>
          <w:szCs w:val="19"/>
          <w:color w:val="1F1F1F"/>
        </w:rPr>
        <w:t xml:space="preserve"> the Washington, DC region </w:t>
      </w:r>
      <w:r>
        <w:rPr>
          <w:rFonts w:ascii="Arial" w:cs="Arial" w:eastAsia="Arial" w:hAnsi="Arial"/>
          <w:sz w:val="19"/>
          <w:szCs w:val="19"/>
          <w:color w:val="0E0E0E"/>
        </w:rPr>
        <w:t>(the</w:t>
      </w:r>
      <w:r>
        <w:rPr>
          <w:rFonts w:ascii="Arial" w:cs="Arial" w:eastAsia="Arial" w:hAnsi="Arial"/>
          <w:sz w:val="19"/>
          <w:szCs w:val="19"/>
          <w:color w:val="1F1F1F"/>
        </w:rPr>
        <w:t xml:space="preserve"> “Accountant’’). If </w:t>
      </w:r>
      <w:r>
        <w:rPr>
          <w:rFonts w:ascii="Arial" w:cs="Arial" w:eastAsia="Arial" w:hAnsi="Arial"/>
          <w:sz w:val="19"/>
          <w:szCs w:val="19"/>
          <w:color w:val="0E0E0E"/>
        </w:rPr>
        <w:t>the parties</w:t>
      </w:r>
      <w:r>
        <w:rPr>
          <w:rFonts w:ascii="Arial" w:cs="Arial" w:eastAsia="Arial" w:hAnsi="Arial"/>
          <w:sz w:val="19"/>
          <w:szCs w:val="19"/>
          <w:color w:val="1F1F1F"/>
        </w:rPr>
        <w:t xml:space="preserve"> cannot </w:t>
      </w:r>
      <w:r>
        <w:rPr>
          <w:rFonts w:ascii="Arial" w:cs="Arial" w:eastAsia="Arial" w:hAnsi="Arial"/>
          <w:sz w:val="19"/>
          <w:szCs w:val="19"/>
          <w:color w:val="343434"/>
        </w:rPr>
        <w:t>agree</w:t>
      </w:r>
      <w:r>
        <w:rPr>
          <w:rFonts w:ascii="Arial" w:cs="Arial" w:eastAsia="Arial" w:hAnsi="Arial"/>
          <w:sz w:val="19"/>
          <w:szCs w:val="19"/>
          <w:color w:val="1F1F1F"/>
        </w:rPr>
        <w:t xml:space="preserve"> on </w:t>
      </w:r>
      <w:r>
        <w:rPr>
          <w:rFonts w:ascii="Arial" w:cs="Arial" w:eastAsia="Arial" w:hAnsi="Arial"/>
          <w:sz w:val="19"/>
          <w:szCs w:val="19"/>
          <w:color w:val="343434"/>
        </w:rPr>
        <w:t>the</w:t>
      </w:r>
      <w:r>
        <w:rPr>
          <w:rFonts w:ascii="Arial" w:cs="Arial" w:eastAsia="Arial" w:hAnsi="Arial"/>
          <w:sz w:val="19"/>
          <w:szCs w:val="19"/>
          <w:color w:val="1F1F1F"/>
        </w:rPr>
        <w:t xml:space="preserve"> Accountant, each shall within </w:t>
      </w:r>
      <w:r>
        <w:rPr>
          <w:rFonts w:ascii="Arial" w:cs="Arial" w:eastAsia="Arial" w:hAnsi="Arial"/>
          <w:sz w:val="19"/>
          <w:szCs w:val="19"/>
          <w:u w:val="single" w:color="auto"/>
          <w:color w:val="000000"/>
        </w:rPr>
        <w:t>[***]</w:t>
      </w:r>
      <w:r>
        <w:rPr>
          <w:rFonts w:ascii="Arial" w:cs="Arial" w:eastAsia="Arial" w:hAnsi="Arial"/>
          <w:sz w:val="19"/>
          <w:szCs w:val="19"/>
          <w:color w:val="1F1F1F"/>
        </w:rPr>
        <w:t xml:space="preserve"> </w:t>
      </w:r>
      <w:r>
        <w:rPr>
          <w:rFonts w:ascii="Arial" w:cs="Arial" w:eastAsia="Arial" w:hAnsi="Arial"/>
          <w:sz w:val="19"/>
          <w:szCs w:val="19"/>
          <w:color w:val="0E0E0E"/>
        </w:rPr>
        <w:t>days</w:t>
      </w:r>
      <w:r>
        <w:rPr>
          <w:rFonts w:ascii="Arial" w:cs="Arial" w:eastAsia="Arial" w:hAnsi="Arial"/>
          <w:sz w:val="19"/>
          <w:szCs w:val="19"/>
          <w:color w:val="1F1F1F"/>
        </w:rPr>
        <w:t xml:space="preserve"> after </w:t>
      </w:r>
      <w:r>
        <w:rPr>
          <w:rFonts w:ascii="Arial" w:cs="Arial" w:eastAsia="Arial" w:hAnsi="Arial"/>
          <w:sz w:val="19"/>
          <w:szCs w:val="19"/>
          <w:color w:val="343434"/>
        </w:rPr>
        <w:t>such</w:t>
      </w:r>
      <w:r>
        <w:rPr>
          <w:rFonts w:ascii="Arial" w:cs="Arial" w:eastAsia="Arial" w:hAnsi="Arial"/>
          <w:sz w:val="19"/>
          <w:szCs w:val="19"/>
          <w:color w:val="1F1F1F"/>
        </w:rPr>
        <w:t xml:space="preserve"> impasse appoint an </w:t>
      </w:r>
      <w:r>
        <w:rPr>
          <w:rFonts w:ascii="Arial" w:cs="Arial" w:eastAsia="Arial" w:hAnsi="Arial"/>
          <w:sz w:val="19"/>
          <w:szCs w:val="19"/>
          <w:color w:val="343434"/>
        </w:rPr>
        <w:t>Accountant</w:t>
      </w:r>
      <w:r>
        <w:rPr>
          <w:rFonts w:ascii="Arial" w:cs="Arial" w:eastAsia="Arial" w:hAnsi="Arial"/>
          <w:sz w:val="19"/>
          <w:szCs w:val="19"/>
          <w:color w:val="1F1F1F"/>
        </w:rPr>
        <w:t xml:space="preserve"> (different </w:t>
      </w:r>
      <w:r>
        <w:rPr>
          <w:rFonts w:ascii="Arial" w:cs="Arial" w:eastAsia="Arial" w:hAnsi="Arial"/>
          <w:sz w:val="19"/>
          <w:szCs w:val="19"/>
          <w:color w:val="343434"/>
        </w:rPr>
        <w:t>from</w:t>
      </w:r>
      <w:r>
        <w:rPr>
          <w:rFonts w:ascii="Arial" w:cs="Arial" w:eastAsia="Arial" w:hAnsi="Arial"/>
          <w:sz w:val="19"/>
          <w:szCs w:val="19"/>
          <w:color w:val="1F1F1F"/>
        </w:rPr>
        <w:t xml:space="preserve"> the accountant and accounting firm </w:t>
      </w:r>
      <w:r>
        <w:rPr>
          <w:rFonts w:ascii="Arial" w:cs="Arial" w:eastAsia="Arial" w:hAnsi="Arial"/>
          <w:sz w:val="19"/>
          <w:szCs w:val="19"/>
          <w:color w:val="343434"/>
        </w:rPr>
        <w:t>that</w:t>
      </w:r>
      <w:r>
        <w:rPr>
          <w:rFonts w:ascii="Arial" w:cs="Arial" w:eastAsia="Arial" w:hAnsi="Arial"/>
          <w:sz w:val="19"/>
          <w:szCs w:val="19"/>
          <w:color w:val="1F1F1F"/>
        </w:rPr>
        <w:t xml:space="preserve"> conducted </w:t>
      </w:r>
      <w:r>
        <w:rPr>
          <w:rFonts w:ascii="Arial" w:cs="Arial" w:eastAsia="Arial" w:hAnsi="Arial"/>
          <w:sz w:val="19"/>
          <w:szCs w:val="19"/>
          <w:color w:val="0E0E0E"/>
        </w:rPr>
        <w:t>the</w:t>
      </w:r>
      <w:r>
        <w:rPr>
          <w:rFonts w:ascii="Arial" w:cs="Arial" w:eastAsia="Arial" w:hAnsi="Arial"/>
          <w:sz w:val="19"/>
          <w:szCs w:val="19"/>
          <w:color w:val="1F1F1F"/>
        </w:rPr>
        <w:t xml:space="preserve"> Independent </w:t>
      </w:r>
      <w:r>
        <w:rPr>
          <w:rFonts w:ascii="Arial" w:cs="Arial" w:eastAsia="Arial" w:hAnsi="Arial"/>
          <w:sz w:val="19"/>
          <w:szCs w:val="19"/>
          <w:color w:val="343434"/>
        </w:rPr>
        <w:t>Review)</w:t>
      </w:r>
      <w:r>
        <w:rPr>
          <w:rFonts w:ascii="Arial" w:cs="Arial" w:eastAsia="Arial" w:hAnsi="Arial"/>
          <w:sz w:val="19"/>
          <w:szCs w:val="19"/>
          <w:color w:val="1F1F1F"/>
        </w:rPr>
        <w:t xml:space="preserve"> and, within </w:t>
      </w:r>
      <w:r>
        <w:rPr>
          <w:rFonts w:ascii="Arial" w:cs="Arial" w:eastAsia="Arial" w:hAnsi="Arial"/>
          <w:sz w:val="19"/>
          <w:szCs w:val="19"/>
          <w:u w:val="single" w:color="auto"/>
          <w:color w:val="000000"/>
        </w:rPr>
        <w:t>[***]</w:t>
      </w:r>
      <w:r>
        <w:rPr>
          <w:rFonts w:ascii="Arial" w:cs="Arial" w:eastAsia="Arial" w:hAnsi="Arial"/>
          <w:sz w:val="19"/>
          <w:szCs w:val="19"/>
          <w:color w:val="1F1F1F"/>
        </w:rPr>
        <w:t xml:space="preserve"> days after the </w:t>
      </w:r>
      <w:r>
        <w:rPr>
          <w:rFonts w:ascii="Arial" w:cs="Arial" w:eastAsia="Arial" w:hAnsi="Arial"/>
          <w:sz w:val="19"/>
          <w:szCs w:val="19"/>
          <w:color w:val="343434"/>
        </w:rPr>
        <w:t>appointment</w:t>
      </w:r>
      <w:r>
        <w:rPr>
          <w:rFonts w:ascii="Arial" w:cs="Arial" w:eastAsia="Arial" w:hAnsi="Arial"/>
          <w:sz w:val="19"/>
          <w:szCs w:val="19"/>
          <w:color w:val="1F1F1F"/>
        </w:rPr>
        <w:t xml:space="preserve"> of both </w:t>
      </w:r>
      <w:r>
        <w:rPr>
          <w:rFonts w:ascii="Arial" w:cs="Arial" w:eastAsia="Arial" w:hAnsi="Arial"/>
          <w:sz w:val="19"/>
          <w:szCs w:val="19"/>
          <w:color w:val="343434"/>
        </w:rPr>
        <w:t xml:space="preserve">such </w:t>
      </w:r>
      <w:r>
        <w:rPr>
          <w:rFonts w:ascii="Arial" w:cs="Arial" w:eastAsia="Arial" w:hAnsi="Arial"/>
          <w:sz w:val="19"/>
          <w:szCs w:val="19"/>
          <w:color w:val="1F1F1F"/>
        </w:rPr>
        <w:t>Accountants,</w:t>
      </w:r>
      <w:r>
        <w:rPr>
          <w:rFonts w:ascii="Arial" w:cs="Arial" w:eastAsia="Arial" w:hAnsi="Arial"/>
          <w:sz w:val="19"/>
          <w:szCs w:val="19"/>
          <w:color w:val="343434"/>
        </w:rPr>
        <w:t xml:space="preserve"> those </w:t>
      </w:r>
      <w:r>
        <w:rPr>
          <w:rFonts w:ascii="Arial" w:cs="Arial" w:eastAsia="Arial" w:hAnsi="Arial"/>
          <w:sz w:val="19"/>
          <w:szCs w:val="19"/>
          <w:color w:val="1F1F1F"/>
        </w:rPr>
        <w:t>two Accountants</w:t>
      </w:r>
      <w:r>
        <w:rPr>
          <w:rFonts w:ascii="Arial" w:cs="Arial" w:eastAsia="Arial" w:hAnsi="Arial"/>
          <w:sz w:val="19"/>
          <w:szCs w:val="19"/>
          <w:color w:val="343434"/>
        </w:rPr>
        <w:t xml:space="preserve"> shall select a third </w:t>
      </w:r>
      <w:r>
        <w:rPr>
          <w:rFonts w:ascii="Arial" w:cs="Arial" w:eastAsia="Arial" w:hAnsi="Arial"/>
          <w:sz w:val="19"/>
          <w:szCs w:val="19"/>
          <w:color w:val="1F1F1F"/>
        </w:rPr>
        <w:t>(which</w:t>
      </w:r>
      <w:r>
        <w:rPr>
          <w:rFonts w:ascii="Arial" w:cs="Arial" w:eastAsia="Arial" w:hAnsi="Arial"/>
          <w:sz w:val="19"/>
          <w:szCs w:val="19"/>
          <w:color w:val="343434"/>
        </w:rPr>
        <w:t xml:space="preserve"> cannot be </w:t>
      </w:r>
      <w:r>
        <w:rPr>
          <w:rFonts w:ascii="Arial" w:cs="Arial" w:eastAsia="Arial" w:hAnsi="Arial"/>
          <w:sz w:val="19"/>
          <w:szCs w:val="19"/>
          <w:color w:val="0E0E0E"/>
        </w:rPr>
        <w:t>the</w:t>
      </w:r>
      <w:r>
        <w:rPr>
          <w:rFonts w:ascii="Arial" w:cs="Arial" w:eastAsia="Arial" w:hAnsi="Arial"/>
          <w:sz w:val="19"/>
          <w:szCs w:val="19"/>
          <w:color w:val="343434"/>
        </w:rPr>
        <w:t xml:space="preserve"> </w:t>
      </w:r>
      <w:r>
        <w:rPr>
          <w:rFonts w:ascii="Arial" w:cs="Arial" w:eastAsia="Arial" w:hAnsi="Arial"/>
          <w:sz w:val="19"/>
          <w:szCs w:val="19"/>
          <w:color w:val="1F1F1F"/>
        </w:rPr>
        <w:t>accountant and accounting firm</w:t>
      </w:r>
      <w:r>
        <w:rPr>
          <w:rFonts w:ascii="Arial" w:cs="Arial" w:eastAsia="Arial" w:hAnsi="Arial"/>
          <w:sz w:val="19"/>
          <w:szCs w:val="19"/>
          <w:color w:val="343434"/>
        </w:rPr>
        <w:t xml:space="preserve"> that </w:t>
      </w:r>
      <w:r>
        <w:rPr>
          <w:rFonts w:ascii="Arial" w:cs="Arial" w:eastAsia="Arial" w:hAnsi="Arial"/>
          <w:sz w:val="19"/>
          <w:szCs w:val="19"/>
          <w:color w:val="1F1F1F"/>
        </w:rPr>
        <w:t>conducted</w:t>
      </w:r>
      <w:r>
        <w:rPr>
          <w:rFonts w:ascii="Arial" w:cs="Arial" w:eastAsia="Arial" w:hAnsi="Arial"/>
          <w:sz w:val="19"/>
          <w:szCs w:val="19"/>
          <w:color w:val="343434"/>
        </w:rPr>
        <w:t xml:space="preserve"> the </w:t>
      </w:r>
      <w:r>
        <w:rPr>
          <w:rFonts w:ascii="Arial" w:cs="Arial" w:eastAsia="Arial" w:hAnsi="Arial"/>
          <w:sz w:val="19"/>
          <w:szCs w:val="19"/>
          <w:color w:val="0E0E0E"/>
        </w:rPr>
        <w:t>Independent</w:t>
      </w:r>
      <w:r>
        <w:rPr>
          <w:rFonts w:ascii="Arial" w:cs="Arial" w:eastAsia="Arial" w:hAnsi="Arial"/>
          <w:sz w:val="19"/>
          <w:szCs w:val="19"/>
          <w:color w:val="343434"/>
        </w:rPr>
        <w:t xml:space="preserve"> </w:t>
      </w:r>
      <w:r>
        <w:rPr>
          <w:rFonts w:ascii="Arial" w:cs="Arial" w:eastAsia="Arial" w:hAnsi="Arial"/>
          <w:sz w:val="19"/>
          <w:szCs w:val="19"/>
          <w:color w:val="1F1F1F"/>
        </w:rPr>
        <w:t>Review).</w:t>
      </w:r>
      <w:r>
        <w:rPr>
          <w:rFonts w:ascii="Arial" w:cs="Arial" w:eastAsia="Arial" w:hAnsi="Arial"/>
          <w:sz w:val="19"/>
          <w:szCs w:val="19"/>
          <w:color w:val="343434"/>
        </w:rPr>
        <w:t xml:space="preserve"> </w:t>
      </w:r>
      <w:r>
        <w:rPr>
          <w:rFonts w:ascii="Arial" w:cs="Arial" w:eastAsia="Arial" w:hAnsi="Arial"/>
          <w:sz w:val="19"/>
          <w:szCs w:val="19"/>
          <w:color w:val="0E0E0E"/>
        </w:rPr>
        <w:t>If</w:t>
      </w:r>
      <w:r>
        <w:rPr>
          <w:rFonts w:ascii="Arial" w:cs="Arial" w:eastAsia="Arial" w:hAnsi="Arial"/>
          <w:sz w:val="19"/>
          <w:szCs w:val="19"/>
          <w:color w:val="343434"/>
        </w:rPr>
        <w:t xml:space="preserve"> </w:t>
      </w:r>
      <w:r>
        <w:rPr>
          <w:rFonts w:ascii="Arial" w:cs="Arial" w:eastAsia="Arial" w:hAnsi="Arial"/>
          <w:sz w:val="19"/>
          <w:szCs w:val="19"/>
          <w:color w:val="1F1F1F"/>
        </w:rPr>
        <w:t>either party</w:t>
      </w:r>
      <w:r>
        <w:rPr>
          <w:rFonts w:ascii="Arial" w:cs="Arial" w:eastAsia="Arial" w:hAnsi="Arial"/>
          <w:sz w:val="19"/>
          <w:szCs w:val="19"/>
          <w:color w:val="343434"/>
        </w:rPr>
        <w:t xml:space="preserve"> fails to </w:t>
      </w:r>
      <w:r>
        <w:rPr>
          <w:rFonts w:ascii="Arial" w:cs="Arial" w:eastAsia="Arial" w:hAnsi="Arial"/>
          <w:sz w:val="19"/>
          <w:szCs w:val="19"/>
          <w:color w:val="1F1F1F"/>
        </w:rPr>
        <w:t>timely appoint</w:t>
      </w:r>
      <w:r>
        <w:rPr>
          <w:rFonts w:ascii="Arial" w:cs="Arial" w:eastAsia="Arial" w:hAnsi="Arial"/>
          <w:sz w:val="19"/>
          <w:szCs w:val="19"/>
          <w:color w:val="343434"/>
        </w:rPr>
        <w:t xml:space="preserve"> an </w:t>
      </w:r>
      <w:r>
        <w:rPr>
          <w:rFonts w:ascii="Arial" w:cs="Arial" w:eastAsia="Arial" w:hAnsi="Arial"/>
          <w:sz w:val="19"/>
          <w:szCs w:val="19"/>
          <w:color w:val="1F1F1F"/>
        </w:rPr>
        <w:t>Accountant, then</w:t>
      </w:r>
      <w:r>
        <w:rPr>
          <w:rFonts w:ascii="Arial" w:cs="Arial" w:eastAsia="Arial" w:hAnsi="Arial"/>
          <w:sz w:val="19"/>
          <w:szCs w:val="19"/>
          <w:color w:val="343434"/>
        </w:rPr>
        <w:t xml:space="preserve"> </w:t>
      </w:r>
      <w:r>
        <w:rPr>
          <w:rFonts w:ascii="Arial" w:cs="Arial" w:eastAsia="Arial" w:hAnsi="Arial"/>
          <w:sz w:val="19"/>
          <w:szCs w:val="19"/>
          <w:color w:val="0E0E0E"/>
        </w:rPr>
        <w:t>the</w:t>
      </w:r>
      <w:r>
        <w:rPr>
          <w:rFonts w:ascii="Arial" w:cs="Arial" w:eastAsia="Arial" w:hAnsi="Arial"/>
          <w:sz w:val="19"/>
          <w:szCs w:val="19"/>
          <w:color w:val="343434"/>
        </w:rPr>
        <w:t xml:space="preserve"> </w:t>
      </w:r>
      <w:r>
        <w:rPr>
          <w:rFonts w:ascii="Arial" w:cs="Arial" w:eastAsia="Arial" w:hAnsi="Arial"/>
          <w:sz w:val="19"/>
          <w:szCs w:val="19"/>
          <w:color w:val="1F1F1F"/>
        </w:rPr>
        <w:t>Accountant</w:t>
      </w:r>
      <w:r>
        <w:rPr>
          <w:rFonts w:ascii="Arial" w:cs="Arial" w:eastAsia="Arial" w:hAnsi="Arial"/>
          <w:sz w:val="19"/>
          <w:szCs w:val="19"/>
          <w:color w:val="343434"/>
        </w:rPr>
        <w:t xml:space="preserve"> </w:t>
      </w:r>
      <w:r>
        <w:rPr>
          <w:rFonts w:ascii="Arial" w:cs="Arial" w:eastAsia="Arial" w:hAnsi="Arial"/>
          <w:sz w:val="19"/>
          <w:szCs w:val="19"/>
          <w:color w:val="1F1F1F"/>
        </w:rPr>
        <w:t xml:space="preserve">the other party appoints shall be </w:t>
      </w:r>
      <w:r>
        <w:rPr>
          <w:rFonts w:ascii="Arial" w:cs="Arial" w:eastAsia="Arial" w:hAnsi="Arial"/>
          <w:sz w:val="19"/>
          <w:szCs w:val="19"/>
          <w:color w:val="0E0E0E"/>
        </w:rPr>
        <w:t>the</w:t>
      </w:r>
      <w:r>
        <w:rPr>
          <w:rFonts w:ascii="Arial" w:cs="Arial" w:eastAsia="Arial" w:hAnsi="Arial"/>
          <w:sz w:val="19"/>
          <w:szCs w:val="19"/>
          <w:color w:val="1F1F1F"/>
        </w:rPr>
        <w:t xml:space="preserve"> </w:t>
      </w:r>
      <w:r>
        <w:rPr>
          <w:rFonts w:ascii="Arial" w:cs="Arial" w:eastAsia="Arial" w:hAnsi="Arial"/>
          <w:sz w:val="19"/>
          <w:szCs w:val="19"/>
          <w:color w:val="343434"/>
        </w:rPr>
        <w:t>sole</w:t>
      </w:r>
      <w:r>
        <w:rPr>
          <w:rFonts w:ascii="Arial" w:cs="Arial" w:eastAsia="Arial" w:hAnsi="Arial"/>
          <w:sz w:val="19"/>
          <w:szCs w:val="19"/>
          <w:color w:val="1F1F1F"/>
        </w:rPr>
        <w:t xml:space="preserve"> Accountant. Within </w:t>
      </w:r>
      <w:r>
        <w:rPr>
          <w:rFonts w:ascii="Arial" w:cs="Arial" w:eastAsia="Arial" w:hAnsi="Arial"/>
          <w:sz w:val="19"/>
          <w:szCs w:val="19"/>
          <w:color w:val="0E0E0E"/>
        </w:rPr>
        <w:t>ten</w:t>
      </w:r>
      <w:r>
        <w:rPr>
          <w:rFonts w:ascii="Arial" w:cs="Arial" w:eastAsia="Arial" w:hAnsi="Arial"/>
          <w:sz w:val="19"/>
          <w:szCs w:val="19"/>
          <w:color w:val="1F1F1F"/>
        </w:rPr>
        <w:t xml:space="preserve"> </w:t>
      </w:r>
      <w:r>
        <w:rPr>
          <w:rFonts w:ascii="Arial" w:cs="Arial" w:eastAsia="Arial" w:hAnsi="Arial"/>
          <w:sz w:val="19"/>
          <w:szCs w:val="19"/>
          <w:u w:val="single" w:color="auto"/>
          <w:color w:val="000000"/>
        </w:rPr>
        <w:t>[***]</w:t>
      </w:r>
      <w:r>
        <w:rPr>
          <w:rFonts w:ascii="Arial" w:cs="Arial" w:eastAsia="Arial" w:hAnsi="Arial"/>
          <w:sz w:val="19"/>
          <w:szCs w:val="19"/>
          <w:color w:val="1F1F1F"/>
        </w:rPr>
        <w:t xml:space="preserve"> after appointment of the Accountant(s), Landlord and Tenant </w:t>
      </w:r>
      <w:r>
        <w:rPr>
          <w:rFonts w:ascii="Arial" w:cs="Arial" w:eastAsia="Arial" w:hAnsi="Arial"/>
          <w:sz w:val="19"/>
          <w:szCs w:val="19"/>
          <w:color w:val="343434"/>
        </w:rPr>
        <w:t>shall</w:t>
      </w:r>
      <w:r>
        <w:rPr>
          <w:rFonts w:ascii="Arial" w:cs="Arial" w:eastAsia="Arial" w:hAnsi="Arial"/>
          <w:sz w:val="19"/>
          <w:szCs w:val="19"/>
          <w:color w:val="1F1F1F"/>
        </w:rPr>
        <w:t xml:space="preserve"> each </w:t>
      </w:r>
      <w:r>
        <w:rPr>
          <w:rFonts w:ascii="Arial" w:cs="Arial" w:eastAsia="Arial" w:hAnsi="Arial"/>
          <w:sz w:val="19"/>
          <w:szCs w:val="19"/>
          <w:color w:val="343434"/>
        </w:rPr>
        <w:t>simultaneously</w:t>
      </w:r>
      <w:r>
        <w:rPr>
          <w:rFonts w:ascii="Arial" w:cs="Arial" w:eastAsia="Arial" w:hAnsi="Arial"/>
          <w:sz w:val="19"/>
          <w:szCs w:val="19"/>
          <w:color w:val="1F1F1F"/>
        </w:rPr>
        <w:t xml:space="preserve"> give </w:t>
      </w:r>
      <w:r>
        <w:rPr>
          <w:rFonts w:ascii="Arial" w:cs="Arial" w:eastAsia="Arial" w:hAnsi="Arial"/>
          <w:sz w:val="19"/>
          <w:szCs w:val="19"/>
          <w:color w:val="0E0E0E"/>
        </w:rPr>
        <w:t>the</w:t>
      </w:r>
      <w:r>
        <w:rPr>
          <w:rFonts w:ascii="Arial" w:cs="Arial" w:eastAsia="Arial" w:hAnsi="Arial"/>
          <w:sz w:val="19"/>
          <w:szCs w:val="19"/>
          <w:color w:val="1F1F1F"/>
        </w:rPr>
        <w:t xml:space="preserve"> Accountants (with </w:t>
      </w:r>
      <w:r>
        <w:rPr>
          <w:rFonts w:ascii="Arial" w:cs="Arial" w:eastAsia="Arial" w:hAnsi="Arial"/>
          <w:sz w:val="19"/>
          <w:szCs w:val="19"/>
          <w:color w:val="343434"/>
        </w:rPr>
        <w:t>a</w:t>
      </w:r>
      <w:r>
        <w:rPr>
          <w:rFonts w:ascii="Arial" w:cs="Arial" w:eastAsia="Arial" w:hAnsi="Arial"/>
          <w:sz w:val="19"/>
          <w:szCs w:val="19"/>
          <w:color w:val="1F1F1F"/>
        </w:rPr>
        <w:t xml:space="preserve"> copy to the other party) its determination of Operating </w:t>
      </w:r>
      <w:r>
        <w:rPr>
          <w:rFonts w:ascii="Arial" w:cs="Arial" w:eastAsia="Arial" w:hAnsi="Arial"/>
          <w:sz w:val="19"/>
          <w:szCs w:val="19"/>
          <w:color w:val="343434"/>
        </w:rPr>
        <w:t>Expenses,</w:t>
      </w:r>
      <w:r>
        <w:rPr>
          <w:rFonts w:ascii="Arial" w:cs="Arial" w:eastAsia="Arial" w:hAnsi="Arial"/>
          <w:sz w:val="19"/>
          <w:szCs w:val="19"/>
          <w:color w:val="1F1F1F"/>
        </w:rPr>
        <w:t xml:space="preserve"> with such </w:t>
      </w:r>
      <w:r>
        <w:rPr>
          <w:rFonts w:ascii="Arial" w:cs="Arial" w:eastAsia="Arial" w:hAnsi="Arial"/>
          <w:sz w:val="19"/>
          <w:szCs w:val="19"/>
          <w:color w:val="343434"/>
        </w:rPr>
        <w:t>supporting</w:t>
      </w:r>
      <w:r>
        <w:rPr>
          <w:rFonts w:ascii="Arial" w:cs="Arial" w:eastAsia="Arial" w:hAnsi="Arial"/>
          <w:sz w:val="19"/>
          <w:szCs w:val="19"/>
          <w:color w:val="1F1F1F"/>
        </w:rPr>
        <w:t xml:space="preserve"> </w:t>
      </w:r>
      <w:r>
        <w:rPr>
          <w:rFonts w:ascii="Arial" w:cs="Arial" w:eastAsia="Arial" w:hAnsi="Arial"/>
          <w:sz w:val="19"/>
          <w:szCs w:val="19"/>
          <w:color w:val="0E0E0E"/>
        </w:rPr>
        <w:t>data</w:t>
      </w:r>
      <w:r>
        <w:rPr>
          <w:rFonts w:ascii="Arial" w:cs="Arial" w:eastAsia="Arial" w:hAnsi="Arial"/>
          <w:sz w:val="19"/>
          <w:szCs w:val="19"/>
          <w:color w:val="1F1F1F"/>
        </w:rPr>
        <w:t xml:space="preserve"> or </w:t>
      </w:r>
      <w:r>
        <w:rPr>
          <w:rFonts w:ascii="Arial" w:cs="Arial" w:eastAsia="Arial" w:hAnsi="Arial"/>
          <w:sz w:val="19"/>
          <w:szCs w:val="19"/>
          <w:color w:val="0E0E0E"/>
        </w:rPr>
        <w:t>information</w:t>
      </w:r>
      <w:r>
        <w:rPr>
          <w:rFonts w:ascii="Arial" w:cs="Arial" w:eastAsia="Arial" w:hAnsi="Arial"/>
          <w:sz w:val="19"/>
          <w:szCs w:val="19"/>
          <w:color w:val="1F1F1F"/>
        </w:rPr>
        <w:t xml:space="preserve"> </w:t>
      </w:r>
      <w:r>
        <w:rPr>
          <w:rFonts w:ascii="Arial" w:cs="Arial" w:eastAsia="Arial" w:hAnsi="Arial"/>
          <w:sz w:val="19"/>
          <w:szCs w:val="19"/>
          <w:color w:val="343434"/>
        </w:rPr>
        <w:t>as</w:t>
      </w:r>
      <w:r>
        <w:rPr>
          <w:rFonts w:ascii="Arial" w:cs="Arial" w:eastAsia="Arial" w:hAnsi="Arial"/>
          <w:sz w:val="19"/>
          <w:szCs w:val="19"/>
          <w:color w:val="1F1F1F"/>
        </w:rPr>
        <w:t xml:space="preserve"> each </w:t>
      </w:r>
      <w:r>
        <w:rPr>
          <w:rFonts w:ascii="Arial" w:cs="Arial" w:eastAsia="Arial" w:hAnsi="Arial"/>
          <w:sz w:val="19"/>
          <w:szCs w:val="19"/>
          <w:color w:val="343434"/>
        </w:rPr>
        <w:t>submitting</w:t>
      </w:r>
      <w:r>
        <w:rPr>
          <w:rFonts w:ascii="Arial" w:cs="Arial" w:eastAsia="Arial" w:hAnsi="Arial"/>
          <w:sz w:val="19"/>
          <w:szCs w:val="19"/>
          <w:color w:val="1F1F1F"/>
        </w:rPr>
        <w:t xml:space="preserve"> </w:t>
      </w:r>
      <w:r>
        <w:rPr>
          <w:rFonts w:ascii="Arial" w:cs="Arial" w:eastAsia="Arial" w:hAnsi="Arial"/>
          <w:sz w:val="19"/>
          <w:szCs w:val="19"/>
          <w:color w:val="0E0E0E"/>
        </w:rPr>
        <w:t>party</w:t>
      </w:r>
      <w:r>
        <w:rPr>
          <w:rFonts w:ascii="Arial" w:cs="Arial" w:eastAsia="Arial" w:hAnsi="Arial"/>
          <w:sz w:val="19"/>
          <w:szCs w:val="19"/>
          <w:color w:val="1F1F1F"/>
        </w:rPr>
        <w:t xml:space="preserve"> determines appropriate. Within </w:t>
      </w:r>
      <w:r>
        <w:rPr>
          <w:rFonts w:ascii="Arial" w:cs="Arial" w:eastAsia="Arial" w:hAnsi="Arial"/>
          <w:sz w:val="19"/>
          <w:szCs w:val="19"/>
          <w:u w:val="single" w:color="auto"/>
          <w:color w:val="000000"/>
        </w:rPr>
        <w:t>[***]</w:t>
      </w:r>
      <w:r>
        <w:rPr>
          <w:rFonts w:ascii="Arial" w:cs="Arial" w:eastAsia="Arial" w:hAnsi="Arial"/>
          <w:sz w:val="19"/>
          <w:szCs w:val="19"/>
          <w:color w:val="1F1F1F"/>
        </w:rPr>
        <w:t xml:space="preserve"> days after </w:t>
      </w:r>
      <w:r>
        <w:rPr>
          <w:rFonts w:ascii="Arial" w:cs="Arial" w:eastAsia="Arial" w:hAnsi="Arial"/>
          <w:sz w:val="19"/>
          <w:szCs w:val="19"/>
          <w:color w:val="343434"/>
        </w:rPr>
        <w:t>such</w:t>
      </w:r>
      <w:r>
        <w:rPr>
          <w:rFonts w:ascii="Arial" w:cs="Arial" w:eastAsia="Arial" w:hAnsi="Arial"/>
          <w:sz w:val="19"/>
          <w:szCs w:val="19"/>
          <w:color w:val="1F1F1F"/>
        </w:rPr>
        <w:t xml:space="preserve"> submissions, the Accountants </w:t>
      </w:r>
      <w:r>
        <w:rPr>
          <w:rFonts w:ascii="Arial" w:cs="Arial" w:eastAsia="Arial" w:hAnsi="Arial"/>
          <w:sz w:val="19"/>
          <w:szCs w:val="19"/>
          <w:color w:val="343434"/>
        </w:rPr>
        <w:t>shall</w:t>
      </w:r>
      <w:r>
        <w:rPr>
          <w:rFonts w:ascii="Arial" w:cs="Arial" w:eastAsia="Arial" w:hAnsi="Arial"/>
          <w:sz w:val="19"/>
          <w:szCs w:val="19"/>
          <w:color w:val="1F1F1F"/>
        </w:rPr>
        <w:t xml:space="preserve"> by majority </w:t>
      </w:r>
      <w:r>
        <w:rPr>
          <w:rFonts w:ascii="Arial" w:cs="Arial" w:eastAsia="Arial" w:hAnsi="Arial"/>
          <w:sz w:val="19"/>
          <w:szCs w:val="19"/>
          <w:color w:val="343434"/>
        </w:rPr>
        <w:t>vote select</w:t>
      </w:r>
      <w:r>
        <w:rPr>
          <w:rFonts w:ascii="Arial" w:cs="Arial" w:eastAsia="Arial" w:hAnsi="Arial"/>
          <w:sz w:val="19"/>
          <w:szCs w:val="19"/>
          <w:color w:val="1F1F1F"/>
        </w:rPr>
        <w:t xml:space="preserve"> either </w:t>
      </w:r>
      <w:r>
        <w:rPr>
          <w:rFonts w:ascii="Arial" w:cs="Arial" w:eastAsia="Arial" w:hAnsi="Arial"/>
          <w:sz w:val="19"/>
          <w:szCs w:val="19"/>
          <w:color w:val="343434"/>
        </w:rPr>
        <w:t>Landlord’s</w:t>
      </w:r>
      <w:r>
        <w:rPr>
          <w:rFonts w:ascii="Arial" w:cs="Arial" w:eastAsia="Arial" w:hAnsi="Arial"/>
          <w:sz w:val="19"/>
          <w:szCs w:val="19"/>
          <w:color w:val="1F1F1F"/>
        </w:rPr>
        <w:t xml:space="preserve"> or Tenant’s </w:t>
      </w:r>
      <w:r>
        <w:rPr>
          <w:rFonts w:ascii="Arial" w:cs="Arial" w:eastAsia="Arial" w:hAnsi="Arial"/>
          <w:sz w:val="19"/>
          <w:szCs w:val="19"/>
          <w:color w:val="0E0E0E"/>
        </w:rPr>
        <w:t>determination</w:t>
      </w:r>
      <w:r>
        <w:rPr>
          <w:rFonts w:ascii="Arial" w:cs="Arial" w:eastAsia="Arial" w:hAnsi="Arial"/>
          <w:sz w:val="19"/>
          <w:szCs w:val="19"/>
          <w:color w:val="1F1F1F"/>
        </w:rPr>
        <w:t xml:space="preserve"> </w:t>
      </w:r>
      <w:r>
        <w:rPr>
          <w:rFonts w:ascii="Arial" w:cs="Arial" w:eastAsia="Arial" w:hAnsi="Arial"/>
          <w:sz w:val="19"/>
          <w:szCs w:val="19"/>
          <w:color w:val="A8A8A8"/>
        </w:rPr>
        <w:t>.</w:t>
      </w:r>
      <w:r>
        <w:rPr>
          <w:rFonts w:ascii="Arial" w:cs="Arial" w:eastAsia="Arial" w:hAnsi="Arial"/>
          <w:sz w:val="19"/>
          <w:szCs w:val="19"/>
          <w:color w:val="1F1F1F"/>
        </w:rPr>
        <w:t xml:space="preserve">of </w:t>
      </w:r>
      <w:r>
        <w:rPr>
          <w:rFonts w:ascii="Arial" w:cs="Arial" w:eastAsia="Arial" w:hAnsi="Arial"/>
          <w:sz w:val="19"/>
          <w:szCs w:val="19"/>
          <w:color w:val="0E0E0E"/>
        </w:rPr>
        <w:t>Operating</w:t>
      </w:r>
      <w:r>
        <w:rPr>
          <w:rFonts w:ascii="Arial" w:cs="Arial" w:eastAsia="Arial" w:hAnsi="Arial"/>
          <w:sz w:val="19"/>
          <w:szCs w:val="19"/>
          <w:color w:val="1F1F1F"/>
        </w:rPr>
        <w:t xml:space="preserve"> </w:t>
      </w:r>
      <w:r>
        <w:rPr>
          <w:rFonts w:ascii="Arial" w:cs="Arial" w:eastAsia="Arial" w:hAnsi="Arial"/>
          <w:sz w:val="19"/>
          <w:szCs w:val="19"/>
          <w:color w:val="343434"/>
        </w:rPr>
        <w:t>Expenses.</w:t>
      </w:r>
      <w:r>
        <w:rPr>
          <w:rFonts w:ascii="Arial" w:cs="Arial" w:eastAsia="Arial" w:hAnsi="Arial"/>
          <w:sz w:val="19"/>
          <w:szCs w:val="19"/>
          <w:color w:val="1F1F1F"/>
        </w:rPr>
        <w:t xml:space="preserve"> The </w:t>
      </w:r>
      <w:r>
        <w:rPr>
          <w:rFonts w:ascii="Arial" w:cs="Arial" w:eastAsia="Arial" w:hAnsi="Arial"/>
          <w:sz w:val="19"/>
          <w:szCs w:val="19"/>
          <w:color w:val="343434"/>
        </w:rPr>
        <w:t>Accountants</w:t>
      </w:r>
      <w:r>
        <w:rPr>
          <w:rFonts w:ascii="Arial" w:cs="Arial" w:eastAsia="Arial" w:hAnsi="Arial"/>
          <w:sz w:val="19"/>
          <w:szCs w:val="19"/>
          <w:color w:val="1F1F1F"/>
        </w:rPr>
        <w:t xml:space="preserve"> </w:t>
      </w:r>
      <w:r>
        <w:rPr>
          <w:rFonts w:ascii="Arial" w:cs="Arial" w:eastAsia="Arial" w:hAnsi="Arial"/>
          <w:sz w:val="19"/>
          <w:szCs w:val="19"/>
          <w:color w:val="0E0E0E"/>
        </w:rPr>
        <w:t>may</w:t>
      </w:r>
      <w:r>
        <w:rPr>
          <w:rFonts w:ascii="Arial" w:cs="Arial" w:eastAsia="Arial" w:hAnsi="Arial"/>
          <w:sz w:val="19"/>
          <w:szCs w:val="19"/>
          <w:color w:val="1F1F1F"/>
        </w:rPr>
        <w:t xml:space="preserve"> not select or designate any other </w:t>
      </w:r>
      <w:r>
        <w:rPr>
          <w:rFonts w:ascii="Arial" w:cs="Arial" w:eastAsia="Arial" w:hAnsi="Arial"/>
          <w:sz w:val="19"/>
          <w:szCs w:val="19"/>
          <w:color w:val="0E0E0E"/>
        </w:rPr>
        <w:t>determination</w:t>
      </w:r>
      <w:r>
        <w:rPr>
          <w:rFonts w:ascii="Arial" w:cs="Arial" w:eastAsia="Arial" w:hAnsi="Arial"/>
          <w:sz w:val="19"/>
          <w:szCs w:val="19"/>
          <w:color w:val="1F1F1F"/>
        </w:rPr>
        <w:t xml:space="preserve"> of Operating Expenses. The </w:t>
      </w:r>
      <w:r>
        <w:rPr>
          <w:rFonts w:ascii="Arial" w:cs="Arial" w:eastAsia="Arial" w:hAnsi="Arial"/>
          <w:sz w:val="19"/>
          <w:szCs w:val="19"/>
          <w:color w:val="0E0E0E"/>
        </w:rPr>
        <w:t>determination</w:t>
      </w:r>
      <w:r>
        <w:rPr>
          <w:rFonts w:ascii="Arial" w:cs="Arial" w:eastAsia="Arial" w:hAnsi="Arial"/>
          <w:sz w:val="19"/>
          <w:szCs w:val="19"/>
          <w:color w:val="1F1F1F"/>
        </w:rPr>
        <w:t xml:space="preserve"> of </w:t>
      </w:r>
      <w:r>
        <w:rPr>
          <w:rFonts w:ascii="Arial" w:cs="Arial" w:eastAsia="Arial" w:hAnsi="Arial"/>
          <w:sz w:val="19"/>
          <w:szCs w:val="19"/>
          <w:color w:val="0E0E0E"/>
        </w:rPr>
        <w:t>the</w:t>
      </w:r>
      <w:r>
        <w:rPr>
          <w:rFonts w:ascii="Arial" w:cs="Arial" w:eastAsia="Arial" w:hAnsi="Arial"/>
          <w:sz w:val="19"/>
          <w:szCs w:val="19"/>
          <w:color w:val="1F1F1F"/>
        </w:rPr>
        <w:t xml:space="preserve"> Accountant(s) shall </w:t>
      </w:r>
      <w:r>
        <w:rPr>
          <w:rFonts w:ascii="Arial" w:cs="Arial" w:eastAsia="Arial" w:hAnsi="Arial"/>
          <w:sz w:val="19"/>
          <w:szCs w:val="19"/>
          <w:color w:val="0E0E0E"/>
        </w:rPr>
        <w:t>bind</w:t>
      </w:r>
      <w:r>
        <w:rPr>
          <w:rFonts w:ascii="Arial" w:cs="Arial" w:eastAsia="Arial" w:hAnsi="Arial"/>
          <w:sz w:val="19"/>
          <w:szCs w:val="19"/>
          <w:color w:val="1F1F1F"/>
        </w:rPr>
        <w:t xml:space="preserve"> the parties. If the parties agree or the Accountant(s) determine that </w:t>
      </w:r>
      <w:r>
        <w:rPr>
          <w:rFonts w:ascii="Arial" w:cs="Arial" w:eastAsia="Arial" w:hAnsi="Arial"/>
          <w:sz w:val="19"/>
          <w:szCs w:val="19"/>
          <w:color w:val="0E0E0E"/>
        </w:rPr>
        <w:t>Tenant’s</w:t>
      </w:r>
      <w:r>
        <w:rPr>
          <w:rFonts w:ascii="Arial" w:cs="Arial" w:eastAsia="Arial" w:hAnsi="Arial"/>
          <w:sz w:val="19"/>
          <w:szCs w:val="19"/>
          <w:color w:val="1F1F1F"/>
        </w:rPr>
        <w:t xml:space="preserve"> </w:t>
      </w:r>
      <w:r>
        <w:rPr>
          <w:rFonts w:ascii="Arial" w:cs="Arial" w:eastAsia="Arial" w:hAnsi="Arial"/>
          <w:sz w:val="19"/>
          <w:szCs w:val="19"/>
          <w:color w:val="343434"/>
        </w:rPr>
        <w:t>Pro</w:t>
      </w:r>
      <w:r>
        <w:rPr>
          <w:rFonts w:ascii="Arial" w:cs="Arial" w:eastAsia="Arial" w:hAnsi="Arial"/>
          <w:sz w:val="19"/>
          <w:szCs w:val="19"/>
          <w:color w:val="1F1F1F"/>
        </w:rPr>
        <w:t xml:space="preserve"> Rata </w:t>
      </w:r>
      <w:r>
        <w:rPr>
          <w:rFonts w:ascii="Arial" w:cs="Arial" w:eastAsia="Arial" w:hAnsi="Arial"/>
          <w:sz w:val="19"/>
          <w:szCs w:val="19"/>
          <w:color w:val="343434"/>
        </w:rPr>
        <w:t>Share</w:t>
      </w:r>
      <w:r>
        <w:rPr>
          <w:rFonts w:ascii="Arial" w:cs="Arial" w:eastAsia="Arial" w:hAnsi="Arial"/>
          <w:sz w:val="19"/>
          <w:szCs w:val="19"/>
          <w:color w:val="1F1F1F"/>
        </w:rPr>
        <w:t xml:space="preserve"> of Operating Expenses actually </w:t>
      </w:r>
      <w:r>
        <w:rPr>
          <w:rFonts w:ascii="Arial" w:cs="Arial" w:eastAsia="Arial" w:hAnsi="Arial"/>
          <w:sz w:val="19"/>
          <w:szCs w:val="19"/>
          <w:color w:val="0E0E0E"/>
        </w:rPr>
        <w:t>paid</w:t>
      </w:r>
      <w:r>
        <w:rPr>
          <w:rFonts w:ascii="Arial" w:cs="Arial" w:eastAsia="Arial" w:hAnsi="Arial"/>
          <w:sz w:val="19"/>
          <w:szCs w:val="19"/>
          <w:color w:val="1F1F1F"/>
        </w:rPr>
        <w:t xml:space="preserve"> for the calendar </w:t>
      </w:r>
      <w:r>
        <w:rPr>
          <w:rFonts w:ascii="Arial" w:cs="Arial" w:eastAsia="Arial" w:hAnsi="Arial"/>
          <w:sz w:val="19"/>
          <w:szCs w:val="19"/>
          <w:color w:val="343434"/>
        </w:rPr>
        <w:t>year</w:t>
      </w:r>
      <w:r>
        <w:rPr>
          <w:rFonts w:ascii="Arial" w:cs="Arial" w:eastAsia="Arial" w:hAnsi="Arial"/>
          <w:sz w:val="19"/>
          <w:szCs w:val="19"/>
          <w:color w:val="1F1F1F"/>
        </w:rPr>
        <w:t xml:space="preserve"> </w:t>
      </w:r>
      <w:r>
        <w:rPr>
          <w:rFonts w:ascii="Arial" w:cs="Arial" w:eastAsia="Arial" w:hAnsi="Arial"/>
          <w:sz w:val="19"/>
          <w:szCs w:val="19"/>
          <w:color w:val="0E0E0E"/>
        </w:rPr>
        <w:t>in</w:t>
      </w:r>
      <w:r>
        <w:rPr>
          <w:rFonts w:ascii="Arial" w:cs="Arial" w:eastAsia="Arial" w:hAnsi="Arial"/>
          <w:sz w:val="19"/>
          <w:szCs w:val="19"/>
          <w:color w:val="1F1F1F"/>
        </w:rPr>
        <w:t xml:space="preserve"> question exceeded Tenant’s obligations for </w:t>
      </w:r>
      <w:r>
        <w:rPr>
          <w:rFonts w:ascii="Arial" w:cs="Arial" w:eastAsia="Arial" w:hAnsi="Arial"/>
          <w:sz w:val="19"/>
          <w:szCs w:val="19"/>
          <w:color w:val="343434"/>
        </w:rPr>
        <w:t>such</w:t>
      </w:r>
      <w:r>
        <w:rPr>
          <w:rFonts w:ascii="Arial" w:cs="Arial" w:eastAsia="Arial" w:hAnsi="Arial"/>
          <w:sz w:val="19"/>
          <w:szCs w:val="19"/>
          <w:color w:val="1F1F1F"/>
        </w:rPr>
        <w:t xml:space="preserve"> calendar year, then </w:t>
      </w:r>
      <w:r>
        <w:rPr>
          <w:rFonts w:ascii="Arial" w:cs="Arial" w:eastAsia="Arial" w:hAnsi="Arial"/>
          <w:sz w:val="19"/>
          <w:szCs w:val="19"/>
          <w:color w:val="0E0E0E"/>
        </w:rPr>
        <w:t>Landlord</w:t>
      </w:r>
      <w:r>
        <w:rPr>
          <w:rFonts w:ascii="Arial" w:cs="Arial" w:eastAsia="Arial" w:hAnsi="Arial"/>
          <w:sz w:val="19"/>
          <w:szCs w:val="19"/>
          <w:color w:val="1F1F1F"/>
        </w:rPr>
        <w:t xml:space="preserve"> </w:t>
      </w:r>
      <w:r>
        <w:rPr>
          <w:rFonts w:ascii="Arial" w:cs="Arial" w:eastAsia="Arial" w:hAnsi="Arial"/>
          <w:sz w:val="19"/>
          <w:szCs w:val="19"/>
          <w:color w:val="343434"/>
        </w:rPr>
        <w:t>shall,</w:t>
      </w:r>
      <w:r>
        <w:rPr>
          <w:rFonts w:ascii="Arial" w:cs="Arial" w:eastAsia="Arial" w:hAnsi="Arial"/>
          <w:sz w:val="19"/>
          <w:szCs w:val="19"/>
          <w:color w:val="1F1F1F"/>
        </w:rPr>
        <w:t xml:space="preserve"> at Tenant’s option, either (a) credit the excess to the </w:t>
      </w:r>
      <w:r>
        <w:rPr>
          <w:rFonts w:ascii="Arial" w:cs="Arial" w:eastAsia="Arial" w:hAnsi="Arial"/>
          <w:sz w:val="19"/>
          <w:szCs w:val="19"/>
          <w:color w:val="343434"/>
        </w:rPr>
        <w:t>next succeeding</w:t>
      </w:r>
      <w:r>
        <w:rPr>
          <w:rFonts w:ascii="Arial" w:cs="Arial" w:eastAsia="Arial" w:hAnsi="Arial"/>
          <w:sz w:val="19"/>
          <w:szCs w:val="19"/>
          <w:color w:val="1F1F1F"/>
        </w:rPr>
        <w:t xml:space="preserve"> installments of estimated Additional Rent or (b) pay the excess to Tenant within </w:t>
      </w:r>
      <w:r>
        <w:rPr>
          <w:rFonts w:ascii="Arial" w:cs="Arial" w:eastAsia="Arial" w:hAnsi="Arial"/>
          <w:sz w:val="19"/>
          <w:szCs w:val="19"/>
          <w:u w:val="single" w:color="auto"/>
          <w:color w:val="000000"/>
        </w:rPr>
        <w:t>[***]</w:t>
      </w:r>
      <w:r>
        <w:rPr>
          <w:rFonts w:ascii="Arial" w:cs="Arial" w:eastAsia="Arial" w:hAnsi="Arial"/>
          <w:sz w:val="19"/>
          <w:szCs w:val="19"/>
          <w:color w:val="1F1F1F"/>
        </w:rPr>
        <w:t xml:space="preserve"> </w:t>
      </w:r>
      <w:r>
        <w:rPr>
          <w:rFonts w:ascii="Arial" w:cs="Arial" w:eastAsia="Arial" w:hAnsi="Arial"/>
          <w:sz w:val="19"/>
          <w:szCs w:val="19"/>
          <w:color w:val="0E0E0E"/>
        </w:rPr>
        <w:t>days</w:t>
      </w:r>
      <w:r>
        <w:rPr>
          <w:rFonts w:ascii="Arial" w:cs="Arial" w:eastAsia="Arial" w:hAnsi="Arial"/>
          <w:sz w:val="19"/>
          <w:szCs w:val="19"/>
          <w:color w:val="1F1F1F"/>
        </w:rPr>
        <w:t xml:space="preserve"> </w:t>
      </w:r>
      <w:r>
        <w:rPr>
          <w:rFonts w:ascii="Arial" w:cs="Arial" w:eastAsia="Arial" w:hAnsi="Arial"/>
          <w:sz w:val="19"/>
          <w:szCs w:val="19"/>
          <w:color w:val="343434"/>
        </w:rPr>
        <w:t>after</w:t>
      </w:r>
      <w:r>
        <w:rPr>
          <w:rFonts w:ascii="Arial" w:cs="Arial" w:eastAsia="Arial" w:hAnsi="Arial"/>
          <w:sz w:val="19"/>
          <w:szCs w:val="19"/>
          <w:color w:val="1F1F1F"/>
        </w:rPr>
        <w:t xml:space="preserve"> delivery of such </w:t>
      </w:r>
      <w:r>
        <w:rPr>
          <w:rFonts w:ascii="Arial" w:cs="Arial" w:eastAsia="Arial" w:hAnsi="Arial"/>
          <w:sz w:val="19"/>
          <w:szCs w:val="19"/>
          <w:color w:val="0E0E0E"/>
        </w:rPr>
        <w:t>results.</w:t>
      </w:r>
      <w:r>
        <w:rPr>
          <w:rFonts w:ascii="Arial" w:cs="Arial" w:eastAsia="Arial" w:hAnsi="Arial"/>
          <w:sz w:val="19"/>
          <w:szCs w:val="19"/>
          <w:color w:val="1F1F1F"/>
        </w:rPr>
        <w:t xml:space="preserve"> If the parties agree or the Accountant(s) determine </w:t>
      </w:r>
      <w:r>
        <w:rPr>
          <w:rFonts w:ascii="Arial" w:cs="Arial" w:eastAsia="Arial" w:hAnsi="Arial"/>
          <w:sz w:val="19"/>
          <w:szCs w:val="19"/>
          <w:color w:val="343434"/>
        </w:rPr>
        <w:t>that</w:t>
      </w:r>
      <w:r>
        <w:rPr>
          <w:rFonts w:ascii="Arial" w:cs="Arial" w:eastAsia="Arial" w:hAnsi="Arial"/>
          <w:sz w:val="19"/>
          <w:szCs w:val="19"/>
          <w:color w:val="1F1F1F"/>
        </w:rPr>
        <w:t xml:space="preserve"> Tenant’s </w:t>
      </w:r>
      <w:r>
        <w:rPr>
          <w:rFonts w:ascii="Arial" w:cs="Arial" w:eastAsia="Arial" w:hAnsi="Arial"/>
          <w:sz w:val="19"/>
          <w:szCs w:val="19"/>
          <w:color w:val="0E0E0E"/>
        </w:rPr>
        <w:t>payments</w:t>
      </w:r>
      <w:r>
        <w:rPr>
          <w:rFonts w:ascii="Arial" w:cs="Arial" w:eastAsia="Arial" w:hAnsi="Arial"/>
          <w:sz w:val="19"/>
          <w:szCs w:val="19"/>
          <w:color w:val="1F1F1F"/>
        </w:rPr>
        <w:t xml:space="preserve"> of Tenant’s Pro Rata </w:t>
      </w:r>
      <w:r>
        <w:rPr>
          <w:rFonts w:ascii="Arial" w:cs="Arial" w:eastAsia="Arial" w:hAnsi="Arial"/>
          <w:sz w:val="19"/>
          <w:szCs w:val="19"/>
          <w:color w:val="343434"/>
        </w:rPr>
        <w:t>Share</w:t>
      </w:r>
      <w:r>
        <w:rPr>
          <w:rFonts w:ascii="Arial" w:cs="Arial" w:eastAsia="Arial" w:hAnsi="Arial"/>
          <w:sz w:val="19"/>
          <w:szCs w:val="19"/>
          <w:color w:val="1F1F1F"/>
        </w:rPr>
        <w:t xml:space="preserve"> of Operating Expenses for </w:t>
      </w:r>
      <w:r>
        <w:rPr>
          <w:rFonts w:ascii="Arial" w:cs="Arial" w:eastAsia="Arial" w:hAnsi="Arial"/>
          <w:sz w:val="19"/>
          <w:szCs w:val="19"/>
          <w:color w:val="343434"/>
        </w:rPr>
        <w:t>such</w:t>
      </w:r>
      <w:r>
        <w:rPr>
          <w:rFonts w:ascii="Arial" w:cs="Arial" w:eastAsia="Arial" w:hAnsi="Arial"/>
          <w:sz w:val="19"/>
          <w:szCs w:val="19"/>
          <w:color w:val="1F1F1F"/>
        </w:rPr>
        <w:t xml:space="preserve"> calendar year were </w:t>
      </w:r>
      <w:r>
        <w:rPr>
          <w:rFonts w:ascii="Arial" w:cs="Arial" w:eastAsia="Arial" w:hAnsi="Arial"/>
          <w:sz w:val="19"/>
          <w:szCs w:val="19"/>
          <w:color w:val="0E0E0E"/>
        </w:rPr>
        <w:t xml:space="preserve">less </w:t>
      </w:r>
      <w:r>
        <w:rPr>
          <w:rFonts w:ascii="Arial" w:cs="Arial" w:eastAsia="Arial" w:hAnsi="Arial"/>
          <w:sz w:val="19"/>
          <w:szCs w:val="19"/>
          <w:color w:val="1F1F1F"/>
        </w:rPr>
        <w:t>than Tenant’s obligation for the calendar</w:t>
      </w:r>
      <w:r>
        <w:rPr>
          <w:rFonts w:ascii="Arial" w:cs="Arial" w:eastAsia="Arial" w:hAnsi="Arial"/>
          <w:sz w:val="19"/>
          <w:szCs w:val="19"/>
          <w:color w:val="0E0E0E"/>
        </w:rPr>
        <w:t xml:space="preserve"> </w:t>
      </w:r>
      <w:r>
        <w:rPr>
          <w:rFonts w:ascii="Arial" w:cs="Arial" w:eastAsia="Arial" w:hAnsi="Arial"/>
          <w:sz w:val="19"/>
          <w:szCs w:val="19"/>
          <w:color w:val="343434"/>
        </w:rPr>
        <w:t>year,</w:t>
      </w:r>
      <w:r>
        <w:rPr>
          <w:rFonts w:ascii="Arial" w:cs="Arial" w:eastAsia="Arial" w:hAnsi="Arial"/>
          <w:sz w:val="19"/>
          <w:szCs w:val="19"/>
          <w:color w:val="0E0E0E"/>
        </w:rPr>
        <w:t xml:space="preserve"> then </w:t>
      </w:r>
      <w:r>
        <w:rPr>
          <w:rFonts w:ascii="Arial" w:cs="Arial" w:eastAsia="Arial" w:hAnsi="Arial"/>
          <w:sz w:val="19"/>
          <w:szCs w:val="19"/>
          <w:color w:val="1F1F1F"/>
        </w:rPr>
        <w:t>Tenant</w:t>
      </w:r>
      <w:r>
        <w:rPr>
          <w:rFonts w:ascii="Arial" w:cs="Arial" w:eastAsia="Arial" w:hAnsi="Arial"/>
          <w:sz w:val="19"/>
          <w:szCs w:val="19"/>
          <w:color w:val="0E0E0E"/>
        </w:rPr>
        <w:t xml:space="preserve"> </w:t>
      </w:r>
      <w:r>
        <w:rPr>
          <w:rFonts w:ascii="Arial" w:cs="Arial" w:eastAsia="Arial" w:hAnsi="Arial"/>
          <w:sz w:val="19"/>
          <w:szCs w:val="19"/>
          <w:color w:val="343434"/>
        </w:rPr>
        <w:t>shall</w:t>
      </w:r>
      <w:r>
        <w:rPr>
          <w:rFonts w:ascii="Arial" w:cs="Arial" w:eastAsia="Arial" w:hAnsi="Arial"/>
          <w:sz w:val="19"/>
          <w:szCs w:val="19"/>
          <w:color w:val="0E0E0E"/>
        </w:rPr>
        <w:t xml:space="preserve"> pay </w:t>
      </w:r>
      <w:r>
        <w:rPr>
          <w:rFonts w:ascii="Arial" w:cs="Arial" w:eastAsia="Arial" w:hAnsi="Arial"/>
          <w:sz w:val="19"/>
          <w:szCs w:val="19"/>
          <w:color w:val="1F1F1F"/>
        </w:rPr>
        <w:t>the deficiency to Landlord within</w:t>
      </w:r>
      <w:r>
        <w:rPr>
          <w:rFonts w:ascii="Arial" w:cs="Arial" w:eastAsia="Arial" w:hAnsi="Arial"/>
          <w:sz w:val="19"/>
          <w:szCs w:val="19"/>
          <w:color w:val="0E0E0E"/>
        </w:rPr>
        <w:t xml:space="preserve"> </w:t>
      </w:r>
      <w:r>
        <w:rPr>
          <w:rFonts w:ascii="Arial" w:cs="Arial" w:eastAsia="Arial" w:hAnsi="Arial"/>
          <w:sz w:val="19"/>
          <w:szCs w:val="19"/>
          <w:u w:val="single" w:color="auto"/>
          <w:color w:val="000000"/>
        </w:rPr>
        <w:t>[***]</w:t>
      </w:r>
      <w:r>
        <w:rPr>
          <w:rFonts w:ascii="Arial" w:cs="Arial" w:eastAsia="Arial" w:hAnsi="Arial"/>
          <w:sz w:val="19"/>
          <w:szCs w:val="19"/>
          <w:color w:val="0E0E0E"/>
        </w:rPr>
        <w:t xml:space="preserve"> </w:t>
      </w:r>
      <w:r>
        <w:rPr>
          <w:rFonts w:ascii="Arial" w:cs="Arial" w:eastAsia="Arial" w:hAnsi="Arial"/>
          <w:sz w:val="19"/>
          <w:szCs w:val="19"/>
          <w:color w:val="1F1F1F"/>
        </w:rPr>
        <w:t xml:space="preserve">days after delivery of such results. If the </w:t>
      </w:r>
      <w:r>
        <w:rPr>
          <w:rFonts w:ascii="Arial" w:cs="Arial" w:eastAsia="Arial" w:hAnsi="Arial"/>
          <w:sz w:val="19"/>
          <w:szCs w:val="19"/>
          <w:color w:val="0E0E0E"/>
        </w:rPr>
        <w:t>Independent</w:t>
      </w:r>
      <w:r>
        <w:rPr>
          <w:rFonts w:ascii="Arial" w:cs="Arial" w:eastAsia="Arial" w:hAnsi="Arial"/>
          <w:sz w:val="19"/>
          <w:szCs w:val="19"/>
          <w:color w:val="1F1F1F"/>
        </w:rPr>
        <w:t xml:space="preserve"> Review reveals or </w:t>
      </w:r>
      <w:r>
        <w:rPr>
          <w:rFonts w:ascii="Arial" w:cs="Arial" w:eastAsia="Arial" w:hAnsi="Arial"/>
          <w:sz w:val="19"/>
          <w:szCs w:val="19"/>
          <w:color w:val="0E0E0E"/>
        </w:rPr>
        <w:t>the</w:t>
      </w:r>
      <w:r>
        <w:rPr>
          <w:rFonts w:ascii="Arial" w:cs="Arial" w:eastAsia="Arial" w:hAnsi="Arial"/>
          <w:sz w:val="19"/>
          <w:szCs w:val="19"/>
          <w:color w:val="1F1F1F"/>
        </w:rPr>
        <w:t xml:space="preserve"> Accountant(s) determine </w:t>
      </w:r>
      <w:r>
        <w:rPr>
          <w:rFonts w:ascii="Arial" w:cs="Arial" w:eastAsia="Arial" w:hAnsi="Arial"/>
          <w:sz w:val="19"/>
          <w:szCs w:val="19"/>
          <w:color w:val="0E0E0E"/>
        </w:rPr>
        <w:t>that</w:t>
      </w:r>
      <w:r>
        <w:rPr>
          <w:rFonts w:ascii="Arial" w:cs="Arial" w:eastAsia="Arial" w:hAnsi="Arial"/>
          <w:sz w:val="19"/>
          <w:szCs w:val="19"/>
          <w:color w:val="1F1F1F"/>
        </w:rPr>
        <w:t xml:space="preserve"> the Operating </w:t>
      </w:r>
      <w:r>
        <w:rPr>
          <w:rFonts w:ascii="Arial" w:cs="Arial" w:eastAsia="Arial" w:hAnsi="Arial"/>
          <w:sz w:val="19"/>
          <w:szCs w:val="19"/>
          <w:color w:val="343434"/>
        </w:rPr>
        <w:t>Expenses</w:t>
      </w:r>
      <w:r>
        <w:rPr>
          <w:rFonts w:ascii="Arial" w:cs="Arial" w:eastAsia="Arial" w:hAnsi="Arial"/>
          <w:sz w:val="19"/>
          <w:szCs w:val="19"/>
          <w:color w:val="1F1F1F"/>
        </w:rPr>
        <w:t xml:space="preserve"> </w:t>
      </w:r>
      <w:r>
        <w:rPr>
          <w:rFonts w:ascii="Arial" w:cs="Arial" w:eastAsia="Arial" w:hAnsi="Arial"/>
          <w:sz w:val="19"/>
          <w:szCs w:val="19"/>
          <w:color w:val="0E0E0E"/>
        </w:rPr>
        <w:t>billed</w:t>
      </w:r>
      <w:r>
        <w:rPr>
          <w:rFonts w:ascii="Arial" w:cs="Arial" w:eastAsia="Arial" w:hAnsi="Arial"/>
          <w:sz w:val="19"/>
          <w:szCs w:val="19"/>
          <w:color w:val="1F1F1F"/>
        </w:rPr>
        <w:t xml:space="preserve"> to Tenant by </w:t>
      </w:r>
      <w:r>
        <w:rPr>
          <w:rFonts w:ascii="Arial" w:cs="Arial" w:eastAsia="Arial" w:hAnsi="Arial"/>
          <w:sz w:val="19"/>
          <w:szCs w:val="19"/>
          <w:color w:val="0E0E0E"/>
        </w:rPr>
        <w:t>Landlord</w:t>
      </w:r>
      <w:r>
        <w:rPr>
          <w:rFonts w:ascii="Arial" w:cs="Arial" w:eastAsia="Arial" w:hAnsi="Arial"/>
          <w:sz w:val="19"/>
          <w:szCs w:val="19"/>
          <w:color w:val="1F1F1F"/>
        </w:rPr>
        <w:t xml:space="preserve"> </w:t>
      </w:r>
      <w:r>
        <w:rPr>
          <w:rFonts w:ascii="Arial" w:cs="Arial" w:eastAsia="Arial" w:hAnsi="Arial"/>
          <w:sz w:val="19"/>
          <w:szCs w:val="19"/>
          <w:color w:val="343434"/>
        </w:rPr>
        <w:t>and</w:t>
      </w:r>
      <w:r>
        <w:rPr>
          <w:rFonts w:ascii="Arial" w:cs="Arial" w:eastAsia="Arial" w:hAnsi="Arial"/>
          <w:sz w:val="19"/>
          <w:szCs w:val="19"/>
          <w:color w:val="1F1F1F"/>
        </w:rPr>
        <w:t xml:space="preserve"> paid by Tenant </w:t>
      </w:r>
      <w:r>
        <w:rPr>
          <w:rFonts w:ascii="Arial" w:cs="Arial" w:eastAsia="Arial" w:hAnsi="Arial"/>
          <w:sz w:val="19"/>
          <w:szCs w:val="19"/>
          <w:color w:val="0E0E0E"/>
        </w:rPr>
        <w:t>to</w:t>
      </w:r>
      <w:r>
        <w:rPr>
          <w:rFonts w:ascii="Arial" w:cs="Arial" w:eastAsia="Arial" w:hAnsi="Arial"/>
          <w:sz w:val="19"/>
          <w:szCs w:val="19"/>
          <w:color w:val="1F1F1F"/>
        </w:rPr>
        <w:t xml:space="preserve"> </w:t>
      </w:r>
      <w:r>
        <w:rPr>
          <w:rFonts w:ascii="Arial" w:cs="Arial" w:eastAsia="Arial" w:hAnsi="Arial"/>
          <w:sz w:val="19"/>
          <w:szCs w:val="19"/>
          <w:color w:val="343434"/>
        </w:rPr>
        <w:t>Landlord</w:t>
      </w:r>
      <w:r>
        <w:rPr>
          <w:rFonts w:ascii="Arial" w:cs="Arial" w:eastAsia="Arial" w:hAnsi="Arial"/>
          <w:sz w:val="19"/>
          <w:szCs w:val="19"/>
          <w:color w:val="1F1F1F"/>
        </w:rPr>
        <w:t xml:space="preserve"> for the applicable </w:t>
      </w:r>
      <w:r>
        <w:rPr>
          <w:rFonts w:ascii="Arial" w:cs="Arial" w:eastAsia="Arial" w:hAnsi="Arial"/>
          <w:sz w:val="19"/>
          <w:szCs w:val="19"/>
          <w:color w:val="343434"/>
        </w:rPr>
        <w:t>calendar</w:t>
      </w:r>
      <w:r>
        <w:rPr>
          <w:rFonts w:ascii="Arial" w:cs="Arial" w:eastAsia="Arial" w:hAnsi="Arial"/>
          <w:sz w:val="19"/>
          <w:szCs w:val="19"/>
          <w:color w:val="1F1F1F"/>
        </w:rPr>
        <w:t xml:space="preserve"> year in question exceeded by more than </w:t>
      </w:r>
      <w:r>
        <w:rPr>
          <w:rFonts w:ascii="Arial" w:cs="Arial" w:eastAsia="Arial" w:hAnsi="Arial"/>
          <w:sz w:val="19"/>
          <w:szCs w:val="19"/>
          <w:u w:val="single" w:color="auto"/>
          <w:color w:val="000000"/>
        </w:rPr>
        <w:t>[***]</w:t>
      </w:r>
      <w:r>
        <w:rPr>
          <w:rFonts w:ascii="Arial" w:cs="Arial" w:eastAsia="Arial" w:hAnsi="Arial"/>
          <w:sz w:val="19"/>
          <w:szCs w:val="19"/>
          <w:color w:val="1F1F1F"/>
        </w:rPr>
        <w:t xml:space="preserve"> percent </w:t>
      </w:r>
      <w:r>
        <w:rPr>
          <w:rFonts w:ascii="Arial" w:cs="Arial" w:eastAsia="Arial" w:hAnsi="Arial"/>
          <w:sz w:val="19"/>
          <w:szCs w:val="19"/>
          <w:color w:val="0E0E0E"/>
        </w:rPr>
        <w:t>(</w:t>
      </w:r>
      <w:r>
        <w:rPr>
          <w:rFonts w:ascii="Arial" w:cs="Arial" w:eastAsia="Arial" w:hAnsi="Arial"/>
          <w:sz w:val="19"/>
          <w:szCs w:val="19"/>
          <w:u w:val="single" w:color="auto"/>
          <w:color w:val="000000"/>
        </w:rPr>
        <w:t>[***]</w:t>
      </w:r>
      <w:r>
        <w:rPr>
          <w:rFonts w:ascii="Arial" w:cs="Arial" w:eastAsia="Arial" w:hAnsi="Arial"/>
          <w:sz w:val="19"/>
          <w:szCs w:val="19"/>
          <w:color w:val="0E0E0E"/>
        </w:rPr>
        <w:t>%)</w:t>
      </w:r>
      <w:r>
        <w:rPr>
          <w:rFonts w:ascii="Arial" w:cs="Arial" w:eastAsia="Arial" w:hAnsi="Arial"/>
          <w:sz w:val="19"/>
          <w:szCs w:val="19"/>
          <w:color w:val="1F1F1F"/>
        </w:rPr>
        <w:t xml:space="preserve"> what </w:t>
      </w:r>
      <w:r>
        <w:rPr>
          <w:rFonts w:ascii="Arial" w:cs="Arial" w:eastAsia="Arial" w:hAnsi="Arial"/>
          <w:sz w:val="19"/>
          <w:szCs w:val="19"/>
          <w:color w:val="0E0E0E"/>
        </w:rPr>
        <w:t>Tenant</w:t>
      </w:r>
      <w:r>
        <w:rPr>
          <w:rFonts w:ascii="Arial" w:cs="Arial" w:eastAsia="Arial" w:hAnsi="Arial"/>
          <w:sz w:val="19"/>
          <w:szCs w:val="19"/>
          <w:color w:val="1F1F1F"/>
        </w:rPr>
        <w:t xml:space="preserve"> </w:t>
      </w:r>
      <w:r>
        <w:rPr>
          <w:rFonts w:ascii="Arial" w:cs="Arial" w:eastAsia="Arial" w:hAnsi="Arial"/>
          <w:sz w:val="19"/>
          <w:szCs w:val="19"/>
          <w:color w:val="343434"/>
        </w:rPr>
        <w:t>should</w:t>
      </w:r>
      <w:r>
        <w:rPr>
          <w:rFonts w:ascii="Arial" w:cs="Arial" w:eastAsia="Arial" w:hAnsi="Arial"/>
          <w:sz w:val="19"/>
          <w:szCs w:val="19"/>
          <w:color w:val="1F1F1F"/>
        </w:rPr>
        <w:t xml:space="preserve"> have been billed </w:t>
      </w:r>
      <w:r>
        <w:rPr>
          <w:rFonts w:ascii="Arial" w:cs="Arial" w:eastAsia="Arial" w:hAnsi="Arial"/>
          <w:sz w:val="19"/>
          <w:szCs w:val="19"/>
          <w:color w:val="0E0E0E"/>
        </w:rPr>
        <w:t>during</w:t>
      </w:r>
      <w:r>
        <w:rPr>
          <w:rFonts w:ascii="Arial" w:cs="Arial" w:eastAsia="Arial" w:hAnsi="Arial"/>
          <w:sz w:val="19"/>
          <w:szCs w:val="19"/>
          <w:color w:val="1F1F1F"/>
        </w:rPr>
        <w:t xml:space="preserve"> </w:t>
      </w:r>
      <w:r>
        <w:rPr>
          <w:rFonts w:ascii="Arial" w:cs="Arial" w:eastAsia="Arial" w:hAnsi="Arial"/>
          <w:sz w:val="19"/>
          <w:szCs w:val="19"/>
          <w:color w:val="343434"/>
        </w:rPr>
        <w:t>such</w:t>
      </w:r>
      <w:r>
        <w:rPr>
          <w:rFonts w:ascii="Arial" w:cs="Arial" w:eastAsia="Arial" w:hAnsi="Arial"/>
          <w:sz w:val="19"/>
          <w:szCs w:val="19"/>
          <w:color w:val="1F1F1F"/>
        </w:rPr>
        <w:t xml:space="preserve"> calendar year, </w:t>
      </w:r>
      <w:r>
        <w:rPr>
          <w:rFonts w:ascii="Arial" w:cs="Arial" w:eastAsia="Arial" w:hAnsi="Arial"/>
          <w:sz w:val="19"/>
          <w:szCs w:val="19"/>
          <w:color w:val="0E0E0E"/>
        </w:rPr>
        <w:t>then</w:t>
      </w:r>
      <w:r>
        <w:rPr>
          <w:rFonts w:ascii="Arial" w:cs="Arial" w:eastAsia="Arial" w:hAnsi="Arial"/>
          <w:sz w:val="19"/>
          <w:szCs w:val="19"/>
          <w:color w:val="1F1F1F"/>
        </w:rPr>
        <w:t xml:space="preserve"> Landlord </w:t>
      </w:r>
      <w:r>
        <w:rPr>
          <w:rFonts w:ascii="Arial" w:cs="Arial" w:eastAsia="Arial" w:hAnsi="Arial"/>
          <w:sz w:val="19"/>
          <w:szCs w:val="19"/>
          <w:color w:val="343434"/>
        </w:rPr>
        <w:t>shall</w:t>
      </w:r>
      <w:r>
        <w:rPr>
          <w:rFonts w:ascii="Arial" w:cs="Arial" w:eastAsia="Arial" w:hAnsi="Arial"/>
          <w:sz w:val="19"/>
          <w:szCs w:val="19"/>
          <w:color w:val="1F1F1F"/>
        </w:rPr>
        <w:t xml:space="preserve"> pay the reasonable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20"/>
          </w:cols>
          <w:pgMar w:left="1440" w:top="1401" w:right="339" w:bottom="1440" w:gutter="0" w:footer="0" w:header="0"/>
        </w:sectPr>
      </w:pPr>
    </w:p>
    <w:bookmarkStart w:id="328" w:name="page329"/>
    <w:bookmarkEnd w:id="328"/>
    <w:p>
      <w:pPr>
        <w:ind w:left="640"/>
        <w:spacing w:after="0" w:line="232" w:lineRule="auto"/>
        <w:rPr>
          <w:sz w:val="20"/>
          <w:szCs w:val="20"/>
          <w:color w:val="auto"/>
        </w:rPr>
      </w:pPr>
      <w:r>
        <w:rPr>
          <w:rFonts w:ascii="Arial" w:cs="Arial" w:eastAsia="Arial" w:hAnsi="Arial"/>
          <w:sz w:val="22"/>
          <w:szCs w:val="22"/>
          <w:color w:val="1F1F1F"/>
        </w:rPr>
        <w:t xml:space="preserve">of the Independent Review and </w:t>
      </w:r>
      <w:r>
        <w:rPr>
          <w:rFonts w:ascii="Arial" w:cs="Arial" w:eastAsia="Arial" w:hAnsi="Arial"/>
          <w:sz w:val="22"/>
          <w:szCs w:val="22"/>
          <w:color w:val="0E0E0E"/>
        </w:rPr>
        <w:t>the</w:t>
      </w:r>
      <w:r>
        <w:rPr>
          <w:rFonts w:ascii="Arial" w:cs="Arial" w:eastAsia="Arial" w:hAnsi="Arial"/>
          <w:sz w:val="22"/>
          <w:szCs w:val="22"/>
          <w:color w:val="1F1F1F"/>
        </w:rPr>
        <w:t xml:space="preserve"> review by the </w:t>
      </w:r>
      <w:r>
        <w:rPr>
          <w:rFonts w:ascii="Arial" w:cs="Arial" w:eastAsia="Arial" w:hAnsi="Arial"/>
          <w:sz w:val="22"/>
          <w:szCs w:val="22"/>
          <w:color w:val="343434"/>
        </w:rPr>
        <w:t>Accountant(s).</w:t>
      </w:r>
      <w:r>
        <w:rPr>
          <w:rFonts w:ascii="Arial" w:cs="Arial" w:eastAsia="Arial" w:hAnsi="Arial"/>
          <w:sz w:val="22"/>
          <w:szCs w:val="22"/>
          <w:color w:val="1F1F1F"/>
        </w:rPr>
        <w:t xml:space="preserve"> In </w:t>
      </w:r>
      <w:r>
        <w:rPr>
          <w:rFonts w:ascii="Arial" w:cs="Arial" w:eastAsia="Arial" w:hAnsi="Arial"/>
          <w:sz w:val="22"/>
          <w:szCs w:val="22"/>
          <w:color w:val="343434"/>
        </w:rPr>
        <w:t>all</w:t>
      </w:r>
      <w:r>
        <w:rPr>
          <w:rFonts w:ascii="Arial" w:cs="Arial" w:eastAsia="Arial" w:hAnsi="Arial"/>
          <w:sz w:val="22"/>
          <w:szCs w:val="22"/>
          <w:color w:val="1F1F1F"/>
        </w:rPr>
        <w:t xml:space="preserve"> other cases, Tenant </w:t>
      </w:r>
      <w:r>
        <w:rPr>
          <w:rFonts w:ascii="Arial" w:cs="Arial" w:eastAsia="Arial" w:hAnsi="Arial"/>
          <w:sz w:val="22"/>
          <w:szCs w:val="22"/>
          <w:color w:val="343434"/>
        </w:rPr>
        <w:t>shall</w:t>
      </w:r>
      <w:r>
        <w:rPr>
          <w:rFonts w:ascii="Arial" w:cs="Arial" w:eastAsia="Arial" w:hAnsi="Arial"/>
          <w:sz w:val="22"/>
          <w:szCs w:val="22"/>
          <w:color w:val="1F1F1F"/>
        </w:rPr>
        <w:t xml:space="preserve"> pay the </w:t>
      </w:r>
      <w:r>
        <w:rPr>
          <w:rFonts w:ascii="Arial" w:cs="Arial" w:eastAsia="Arial" w:hAnsi="Arial"/>
          <w:sz w:val="22"/>
          <w:szCs w:val="22"/>
          <w:color w:val="343434"/>
        </w:rPr>
        <w:t>cost</w:t>
      </w:r>
      <w:r>
        <w:rPr>
          <w:rFonts w:ascii="Arial" w:cs="Arial" w:eastAsia="Arial" w:hAnsi="Arial"/>
          <w:sz w:val="22"/>
          <w:szCs w:val="22"/>
          <w:color w:val="1F1F1F"/>
        </w:rPr>
        <w:t xml:space="preserve"> of the Independent Review.</w:t>
      </w:r>
    </w:p>
    <w:p>
      <w:pPr>
        <w:spacing w:after="0" w:line="159"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 xml:space="preserve">Tenant </w:t>
      </w:r>
      <w:r>
        <w:rPr>
          <w:rFonts w:ascii="Arial" w:cs="Arial" w:eastAsia="Arial" w:hAnsi="Arial"/>
          <w:sz w:val="19"/>
          <w:szCs w:val="19"/>
          <w:color w:val="343434"/>
        </w:rPr>
        <w:t>shall</w:t>
      </w:r>
      <w:r>
        <w:rPr>
          <w:rFonts w:ascii="Arial" w:cs="Arial" w:eastAsia="Arial" w:hAnsi="Arial"/>
          <w:sz w:val="19"/>
          <w:szCs w:val="19"/>
          <w:color w:val="auto"/>
        </w:rPr>
        <w:t xml:space="preserve"> </w:t>
      </w:r>
      <w:r>
        <w:rPr>
          <w:rFonts w:ascii="Arial" w:cs="Arial" w:eastAsia="Arial" w:hAnsi="Arial"/>
          <w:sz w:val="19"/>
          <w:szCs w:val="19"/>
          <w:color w:val="0E0E0E"/>
        </w:rPr>
        <w:t>be</w:t>
      </w:r>
      <w:r>
        <w:rPr>
          <w:rFonts w:ascii="Arial" w:cs="Arial" w:eastAsia="Arial" w:hAnsi="Arial"/>
          <w:sz w:val="19"/>
          <w:szCs w:val="19"/>
          <w:color w:val="auto"/>
        </w:rPr>
        <w:t xml:space="preserve"> responsible </w:t>
      </w:r>
      <w:r>
        <w:rPr>
          <w:rFonts w:ascii="Arial" w:cs="Arial" w:eastAsia="Arial" w:hAnsi="Arial"/>
          <w:sz w:val="19"/>
          <w:szCs w:val="19"/>
          <w:color w:val="343434"/>
        </w:rPr>
        <w:t>for</w:t>
      </w:r>
      <w:r>
        <w:rPr>
          <w:rFonts w:ascii="Arial" w:cs="Arial" w:eastAsia="Arial" w:hAnsi="Arial"/>
          <w:sz w:val="19"/>
          <w:szCs w:val="19"/>
          <w:color w:val="auto"/>
        </w:rPr>
        <w:t xml:space="preserve"> </w:t>
      </w:r>
      <w:r>
        <w:rPr>
          <w:rFonts w:ascii="Arial" w:cs="Arial" w:eastAsia="Arial" w:hAnsi="Arial"/>
          <w:sz w:val="19"/>
          <w:szCs w:val="19"/>
          <w:color w:val="0E0E0E"/>
        </w:rPr>
        <w:t>the</w:t>
      </w:r>
      <w:r>
        <w:rPr>
          <w:rFonts w:ascii="Arial" w:cs="Arial" w:eastAsia="Arial" w:hAnsi="Arial"/>
          <w:sz w:val="19"/>
          <w:szCs w:val="19"/>
          <w:color w:val="auto"/>
        </w:rPr>
        <w:t xml:space="preserve"> costs of any </w:t>
      </w:r>
      <w:r>
        <w:rPr>
          <w:rFonts w:ascii="Arial" w:cs="Arial" w:eastAsia="Arial" w:hAnsi="Arial"/>
          <w:sz w:val="19"/>
          <w:szCs w:val="19"/>
          <w:color w:val="343434"/>
        </w:rPr>
        <w:t>services</w:t>
      </w:r>
      <w:r>
        <w:rPr>
          <w:rFonts w:ascii="Arial" w:cs="Arial" w:eastAsia="Arial" w:hAnsi="Arial"/>
          <w:sz w:val="19"/>
          <w:szCs w:val="19"/>
          <w:color w:val="auto"/>
        </w:rPr>
        <w:t xml:space="preserve"> or utilities incurred by </w:t>
      </w:r>
      <w:r>
        <w:rPr>
          <w:rFonts w:ascii="Arial" w:cs="Arial" w:eastAsia="Arial" w:hAnsi="Arial"/>
          <w:sz w:val="19"/>
          <w:szCs w:val="19"/>
          <w:color w:val="0E0E0E"/>
        </w:rPr>
        <w:t>Tenant</w:t>
      </w:r>
      <w:r>
        <w:rPr>
          <w:rFonts w:ascii="Arial" w:cs="Arial" w:eastAsia="Arial" w:hAnsi="Arial"/>
          <w:sz w:val="19"/>
          <w:szCs w:val="19"/>
          <w:color w:val="auto"/>
        </w:rPr>
        <w:t xml:space="preserve"> and attributable to </w:t>
      </w:r>
      <w:r>
        <w:rPr>
          <w:rFonts w:ascii="Arial" w:cs="Arial" w:eastAsia="Arial" w:hAnsi="Arial"/>
          <w:sz w:val="19"/>
          <w:szCs w:val="19"/>
          <w:color w:val="0E0E0E"/>
        </w:rPr>
        <w:t>the</w:t>
      </w:r>
      <w:r>
        <w:rPr>
          <w:rFonts w:ascii="Arial" w:cs="Arial" w:eastAsia="Arial" w:hAnsi="Arial"/>
          <w:sz w:val="19"/>
          <w:szCs w:val="19"/>
          <w:color w:val="auto"/>
        </w:rPr>
        <w:t xml:space="preserve"> time period prior to </w:t>
      </w:r>
      <w:r>
        <w:rPr>
          <w:rFonts w:ascii="Arial" w:cs="Arial" w:eastAsia="Arial" w:hAnsi="Arial"/>
          <w:sz w:val="19"/>
          <w:szCs w:val="19"/>
          <w:color w:val="0E0E0E"/>
        </w:rPr>
        <w:t>the</w:t>
      </w:r>
      <w:r>
        <w:rPr>
          <w:rFonts w:ascii="Arial" w:cs="Arial" w:eastAsia="Arial" w:hAnsi="Arial"/>
          <w:sz w:val="19"/>
          <w:szCs w:val="19"/>
          <w:color w:val="auto"/>
        </w:rPr>
        <w:t xml:space="preserve"> Term Commencement </w:t>
      </w:r>
      <w:r>
        <w:rPr>
          <w:rFonts w:ascii="Arial" w:cs="Arial" w:eastAsia="Arial" w:hAnsi="Arial"/>
          <w:sz w:val="19"/>
          <w:szCs w:val="19"/>
          <w:color w:val="0E0E0E"/>
        </w:rPr>
        <w:t>Date.</w:t>
      </w:r>
      <w:r>
        <w:rPr>
          <w:rFonts w:ascii="Arial" w:cs="Arial" w:eastAsia="Arial" w:hAnsi="Arial"/>
          <w:sz w:val="19"/>
          <w:szCs w:val="19"/>
          <w:color w:val="auto"/>
        </w:rPr>
        <w:t xml:space="preserve"> Tenant’s responsibility </w:t>
      </w:r>
      <w:r>
        <w:rPr>
          <w:rFonts w:ascii="Arial" w:cs="Arial" w:eastAsia="Arial" w:hAnsi="Arial"/>
          <w:sz w:val="19"/>
          <w:szCs w:val="19"/>
          <w:color w:val="343434"/>
        </w:rPr>
        <w:t>for</w:t>
      </w:r>
      <w:r>
        <w:rPr>
          <w:rFonts w:ascii="Arial" w:cs="Arial" w:eastAsia="Arial" w:hAnsi="Arial"/>
          <w:sz w:val="19"/>
          <w:szCs w:val="19"/>
          <w:color w:val="auto"/>
        </w:rPr>
        <w:t xml:space="preserve"> Tenant’s </w:t>
      </w:r>
      <w:r>
        <w:rPr>
          <w:rFonts w:ascii="Arial" w:cs="Arial" w:eastAsia="Arial" w:hAnsi="Arial"/>
          <w:sz w:val="19"/>
          <w:szCs w:val="19"/>
          <w:color w:val="0E0E0E"/>
        </w:rPr>
        <w:t>Pro</w:t>
      </w:r>
      <w:r>
        <w:rPr>
          <w:rFonts w:ascii="Arial" w:cs="Arial" w:eastAsia="Arial" w:hAnsi="Arial"/>
          <w:sz w:val="19"/>
          <w:szCs w:val="19"/>
          <w:color w:val="auto"/>
        </w:rPr>
        <w:t xml:space="preserve"> Rata </w:t>
      </w:r>
      <w:r>
        <w:rPr>
          <w:rFonts w:ascii="Arial" w:cs="Arial" w:eastAsia="Arial" w:hAnsi="Arial"/>
          <w:sz w:val="19"/>
          <w:szCs w:val="19"/>
          <w:color w:val="343434"/>
        </w:rPr>
        <w:t>Share</w:t>
      </w:r>
      <w:r>
        <w:rPr>
          <w:rFonts w:ascii="Arial" w:cs="Arial" w:eastAsia="Arial" w:hAnsi="Arial"/>
          <w:sz w:val="19"/>
          <w:szCs w:val="19"/>
          <w:color w:val="auto"/>
        </w:rPr>
        <w:t xml:space="preserve"> of Operating Expenses </w:t>
      </w:r>
      <w:r>
        <w:rPr>
          <w:rFonts w:ascii="Arial" w:cs="Arial" w:eastAsia="Arial" w:hAnsi="Arial"/>
          <w:sz w:val="19"/>
          <w:szCs w:val="19"/>
          <w:color w:val="343434"/>
        </w:rPr>
        <w:t>shall</w:t>
      </w:r>
      <w:r>
        <w:rPr>
          <w:rFonts w:ascii="Arial" w:cs="Arial" w:eastAsia="Arial" w:hAnsi="Arial"/>
          <w:sz w:val="19"/>
          <w:szCs w:val="19"/>
          <w:color w:val="auto"/>
        </w:rPr>
        <w:t xml:space="preserve"> continue until </w:t>
      </w:r>
      <w:r>
        <w:rPr>
          <w:rFonts w:ascii="Arial" w:cs="Arial" w:eastAsia="Arial" w:hAnsi="Arial"/>
          <w:sz w:val="19"/>
          <w:szCs w:val="19"/>
          <w:color w:val="0E0E0E"/>
        </w:rPr>
        <w:t>the</w:t>
      </w:r>
      <w:r>
        <w:rPr>
          <w:rFonts w:ascii="Arial" w:cs="Arial" w:eastAsia="Arial" w:hAnsi="Arial"/>
          <w:sz w:val="19"/>
          <w:szCs w:val="19"/>
          <w:color w:val="auto"/>
        </w:rPr>
        <w:t xml:space="preserve"> expiration of </w:t>
      </w:r>
      <w:r>
        <w:rPr>
          <w:rFonts w:ascii="Arial" w:cs="Arial" w:eastAsia="Arial" w:hAnsi="Arial"/>
          <w:sz w:val="19"/>
          <w:szCs w:val="19"/>
          <w:color w:val="0E0E0E"/>
        </w:rPr>
        <w:t>the</w:t>
      </w:r>
      <w:r>
        <w:rPr>
          <w:rFonts w:ascii="Arial" w:cs="Arial" w:eastAsia="Arial" w:hAnsi="Arial"/>
          <w:sz w:val="19"/>
          <w:szCs w:val="19"/>
          <w:color w:val="auto"/>
        </w:rPr>
        <w:t xml:space="preserve"> Lease Term or the earlier </w:t>
      </w:r>
      <w:r>
        <w:rPr>
          <w:rFonts w:ascii="Arial" w:cs="Arial" w:eastAsia="Arial" w:hAnsi="Arial"/>
          <w:sz w:val="19"/>
          <w:szCs w:val="19"/>
          <w:color w:val="343434"/>
        </w:rPr>
        <w:t>termination</w:t>
      </w:r>
      <w:r>
        <w:rPr>
          <w:rFonts w:ascii="Arial" w:cs="Arial" w:eastAsia="Arial" w:hAnsi="Arial"/>
          <w:sz w:val="19"/>
          <w:szCs w:val="19"/>
          <w:color w:val="auto"/>
        </w:rPr>
        <w:t xml:space="preserve"> of this Lease.</w:t>
      </w:r>
    </w:p>
    <w:p>
      <w:pPr>
        <w:spacing w:after="0" w:line="132"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131313"/>
        </w:rPr>
        <w:t xml:space="preserve">Operating </w:t>
      </w:r>
      <w:r>
        <w:rPr>
          <w:rFonts w:ascii="Arial" w:cs="Arial" w:eastAsia="Arial" w:hAnsi="Arial"/>
          <w:sz w:val="19"/>
          <w:szCs w:val="19"/>
          <w:color w:val="000000"/>
        </w:rPr>
        <w:t>Expenses for</w:t>
      </w:r>
      <w:r>
        <w:rPr>
          <w:rFonts w:ascii="Arial" w:cs="Arial" w:eastAsia="Arial" w:hAnsi="Arial"/>
          <w:sz w:val="19"/>
          <w:szCs w:val="19"/>
          <w:color w:val="131313"/>
        </w:rPr>
        <w:t xml:space="preserve"> the </w:t>
      </w:r>
      <w:r>
        <w:rPr>
          <w:rFonts w:ascii="Arial" w:cs="Arial" w:eastAsia="Arial" w:hAnsi="Arial"/>
          <w:sz w:val="19"/>
          <w:szCs w:val="19"/>
          <w:color w:val="000000"/>
        </w:rPr>
        <w:t>calendar year</w:t>
      </w:r>
      <w:r>
        <w:rPr>
          <w:rFonts w:ascii="Arial" w:cs="Arial" w:eastAsia="Arial" w:hAnsi="Arial"/>
          <w:sz w:val="19"/>
          <w:szCs w:val="19"/>
          <w:color w:val="131313"/>
        </w:rPr>
        <w:t xml:space="preserve"> in </w:t>
      </w:r>
      <w:r>
        <w:rPr>
          <w:rFonts w:ascii="Arial" w:cs="Arial" w:eastAsia="Arial" w:hAnsi="Arial"/>
          <w:sz w:val="19"/>
          <w:szCs w:val="19"/>
          <w:color w:val="000000"/>
        </w:rPr>
        <w:t>which</w:t>
      </w:r>
      <w:r>
        <w:rPr>
          <w:rFonts w:ascii="Arial" w:cs="Arial" w:eastAsia="Arial" w:hAnsi="Arial"/>
          <w:sz w:val="19"/>
          <w:szCs w:val="19"/>
          <w:color w:val="131313"/>
        </w:rPr>
        <w:t xml:space="preserve"> Tenant’</w:t>
      </w:r>
      <w:r>
        <w:rPr>
          <w:rFonts w:ascii="Arial" w:cs="Arial" w:eastAsia="Arial" w:hAnsi="Arial"/>
          <w:sz w:val="19"/>
          <w:szCs w:val="19"/>
          <w:color w:val="3B3B3B"/>
        </w:rPr>
        <w:t>s</w:t>
      </w:r>
      <w:r>
        <w:rPr>
          <w:rFonts w:ascii="Arial" w:cs="Arial" w:eastAsia="Arial" w:hAnsi="Arial"/>
          <w:sz w:val="19"/>
          <w:szCs w:val="19"/>
          <w:color w:val="131313"/>
        </w:rPr>
        <w:t xml:space="preserve"> obligation </w:t>
      </w:r>
      <w:r>
        <w:rPr>
          <w:rFonts w:ascii="Arial" w:cs="Arial" w:eastAsia="Arial" w:hAnsi="Arial"/>
          <w:sz w:val="19"/>
          <w:szCs w:val="19"/>
          <w:color w:val="000000"/>
        </w:rPr>
        <w:t>to</w:t>
      </w:r>
      <w:r>
        <w:rPr>
          <w:rFonts w:ascii="Arial" w:cs="Arial" w:eastAsia="Arial" w:hAnsi="Arial"/>
          <w:sz w:val="19"/>
          <w:szCs w:val="19"/>
          <w:color w:val="131313"/>
        </w:rPr>
        <w:t xml:space="preserve"> </w:t>
      </w:r>
      <w:r>
        <w:rPr>
          <w:rFonts w:ascii="Arial" w:cs="Arial" w:eastAsia="Arial" w:hAnsi="Arial"/>
          <w:sz w:val="19"/>
          <w:szCs w:val="19"/>
          <w:color w:val="3B3B3B"/>
        </w:rPr>
        <w:t>share</w:t>
      </w:r>
      <w:r>
        <w:rPr>
          <w:rFonts w:ascii="Arial" w:cs="Arial" w:eastAsia="Arial" w:hAnsi="Arial"/>
          <w:sz w:val="19"/>
          <w:szCs w:val="19"/>
          <w:color w:val="131313"/>
        </w:rPr>
        <w:t xml:space="preserve"> therein </w:t>
      </w:r>
      <w:r>
        <w:rPr>
          <w:rFonts w:ascii="Arial" w:cs="Arial" w:eastAsia="Arial" w:hAnsi="Arial"/>
          <w:sz w:val="19"/>
          <w:szCs w:val="19"/>
          <w:color w:val="000000"/>
        </w:rPr>
        <w:t>commences</w:t>
      </w:r>
      <w:r>
        <w:rPr>
          <w:rFonts w:ascii="Arial" w:cs="Arial" w:eastAsia="Arial" w:hAnsi="Arial"/>
          <w:sz w:val="19"/>
          <w:szCs w:val="19"/>
          <w:color w:val="131313"/>
        </w:rPr>
        <w:t xml:space="preserve"> and </w:t>
      </w:r>
      <w:r>
        <w:rPr>
          <w:rFonts w:ascii="Arial" w:cs="Arial" w:eastAsia="Arial" w:hAnsi="Arial"/>
          <w:sz w:val="19"/>
          <w:szCs w:val="19"/>
          <w:color w:val="000000"/>
        </w:rPr>
        <w:t>for</w:t>
      </w:r>
      <w:r>
        <w:rPr>
          <w:rFonts w:ascii="Arial" w:cs="Arial" w:eastAsia="Arial" w:hAnsi="Arial"/>
          <w:sz w:val="19"/>
          <w:szCs w:val="19"/>
          <w:color w:val="131313"/>
        </w:rPr>
        <w:t xml:space="preserve"> th</w:t>
      </w:r>
      <w:r>
        <w:rPr>
          <w:rFonts w:ascii="Arial" w:cs="Arial" w:eastAsia="Arial" w:hAnsi="Arial"/>
          <w:sz w:val="19"/>
          <w:szCs w:val="19"/>
          <w:color w:val="3B3B3B"/>
        </w:rPr>
        <w:t>e</w:t>
      </w:r>
      <w:r>
        <w:rPr>
          <w:rFonts w:ascii="Arial" w:cs="Arial" w:eastAsia="Arial" w:hAnsi="Arial"/>
          <w:sz w:val="19"/>
          <w:szCs w:val="19"/>
          <w:color w:val="131313"/>
        </w:rPr>
        <w:t xml:space="preserve"> </w:t>
      </w:r>
      <w:r>
        <w:rPr>
          <w:rFonts w:ascii="Arial" w:cs="Arial" w:eastAsia="Arial" w:hAnsi="Arial"/>
          <w:sz w:val="19"/>
          <w:szCs w:val="19"/>
          <w:color w:val="000000"/>
        </w:rPr>
        <w:t xml:space="preserve">calendar year </w:t>
      </w:r>
      <w:r>
        <w:rPr>
          <w:rFonts w:ascii="Arial" w:cs="Arial" w:eastAsia="Arial" w:hAnsi="Arial"/>
          <w:sz w:val="19"/>
          <w:szCs w:val="19"/>
          <w:color w:val="3B3B3B"/>
        </w:rPr>
        <w:t>in</w:t>
      </w:r>
      <w:r>
        <w:rPr>
          <w:rFonts w:ascii="Arial" w:cs="Arial" w:eastAsia="Arial" w:hAnsi="Arial"/>
          <w:sz w:val="19"/>
          <w:szCs w:val="19"/>
          <w:color w:val="000000"/>
        </w:rPr>
        <w:t xml:space="preserve"> which </w:t>
      </w:r>
      <w:r>
        <w:rPr>
          <w:rFonts w:ascii="Arial" w:cs="Arial" w:eastAsia="Arial" w:hAnsi="Arial"/>
          <w:sz w:val="19"/>
          <w:szCs w:val="19"/>
          <w:color w:val="3B3B3B"/>
        </w:rPr>
        <w:t>suc</w:t>
      </w:r>
      <w:r>
        <w:rPr>
          <w:rFonts w:ascii="Arial" w:cs="Arial" w:eastAsia="Arial" w:hAnsi="Arial"/>
          <w:sz w:val="19"/>
          <w:szCs w:val="19"/>
          <w:color w:val="131313"/>
        </w:rPr>
        <w:t>h</w:t>
      </w:r>
      <w:r>
        <w:rPr>
          <w:rFonts w:ascii="Arial" w:cs="Arial" w:eastAsia="Arial" w:hAnsi="Arial"/>
          <w:sz w:val="19"/>
          <w:szCs w:val="19"/>
          <w:color w:val="000000"/>
        </w:rPr>
        <w:t xml:space="preserve"> obligation ceases shall be </w:t>
      </w:r>
      <w:r>
        <w:rPr>
          <w:rFonts w:ascii="Arial" w:cs="Arial" w:eastAsia="Arial" w:hAnsi="Arial"/>
          <w:sz w:val="19"/>
          <w:szCs w:val="19"/>
          <w:color w:val="131313"/>
        </w:rPr>
        <w:t>prorated</w:t>
      </w:r>
      <w:r>
        <w:rPr>
          <w:rFonts w:ascii="Arial" w:cs="Arial" w:eastAsia="Arial" w:hAnsi="Arial"/>
          <w:sz w:val="19"/>
          <w:szCs w:val="19"/>
          <w:color w:val="000000"/>
        </w:rPr>
        <w:t xml:space="preserve"> on a </w:t>
      </w:r>
      <w:r>
        <w:rPr>
          <w:rFonts w:ascii="Arial" w:cs="Arial" w:eastAsia="Arial" w:hAnsi="Arial"/>
          <w:sz w:val="19"/>
          <w:szCs w:val="19"/>
          <w:color w:val="131313"/>
        </w:rPr>
        <w:t>basis rea</w:t>
      </w:r>
      <w:r>
        <w:rPr>
          <w:rFonts w:ascii="Arial" w:cs="Arial" w:eastAsia="Arial" w:hAnsi="Arial"/>
          <w:sz w:val="19"/>
          <w:szCs w:val="19"/>
          <w:color w:val="3B3B3B"/>
        </w:rPr>
        <w:t>s</w:t>
      </w:r>
      <w:r>
        <w:rPr>
          <w:rFonts w:ascii="Arial" w:cs="Arial" w:eastAsia="Arial" w:hAnsi="Arial"/>
          <w:sz w:val="19"/>
          <w:szCs w:val="19"/>
          <w:color w:val="131313"/>
        </w:rPr>
        <w:t>onably</w:t>
      </w:r>
      <w:r>
        <w:rPr>
          <w:rFonts w:ascii="Arial" w:cs="Arial" w:eastAsia="Arial" w:hAnsi="Arial"/>
          <w:sz w:val="19"/>
          <w:szCs w:val="19"/>
          <w:color w:val="000000"/>
        </w:rPr>
        <w:t xml:space="preserve"> determined by </w:t>
      </w:r>
      <w:r>
        <w:rPr>
          <w:rFonts w:ascii="Arial" w:cs="Arial" w:eastAsia="Arial" w:hAnsi="Arial"/>
          <w:sz w:val="19"/>
          <w:szCs w:val="19"/>
          <w:color w:val="131313"/>
        </w:rPr>
        <w:t>L</w:t>
      </w:r>
      <w:r>
        <w:rPr>
          <w:rFonts w:ascii="Arial" w:cs="Arial" w:eastAsia="Arial" w:hAnsi="Arial"/>
          <w:sz w:val="19"/>
          <w:szCs w:val="19"/>
          <w:color w:val="3B3B3B"/>
        </w:rPr>
        <w:t>and</w:t>
      </w:r>
      <w:r>
        <w:rPr>
          <w:rFonts w:ascii="Arial" w:cs="Arial" w:eastAsia="Arial" w:hAnsi="Arial"/>
          <w:sz w:val="19"/>
          <w:szCs w:val="19"/>
          <w:color w:val="131313"/>
        </w:rPr>
        <w:t>lord.</w:t>
      </w:r>
      <w:r>
        <w:rPr>
          <w:rFonts w:ascii="Arial" w:cs="Arial" w:eastAsia="Arial" w:hAnsi="Arial"/>
          <w:sz w:val="19"/>
          <w:szCs w:val="19"/>
          <w:color w:val="000000"/>
        </w:rPr>
        <w:t xml:space="preserve"> </w:t>
      </w:r>
      <w:r>
        <w:rPr>
          <w:rFonts w:ascii="Arial" w:cs="Arial" w:eastAsia="Arial" w:hAnsi="Arial"/>
          <w:sz w:val="19"/>
          <w:szCs w:val="19"/>
          <w:color w:val="3B3B3B"/>
        </w:rPr>
        <w:t>Ex</w:t>
      </w:r>
      <w:r>
        <w:rPr>
          <w:rFonts w:ascii="Arial" w:cs="Arial" w:eastAsia="Arial" w:hAnsi="Arial"/>
          <w:sz w:val="19"/>
          <w:szCs w:val="19"/>
          <w:color w:val="131313"/>
        </w:rPr>
        <w:t>penses</w:t>
      </w:r>
      <w:r>
        <w:rPr>
          <w:rFonts w:ascii="Arial" w:cs="Arial" w:eastAsia="Arial" w:hAnsi="Arial"/>
          <w:sz w:val="19"/>
          <w:szCs w:val="19"/>
          <w:color w:val="3B3B3B"/>
        </w:rPr>
        <w:t xml:space="preserve"> </w:t>
      </w:r>
      <w:r>
        <w:rPr>
          <w:rFonts w:ascii="Arial" w:cs="Arial" w:eastAsia="Arial" w:hAnsi="Arial"/>
          <w:sz w:val="19"/>
          <w:szCs w:val="19"/>
          <w:color w:val="000000"/>
        </w:rPr>
        <w:t>such as taxes,</w:t>
      </w:r>
      <w:r>
        <w:rPr>
          <w:rFonts w:ascii="Arial" w:cs="Arial" w:eastAsia="Arial" w:hAnsi="Arial"/>
          <w:sz w:val="19"/>
          <w:szCs w:val="19"/>
          <w:color w:val="3B3B3B"/>
        </w:rPr>
        <w:t xml:space="preserve"> </w:t>
      </w:r>
      <w:r>
        <w:rPr>
          <w:rFonts w:ascii="Arial" w:cs="Arial" w:eastAsia="Arial" w:hAnsi="Arial"/>
          <w:sz w:val="19"/>
          <w:szCs w:val="19"/>
          <w:color w:val="131313"/>
        </w:rPr>
        <w:t>assessment</w:t>
      </w:r>
      <w:r>
        <w:rPr>
          <w:rFonts w:ascii="Arial" w:cs="Arial" w:eastAsia="Arial" w:hAnsi="Arial"/>
          <w:sz w:val="19"/>
          <w:szCs w:val="19"/>
          <w:color w:val="3B3B3B"/>
        </w:rPr>
        <w:t xml:space="preserve">s </w:t>
      </w:r>
      <w:r>
        <w:rPr>
          <w:rFonts w:ascii="Arial" w:cs="Arial" w:eastAsia="Arial" w:hAnsi="Arial"/>
          <w:sz w:val="19"/>
          <w:szCs w:val="19"/>
          <w:color w:val="131313"/>
        </w:rPr>
        <w:t>and insurance</w:t>
      </w:r>
      <w:r>
        <w:rPr>
          <w:rFonts w:ascii="Arial" w:cs="Arial" w:eastAsia="Arial" w:hAnsi="Arial"/>
          <w:sz w:val="19"/>
          <w:szCs w:val="19"/>
          <w:color w:val="3B3B3B"/>
        </w:rPr>
        <w:t xml:space="preserve"> </w:t>
      </w:r>
      <w:r>
        <w:rPr>
          <w:rFonts w:ascii="Arial" w:cs="Arial" w:eastAsia="Arial" w:hAnsi="Arial"/>
          <w:sz w:val="19"/>
          <w:szCs w:val="19"/>
          <w:color w:val="000000"/>
        </w:rPr>
        <w:t>premiums</w:t>
      </w:r>
      <w:r>
        <w:rPr>
          <w:rFonts w:ascii="Arial" w:cs="Arial" w:eastAsia="Arial" w:hAnsi="Arial"/>
          <w:sz w:val="19"/>
          <w:szCs w:val="19"/>
          <w:color w:val="3B3B3B"/>
        </w:rPr>
        <w:t xml:space="preserve"> </w:t>
      </w:r>
      <w:r>
        <w:rPr>
          <w:rFonts w:ascii="Arial" w:cs="Arial" w:eastAsia="Arial" w:hAnsi="Arial"/>
          <w:sz w:val="19"/>
          <w:szCs w:val="19"/>
          <w:color w:val="131313"/>
        </w:rPr>
        <w:t>that</w:t>
      </w:r>
      <w:r>
        <w:rPr>
          <w:rFonts w:ascii="Arial" w:cs="Arial" w:eastAsia="Arial" w:hAnsi="Arial"/>
          <w:sz w:val="19"/>
          <w:szCs w:val="19"/>
          <w:color w:val="3B3B3B"/>
        </w:rPr>
        <w:t xml:space="preserve"> </w:t>
      </w:r>
      <w:r>
        <w:rPr>
          <w:rFonts w:ascii="Arial" w:cs="Arial" w:eastAsia="Arial" w:hAnsi="Arial"/>
          <w:sz w:val="19"/>
          <w:szCs w:val="19"/>
          <w:color w:val="000000"/>
        </w:rPr>
        <w:t>are</w:t>
      </w:r>
      <w:r>
        <w:rPr>
          <w:rFonts w:ascii="Arial" w:cs="Arial" w:eastAsia="Arial" w:hAnsi="Arial"/>
          <w:sz w:val="19"/>
          <w:szCs w:val="19"/>
          <w:color w:val="3B3B3B"/>
        </w:rPr>
        <w:t xml:space="preserve"> inc</w:t>
      </w:r>
      <w:r>
        <w:rPr>
          <w:rFonts w:ascii="Arial" w:cs="Arial" w:eastAsia="Arial" w:hAnsi="Arial"/>
          <w:sz w:val="19"/>
          <w:szCs w:val="19"/>
          <w:color w:val="131313"/>
        </w:rPr>
        <w:t>urred</w:t>
      </w:r>
      <w:r>
        <w:rPr>
          <w:rFonts w:ascii="Arial" w:cs="Arial" w:eastAsia="Arial" w:hAnsi="Arial"/>
          <w:sz w:val="19"/>
          <w:szCs w:val="19"/>
          <w:color w:val="3B3B3B"/>
        </w:rPr>
        <w:t xml:space="preserve"> </w:t>
      </w:r>
      <w:r>
        <w:rPr>
          <w:rFonts w:ascii="Arial" w:cs="Arial" w:eastAsia="Arial" w:hAnsi="Arial"/>
          <w:sz w:val="19"/>
          <w:szCs w:val="19"/>
          <w:color w:val="000000"/>
        </w:rPr>
        <w:t>for</w:t>
      </w:r>
      <w:r>
        <w:rPr>
          <w:rFonts w:ascii="Arial" w:cs="Arial" w:eastAsia="Arial" w:hAnsi="Arial"/>
          <w:sz w:val="19"/>
          <w:szCs w:val="19"/>
          <w:color w:val="3B3B3B"/>
        </w:rPr>
        <w:t xml:space="preserve"> </w:t>
      </w:r>
      <w:r>
        <w:rPr>
          <w:rFonts w:ascii="Arial" w:cs="Arial" w:eastAsia="Arial" w:hAnsi="Arial"/>
          <w:sz w:val="19"/>
          <w:szCs w:val="19"/>
          <w:color w:val="131313"/>
        </w:rPr>
        <w:t>an</w:t>
      </w:r>
      <w:r>
        <w:rPr>
          <w:rFonts w:ascii="Arial" w:cs="Arial" w:eastAsia="Arial" w:hAnsi="Arial"/>
          <w:sz w:val="19"/>
          <w:szCs w:val="19"/>
          <w:color w:val="3B3B3B"/>
        </w:rPr>
        <w:t xml:space="preserve"> </w:t>
      </w:r>
      <w:r>
        <w:rPr>
          <w:rFonts w:ascii="Arial" w:cs="Arial" w:eastAsia="Arial" w:hAnsi="Arial"/>
          <w:sz w:val="19"/>
          <w:szCs w:val="19"/>
          <w:color w:val="000000"/>
        </w:rPr>
        <w:t>extended</w:t>
      </w:r>
      <w:r>
        <w:rPr>
          <w:rFonts w:ascii="Arial" w:cs="Arial" w:eastAsia="Arial" w:hAnsi="Arial"/>
          <w:sz w:val="19"/>
          <w:szCs w:val="19"/>
          <w:color w:val="3B3B3B"/>
        </w:rPr>
        <w:t xml:space="preserve"> t</w:t>
      </w:r>
      <w:r>
        <w:rPr>
          <w:rFonts w:ascii="Arial" w:cs="Arial" w:eastAsia="Arial" w:hAnsi="Arial"/>
          <w:sz w:val="19"/>
          <w:szCs w:val="19"/>
          <w:color w:val="131313"/>
        </w:rPr>
        <w:t>ime</w:t>
      </w:r>
      <w:r>
        <w:rPr>
          <w:rFonts w:ascii="Arial" w:cs="Arial" w:eastAsia="Arial" w:hAnsi="Arial"/>
          <w:sz w:val="19"/>
          <w:szCs w:val="19"/>
          <w:color w:val="3B3B3B"/>
        </w:rPr>
        <w:t xml:space="preserve"> </w:t>
      </w:r>
      <w:r>
        <w:rPr>
          <w:rFonts w:ascii="Arial" w:cs="Arial" w:eastAsia="Arial" w:hAnsi="Arial"/>
          <w:sz w:val="19"/>
          <w:szCs w:val="19"/>
          <w:color w:val="000000"/>
        </w:rPr>
        <w:t>period</w:t>
      </w:r>
      <w:r>
        <w:rPr>
          <w:rFonts w:ascii="Arial" w:cs="Arial" w:eastAsia="Arial" w:hAnsi="Arial"/>
          <w:sz w:val="19"/>
          <w:szCs w:val="19"/>
          <w:color w:val="3B3B3B"/>
        </w:rPr>
        <w:t xml:space="preserve"> s</w:t>
      </w:r>
      <w:r>
        <w:rPr>
          <w:rFonts w:ascii="Arial" w:cs="Arial" w:eastAsia="Arial" w:hAnsi="Arial"/>
          <w:sz w:val="19"/>
          <w:szCs w:val="19"/>
          <w:color w:val="131313"/>
        </w:rPr>
        <w:t>hall</w:t>
      </w:r>
      <w:r>
        <w:rPr>
          <w:rFonts w:ascii="Arial" w:cs="Arial" w:eastAsia="Arial" w:hAnsi="Arial"/>
          <w:sz w:val="19"/>
          <w:szCs w:val="19"/>
          <w:color w:val="3B3B3B"/>
        </w:rPr>
        <w:t xml:space="preserve"> </w:t>
      </w:r>
      <w:r>
        <w:rPr>
          <w:rFonts w:ascii="Arial" w:cs="Arial" w:eastAsia="Arial" w:hAnsi="Arial"/>
          <w:sz w:val="19"/>
          <w:szCs w:val="19"/>
          <w:color w:val="131313"/>
        </w:rPr>
        <w:t>b</w:t>
      </w:r>
      <w:r>
        <w:rPr>
          <w:rFonts w:ascii="Arial" w:cs="Arial" w:eastAsia="Arial" w:hAnsi="Arial"/>
          <w:sz w:val="19"/>
          <w:szCs w:val="19"/>
          <w:color w:val="3B3B3B"/>
        </w:rPr>
        <w:t>e</w:t>
      </w:r>
      <w:r>
        <w:rPr>
          <w:rFonts w:ascii="Arial" w:cs="Arial" w:eastAsia="Arial" w:hAnsi="Arial"/>
          <w:sz w:val="19"/>
          <w:szCs w:val="19"/>
          <w:color w:val="131313"/>
        </w:rPr>
        <w:t xml:space="preserve"> </w:t>
      </w:r>
      <w:r>
        <w:rPr>
          <w:rFonts w:ascii="Arial" w:cs="Arial" w:eastAsia="Arial" w:hAnsi="Arial"/>
          <w:sz w:val="19"/>
          <w:szCs w:val="19"/>
          <w:color w:val="000000"/>
        </w:rPr>
        <w:t>prorated</w:t>
      </w:r>
      <w:r>
        <w:rPr>
          <w:rFonts w:ascii="Arial" w:cs="Arial" w:eastAsia="Arial" w:hAnsi="Arial"/>
          <w:sz w:val="19"/>
          <w:szCs w:val="19"/>
          <w:color w:val="131313"/>
        </w:rPr>
        <w:t xml:space="preserve"> based upon the time periods </w:t>
      </w:r>
      <w:r>
        <w:rPr>
          <w:rFonts w:ascii="Arial" w:cs="Arial" w:eastAsia="Arial" w:hAnsi="Arial"/>
          <w:sz w:val="19"/>
          <w:szCs w:val="19"/>
          <w:color w:val="000000"/>
        </w:rPr>
        <w:t>to which</w:t>
      </w:r>
      <w:r>
        <w:rPr>
          <w:rFonts w:ascii="Arial" w:cs="Arial" w:eastAsia="Arial" w:hAnsi="Arial"/>
          <w:sz w:val="19"/>
          <w:szCs w:val="19"/>
          <w:color w:val="131313"/>
        </w:rPr>
        <w:t xml:space="preserve"> they </w:t>
      </w:r>
      <w:r>
        <w:rPr>
          <w:rFonts w:ascii="Arial" w:cs="Arial" w:eastAsia="Arial" w:hAnsi="Arial"/>
          <w:sz w:val="19"/>
          <w:szCs w:val="19"/>
          <w:color w:val="000000"/>
        </w:rPr>
        <w:t>apply so that</w:t>
      </w:r>
      <w:r>
        <w:rPr>
          <w:rFonts w:ascii="Arial" w:cs="Arial" w:eastAsia="Arial" w:hAnsi="Arial"/>
          <w:sz w:val="19"/>
          <w:szCs w:val="19"/>
          <w:color w:val="131313"/>
        </w:rPr>
        <w:t xml:space="preserve"> the amounts </w:t>
      </w:r>
      <w:r>
        <w:rPr>
          <w:rFonts w:ascii="Arial" w:cs="Arial" w:eastAsia="Arial" w:hAnsi="Arial"/>
          <w:sz w:val="19"/>
          <w:szCs w:val="19"/>
          <w:color w:val="3B3B3B"/>
        </w:rPr>
        <w:t>att</w:t>
      </w:r>
      <w:r>
        <w:rPr>
          <w:rFonts w:ascii="Arial" w:cs="Arial" w:eastAsia="Arial" w:hAnsi="Arial"/>
          <w:sz w:val="19"/>
          <w:szCs w:val="19"/>
          <w:color w:val="131313"/>
        </w:rPr>
        <w:t xml:space="preserve">ributed </w:t>
      </w:r>
      <w:r>
        <w:rPr>
          <w:rFonts w:ascii="Arial" w:cs="Arial" w:eastAsia="Arial" w:hAnsi="Arial"/>
          <w:sz w:val="19"/>
          <w:szCs w:val="19"/>
          <w:color w:val="000000"/>
        </w:rPr>
        <w:t>to the Premises</w:t>
      </w:r>
      <w:r>
        <w:rPr>
          <w:rFonts w:ascii="Arial" w:cs="Arial" w:eastAsia="Arial" w:hAnsi="Arial"/>
          <w:sz w:val="19"/>
          <w:szCs w:val="19"/>
          <w:color w:val="131313"/>
        </w:rPr>
        <w:t xml:space="preserve"> relate </w:t>
      </w:r>
      <w:r>
        <w:rPr>
          <w:rFonts w:ascii="Arial" w:cs="Arial" w:eastAsia="Arial" w:hAnsi="Arial"/>
          <w:sz w:val="19"/>
          <w:szCs w:val="19"/>
          <w:color w:val="000000"/>
        </w:rPr>
        <w:t xml:space="preserve">in a </w:t>
      </w:r>
      <w:r>
        <w:rPr>
          <w:rFonts w:ascii="Arial" w:cs="Arial" w:eastAsia="Arial" w:hAnsi="Arial"/>
          <w:sz w:val="19"/>
          <w:szCs w:val="19"/>
          <w:color w:val="131313"/>
        </w:rPr>
        <w:t>rea</w:t>
      </w:r>
      <w:r>
        <w:rPr>
          <w:rFonts w:ascii="Arial" w:cs="Arial" w:eastAsia="Arial" w:hAnsi="Arial"/>
          <w:sz w:val="19"/>
          <w:szCs w:val="19"/>
          <w:color w:val="3B3B3B"/>
        </w:rPr>
        <w:t>so</w:t>
      </w:r>
      <w:r>
        <w:rPr>
          <w:rFonts w:ascii="Arial" w:cs="Arial" w:eastAsia="Arial" w:hAnsi="Arial"/>
          <w:sz w:val="19"/>
          <w:szCs w:val="19"/>
          <w:color w:val="131313"/>
        </w:rPr>
        <w:t>nable</w:t>
      </w:r>
      <w:r>
        <w:rPr>
          <w:rFonts w:ascii="Arial" w:cs="Arial" w:eastAsia="Arial" w:hAnsi="Arial"/>
          <w:sz w:val="19"/>
          <w:szCs w:val="19"/>
          <w:color w:val="000000"/>
        </w:rPr>
        <w:t xml:space="preserve"> manner </w:t>
      </w:r>
      <w:r>
        <w:rPr>
          <w:rFonts w:ascii="Arial" w:cs="Arial" w:eastAsia="Arial" w:hAnsi="Arial"/>
          <w:sz w:val="19"/>
          <w:szCs w:val="19"/>
          <w:color w:val="131313"/>
        </w:rPr>
        <w:t>to the time period</w:t>
      </w:r>
      <w:r>
        <w:rPr>
          <w:rFonts w:ascii="Arial" w:cs="Arial" w:eastAsia="Arial" w:hAnsi="Arial"/>
          <w:sz w:val="19"/>
          <w:szCs w:val="19"/>
          <w:color w:val="000000"/>
        </w:rPr>
        <w:t xml:space="preserve"> wherein </w:t>
      </w:r>
      <w:r>
        <w:rPr>
          <w:rFonts w:ascii="Arial" w:cs="Arial" w:eastAsia="Arial" w:hAnsi="Arial"/>
          <w:sz w:val="19"/>
          <w:szCs w:val="19"/>
          <w:color w:val="131313"/>
        </w:rPr>
        <w:t>Tenant</w:t>
      </w:r>
      <w:r>
        <w:rPr>
          <w:rFonts w:ascii="Arial" w:cs="Arial" w:eastAsia="Arial" w:hAnsi="Arial"/>
          <w:sz w:val="19"/>
          <w:szCs w:val="19"/>
          <w:color w:val="000000"/>
        </w:rPr>
        <w:t xml:space="preserve"> has an obligation </w:t>
      </w:r>
      <w:r>
        <w:rPr>
          <w:rFonts w:ascii="Arial" w:cs="Arial" w:eastAsia="Arial" w:hAnsi="Arial"/>
          <w:sz w:val="19"/>
          <w:szCs w:val="19"/>
          <w:color w:val="131313"/>
        </w:rPr>
        <w:t>to</w:t>
      </w:r>
      <w:r>
        <w:rPr>
          <w:rFonts w:ascii="Arial" w:cs="Arial" w:eastAsia="Arial" w:hAnsi="Arial"/>
          <w:sz w:val="19"/>
          <w:szCs w:val="19"/>
          <w:color w:val="000000"/>
        </w:rPr>
        <w:t xml:space="preserve"> share </w:t>
      </w:r>
      <w:r>
        <w:rPr>
          <w:rFonts w:ascii="Arial" w:cs="Arial" w:eastAsia="Arial" w:hAnsi="Arial"/>
          <w:sz w:val="19"/>
          <w:szCs w:val="19"/>
          <w:color w:val="131313"/>
        </w:rPr>
        <w:t>in Operat</w:t>
      </w:r>
      <w:r>
        <w:rPr>
          <w:rFonts w:ascii="Arial" w:cs="Arial" w:eastAsia="Arial" w:hAnsi="Arial"/>
          <w:sz w:val="19"/>
          <w:szCs w:val="19"/>
          <w:color w:val="3B3B3B"/>
        </w:rPr>
        <w:t>i</w:t>
      </w:r>
      <w:r>
        <w:rPr>
          <w:rFonts w:ascii="Arial" w:cs="Arial" w:eastAsia="Arial" w:hAnsi="Arial"/>
          <w:sz w:val="19"/>
          <w:szCs w:val="19"/>
          <w:color w:val="131313"/>
        </w:rPr>
        <w:t>ng</w:t>
      </w:r>
      <w:r>
        <w:rPr>
          <w:rFonts w:ascii="Arial" w:cs="Arial" w:eastAsia="Arial" w:hAnsi="Arial"/>
          <w:sz w:val="19"/>
          <w:szCs w:val="19"/>
          <w:color w:val="000000"/>
        </w:rPr>
        <w:t xml:space="preserve"> Expenses.</w:t>
      </w:r>
    </w:p>
    <w:p>
      <w:pPr>
        <w:spacing w:after="0" w:line="149"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 xml:space="preserve">In the event </w:t>
      </w:r>
      <w:r>
        <w:rPr>
          <w:rFonts w:ascii="Arial" w:cs="Arial" w:eastAsia="Arial" w:hAnsi="Arial"/>
          <w:sz w:val="19"/>
          <w:szCs w:val="19"/>
          <w:color w:val="131313"/>
        </w:rPr>
        <w:t>that</w:t>
      </w:r>
      <w:r>
        <w:rPr>
          <w:rFonts w:ascii="Arial" w:cs="Arial" w:eastAsia="Arial" w:hAnsi="Arial"/>
          <w:sz w:val="19"/>
          <w:szCs w:val="19"/>
          <w:color w:val="auto"/>
        </w:rPr>
        <w:t xml:space="preserve"> Tenant </w:t>
      </w:r>
      <w:r>
        <w:rPr>
          <w:rFonts w:ascii="Arial" w:cs="Arial" w:eastAsia="Arial" w:hAnsi="Arial"/>
          <w:sz w:val="19"/>
          <w:szCs w:val="19"/>
          <w:color w:val="3B3B3B"/>
        </w:rPr>
        <w:t>r</w:t>
      </w:r>
      <w:r>
        <w:rPr>
          <w:rFonts w:ascii="Arial" w:cs="Arial" w:eastAsia="Arial" w:hAnsi="Arial"/>
          <w:sz w:val="19"/>
          <w:szCs w:val="19"/>
          <w:color w:val="131313"/>
        </w:rPr>
        <w:t>easonably belie</w:t>
      </w:r>
      <w:r>
        <w:rPr>
          <w:rFonts w:ascii="Arial" w:cs="Arial" w:eastAsia="Arial" w:hAnsi="Arial"/>
          <w:sz w:val="19"/>
          <w:szCs w:val="19"/>
          <w:color w:val="3B3B3B"/>
        </w:rPr>
        <w:t>ves</w:t>
      </w:r>
      <w:r>
        <w:rPr>
          <w:rFonts w:ascii="Arial" w:cs="Arial" w:eastAsia="Arial" w:hAnsi="Arial"/>
          <w:sz w:val="19"/>
          <w:szCs w:val="19"/>
          <w:color w:val="auto"/>
        </w:rPr>
        <w:t xml:space="preserve"> </w:t>
      </w:r>
      <w:r>
        <w:rPr>
          <w:rFonts w:ascii="Arial" w:cs="Arial" w:eastAsia="Arial" w:hAnsi="Arial"/>
          <w:sz w:val="19"/>
          <w:szCs w:val="19"/>
          <w:color w:val="131313"/>
        </w:rPr>
        <w:t>it</w:t>
      </w:r>
      <w:r>
        <w:rPr>
          <w:rFonts w:ascii="Arial" w:cs="Arial" w:eastAsia="Arial" w:hAnsi="Arial"/>
          <w:sz w:val="19"/>
          <w:szCs w:val="19"/>
          <w:color w:val="auto"/>
        </w:rPr>
        <w:t xml:space="preserve"> is </w:t>
      </w:r>
      <w:r>
        <w:rPr>
          <w:rFonts w:ascii="Arial" w:cs="Arial" w:eastAsia="Arial" w:hAnsi="Arial"/>
          <w:sz w:val="19"/>
          <w:szCs w:val="19"/>
          <w:color w:val="131313"/>
        </w:rPr>
        <w:t>entitled</w:t>
      </w:r>
      <w:r>
        <w:rPr>
          <w:rFonts w:ascii="Arial" w:cs="Arial" w:eastAsia="Arial" w:hAnsi="Arial"/>
          <w:sz w:val="19"/>
          <w:szCs w:val="19"/>
          <w:color w:val="auto"/>
        </w:rPr>
        <w:t xml:space="preserve"> to </w:t>
      </w:r>
      <w:r>
        <w:rPr>
          <w:rFonts w:ascii="Arial" w:cs="Arial" w:eastAsia="Arial" w:hAnsi="Arial"/>
          <w:sz w:val="19"/>
          <w:szCs w:val="19"/>
          <w:color w:val="131313"/>
        </w:rPr>
        <w:t>reimbursements</w:t>
      </w:r>
      <w:r>
        <w:rPr>
          <w:rFonts w:ascii="Arial" w:cs="Arial" w:eastAsia="Arial" w:hAnsi="Arial"/>
          <w:sz w:val="19"/>
          <w:szCs w:val="19"/>
          <w:color w:val="auto"/>
        </w:rPr>
        <w:t xml:space="preserve"> from Landlord pursuant to </w:t>
      </w:r>
      <w:r>
        <w:rPr>
          <w:rFonts w:ascii="Arial" w:cs="Arial" w:eastAsia="Arial" w:hAnsi="Arial"/>
          <w:sz w:val="19"/>
          <w:szCs w:val="19"/>
          <w:color w:val="131313"/>
        </w:rPr>
        <w:t>the</w:t>
      </w:r>
      <w:r>
        <w:rPr>
          <w:rFonts w:ascii="Arial" w:cs="Arial" w:eastAsia="Arial" w:hAnsi="Arial"/>
          <w:sz w:val="19"/>
          <w:szCs w:val="19"/>
          <w:color w:val="auto"/>
        </w:rPr>
        <w:t xml:space="preserve"> terms of </w:t>
      </w:r>
      <w:r>
        <w:rPr>
          <w:rFonts w:ascii="Arial" w:cs="Arial" w:eastAsia="Arial" w:hAnsi="Arial"/>
          <w:sz w:val="19"/>
          <w:szCs w:val="19"/>
          <w:color w:val="131313"/>
        </w:rPr>
        <w:t>this</w:t>
      </w:r>
      <w:r>
        <w:rPr>
          <w:rFonts w:ascii="Arial" w:cs="Arial" w:eastAsia="Arial" w:hAnsi="Arial"/>
          <w:sz w:val="19"/>
          <w:szCs w:val="19"/>
          <w:color w:val="auto"/>
        </w:rPr>
        <w:t xml:space="preserve"> Lease, </w:t>
      </w:r>
      <w:r>
        <w:rPr>
          <w:rFonts w:ascii="Arial" w:cs="Arial" w:eastAsia="Arial" w:hAnsi="Arial"/>
          <w:sz w:val="19"/>
          <w:szCs w:val="19"/>
          <w:color w:val="131313"/>
        </w:rPr>
        <w:t>then,</w:t>
      </w:r>
      <w:r>
        <w:rPr>
          <w:rFonts w:ascii="Arial" w:cs="Arial" w:eastAsia="Arial" w:hAnsi="Arial"/>
          <w:sz w:val="19"/>
          <w:szCs w:val="19"/>
          <w:color w:val="auto"/>
        </w:rPr>
        <w:t xml:space="preserve"> within </w:t>
      </w:r>
      <w:r>
        <w:rPr>
          <w:rFonts w:ascii="Arial" w:cs="Arial" w:eastAsia="Arial" w:hAnsi="Arial"/>
          <w:sz w:val="19"/>
          <w:szCs w:val="19"/>
          <w:u w:val="single" w:color="auto"/>
          <w:color w:val="auto"/>
        </w:rPr>
        <w:t>[***]</w:t>
      </w:r>
      <w:r>
        <w:rPr>
          <w:rFonts w:ascii="Arial" w:cs="Arial" w:eastAsia="Arial" w:hAnsi="Arial"/>
          <w:sz w:val="19"/>
          <w:szCs w:val="19"/>
          <w:color w:val="auto"/>
        </w:rPr>
        <w:t xml:space="preserve"> days after </w:t>
      </w:r>
      <w:r>
        <w:rPr>
          <w:rFonts w:ascii="Arial" w:cs="Arial" w:eastAsia="Arial" w:hAnsi="Arial"/>
          <w:sz w:val="19"/>
          <w:szCs w:val="19"/>
          <w:color w:val="131313"/>
        </w:rPr>
        <w:t>the</w:t>
      </w:r>
      <w:r>
        <w:rPr>
          <w:rFonts w:ascii="Arial" w:cs="Arial" w:eastAsia="Arial" w:hAnsi="Arial"/>
          <w:sz w:val="19"/>
          <w:szCs w:val="19"/>
          <w:color w:val="auto"/>
        </w:rPr>
        <w:t xml:space="preserve"> end of each calendar month, </w:t>
      </w:r>
      <w:r>
        <w:rPr>
          <w:rFonts w:ascii="Arial" w:cs="Arial" w:eastAsia="Arial" w:hAnsi="Arial"/>
          <w:sz w:val="19"/>
          <w:szCs w:val="19"/>
          <w:color w:val="131313"/>
        </w:rPr>
        <w:t>Tenant</w:t>
      </w:r>
      <w:r>
        <w:rPr>
          <w:rFonts w:ascii="Arial" w:cs="Arial" w:eastAsia="Arial" w:hAnsi="Arial"/>
          <w:sz w:val="19"/>
          <w:szCs w:val="19"/>
          <w:color w:val="auto"/>
        </w:rPr>
        <w:t xml:space="preserve"> </w:t>
      </w:r>
      <w:r>
        <w:rPr>
          <w:rFonts w:ascii="Arial" w:cs="Arial" w:eastAsia="Arial" w:hAnsi="Arial"/>
          <w:sz w:val="19"/>
          <w:szCs w:val="19"/>
          <w:color w:val="3B3B3B"/>
        </w:rPr>
        <w:t>shall</w:t>
      </w:r>
      <w:r>
        <w:rPr>
          <w:rFonts w:ascii="Arial" w:cs="Arial" w:eastAsia="Arial" w:hAnsi="Arial"/>
          <w:sz w:val="19"/>
          <w:szCs w:val="19"/>
          <w:color w:val="auto"/>
        </w:rPr>
        <w:t xml:space="preserve"> submit </w:t>
      </w:r>
      <w:r>
        <w:rPr>
          <w:rFonts w:ascii="Arial" w:cs="Arial" w:eastAsia="Arial" w:hAnsi="Arial"/>
          <w:sz w:val="19"/>
          <w:szCs w:val="19"/>
          <w:color w:val="131313"/>
        </w:rPr>
        <w:t>to</w:t>
      </w:r>
      <w:r>
        <w:rPr>
          <w:rFonts w:ascii="Arial" w:cs="Arial" w:eastAsia="Arial" w:hAnsi="Arial"/>
          <w:sz w:val="19"/>
          <w:szCs w:val="19"/>
          <w:color w:val="auto"/>
        </w:rPr>
        <w:t xml:space="preserve"> Landlord </w:t>
      </w:r>
      <w:r>
        <w:rPr>
          <w:rFonts w:ascii="Arial" w:cs="Arial" w:eastAsia="Arial" w:hAnsi="Arial"/>
          <w:sz w:val="19"/>
          <w:szCs w:val="19"/>
          <w:color w:val="131313"/>
        </w:rPr>
        <w:t>an</w:t>
      </w:r>
      <w:r>
        <w:rPr>
          <w:rFonts w:ascii="Arial" w:cs="Arial" w:eastAsia="Arial" w:hAnsi="Arial"/>
          <w:sz w:val="19"/>
          <w:szCs w:val="19"/>
          <w:color w:val="auto"/>
        </w:rPr>
        <w:t xml:space="preserve"> </w:t>
      </w:r>
      <w:r>
        <w:rPr>
          <w:rFonts w:ascii="Arial" w:cs="Arial" w:eastAsia="Arial" w:hAnsi="Arial"/>
          <w:sz w:val="19"/>
          <w:szCs w:val="19"/>
          <w:color w:val="131313"/>
        </w:rPr>
        <w:t xml:space="preserve">invoice, </w:t>
      </w:r>
      <w:r>
        <w:rPr>
          <w:rFonts w:ascii="Arial" w:cs="Arial" w:eastAsia="Arial" w:hAnsi="Arial"/>
          <w:sz w:val="19"/>
          <w:szCs w:val="19"/>
          <w:color w:val="000000"/>
        </w:rPr>
        <w:t>or,</w:t>
      </w:r>
      <w:r>
        <w:rPr>
          <w:rFonts w:ascii="Arial" w:cs="Arial" w:eastAsia="Arial" w:hAnsi="Arial"/>
          <w:sz w:val="19"/>
          <w:szCs w:val="19"/>
          <w:color w:val="131313"/>
        </w:rPr>
        <w:t xml:space="preserve"> in </w:t>
      </w:r>
      <w:r>
        <w:rPr>
          <w:rFonts w:ascii="Arial" w:cs="Arial" w:eastAsia="Arial" w:hAnsi="Arial"/>
          <w:sz w:val="19"/>
          <w:szCs w:val="19"/>
          <w:color w:val="3B3B3B"/>
        </w:rPr>
        <w:t>t</w:t>
      </w:r>
      <w:r>
        <w:rPr>
          <w:rFonts w:ascii="Arial" w:cs="Arial" w:eastAsia="Arial" w:hAnsi="Arial"/>
          <w:sz w:val="19"/>
          <w:szCs w:val="19"/>
          <w:color w:val="131313"/>
        </w:rPr>
        <w:t xml:space="preserve">he </w:t>
      </w:r>
      <w:r>
        <w:rPr>
          <w:rFonts w:ascii="Arial" w:cs="Arial" w:eastAsia="Arial" w:hAnsi="Arial"/>
          <w:sz w:val="19"/>
          <w:szCs w:val="19"/>
          <w:color w:val="000000"/>
        </w:rPr>
        <w:t>event an invoice</w:t>
      </w:r>
      <w:r>
        <w:rPr>
          <w:rFonts w:ascii="Arial" w:cs="Arial" w:eastAsia="Arial" w:hAnsi="Arial"/>
          <w:sz w:val="19"/>
          <w:szCs w:val="19"/>
          <w:color w:val="131313"/>
        </w:rPr>
        <w:t xml:space="preserve"> i</w:t>
      </w:r>
      <w:r>
        <w:rPr>
          <w:rFonts w:ascii="Arial" w:cs="Arial" w:eastAsia="Arial" w:hAnsi="Arial"/>
          <w:sz w:val="19"/>
          <w:szCs w:val="19"/>
          <w:color w:val="3B3B3B"/>
        </w:rPr>
        <w:t>s</w:t>
      </w:r>
      <w:r>
        <w:rPr>
          <w:rFonts w:ascii="Arial" w:cs="Arial" w:eastAsia="Arial" w:hAnsi="Arial"/>
          <w:sz w:val="19"/>
          <w:szCs w:val="19"/>
          <w:color w:val="131313"/>
        </w:rPr>
        <w:t xml:space="preserve"> </w:t>
      </w:r>
      <w:r>
        <w:rPr>
          <w:rFonts w:ascii="Arial" w:cs="Arial" w:eastAsia="Arial" w:hAnsi="Arial"/>
          <w:sz w:val="19"/>
          <w:szCs w:val="19"/>
          <w:color w:val="000000"/>
        </w:rPr>
        <w:t>not available,</w:t>
      </w:r>
      <w:r>
        <w:rPr>
          <w:rFonts w:ascii="Arial" w:cs="Arial" w:eastAsia="Arial" w:hAnsi="Arial"/>
          <w:sz w:val="19"/>
          <w:szCs w:val="19"/>
          <w:color w:val="131313"/>
        </w:rPr>
        <w:t xml:space="preserve"> an </w:t>
      </w:r>
      <w:r>
        <w:rPr>
          <w:rFonts w:ascii="Arial" w:cs="Arial" w:eastAsia="Arial" w:hAnsi="Arial"/>
          <w:sz w:val="19"/>
          <w:szCs w:val="19"/>
          <w:color w:val="000000"/>
        </w:rPr>
        <w:t>itemized</w:t>
      </w:r>
      <w:r>
        <w:rPr>
          <w:rFonts w:ascii="Arial" w:cs="Arial" w:eastAsia="Arial" w:hAnsi="Arial"/>
          <w:sz w:val="19"/>
          <w:szCs w:val="19"/>
          <w:color w:val="131313"/>
        </w:rPr>
        <w:t xml:space="preserve"> list</w:t>
      </w:r>
      <w:r>
        <w:rPr>
          <w:rFonts w:ascii="Arial" w:cs="Arial" w:eastAsia="Arial" w:hAnsi="Arial"/>
          <w:sz w:val="19"/>
          <w:szCs w:val="19"/>
          <w:color w:val="3B3B3B"/>
        </w:rPr>
        <w:t>,</w:t>
      </w:r>
      <w:r>
        <w:rPr>
          <w:rFonts w:ascii="Arial" w:cs="Arial" w:eastAsia="Arial" w:hAnsi="Arial"/>
          <w:sz w:val="19"/>
          <w:szCs w:val="19"/>
          <w:color w:val="131313"/>
        </w:rPr>
        <w:t xml:space="preserve"> </w:t>
      </w:r>
      <w:r>
        <w:rPr>
          <w:rFonts w:ascii="Arial" w:cs="Arial" w:eastAsia="Arial" w:hAnsi="Arial"/>
          <w:sz w:val="19"/>
          <w:szCs w:val="19"/>
          <w:color w:val="000000"/>
        </w:rPr>
        <w:t>of all costs and expenses</w:t>
      </w:r>
      <w:r>
        <w:rPr>
          <w:rFonts w:ascii="Arial" w:cs="Arial" w:eastAsia="Arial" w:hAnsi="Arial"/>
          <w:sz w:val="19"/>
          <w:szCs w:val="19"/>
          <w:color w:val="131313"/>
        </w:rPr>
        <w:t xml:space="preserve"> that </w:t>
      </w:r>
      <w:r>
        <w:rPr>
          <w:rFonts w:ascii="Arial" w:cs="Arial" w:eastAsia="Arial" w:hAnsi="Arial"/>
          <w:sz w:val="19"/>
          <w:szCs w:val="19"/>
          <w:color w:val="000000"/>
        </w:rPr>
        <w:t>(a)</w:t>
      </w:r>
      <w:r>
        <w:rPr>
          <w:rFonts w:ascii="Arial" w:cs="Arial" w:eastAsia="Arial" w:hAnsi="Arial"/>
          <w:sz w:val="19"/>
          <w:szCs w:val="19"/>
          <w:color w:val="131313"/>
        </w:rPr>
        <w:t xml:space="preserve"> Tenant has </w:t>
      </w:r>
      <w:r>
        <w:rPr>
          <w:rFonts w:ascii="Arial" w:cs="Arial" w:eastAsia="Arial" w:hAnsi="Arial"/>
          <w:sz w:val="19"/>
          <w:szCs w:val="19"/>
          <w:color w:val="000000"/>
        </w:rPr>
        <w:t xml:space="preserve">incurred </w:t>
      </w:r>
      <w:r>
        <w:rPr>
          <w:rFonts w:ascii="Arial" w:cs="Arial" w:eastAsia="Arial" w:hAnsi="Arial"/>
          <w:sz w:val="19"/>
          <w:szCs w:val="19"/>
          <w:color w:val="131313"/>
        </w:rPr>
        <w:t>(e</w:t>
      </w:r>
      <w:r>
        <w:rPr>
          <w:rFonts w:ascii="Arial" w:cs="Arial" w:eastAsia="Arial" w:hAnsi="Arial"/>
          <w:sz w:val="19"/>
          <w:szCs w:val="19"/>
          <w:color w:val="3B3B3B"/>
        </w:rPr>
        <w:t>i</w:t>
      </w:r>
      <w:r>
        <w:rPr>
          <w:rFonts w:ascii="Arial" w:cs="Arial" w:eastAsia="Arial" w:hAnsi="Arial"/>
          <w:sz w:val="19"/>
          <w:szCs w:val="19"/>
          <w:color w:val="131313"/>
        </w:rPr>
        <w:t>ther internally</w:t>
      </w:r>
      <w:r>
        <w:rPr>
          <w:rFonts w:ascii="Arial" w:cs="Arial" w:eastAsia="Arial" w:hAnsi="Arial"/>
          <w:sz w:val="19"/>
          <w:szCs w:val="19"/>
          <w:color w:val="000000"/>
        </w:rPr>
        <w:t xml:space="preserve"> or </w:t>
      </w:r>
      <w:r>
        <w:rPr>
          <w:rFonts w:ascii="Arial" w:cs="Arial" w:eastAsia="Arial" w:hAnsi="Arial"/>
          <w:sz w:val="19"/>
          <w:szCs w:val="19"/>
          <w:color w:val="131313"/>
        </w:rPr>
        <w:t>by</w:t>
      </w:r>
      <w:r>
        <w:rPr>
          <w:rFonts w:ascii="Arial" w:cs="Arial" w:eastAsia="Arial" w:hAnsi="Arial"/>
          <w:sz w:val="19"/>
          <w:szCs w:val="19"/>
          <w:color w:val="000000"/>
        </w:rPr>
        <w:t xml:space="preserve"> employing third </w:t>
      </w:r>
      <w:r>
        <w:rPr>
          <w:rFonts w:ascii="Arial" w:cs="Arial" w:eastAsia="Arial" w:hAnsi="Arial"/>
          <w:sz w:val="19"/>
          <w:szCs w:val="19"/>
          <w:color w:val="131313"/>
        </w:rPr>
        <w:t>partie</w:t>
      </w:r>
      <w:r>
        <w:rPr>
          <w:rFonts w:ascii="Arial" w:cs="Arial" w:eastAsia="Arial" w:hAnsi="Arial"/>
          <w:sz w:val="19"/>
          <w:szCs w:val="19"/>
          <w:color w:val="3B3B3B"/>
        </w:rPr>
        <w:t>s)</w:t>
      </w:r>
      <w:r>
        <w:rPr>
          <w:rFonts w:ascii="Arial" w:cs="Arial" w:eastAsia="Arial" w:hAnsi="Arial"/>
          <w:sz w:val="19"/>
          <w:szCs w:val="19"/>
          <w:color w:val="000000"/>
        </w:rPr>
        <w:t xml:space="preserve"> </w:t>
      </w:r>
      <w:r>
        <w:rPr>
          <w:rFonts w:ascii="Arial" w:cs="Arial" w:eastAsia="Arial" w:hAnsi="Arial"/>
          <w:sz w:val="19"/>
          <w:szCs w:val="19"/>
          <w:color w:val="131313"/>
        </w:rPr>
        <w:t>during the prior month</w:t>
      </w:r>
      <w:r>
        <w:rPr>
          <w:rFonts w:ascii="Arial" w:cs="Arial" w:eastAsia="Arial" w:hAnsi="Arial"/>
          <w:sz w:val="19"/>
          <w:szCs w:val="19"/>
          <w:color w:val="000000"/>
        </w:rPr>
        <w:t xml:space="preserve"> and </w:t>
      </w:r>
      <w:r>
        <w:rPr>
          <w:rFonts w:ascii="Arial" w:cs="Arial" w:eastAsia="Arial" w:hAnsi="Arial"/>
          <w:sz w:val="19"/>
          <w:szCs w:val="19"/>
          <w:color w:val="131313"/>
        </w:rPr>
        <w:t>(b)</w:t>
      </w:r>
      <w:r>
        <w:rPr>
          <w:rFonts w:ascii="Arial" w:cs="Arial" w:eastAsia="Arial" w:hAnsi="Arial"/>
          <w:sz w:val="19"/>
          <w:szCs w:val="19"/>
          <w:color w:val="000000"/>
        </w:rPr>
        <w:t xml:space="preserve"> for which </w:t>
      </w:r>
      <w:r>
        <w:rPr>
          <w:rFonts w:ascii="Arial" w:cs="Arial" w:eastAsia="Arial" w:hAnsi="Arial"/>
          <w:sz w:val="19"/>
          <w:szCs w:val="19"/>
          <w:color w:val="131313"/>
        </w:rPr>
        <w:t>Tenant</w:t>
      </w:r>
      <w:r>
        <w:rPr>
          <w:rFonts w:ascii="Arial" w:cs="Arial" w:eastAsia="Arial" w:hAnsi="Arial"/>
          <w:sz w:val="19"/>
          <w:szCs w:val="19"/>
          <w:color w:val="000000"/>
        </w:rPr>
        <w:t xml:space="preserve"> reasonably </w:t>
      </w:r>
      <w:r>
        <w:rPr>
          <w:rFonts w:ascii="Arial" w:cs="Arial" w:eastAsia="Arial" w:hAnsi="Arial"/>
          <w:sz w:val="19"/>
          <w:szCs w:val="19"/>
          <w:color w:val="131313"/>
        </w:rPr>
        <w:t>believ</w:t>
      </w:r>
      <w:r>
        <w:rPr>
          <w:rFonts w:ascii="Arial" w:cs="Arial" w:eastAsia="Arial" w:hAnsi="Arial"/>
          <w:sz w:val="19"/>
          <w:szCs w:val="19"/>
          <w:color w:val="3B3B3B"/>
        </w:rPr>
        <w:t>es</w:t>
      </w:r>
      <w:r>
        <w:rPr>
          <w:rFonts w:ascii="Arial" w:cs="Arial" w:eastAsia="Arial" w:hAnsi="Arial"/>
          <w:sz w:val="19"/>
          <w:szCs w:val="19"/>
          <w:color w:val="000000"/>
        </w:rPr>
        <w:t xml:space="preserve"> </w:t>
      </w:r>
      <w:r>
        <w:rPr>
          <w:rFonts w:ascii="Arial" w:cs="Arial" w:eastAsia="Arial" w:hAnsi="Arial"/>
          <w:sz w:val="19"/>
          <w:szCs w:val="19"/>
          <w:color w:val="131313"/>
        </w:rPr>
        <w:t>it i</w:t>
      </w:r>
      <w:r>
        <w:rPr>
          <w:rFonts w:ascii="Arial" w:cs="Arial" w:eastAsia="Arial" w:hAnsi="Arial"/>
          <w:sz w:val="19"/>
          <w:szCs w:val="19"/>
          <w:color w:val="3B3B3B"/>
        </w:rPr>
        <w:t>s</w:t>
      </w:r>
      <w:r>
        <w:rPr>
          <w:rFonts w:ascii="Arial" w:cs="Arial" w:eastAsia="Arial" w:hAnsi="Arial"/>
          <w:sz w:val="19"/>
          <w:szCs w:val="19"/>
          <w:color w:val="000000"/>
        </w:rPr>
        <w:t xml:space="preserve"> entitled to </w:t>
      </w:r>
      <w:r>
        <w:rPr>
          <w:rFonts w:ascii="Arial" w:cs="Arial" w:eastAsia="Arial" w:hAnsi="Arial"/>
          <w:sz w:val="19"/>
          <w:szCs w:val="19"/>
          <w:color w:val="131313"/>
        </w:rPr>
        <w:t>reimbur</w:t>
      </w:r>
      <w:r>
        <w:rPr>
          <w:rFonts w:ascii="Arial" w:cs="Arial" w:eastAsia="Arial" w:hAnsi="Arial"/>
          <w:sz w:val="19"/>
          <w:szCs w:val="19"/>
          <w:color w:val="3B3B3B"/>
        </w:rPr>
        <w:t>semen</w:t>
      </w:r>
      <w:r>
        <w:rPr>
          <w:rFonts w:ascii="Arial" w:cs="Arial" w:eastAsia="Arial" w:hAnsi="Arial"/>
          <w:sz w:val="19"/>
          <w:szCs w:val="19"/>
          <w:color w:val="131313"/>
        </w:rPr>
        <w:t>ts</w:t>
      </w:r>
      <w:r>
        <w:rPr>
          <w:rFonts w:ascii="Arial" w:cs="Arial" w:eastAsia="Arial" w:hAnsi="Arial"/>
          <w:sz w:val="19"/>
          <w:szCs w:val="19"/>
          <w:color w:val="000000"/>
        </w:rPr>
        <w:t xml:space="preserve"> from Landlord </w:t>
      </w:r>
      <w:r>
        <w:rPr>
          <w:rFonts w:ascii="Arial" w:cs="Arial" w:eastAsia="Arial" w:hAnsi="Arial"/>
          <w:sz w:val="19"/>
          <w:szCs w:val="19"/>
          <w:color w:val="131313"/>
        </w:rPr>
        <w:t>pursuant to the term</w:t>
      </w:r>
      <w:r>
        <w:rPr>
          <w:rFonts w:ascii="Arial" w:cs="Arial" w:eastAsia="Arial" w:hAnsi="Arial"/>
          <w:sz w:val="19"/>
          <w:szCs w:val="19"/>
          <w:color w:val="3B3B3B"/>
        </w:rPr>
        <w:t>s</w:t>
      </w:r>
      <w:r>
        <w:rPr>
          <w:rFonts w:ascii="Arial" w:cs="Arial" w:eastAsia="Arial" w:hAnsi="Arial"/>
          <w:sz w:val="19"/>
          <w:szCs w:val="19"/>
          <w:color w:val="000000"/>
        </w:rPr>
        <w:t xml:space="preserve"> of this Lease.</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color w:val="auto"/>
        </w:rPr>
        <w:t xml:space="preserve">[intentionally </w:t>
      </w:r>
      <w:r>
        <w:rPr>
          <w:rFonts w:ascii="Arial" w:cs="Arial" w:eastAsia="Arial" w:hAnsi="Arial"/>
          <w:sz w:val="19"/>
          <w:szCs w:val="19"/>
          <w:color w:val="131313"/>
        </w:rPr>
        <w:t>deleted]</w:t>
      </w:r>
    </w:p>
    <w:p>
      <w:pPr>
        <w:spacing w:after="0" w:line="179" w:lineRule="exact"/>
        <w:rPr>
          <w:sz w:val="20"/>
          <w:szCs w:val="20"/>
          <w:color w:val="auto"/>
        </w:rPr>
      </w:pPr>
    </w:p>
    <w:p>
      <w:pPr>
        <w:jc w:val="both"/>
        <w:ind w:left="640" w:hanging="647"/>
        <w:spacing w:after="0" w:line="218" w:lineRule="auto"/>
        <w:tabs>
          <w:tab w:leader="none" w:pos="62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2"/>
          <w:szCs w:val="22"/>
          <w:color w:val="auto"/>
        </w:rPr>
        <w:t xml:space="preserve">So </w:t>
      </w:r>
      <w:r>
        <w:rPr>
          <w:rFonts w:ascii="Arial" w:cs="Arial" w:eastAsia="Arial" w:hAnsi="Arial"/>
          <w:sz w:val="22"/>
          <w:szCs w:val="22"/>
          <w:color w:val="131313"/>
        </w:rPr>
        <w:t>long</w:t>
      </w:r>
      <w:r>
        <w:rPr>
          <w:rFonts w:ascii="Arial" w:cs="Arial" w:eastAsia="Arial" w:hAnsi="Arial"/>
          <w:sz w:val="22"/>
          <w:szCs w:val="22"/>
          <w:color w:val="auto"/>
        </w:rPr>
        <w:t xml:space="preserve"> as </w:t>
      </w:r>
      <w:r>
        <w:rPr>
          <w:rFonts w:ascii="Arial" w:cs="Arial" w:eastAsia="Arial" w:hAnsi="Arial"/>
          <w:sz w:val="22"/>
          <w:szCs w:val="22"/>
          <w:color w:val="131313"/>
        </w:rPr>
        <w:t>Tenant has not</w:t>
      </w:r>
      <w:r>
        <w:rPr>
          <w:rFonts w:ascii="Arial" w:cs="Arial" w:eastAsia="Arial" w:hAnsi="Arial"/>
          <w:sz w:val="22"/>
          <w:szCs w:val="22"/>
          <w:color w:val="auto"/>
        </w:rPr>
        <w:t xml:space="preserve"> assigned </w:t>
      </w:r>
      <w:r>
        <w:rPr>
          <w:rFonts w:ascii="Arial" w:cs="Arial" w:eastAsia="Arial" w:hAnsi="Arial"/>
          <w:sz w:val="22"/>
          <w:szCs w:val="22"/>
          <w:color w:val="131313"/>
        </w:rPr>
        <w:t>the</w:t>
      </w:r>
      <w:r>
        <w:rPr>
          <w:rFonts w:ascii="Arial" w:cs="Arial" w:eastAsia="Arial" w:hAnsi="Arial"/>
          <w:sz w:val="22"/>
          <w:szCs w:val="22"/>
          <w:color w:val="auto"/>
        </w:rPr>
        <w:t xml:space="preserve"> </w:t>
      </w:r>
      <w:r>
        <w:rPr>
          <w:rFonts w:ascii="Arial" w:cs="Arial" w:eastAsia="Arial" w:hAnsi="Arial"/>
          <w:sz w:val="22"/>
          <w:szCs w:val="22"/>
          <w:color w:val="3B3B3B"/>
        </w:rPr>
        <w:t>Lease,</w:t>
      </w:r>
      <w:r>
        <w:rPr>
          <w:rFonts w:ascii="Arial" w:cs="Arial" w:eastAsia="Arial" w:hAnsi="Arial"/>
          <w:sz w:val="22"/>
          <w:szCs w:val="22"/>
          <w:color w:val="auto"/>
        </w:rPr>
        <w:t xml:space="preserve"> Tenant </w:t>
      </w:r>
      <w:r>
        <w:rPr>
          <w:rFonts w:ascii="Arial" w:cs="Arial" w:eastAsia="Arial" w:hAnsi="Arial"/>
          <w:sz w:val="22"/>
          <w:szCs w:val="22"/>
          <w:color w:val="3B3B3B"/>
        </w:rPr>
        <w:t>s</w:t>
      </w:r>
      <w:r>
        <w:rPr>
          <w:rFonts w:ascii="Arial" w:cs="Arial" w:eastAsia="Arial" w:hAnsi="Arial"/>
          <w:sz w:val="22"/>
          <w:szCs w:val="22"/>
          <w:color w:val="131313"/>
        </w:rPr>
        <w:t>hall have</w:t>
      </w:r>
      <w:r>
        <w:rPr>
          <w:rFonts w:ascii="Arial" w:cs="Arial" w:eastAsia="Arial" w:hAnsi="Arial"/>
          <w:sz w:val="22"/>
          <w:szCs w:val="22"/>
          <w:color w:val="auto"/>
        </w:rPr>
        <w:t xml:space="preserve"> </w:t>
      </w:r>
      <w:r>
        <w:rPr>
          <w:rFonts w:ascii="Arial" w:cs="Arial" w:eastAsia="Arial" w:hAnsi="Arial"/>
          <w:sz w:val="22"/>
          <w:szCs w:val="22"/>
          <w:color w:val="3B3B3B"/>
        </w:rPr>
        <w:t>the</w:t>
      </w:r>
      <w:r>
        <w:rPr>
          <w:rFonts w:ascii="Arial" w:cs="Arial" w:eastAsia="Arial" w:hAnsi="Arial"/>
          <w:sz w:val="22"/>
          <w:szCs w:val="22"/>
          <w:color w:val="auto"/>
        </w:rPr>
        <w:t xml:space="preserve"> exclusive right </w:t>
      </w:r>
      <w:r>
        <w:rPr>
          <w:rFonts w:ascii="Arial" w:cs="Arial" w:eastAsia="Arial" w:hAnsi="Arial"/>
          <w:sz w:val="22"/>
          <w:szCs w:val="22"/>
          <w:color w:val="131313"/>
        </w:rPr>
        <w:t>to</w:t>
      </w:r>
      <w:r>
        <w:rPr>
          <w:rFonts w:ascii="Arial" w:cs="Arial" w:eastAsia="Arial" w:hAnsi="Arial"/>
          <w:sz w:val="22"/>
          <w:szCs w:val="22"/>
          <w:color w:val="auto"/>
        </w:rPr>
        <w:t xml:space="preserve"> contest applicable taxes </w:t>
      </w:r>
      <w:r>
        <w:rPr>
          <w:rFonts w:ascii="Arial" w:cs="Arial" w:eastAsia="Arial" w:hAnsi="Arial"/>
          <w:sz w:val="22"/>
          <w:szCs w:val="22"/>
          <w:color w:val="3B3B3B"/>
        </w:rPr>
        <w:t>i</w:t>
      </w:r>
      <w:r>
        <w:rPr>
          <w:rFonts w:ascii="Arial" w:cs="Arial" w:eastAsia="Arial" w:hAnsi="Arial"/>
          <w:sz w:val="22"/>
          <w:szCs w:val="22"/>
          <w:color w:val="131313"/>
        </w:rPr>
        <w:t>ncluded</w:t>
      </w:r>
      <w:r>
        <w:rPr>
          <w:rFonts w:ascii="Arial" w:cs="Arial" w:eastAsia="Arial" w:hAnsi="Arial"/>
          <w:sz w:val="22"/>
          <w:szCs w:val="22"/>
          <w:color w:val="3B3B3B"/>
        </w:rPr>
        <w:t xml:space="preserve"> </w:t>
      </w:r>
      <w:r>
        <w:rPr>
          <w:rFonts w:ascii="Arial" w:cs="Arial" w:eastAsia="Arial" w:hAnsi="Arial"/>
          <w:sz w:val="22"/>
          <w:szCs w:val="22"/>
          <w:color w:val="000000"/>
        </w:rPr>
        <w:t>in</w:t>
      </w:r>
      <w:r>
        <w:rPr>
          <w:rFonts w:ascii="Arial" w:cs="Arial" w:eastAsia="Arial" w:hAnsi="Arial"/>
          <w:sz w:val="22"/>
          <w:szCs w:val="22"/>
          <w:color w:val="3B3B3B"/>
        </w:rPr>
        <w:t xml:space="preserve"> </w:t>
      </w:r>
      <w:r>
        <w:rPr>
          <w:rFonts w:ascii="Arial" w:cs="Arial" w:eastAsia="Arial" w:hAnsi="Arial"/>
          <w:sz w:val="22"/>
          <w:szCs w:val="22"/>
          <w:color w:val="131313"/>
        </w:rPr>
        <w:t>Operat</w:t>
      </w:r>
      <w:r>
        <w:rPr>
          <w:rFonts w:ascii="Arial" w:cs="Arial" w:eastAsia="Arial" w:hAnsi="Arial"/>
          <w:sz w:val="22"/>
          <w:szCs w:val="22"/>
          <w:color w:val="3B3B3B"/>
        </w:rPr>
        <w:t>ing Ex</w:t>
      </w:r>
      <w:r>
        <w:rPr>
          <w:rFonts w:ascii="Arial" w:cs="Arial" w:eastAsia="Arial" w:hAnsi="Arial"/>
          <w:sz w:val="22"/>
          <w:szCs w:val="22"/>
          <w:color w:val="131313"/>
        </w:rPr>
        <w:t>penses</w:t>
      </w:r>
      <w:r>
        <w:rPr>
          <w:rFonts w:ascii="Arial" w:cs="Arial" w:eastAsia="Arial" w:hAnsi="Arial"/>
          <w:sz w:val="22"/>
          <w:szCs w:val="22"/>
          <w:color w:val="3B3B3B"/>
        </w:rPr>
        <w:t xml:space="preserve">, </w:t>
      </w:r>
      <w:r>
        <w:rPr>
          <w:rFonts w:ascii="Arial" w:cs="Arial" w:eastAsia="Arial" w:hAnsi="Arial"/>
          <w:sz w:val="22"/>
          <w:szCs w:val="22"/>
          <w:color w:val="000000"/>
        </w:rPr>
        <w:t>at</w:t>
      </w:r>
      <w:r>
        <w:rPr>
          <w:rFonts w:ascii="Arial" w:cs="Arial" w:eastAsia="Arial" w:hAnsi="Arial"/>
          <w:sz w:val="22"/>
          <w:szCs w:val="22"/>
          <w:color w:val="3B3B3B"/>
        </w:rPr>
        <w:t xml:space="preserve"> </w:t>
      </w:r>
      <w:r>
        <w:rPr>
          <w:rFonts w:ascii="Arial" w:cs="Arial" w:eastAsia="Arial" w:hAnsi="Arial"/>
          <w:sz w:val="22"/>
          <w:szCs w:val="22"/>
          <w:color w:val="131313"/>
        </w:rPr>
        <w:t>Tenant’s</w:t>
      </w:r>
      <w:r>
        <w:rPr>
          <w:rFonts w:ascii="Arial" w:cs="Arial" w:eastAsia="Arial" w:hAnsi="Arial"/>
          <w:sz w:val="22"/>
          <w:szCs w:val="22"/>
          <w:color w:val="3B3B3B"/>
        </w:rPr>
        <w:t xml:space="preserve"> </w:t>
      </w:r>
      <w:r>
        <w:rPr>
          <w:rFonts w:ascii="Arial" w:cs="Arial" w:eastAsia="Arial" w:hAnsi="Arial"/>
          <w:sz w:val="22"/>
          <w:szCs w:val="22"/>
          <w:color w:val="000000"/>
        </w:rPr>
        <w:t>sole</w:t>
      </w:r>
      <w:r>
        <w:rPr>
          <w:rFonts w:ascii="Arial" w:cs="Arial" w:eastAsia="Arial" w:hAnsi="Arial"/>
          <w:sz w:val="22"/>
          <w:szCs w:val="22"/>
          <w:color w:val="3B3B3B"/>
        </w:rPr>
        <w:t xml:space="preserve"> </w:t>
      </w:r>
      <w:r>
        <w:rPr>
          <w:rFonts w:ascii="Arial" w:cs="Arial" w:eastAsia="Arial" w:hAnsi="Arial"/>
          <w:sz w:val="22"/>
          <w:szCs w:val="22"/>
          <w:color w:val="131313"/>
        </w:rPr>
        <w:t>co</w:t>
      </w:r>
      <w:r>
        <w:rPr>
          <w:rFonts w:ascii="Arial" w:cs="Arial" w:eastAsia="Arial" w:hAnsi="Arial"/>
          <w:sz w:val="22"/>
          <w:szCs w:val="22"/>
          <w:color w:val="3B3B3B"/>
        </w:rPr>
        <w:t xml:space="preserve">st </w:t>
      </w:r>
      <w:r>
        <w:rPr>
          <w:rFonts w:ascii="Arial" w:cs="Arial" w:eastAsia="Arial" w:hAnsi="Arial"/>
          <w:sz w:val="22"/>
          <w:szCs w:val="22"/>
          <w:color w:val="000000"/>
        </w:rPr>
        <w:t>and expense, and Landlord shall</w:t>
      </w:r>
      <w:r>
        <w:rPr>
          <w:rFonts w:ascii="Arial" w:cs="Arial" w:eastAsia="Arial" w:hAnsi="Arial"/>
          <w:sz w:val="22"/>
          <w:szCs w:val="22"/>
          <w:color w:val="3B3B3B"/>
        </w:rPr>
        <w:t xml:space="preserve"> </w:t>
      </w:r>
      <w:r>
        <w:rPr>
          <w:rFonts w:ascii="Arial" w:cs="Arial" w:eastAsia="Arial" w:hAnsi="Arial"/>
          <w:sz w:val="22"/>
          <w:szCs w:val="22"/>
          <w:color w:val="131313"/>
        </w:rPr>
        <w:t>reasonably</w:t>
      </w:r>
      <w:r>
        <w:rPr>
          <w:rFonts w:ascii="Arial" w:cs="Arial" w:eastAsia="Arial" w:hAnsi="Arial"/>
          <w:sz w:val="22"/>
          <w:szCs w:val="22"/>
          <w:color w:val="3B3B3B"/>
        </w:rPr>
        <w:t xml:space="preserve"> </w:t>
      </w:r>
      <w:r>
        <w:rPr>
          <w:rFonts w:ascii="Arial" w:cs="Arial" w:eastAsia="Arial" w:hAnsi="Arial"/>
          <w:sz w:val="22"/>
          <w:szCs w:val="22"/>
          <w:color w:val="000000"/>
        </w:rPr>
        <w:t>cooperate</w:t>
      </w:r>
      <w:r>
        <w:rPr>
          <w:rFonts w:ascii="Arial" w:cs="Arial" w:eastAsia="Arial" w:hAnsi="Arial"/>
          <w:sz w:val="22"/>
          <w:szCs w:val="22"/>
          <w:color w:val="3B3B3B"/>
        </w:rPr>
        <w:t xml:space="preserve"> </w:t>
      </w:r>
      <w:r>
        <w:rPr>
          <w:rFonts w:ascii="Arial" w:cs="Arial" w:eastAsia="Arial" w:hAnsi="Arial"/>
          <w:sz w:val="22"/>
          <w:szCs w:val="22"/>
          <w:color w:val="131313"/>
        </w:rPr>
        <w:t>wi</w:t>
      </w:r>
      <w:r>
        <w:rPr>
          <w:rFonts w:ascii="Arial" w:cs="Arial" w:eastAsia="Arial" w:hAnsi="Arial"/>
          <w:sz w:val="22"/>
          <w:szCs w:val="22"/>
          <w:color w:val="3B3B3B"/>
        </w:rPr>
        <w:t xml:space="preserve">th </w:t>
      </w:r>
      <w:r>
        <w:rPr>
          <w:rFonts w:ascii="Arial" w:cs="Arial" w:eastAsia="Arial" w:hAnsi="Arial"/>
          <w:sz w:val="22"/>
          <w:szCs w:val="22"/>
          <w:color w:val="000000"/>
        </w:rPr>
        <w:t xml:space="preserve">Tenant </w:t>
      </w:r>
      <w:r>
        <w:rPr>
          <w:rFonts w:ascii="Arial" w:cs="Arial" w:eastAsia="Arial" w:hAnsi="Arial"/>
          <w:sz w:val="22"/>
          <w:szCs w:val="22"/>
          <w:color w:val="131313"/>
        </w:rPr>
        <w:t>with respect to</w:t>
      </w:r>
      <w:r>
        <w:rPr>
          <w:rFonts w:ascii="Arial" w:cs="Arial" w:eastAsia="Arial" w:hAnsi="Arial"/>
          <w:sz w:val="22"/>
          <w:szCs w:val="22"/>
          <w:color w:val="000000"/>
        </w:rPr>
        <w:t xml:space="preserve"> such contest, </w:t>
      </w:r>
      <w:r>
        <w:rPr>
          <w:rFonts w:ascii="Arial" w:cs="Arial" w:eastAsia="Arial" w:hAnsi="Arial"/>
          <w:sz w:val="22"/>
          <w:szCs w:val="22"/>
          <w:color w:val="131313"/>
        </w:rPr>
        <w:t>pro</w:t>
      </w:r>
      <w:r>
        <w:rPr>
          <w:rFonts w:ascii="Arial" w:cs="Arial" w:eastAsia="Arial" w:hAnsi="Arial"/>
          <w:sz w:val="22"/>
          <w:szCs w:val="22"/>
          <w:color w:val="3B3B3B"/>
        </w:rPr>
        <w:t>vided</w:t>
      </w:r>
      <w:r>
        <w:rPr>
          <w:rFonts w:ascii="Arial" w:cs="Arial" w:eastAsia="Arial" w:hAnsi="Arial"/>
          <w:sz w:val="22"/>
          <w:szCs w:val="22"/>
          <w:color w:val="000000"/>
        </w:rPr>
        <w:t xml:space="preserve"> </w:t>
      </w:r>
      <w:r>
        <w:rPr>
          <w:rFonts w:ascii="Arial" w:cs="Arial" w:eastAsia="Arial" w:hAnsi="Arial"/>
          <w:sz w:val="22"/>
          <w:szCs w:val="22"/>
          <w:color w:val="131313"/>
        </w:rPr>
        <w:t>Landlord</w:t>
      </w:r>
      <w:r>
        <w:rPr>
          <w:rFonts w:ascii="Arial" w:cs="Arial" w:eastAsia="Arial" w:hAnsi="Arial"/>
          <w:sz w:val="22"/>
          <w:szCs w:val="22"/>
          <w:color w:val="000000"/>
        </w:rPr>
        <w:t xml:space="preserve"> </w:t>
      </w:r>
      <w:r>
        <w:rPr>
          <w:rFonts w:ascii="Arial" w:cs="Arial" w:eastAsia="Arial" w:hAnsi="Arial"/>
          <w:sz w:val="22"/>
          <w:szCs w:val="22"/>
          <w:color w:val="3B3B3B"/>
        </w:rPr>
        <w:t>s</w:t>
      </w:r>
      <w:r>
        <w:rPr>
          <w:rFonts w:ascii="Arial" w:cs="Arial" w:eastAsia="Arial" w:hAnsi="Arial"/>
          <w:sz w:val="22"/>
          <w:szCs w:val="22"/>
          <w:color w:val="131313"/>
        </w:rPr>
        <w:t>hall not</w:t>
      </w:r>
      <w:r>
        <w:rPr>
          <w:rFonts w:ascii="Arial" w:cs="Arial" w:eastAsia="Arial" w:hAnsi="Arial"/>
          <w:sz w:val="22"/>
          <w:szCs w:val="22"/>
          <w:color w:val="000000"/>
        </w:rPr>
        <w:t xml:space="preserve"> be </w:t>
      </w:r>
      <w:r>
        <w:rPr>
          <w:rFonts w:ascii="Arial" w:cs="Arial" w:eastAsia="Arial" w:hAnsi="Arial"/>
          <w:sz w:val="22"/>
          <w:szCs w:val="22"/>
          <w:color w:val="131313"/>
        </w:rPr>
        <w:t>required</w:t>
      </w:r>
      <w:r>
        <w:rPr>
          <w:rFonts w:ascii="Arial" w:cs="Arial" w:eastAsia="Arial" w:hAnsi="Arial"/>
          <w:sz w:val="22"/>
          <w:szCs w:val="22"/>
          <w:color w:val="000000"/>
        </w:rPr>
        <w:t xml:space="preserve"> to </w:t>
      </w:r>
      <w:r>
        <w:rPr>
          <w:rFonts w:ascii="Arial" w:cs="Arial" w:eastAsia="Arial" w:hAnsi="Arial"/>
          <w:sz w:val="22"/>
          <w:szCs w:val="22"/>
          <w:color w:val="131313"/>
        </w:rPr>
        <w:t>incur</w:t>
      </w:r>
      <w:r>
        <w:rPr>
          <w:rFonts w:ascii="Arial" w:cs="Arial" w:eastAsia="Arial" w:hAnsi="Arial"/>
          <w:sz w:val="22"/>
          <w:szCs w:val="22"/>
          <w:color w:val="000000"/>
        </w:rPr>
        <w:t xml:space="preserve"> any costs or </w:t>
      </w:r>
      <w:r>
        <w:rPr>
          <w:rFonts w:ascii="Arial" w:cs="Arial" w:eastAsia="Arial" w:hAnsi="Arial"/>
          <w:sz w:val="22"/>
          <w:szCs w:val="22"/>
          <w:color w:val="131313"/>
        </w:rPr>
        <w:t>liabilit</w:t>
      </w:r>
      <w:r>
        <w:rPr>
          <w:rFonts w:ascii="Arial" w:cs="Arial" w:eastAsia="Arial" w:hAnsi="Arial"/>
          <w:sz w:val="22"/>
          <w:szCs w:val="22"/>
          <w:color w:val="3B3B3B"/>
        </w:rPr>
        <w:t>y</w:t>
      </w:r>
      <w:r>
        <w:rPr>
          <w:rFonts w:ascii="Arial" w:cs="Arial" w:eastAsia="Arial" w:hAnsi="Arial"/>
          <w:sz w:val="22"/>
          <w:szCs w:val="22"/>
          <w:color w:val="000000"/>
        </w:rPr>
        <w:t xml:space="preserve"> in connection with </w:t>
      </w:r>
      <w:r>
        <w:rPr>
          <w:rFonts w:ascii="Arial" w:cs="Arial" w:eastAsia="Arial" w:hAnsi="Arial"/>
          <w:sz w:val="22"/>
          <w:szCs w:val="22"/>
          <w:color w:val="131313"/>
        </w:rPr>
        <w:t>the</w:t>
      </w:r>
      <w:r>
        <w:rPr>
          <w:rFonts w:ascii="Arial" w:cs="Arial" w:eastAsia="Arial" w:hAnsi="Arial"/>
          <w:sz w:val="22"/>
          <w:szCs w:val="22"/>
          <w:color w:val="000000"/>
        </w:rPr>
        <w:t xml:space="preserve"> same.</w:t>
      </w:r>
    </w:p>
    <w:p>
      <w:pPr>
        <w:spacing w:after="0" w:line="161"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color w:val="auto"/>
        </w:rPr>
        <w:t xml:space="preserve">In </w:t>
      </w:r>
      <w:r>
        <w:rPr>
          <w:rFonts w:ascii="Arial" w:cs="Arial" w:eastAsia="Arial" w:hAnsi="Arial"/>
          <w:sz w:val="19"/>
          <w:szCs w:val="19"/>
          <w:color w:val="131313"/>
        </w:rPr>
        <w:t>the</w:t>
      </w:r>
      <w:r>
        <w:rPr>
          <w:rFonts w:ascii="Arial" w:cs="Arial" w:eastAsia="Arial" w:hAnsi="Arial"/>
          <w:sz w:val="19"/>
          <w:szCs w:val="19"/>
          <w:color w:val="auto"/>
        </w:rPr>
        <w:t xml:space="preserve"> event </w:t>
      </w:r>
      <w:r>
        <w:rPr>
          <w:rFonts w:ascii="Arial" w:cs="Arial" w:eastAsia="Arial" w:hAnsi="Arial"/>
          <w:sz w:val="19"/>
          <w:szCs w:val="19"/>
          <w:color w:val="131313"/>
        </w:rPr>
        <w:t>that</w:t>
      </w:r>
      <w:r>
        <w:rPr>
          <w:rFonts w:ascii="Arial" w:cs="Arial" w:eastAsia="Arial" w:hAnsi="Arial"/>
          <w:sz w:val="19"/>
          <w:szCs w:val="19"/>
          <w:color w:val="auto"/>
        </w:rPr>
        <w:t xml:space="preserve"> Tenant delivers a Turnover Notice </w:t>
      </w:r>
      <w:r>
        <w:rPr>
          <w:rFonts w:ascii="Arial" w:cs="Arial" w:eastAsia="Arial" w:hAnsi="Arial"/>
          <w:sz w:val="19"/>
          <w:szCs w:val="19"/>
          <w:color w:val="131313"/>
        </w:rPr>
        <w:t>(as defined below)</w:t>
      </w:r>
      <w:r>
        <w:rPr>
          <w:rFonts w:ascii="Arial" w:cs="Arial" w:eastAsia="Arial" w:hAnsi="Arial"/>
          <w:sz w:val="19"/>
          <w:szCs w:val="19"/>
          <w:color w:val="3B3B3B"/>
        </w:rPr>
        <w:t>,</w:t>
      </w:r>
      <w:r>
        <w:rPr>
          <w:rFonts w:ascii="Arial" w:cs="Arial" w:eastAsia="Arial" w:hAnsi="Arial"/>
          <w:sz w:val="19"/>
          <w:szCs w:val="19"/>
          <w:color w:val="auto"/>
        </w:rPr>
        <w:t xml:space="preserve"> for each year following </w:t>
      </w:r>
      <w:r>
        <w:rPr>
          <w:rFonts w:ascii="Arial" w:cs="Arial" w:eastAsia="Arial" w:hAnsi="Arial"/>
          <w:sz w:val="19"/>
          <w:szCs w:val="19"/>
          <w:color w:val="131313"/>
        </w:rPr>
        <w:t>the</w:t>
      </w:r>
      <w:r>
        <w:rPr>
          <w:rFonts w:ascii="Arial" w:cs="Arial" w:eastAsia="Arial" w:hAnsi="Arial"/>
          <w:sz w:val="19"/>
          <w:szCs w:val="19"/>
          <w:color w:val="auto"/>
        </w:rPr>
        <w:t xml:space="preserve"> Turnover </w:t>
      </w:r>
      <w:r>
        <w:rPr>
          <w:rFonts w:ascii="Arial" w:cs="Arial" w:eastAsia="Arial" w:hAnsi="Arial"/>
          <w:sz w:val="19"/>
          <w:szCs w:val="19"/>
          <w:color w:val="131313"/>
        </w:rPr>
        <w:t>Date</w:t>
      </w:r>
      <w:r>
        <w:rPr>
          <w:rFonts w:ascii="Arial" w:cs="Arial" w:eastAsia="Arial" w:hAnsi="Arial"/>
          <w:sz w:val="19"/>
          <w:szCs w:val="19"/>
          <w:color w:val="auto"/>
        </w:rPr>
        <w:t xml:space="preserve"> </w:t>
      </w:r>
      <w:r>
        <w:rPr>
          <w:rFonts w:ascii="Arial" w:cs="Arial" w:eastAsia="Arial" w:hAnsi="Arial"/>
          <w:sz w:val="19"/>
          <w:szCs w:val="19"/>
          <w:color w:val="131313"/>
        </w:rPr>
        <w:t>(a</w:t>
      </w:r>
      <w:r>
        <w:rPr>
          <w:rFonts w:ascii="Arial" w:cs="Arial" w:eastAsia="Arial" w:hAnsi="Arial"/>
          <w:sz w:val="19"/>
          <w:szCs w:val="19"/>
          <w:color w:val="3B3B3B"/>
        </w:rPr>
        <w:t>s</w:t>
      </w:r>
      <w:r>
        <w:rPr>
          <w:rFonts w:ascii="Arial" w:cs="Arial" w:eastAsia="Arial" w:hAnsi="Arial"/>
          <w:sz w:val="19"/>
          <w:szCs w:val="19"/>
          <w:color w:val="131313"/>
        </w:rPr>
        <w:t xml:space="preserve"> </w:t>
      </w:r>
      <w:r>
        <w:rPr>
          <w:rFonts w:ascii="Arial" w:cs="Arial" w:eastAsia="Arial" w:hAnsi="Arial"/>
          <w:sz w:val="19"/>
          <w:szCs w:val="19"/>
          <w:color w:val="000000"/>
        </w:rPr>
        <w:t>defined</w:t>
      </w:r>
      <w:r>
        <w:rPr>
          <w:rFonts w:ascii="Arial" w:cs="Arial" w:eastAsia="Arial" w:hAnsi="Arial"/>
          <w:sz w:val="19"/>
          <w:szCs w:val="19"/>
          <w:color w:val="131313"/>
        </w:rPr>
        <w:t xml:space="preserve"> below)</w:t>
      </w:r>
      <w:r>
        <w:rPr>
          <w:rFonts w:ascii="Arial" w:cs="Arial" w:eastAsia="Arial" w:hAnsi="Arial"/>
          <w:sz w:val="19"/>
          <w:szCs w:val="19"/>
          <w:color w:val="3B3B3B"/>
        </w:rPr>
        <w:t>,</w:t>
      </w:r>
      <w:r>
        <w:rPr>
          <w:rFonts w:ascii="Arial" w:cs="Arial" w:eastAsia="Arial" w:hAnsi="Arial"/>
          <w:sz w:val="19"/>
          <w:szCs w:val="19"/>
          <w:color w:val="131313"/>
        </w:rPr>
        <w:t xml:space="preserve"> </w:t>
      </w:r>
      <w:r>
        <w:rPr>
          <w:rFonts w:ascii="Arial" w:cs="Arial" w:eastAsia="Arial" w:hAnsi="Arial"/>
          <w:sz w:val="19"/>
          <w:szCs w:val="19"/>
          <w:color w:val="000000"/>
        </w:rPr>
        <w:t>Landlord shall deliver</w:t>
      </w:r>
      <w:r>
        <w:rPr>
          <w:rFonts w:ascii="Arial" w:cs="Arial" w:eastAsia="Arial" w:hAnsi="Arial"/>
          <w:sz w:val="19"/>
          <w:szCs w:val="19"/>
          <w:color w:val="131313"/>
        </w:rPr>
        <w:t xml:space="preserve"> to Tenant </w:t>
      </w:r>
      <w:r>
        <w:rPr>
          <w:rFonts w:ascii="Arial" w:cs="Arial" w:eastAsia="Arial" w:hAnsi="Arial"/>
          <w:sz w:val="19"/>
          <w:szCs w:val="19"/>
          <w:color w:val="000000"/>
        </w:rPr>
        <w:t>a</w:t>
      </w:r>
      <w:r>
        <w:rPr>
          <w:rFonts w:ascii="Arial" w:cs="Arial" w:eastAsia="Arial" w:hAnsi="Arial"/>
          <w:sz w:val="19"/>
          <w:szCs w:val="19"/>
          <w:color w:val="131313"/>
        </w:rPr>
        <w:t xml:space="preserve"> reasonab</w:t>
      </w:r>
      <w:r>
        <w:rPr>
          <w:rFonts w:ascii="Arial" w:cs="Arial" w:eastAsia="Arial" w:hAnsi="Arial"/>
          <w:sz w:val="19"/>
          <w:szCs w:val="19"/>
          <w:color w:val="3B3B3B"/>
        </w:rPr>
        <w:t>ly</w:t>
      </w:r>
      <w:r>
        <w:rPr>
          <w:rFonts w:ascii="Arial" w:cs="Arial" w:eastAsia="Arial" w:hAnsi="Arial"/>
          <w:sz w:val="19"/>
          <w:szCs w:val="19"/>
          <w:color w:val="131313"/>
        </w:rPr>
        <w:t xml:space="preserve"> item</w:t>
      </w:r>
      <w:r>
        <w:rPr>
          <w:rFonts w:ascii="Arial" w:cs="Arial" w:eastAsia="Arial" w:hAnsi="Arial"/>
          <w:sz w:val="19"/>
          <w:szCs w:val="19"/>
          <w:color w:val="3B3B3B"/>
        </w:rPr>
        <w:t>ized</w:t>
      </w:r>
      <w:r>
        <w:rPr>
          <w:rFonts w:ascii="Arial" w:cs="Arial" w:eastAsia="Arial" w:hAnsi="Arial"/>
          <w:sz w:val="19"/>
          <w:szCs w:val="19"/>
          <w:color w:val="131313"/>
        </w:rPr>
        <w:t xml:space="preserve"> budget </w:t>
      </w:r>
      <w:r>
        <w:rPr>
          <w:rFonts w:ascii="Arial" w:cs="Arial" w:eastAsia="Arial" w:hAnsi="Arial"/>
          <w:sz w:val="19"/>
          <w:szCs w:val="19"/>
          <w:color w:val="000000"/>
        </w:rPr>
        <w:t>for</w:t>
      </w:r>
      <w:r>
        <w:rPr>
          <w:rFonts w:ascii="Arial" w:cs="Arial" w:eastAsia="Arial" w:hAnsi="Arial"/>
          <w:sz w:val="19"/>
          <w:szCs w:val="19"/>
          <w:color w:val="131313"/>
        </w:rPr>
        <w:t xml:space="preserve"> the Building and for th</w:t>
      </w:r>
      <w:r>
        <w:rPr>
          <w:rFonts w:ascii="Arial" w:cs="Arial" w:eastAsia="Arial" w:hAnsi="Arial"/>
          <w:sz w:val="19"/>
          <w:szCs w:val="19"/>
          <w:color w:val="3B3B3B"/>
        </w:rPr>
        <w:t>e</w:t>
      </w:r>
      <w:r>
        <w:rPr>
          <w:rFonts w:ascii="Arial" w:cs="Arial" w:eastAsia="Arial" w:hAnsi="Arial"/>
          <w:sz w:val="19"/>
          <w:szCs w:val="19"/>
          <w:color w:val="131313"/>
        </w:rPr>
        <w:t xml:space="preserve"> </w:t>
      </w:r>
      <w:r>
        <w:rPr>
          <w:rFonts w:ascii="Arial" w:cs="Arial" w:eastAsia="Arial" w:hAnsi="Arial"/>
          <w:sz w:val="19"/>
          <w:szCs w:val="19"/>
          <w:color w:val="000000"/>
        </w:rPr>
        <w:t>Common Areas (the “</w:t>
      </w:r>
      <w:r>
        <w:rPr>
          <w:rFonts w:ascii="Arial" w:cs="Arial" w:eastAsia="Arial" w:hAnsi="Arial"/>
          <w:sz w:val="19"/>
          <w:szCs w:val="19"/>
          <w:u w:val="single" w:color="auto"/>
          <w:color w:val="000000"/>
        </w:rPr>
        <w:t>Operating Budget</w:t>
      </w:r>
      <w:r>
        <w:rPr>
          <w:rFonts w:ascii="Arial" w:cs="Arial" w:eastAsia="Arial" w:hAnsi="Arial"/>
          <w:sz w:val="19"/>
          <w:szCs w:val="19"/>
          <w:color w:val="000000"/>
        </w:rPr>
        <w:t xml:space="preserve">”) </w:t>
      </w:r>
      <w:r>
        <w:rPr>
          <w:rFonts w:ascii="Arial" w:cs="Arial" w:eastAsia="Arial" w:hAnsi="Arial"/>
          <w:sz w:val="19"/>
          <w:szCs w:val="19"/>
          <w:color w:val="131313"/>
        </w:rPr>
        <w:t>setting</w:t>
      </w:r>
      <w:r>
        <w:rPr>
          <w:rFonts w:ascii="Arial" w:cs="Arial" w:eastAsia="Arial" w:hAnsi="Arial"/>
          <w:sz w:val="19"/>
          <w:szCs w:val="19"/>
          <w:color w:val="000000"/>
        </w:rPr>
        <w:t xml:space="preserve"> forth Landlord’s good </w:t>
      </w:r>
      <w:r>
        <w:rPr>
          <w:rFonts w:ascii="Arial" w:cs="Arial" w:eastAsia="Arial" w:hAnsi="Arial"/>
          <w:sz w:val="19"/>
          <w:szCs w:val="19"/>
          <w:color w:val="3B3B3B"/>
        </w:rPr>
        <w:t>fa</w:t>
      </w:r>
      <w:r>
        <w:rPr>
          <w:rFonts w:ascii="Arial" w:cs="Arial" w:eastAsia="Arial" w:hAnsi="Arial"/>
          <w:sz w:val="19"/>
          <w:szCs w:val="19"/>
          <w:color w:val="131313"/>
        </w:rPr>
        <w:t>ith reasonable</w:t>
      </w:r>
      <w:r>
        <w:rPr>
          <w:rFonts w:ascii="Arial" w:cs="Arial" w:eastAsia="Arial" w:hAnsi="Arial"/>
          <w:sz w:val="19"/>
          <w:szCs w:val="19"/>
          <w:color w:val="000000"/>
        </w:rPr>
        <w:t xml:space="preserve"> estimate of the Operating </w:t>
      </w:r>
      <w:r>
        <w:rPr>
          <w:rFonts w:ascii="Arial" w:cs="Arial" w:eastAsia="Arial" w:hAnsi="Arial"/>
          <w:sz w:val="19"/>
          <w:szCs w:val="19"/>
          <w:color w:val="3B3B3B"/>
        </w:rPr>
        <w:t>E</w:t>
      </w:r>
      <w:r>
        <w:rPr>
          <w:rFonts w:ascii="Arial" w:cs="Arial" w:eastAsia="Arial" w:hAnsi="Arial"/>
          <w:sz w:val="19"/>
          <w:szCs w:val="19"/>
          <w:color w:val="131313"/>
        </w:rPr>
        <w:t>xpenses for</w:t>
      </w:r>
      <w:r>
        <w:rPr>
          <w:rFonts w:ascii="Arial" w:cs="Arial" w:eastAsia="Arial" w:hAnsi="Arial"/>
          <w:sz w:val="19"/>
          <w:szCs w:val="19"/>
          <w:color w:val="3B3B3B"/>
        </w:rPr>
        <w:t xml:space="preserve"> </w:t>
      </w:r>
      <w:r>
        <w:rPr>
          <w:rFonts w:ascii="Arial" w:cs="Arial" w:eastAsia="Arial" w:hAnsi="Arial"/>
          <w:sz w:val="19"/>
          <w:szCs w:val="19"/>
          <w:color w:val="000000"/>
        </w:rPr>
        <w:t>the following partial or</w:t>
      </w:r>
      <w:r>
        <w:rPr>
          <w:rFonts w:ascii="Arial" w:cs="Arial" w:eastAsia="Arial" w:hAnsi="Arial"/>
          <w:sz w:val="19"/>
          <w:szCs w:val="19"/>
          <w:color w:val="3B3B3B"/>
        </w:rPr>
        <w:t xml:space="preserve"> </w:t>
      </w:r>
      <w:r>
        <w:rPr>
          <w:rFonts w:ascii="Arial" w:cs="Arial" w:eastAsia="Arial" w:hAnsi="Arial"/>
          <w:sz w:val="19"/>
          <w:szCs w:val="19"/>
          <w:color w:val="131313"/>
        </w:rPr>
        <w:t>full</w:t>
      </w:r>
      <w:r>
        <w:rPr>
          <w:rFonts w:ascii="Arial" w:cs="Arial" w:eastAsia="Arial" w:hAnsi="Arial"/>
          <w:sz w:val="19"/>
          <w:szCs w:val="19"/>
          <w:color w:val="3B3B3B"/>
        </w:rPr>
        <w:t xml:space="preserve"> </w:t>
      </w:r>
      <w:r>
        <w:rPr>
          <w:rFonts w:ascii="Arial" w:cs="Arial" w:eastAsia="Arial" w:hAnsi="Arial"/>
          <w:sz w:val="19"/>
          <w:szCs w:val="19"/>
          <w:color w:val="000000"/>
        </w:rPr>
        <w:t>calendar year, respectively, it</w:t>
      </w:r>
      <w:r>
        <w:rPr>
          <w:rFonts w:ascii="Arial" w:cs="Arial" w:eastAsia="Arial" w:hAnsi="Arial"/>
          <w:sz w:val="19"/>
          <w:szCs w:val="19"/>
          <w:color w:val="3B3B3B"/>
        </w:rPr>
        <w:t xml:space="preserve"> </w:t>
      </w:r>
      <w:r>
        <w:rPr>
          <w:rFonts w:ascii="Arial" w:cs="Arial" w:eastAsia="Arial" w:hAnsi="Arial"/>
          <w:sz w:val="19"/>
          <w:szCs w:val="19"/>
          <w:color w:val="131313"/>
        </w:rPr>
        <w:t>being</w:t>
      </w:r>
      <w:r>
        <w:rPr>
          <w:rFonts w:ascii="Arial" w:cs="Arial" w:eastAsia="Arial" w:hAnsi="Arial"/>
          <w:sz w:val="19"/>
          <w:szCs w:val="19"/>
          <w:color w:val="3B3B3B"/>
        </w:rPr>
        <w:t xml:space="preserve"> </w:t>
      </w:r>
      <w:r>
        <w:rPr>
          <w:rFonts w:ascii="Arial" w:cs="Arial" w:eastAsia="Arial" w:hAnsi="Arial"/>
          <w:sz w:val="19"/>
          <w:szCs w:val="19"/>
          <w:color w:val="000000"/>
        </w:rPr>
        <w:t>agreed that</w:t>
      </w:r>
      <w:r>
        <w:rPr>
          <w:rFonts w:ascii="Arial" w:cs="Arial" w:eastAsia="Arial" w:hAnsi="Arial"/>
          <w:sz w:val="19"/>
          <w:szCs w:val="19"/>
          <w:color w:val="3B3B3B"/>
        </w:rPr>
        <w:t xml:space="preserve"> </w:t>
      </w:r>
      <w:r>
        <w:rPr>
          <w:rFonts w:ascii="Arial" w:cs="Arial" w:eastAsia="Arial" w:hAnsi="Arial"/>
          <w:sz w:val="19"/>
          <w:szCs w:val="19"/>
          <w:color w:val="131313"/>
        </w:rPr>
        <w:t>Land</w:t>
      </w:r>
      <w:r>
        <w:rPr>
          <w:rFonts w:ascii="Arial" w:cs="Arial" w:eastAsia="Arial" w:hAnsi="Arial"/>
          <w:sz w:val="19"/>
          <w:szCs w:val="19"/>
          <w:color w:val="3B3B3B"/>
        </w:rPr>
        <w:t>lo</w:t>
      </w:r>
      <w:r>
        <w:rPr>
          <w:rFonts w:ascii="Arial" w:cs="Arial" w:eastAsia="Arial" w:hAnsi="Arial"/>
          <w:sz w:val="19"/>
          <w:szCs w:val="19"/>
          <w:color w:val="131313"/>
        </w:rPr>
        <w:t>rd</w:t>
      </w:r>
      <w:r>
        <w:rPr>
          <w:rFonts w:ascii="Arial" w:cs="Arial" w:eastAsia="Arial" w:hAnsi="Arial"/>
          <w:sz w:val="19"/>
          <w:szCs w:val="19"/>
          <w:color w:val="3B3B3B"/>
        </w:rPr>
        <w:t xml:space="preserve"> s</w:t>
      </w:r>
      <w:r>
        <w:rPr>
          <w:rFonts w:ascii="Arial" w:cs="Arial" w:eastAsia="Arial" w:hAnsi="Arial"/>
          <w:sz w:val="19"/>
          <w:szCs w:val="19"/>
          <w:color w:val="131313"/>
        </w:rPr>
        <w:t>hall pro</w:t>
      </w:r>
      <w:r>
        <w:rPr>
          <w:rFonts w:ascii="Arial" w:cs="Arial" w:eastAsia="Arial" w:hAnsi="Arial"/>
          <w:sz w:val="19"/>
          <w:szCs w:val="19"/>
          <w:color w:val="3B3B3B"/>
        </w:rPr>
        <w:t xml:space="preserve">vide </w:t>
      </w:r>
      <w:r>
        <w:rPr>
          <w:rFonts w:ascii="Arial" w:cs="Arial" w:eastAsia="Arial" w:hAnsi="Arial"/>
          <w:sz w:val="19"/>
          <w:szCs w:val="19"/>
          <w:color w:val="000000"/>
        </w:rPr>
        <w:t xml:space="preserve">such estimate </w:t>
      </w:r>
      <w:r>
        <w:rPr>
          <w:rFonts w:ascii="Arial" w:cs="Arial" w:eastAsia="Arial" w:hAnsi="Arial"/>
          <w:sz w:val="19"/>
          <w:szCs w:val="19"/>
          <w:color w:val="131313"/>
        </w:rPr>
        <w:t>by</w:t>
      </w:r>
      <w:r>
        <w:rPr>
          <w:rFonts w:ascii="Arial" w:cs="Arial" w:eastAsia="Arial" w:hAnsi="Arial"/>
          <w:sz w:val="19"/>
          <w:szCs w:val="19"/>
          <w:color w:val="000000"/>
        </w:rPr>
        <w:t xml:space="preserve"> no </w:t>
      </w:r>
      <w:r>
        <w:rPr>
          <w:rFonts w:ascii="Arial" w:cs="Arial" w:eastAsia="Arial" w:hAnsi="Arial"/>
          <w:sz w:val="19"/>
          <w:szCs w:val="19"/>
          <w:color w:val="131313"/>
        </w:rPr>
        <w:t>la</w:t>
      </w:r>
      <w:r>
        <w:rPr>
          <w:rFonts w:ascii="Arial" w:cs="Arial" w:eastAsia="Arial" w:hAnsi="Arial"/>
          <w:sz w:val="19"/>
          <w:szCs w:val="19"/>
          <w:color w:val="3B3B3B"/>
        </w:rPr>
        <w:t>te</w:t>
      </w:r>
      <w:r>
        <w:rPr>
          <w:rFonts w:ascii="Arial" w:cs="Arial" w:eastAsia="Arial" w:hAnsi="Arial"/>
          <w:sz w:val="19"/>
          <w:szCs w:val="19"/>
          <w:color w:val="131313"/>
        </w:rPr>
        <w:t>r</w:t>
      </w:r>
      <w:r>
        <w:rPr>
          <w:rFonts w:ascii="Arial" w:cs="Arial" w:eastAsia="Arial" w:hAnsi="Arial"/>
          <w:sz w:val="19"/>
          <w:szCs w:val="19"/>
          <w:color w:val="000000"/>
        </w:rPr>
        <w:t xml:space="preserve"> </w:t>
      </w:r>
      <w:r>
        <w:rPr>
          <w:rFonts w:ascii="Arial" w:cs="Arial" w:eastAsia="Arial" w:hAnsi="Arial"/>
          <w:sz w:val="19"/>
          <w:szCs w:val="19"/>
          <w:color w:val="3B3B3B"/>
        </w:rPr>
        <w:t>t</w:t>
      </w:r>
      <w:r>
        <w:rPr>
          <w:rFonts w:ascii="Arial" w:cs="Arial" w:eastAsia="Arial" w:hAnsi="Arial"/>
          <w:sz w:val="19"/>
          <w:szCs w:val="19"/>
          <w:color w:val="131313"/>
        </w:rPr>
        <w:t>han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prior </w:t>
      </w:r>
      <w:r>
        <w:rPr>
          <w:rFonts w:ascii="Arial" w:cs="Arial" w:eastAsia="Arial" w:hAnsi="Arial"/>
          <w:sz w:val="19"/>
          <w:szCs w:val="19"/>
          <w:color w:val="131313"/>
        </w:rPr>
        <w:t>to</w:t>
      </w:r>
      <w:r>
        <w:rPr>
          <w:rFonts w:ascii="Arial" w:cs="Arial" w:eastAsia="Arial" w:hAnsi="Arial"/>
          <w:sz w:val="19"/>
          <w:szCs w:val="19"/>
          <w:color w:val="000000"/>
        </w:rPr>
        <w:t xml:space="preserve"> </w:t>
      </w:r>
      <w:r>
        <w:rPr>
          <w:rFonts w:ascii="Arial" w:cs="Arial" w:eastAsia="Arial" w:hAnsi="Arial"/>
          <w:sz w:val="19"/>
          <w:szCs w:val="19"/>
          <w:color w:val="3B3B3B"/>
        </w:rPr>
        <w:t>the</w:t>
      </w:r>
      <w:r>
        <w:rPr>
          <w:rFonts w:ascii="Arial" w:cs="Arial" w:eastAsia="Arial" w:hAnsi="Arial"/>
          <w:sz w:val="19"/>
          <w:szCs w:val="19"/>
          <w:color w:val="000000"/>
        </w:rPr>
        <w:t xml:space="preserve"> calendar year. Upon </w:t>
      </w:r>
      <w:r>
        <w:rPr>
          <w:rFonts w:ascii="Arial" w:cs="Arial" w:eastAsia="Arial" w:hAnsi="Arial"/>
          <w:sz w:val="19"/>
          <w:szCs w:val="19"/>
          <w:color w:val="131313"/>
        </w:rPr>
        <w:t>Tenant’</w:t>
      </w:r>
      <w:r>
        <w:rPr>
          <w:rFonts w:ascii="Arial" w:cs="Arial" w:eastAsia="Arial" w:hAnsi="Arial"/>
          <w:sz w:val="19"/>
          <w:szCs w:val="19"/>
          <w:color w:val="3B3B3B"/>
        </w:rPr>
        <w:t>s</w:t>
      </w:r>
      <w:r>
        <w:rPr>
          <w:rFonts w:ascii="Arial" w:cs="Arial" w:eastAsia="Arial" w:hAnsi="Arial"/>
          <w:sz w:val="19"/>
          <w:szCs w:val="19"/>
          <w:color w:val="000000"/>
        </w:rPr>
        <w:t xml:space="preserve"> </w:t>
      </w:r>
      <w:r>
        <w:rPr>
          <w:rFonts w:ascii="Arial" w:cs="Arial" w:eastAsia="Arial" w:hAnsi="Arial"/>
          <w:sz w:val="19"/>
          <w:szCs w:val="19"/>
          <w:color w:val="131313"/>
        </w:rPr>
        <w:t>reque</w:t>
      </w:r>
      <w:r>
        <w:rPr>
          <w:rFonts w:ascii="Arial" w:cs="Arial" w:eastAsia="Arial" w:hAnsi="Arial"/>
          <w:sz w:val="19"/>
          <w:szCs w:val="19"/>
          <w:color w:val="3B3B3B"/>
        </w:rPr>
        <w:t>st</w:t>
      </w:r>
      <w:r>
        <w:rPr>
          <w:rFonts w:ascii="Arial" w:cs="Arial" w:eastAsia="Arial" w:hAnsi="Arial"/>
          <w:sz w:val="19"/>
          <w:szCs w:val="19"/>
          <w:color w:val="000000"/>
        </w:rPr>
        <w:t xml:space="preserve"> from time </w:t>
      </w:r>
      <w:r>
        <w:rPr>
          <w:rFonts w:ascii="Arial" w:cs="Arial" w:eastAsia="Arial" w:hAnsi="Arial"/>
          <w:sz w:val="19"/>
          <w:szCs w:val="19"/>
          <w:color w:val="131313"/>
        </w:rPr>
        <w:t>to</w:t>
      </w:r>
      <w:r>
        <w:rPr>
          <w:rFonts w:ascii="Arial" w:cs="Arial" w:eastAsia="Arial" w:hAnsi="Arial"/>
          <w:sz w:val="19"/>
          <w:szCs w:val="19"/>
          <w:color w:val="000000"/>
        </w:rPr>
        <w:t xml:space="preserve"> time within </w:t>
      </w:r>
      <w:r>
        <w:rPr>
          <w:rFonts w:ascii="Arial" w:cs="Arial" w:eastAsia="Arial" w:hAnsi="Arial"/>
          <w:sz w:val="19"/>
          <w:szCs w:val="19"/>
          <w:color w:val="131313"/>
        </w:rPr>
        <w:t>the</w:t>
      </w:r>
      <w:r>
        <w:rPr>
          <w:rFonts w:ascii="Arial" w:cs="Arial" w:eastAsia="Arial" w:hAnsi="Arial"/>
          <w:sz w:val="19"/>
          <w:szCs w:val="19"/>
          <w:color w:val="000000"/>
        </w:rPr>
        <w:t xml:space="preserve"> final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131313"/>
        </w:rPr>
        <w:t>day</w:t>
      </w:r>
      <w:r>
        <w:rPr>
          <w:rFonts w:ascii="Arial" w:cs="Arial" w:eastAsia="Arial" w:hAnsi="Arial"/>
          <w:sz w:val="19"/>
          <w:szCs w:val="19"/>
          <w:color w:val="3B3B3B"/>
        </w:rPr>
        <w:t>s</w:t>
      </w:r>
      <w:r>
        <w:rPr>
          <w:rFonts w:ascii="Arial" w:cs="Arial" w:eastAsia="Arial" w:hAnsi="Arial"/>
          <w:sz w:val="19"/>
          <w:szCs w:val="19"/>
          <w:color w:val="000000"/>
        </w:rPr>
        <w:t xml:space="preserve"> </w:t>
      </w:r>
      <w:r>
        <w:rPr>
          <w:rFonts w:ascii="Arial" w:cs="Arial" w:eastAsia="Arial" w:hAnsi="Arial"/>
          <w:sz w:val="19"/>
          <w:szCs w:val="19"/>
          <w:color w:val="131313"/>
        </w:rPr>
        <w:t>of</w:t>
      </w:r>
      <w:r>
        <w:rPr>
          <w:rFonts w:ascii="Arial" w:cs="Arial" w:eastAsia="Arial" w:hAnsi="Arial"/>
          <w:sz w:val="19"/>
          <w:szCs w:val="19"/>
          <w:color w:val="000000"/>
        </w:rPr>
        <w:t xml:space="preserve"> each </w:t>
      </w:r>
      <w:r>
        <w:rPr>
          <w:rFonts w:ascii="Arial" w:cs="Arial" w:eastAsia="Arial" w:hAnsi="Arial"/>
          <w:sz w:val="19"/>
          <w:szCs w:val="19"/>
          <w:color w:val="131313"/>
        </w:rPr>
        <w:t>calendar</w:t>
      </w:r>
      <w:r>
        <w:rPr>
          <w:rFonts w:ascii="Arial" w:cs="Arial" w:eastAsia="Arial" w:hAnsi="Arial"/>
          <w:sz w:val="19"/>
          <w:szCs w:val="19"/>
          <w:color w:val="000000"/>
        </w:rPr>
        <w:t xml:space="preserve"> year, Landlord shall provide Tenant with Landlord’s </w:t>
      </w:r>
      <w:r>
        <w:rPr>
          <w:rFonts w:ascii="Arial" w:cs="Arial" w:eastAsia="Arial" w:hAnsi="Arial"/>
          <w:sz w:val="19"/>
          <w:szCs w:val="19"/>
          <w:color w:val="3B3B3B"/>
        </w:rPr>
        <w:t>t</w:t>
      </w:r>
      <w:r>
        <w:rPr>
          <w:rFonts w:ascii="Arial" w:cs="Arial" w:eastAsia="Arial" w:hAnsi="Arial"/>
          <w:sz w:val="19"/>
          <w:szCs w:val="19"/>
          <w:color w:val="131313"/>
        </w:rPr>
        <w:t>hen-current</w:t>
      </w:r>
      <w:r>
        <w:rPr>
          <w:rFonts w:ascii="Arial" w:cs="Arial" w:eastAsia="Arial" w:hAnsi="Arial"/>
          <w:sz w:val="19"/>
          <w:szCs w:val="19"/>
          <w:color w:val="000000"/>
        </w:rPr>
        <w:t xml:space="preserve"> good faith estimate </w:t>
      </w:r>
      <w:r>
        <w:rPr>
          <w:rFonts w:ascii="Arial" w:cs="Arial" w:eastAsia="Arial" w:hAnsi="Arial"/>
          <w:sz w:val="19"/>
          <w:szCs w:val="19"/>
          <w:color w:val="131313"/>
        </w:rPr>
        <w:t>(i.e., then-current working draft)</w:t>
      </w:r>
      <w:r>
        <w:rPr>
          <w:rFonts w:ascii="Arial" w:cs="Arial" w:eastAsia="Arial" w:hAnsi="Arial"/>
          <w:sz w:val="19"/>
          <w:szCs w:val="19"/>
          <w:color w:val="000000"/>
        </w:rPr>
        <w:t xml:space="preserve"> of </w:t>
      </w:r>
      <w:r>
        <w:rPr>
          <w:rFonts w:ascii="Arial" w:cs="Arial" w:eastAsia="Arial" w:hAnsi="Arial"/>
          <w:sz w:val="19"/>
          <w:szCs w:val="19"/>
          <w:color w:val="3B3B3B"/>
        </w:rPr>
        <w:t>t</w:t>
      </w:r>
      <w:r>
        <w:rPr>
          <w:rFonts w:ascii="Arial" w:cs="Arial" w:eastAsia="Arial" w:hAnsi="Arial"/>
          <w:sz w:val="19"/>
          <w:szCs w:val="19"/>
          <w:color w:val="131313"/>
        </w:rPr>
        <w:t>he</w:t>
      </w:r>
      <w:r>
        <w:rPr>
          <w:rFonts w:ascii="Arial" w:cs="Arial" w:eastAsia="Arial" w:hAnsi="Arial"/>
          <w:sz w:val="19"/>
          <w:szCs w:val="19"/>
          <w:color w:val="000000"/>
        </w:rPr>
        <w:t xml:space="preserve"> Operating </w:t>
      </w:r>
      <w:r>
        <w:rPr>
          <w:rFonts w:ascii="Arial" w:cs="Arial" w:eastAsia="Arial" w:hAnsi="Arial"/>
          <w:sz w:val="19"/>
          <w:szCs w:val="19"/>
          <w:color w:val="131313"/>
        </w:rPr>
        <w:t>Budget</w:t>
      </w:r>
      <w:r>
        <w:rPr>
          <w:rFonts w:ascii="Arial" w:cs="Arial" w:eastAsia="Arial" w:hAnsi="Arial"/>
          <w:sz w:val="19"/>
          <w:szCs w:val="19"/>
          <w:color w:val="000000"/>
        </w:rPr>
        <w:t xml:space="preserve"> for </w:t>
      </w:r>
      <w:r>
        <w:rPr>
          <w:rFonts w:ascii="Arial" w:cs="Arial" w:eastAsia="Arial" w:hAnsi="Arial"/>
          <w:sz w:val="19"/>
          <w:szCs w:val="19"/>
          <w:color w:val="131313"/>
        </w:rPr>
        <w:t>the</w:t>
      </w:r>
      <w:r>
        <w:rPr>
          <w:rFonts w:ascii="Arial" w:cs="Arial" w:eastAsia="Arial" w:hAnsi="Arial"/>
          <w:sz w:val="19"/>
          <w:szCs w:val="19"/>
          <w:color w:val="000000"/>
        </w:rPr>
        <w:t xml:space="preserve"> next following calendar year. Tenant acknowledges that </w:t>
      </w:r>
      <w:r>
        <w:rPr>
          <w:rFonts w:ascii="Arial" w:cs="Arial" w:eastAsia="Arial" w:hAnsi="Arial"/>
          <w:sz w:val="19"/>
          <w:szCs w:val="19"/>
          <w:color w:val="131313"/>
        </w:rPr>
        <w:t>the</w:t>
      </w:r>
      <w:r>
        <w:rPr>
          <w:rFonts w:ascii="Arial" w:cs="Arial" w:eastAsia="Arial" w:hAnsi="Arial"/>
          <w:sz w:val="19"/>
          <w:szCs w:val="19"/>
          <w:color w:val="000000"/>
        </w:rPr>
        <w:t xml:space="preserve"> Operating Budget </w:t>
      </w:r>
      <w:r>
        <w:rPr>
          <w:rFonts w:ascii="Arial" w:cs="Arial" w:eastAsia="Arial" w:hAnsi="Arial"/>
          <w:sz w:val="19"/>
          <w:szCs w:val="19"/>
          <w:color w:val="131313"/>
        </w:rPr>
        <w:t>i</w:t>
      </w:r>
      <w:r>
        <w:rPr>
          <w:rFonts w:ascii="Arial" w:cs="Arial" w:eastAsia="Arial" w:hAnsi="Arial"/>
          <w:sz w:val="19"/>
          <w:szCs w:val="19"/>
          <w:color w:val="3B3B3B"/>
        </w:rPr>
        <w:t>s</w:t>
      </w:r>
      <w:r>
        <w:rPr>
          <w:rFonts w:ascii="Arial" w:cs="Arial" w:eastAsia="Arial" w:hAnsi="Arial"/>
          <w:sz w:val="19"/>
          <w:szCs w:val="19"/>
          <w:color w:val="000000"/>
        </w:rPr>
        <w:t xml:space="preserve"> simply </w:t>
      </w:r>
      <w:r>
        <w:rPr>
          <w:rFonts w:ascii="Arial" w:cs="Arial" w:eastAsia="Arial" w:hAnsi="Arial"/>
          <w:sz w:val="19"/>
          <w:szCs w:val="19"/>
          <w:color w:val="131313"/>
        </w:rPr>
        <w:t>Landlord</w:t>
      </w:r>
      <w:r>
        <w:rPr>
          <w:rFonts w:ascii="Arial" w:cs="Arial" w:eastAsia="Arial" w:hAnsi="Arial"/>
          <w:sz w:val="19"/>
          <w:szCs w:val="19"/>
          <w:color w:val="3B3B3B"/>
        </w:rPr>
        <w:t>’s</w:t>
      </w:r>
      <w:r>
        <w:rPr>
          <w:rFonts w:ascii="Arial" w:cs="Arial" w:eastAsia="Arial" w:hAnsi="Arial"/>
          <w:sz w:val="19"/>
          <w:szCs w:val="19"/>
          <w:color w:val="000000"/>
        </w:rPr>
        <w:t xml:space="preserve"> good </w:t>
      </w:r>
      <w:r>
        <w:rPr>
          <w:rFonts w:ascii="Arial" w:cs="Arial" w:eastAsia="Arial" w:hAnsi="Arial"/>
          <w:sz w:val="19"/>
          <w:szCs w:val="19"/>
          <w:color w:val="131313"/>
        </w:rPr>
        <w:t>faith</w:t>
      </w:r>
      <w:r>
        <w:rPr>
          <w:rFonts w:ascii="Arial" w:cs="Arial" w:eastAsia="Arial" w:hAnsi="Arial"/>
          <w:sz w:val="19"/>
          <w:szCs w:val="19"/>
          <w:color w:val="000000"/>
        </w:rPr>
        <w:t xml:space="preserve"> estimate of </w:t>
      </w:r>
      <w:r>
        <w:rPr>
          <w:rFonts w:ascii="Arial" w:cs="Arial" w:eastAsia="Arial" w:hAnsi="Arial"/>
          <w:sz w:val="19"/>
          <w:szCs w:val="19"/>
          <w:color w:val="131313"/>
        </w:rPr>
        <w:t>Operating</w:t>
      </w:r>
      <w:r>
        <w:rPr>
          <w:rFonts w:ascii="Arial" w:cs="Arial" w:eastAsia="Arial" w:hAnsi="Arial"/>
          <w:sz w:val="19"/>
          <w:szCs w:val="19"/>
          <w:color w:val="000000"/>
        </w:rPr>
        <w:t xml:space="preserve"> </w:t>
      </w:r>
      <w:r>
        <w:rPr>
          <w:rFonts w:ascii="Arial" w:cs="Arial" w:eastAsia="Arial" w:hAnsi="Arial"/>
          <w:sz w:val="19"/>
          <w:szCs w:val="19"/>
          <w:color w:val="3B3B3B"/>
        </w:rPr>
        <w:t>Expenses</w:t>
      </w:r>
      <w:r>
        <w:rPr>
          <w:rFonts w:ascii="Arial" w:cs="Arial" w:eastAsia="Arial" w:hAnsi="Arial"/>
          <w:sz w:val="19"/>
          <w:szCs w:val="19"/>
          <w:color w:val="000000"/>
        </w:rPr>
        <w:t xml:space="preserve"> and </w:t>
      </w:r>
      <w:r>
        <w:rPr>
          <w:rFonts w:ascii="Arial" w:cs="Arial" w:eastAsia="Arial" w:hAnsi="Arial"/>
          <w:sz w:val="19"/>
          <w:szCs w:val="19"/>
          <w:color w:val="3B3B3B"/>
        </w:rPr>
        <w:t>s</w:t>
      </w:r>
      <w:r>
        <w:rPr>
          <w:rFonts w:ascii="Arial" w:cs="Arial" w:eastAsia="Arial" w:hAnsi="Arial"/>
          <w:sz w:val="19"/>
          <w:szCs w:val="19"/>
          <w:color w:val="131313"/>
        </w:rPr>
        <w:t>hall</w:t>
      </w:r>
      <w:r>
        <w:rPr>
          <w:rFonts w:ascii="Arial" w:cs="Arial" w:eastAsia="Arial" w:hAnsi="Arial"/>
          <w:sz w:val="19"/>
          <w:szCs w:val="19"/>
          <w:color w:val="000000"/>
        </w:rPr>
        <w:t xml:space="preserve"> in </w:t>
      </w:r>
      <w:r>
        <w:rPr>
          <w:rFonts w:ascii="Arial" w:cs="Arial" w:eastAsia="Arial" w:hAnsi="Arial"/>
          <w:sz w:val="19"/>
          <w:szCs w:val="19"/>
          <w:color w:val="131313"/>
        </w:rPr>
        <w:t>no</w:t>
      </w:r>
      <w:r>
        <w:rPr>
          <w:rFonts w:ascii="Arial" w:cs="Arial" w:eastAsia="Arial" w:hAnsi="Arial"/>
          <w:sz w:val="19"/>
          <w:szCs w:val="19"/>
          <w:color w:val="000000"/>
        </w:rPr>
        <w:t xml:space="preserve"> event operate </w:t>
      </w:r>
      <w:r>
        <w:rPr>
          <w:rFonts w:ascii="Arial" w:cs="Arial" w:eastAsia="Arial" w:hAnsi="Arial"/>
          <w:sz w:val="19"/>
          <w:szCs w:val="19"/>
          <w:color w:val="131313"/>
        </w:rPr>
        <w:t>to restrict</w:t>
      </w:r>
      <w:r>
        <w:rPr>
          <w:rFonts w:ascii="Arial" w:cs="Arial" w:eastAsia="Arial" w:hAnsi="Arial"/>
          <w:sz w:val="19"/>
          <w:szCs w:val="19"/>
          <w:color w:val="000000"/>
        </w:rPr>
        <w:t xml:space="preserve"> or prohibit Landlord from </w:t>
      </w:r>
      <w:r>
        <w:rPr>
          <w:rFonts w:ascii="Arial" w:cs="Arial" w:eastAsia="Arial" w:hAnsi="Arial"/>
          <w:sz w:val="19"/>
          <w:szCs w:val="19"/>
          <w:color w:val="3B3B3B"/>
        </w:rPr>
        <w:t>i</w:t>
      </w:r>
      <w:r>
        <w:rPr>
          <w:rFonts w:ascii="Arial" w:cs="Arial" w:eastAsia="Arial" w:hAnsi="Arial"/>
          <w:sz w:val="19"/>
          <w:szCs w:val="19"/>
          <w:color w:val="131313"/>
        </w:rPr>
        <w:t>ncluding</w:t>
      </w:r>
      <w:r>
        <w:rPr>
          <w:rFonts w:ascii="Arial" w:cs="Arial" w:eastAsia="Arial" w:hAnsi="Arial"/>
          <w:sz w:val="19"/>
          <w:szCs w:val="19"/>
          <w:color w:val="000000"/>
        </w:rPr>
        <w:t xml:space="preserve"> in </w:t>
      </w:r>
      <w:r>
        <w:rPr>
          <w:rFonts w:ascii="Arial" w:cs="Arial" w:eastAsia="Arial" w:hAnsi="Arial"/>
          <w:sz w:val="19"/>
          <w:szCs w:val="19"/>
          <w:color w:val="131313"/>
        </w:rPr>
        <w:t>Opera</w:t>
      </w:r>
      <w:r>
        <w:rPr>
          <w:rFonts w:ascii="Arial" w:cs="Arial" w:eastAsia="Arial" w:hAnsi="Arial"/>
          <w:sz w:val="19"/>
          <w:szCs w:val="19"/>
          <w:color w:val="3B3B3B"/>
        </w:rPr>
        <w:t>ting</w:t>
      </w:r>
      <w:r>
        <w:rPr>
          <w:rFonts w:ascii="Arial" w:cs="Arial" w:eastAsia="Arial" w:hAnsi="Arial"/>
          <w:sz w:val="19"/>
          <w:szCs w:val="19"/>
          <w:color w:val="000000"/>
        </w:rPr>
        <w:t xml:space="preserve"> Expenses amounts or categories of expenses </w:t>
      </w:r>
      <w:r>
        <w:rPr>
          <w:rFonts w:ascii="Arial" w:cs="Arial" w:eastAsia="Arial" w:hAnsi="Arial"/>
          <w:sz w:val="19"/>
          <w:szCs w:val="19"/>
          <w:color w:val="131313"/>
        </w:rPr>
        <w:t>th</w:t>
      </w:r>
      <w:r>
        <w:rPr>
          <w:rFonts w:ascii="Arial" w:cs="Arial" w:eastAsia="Arial" w:hAnsi="Arial"/>
          <w:sz w:val="19"/>
          <w:szCs w:val="19"/>
          <w:color w:val="3B3B3B"/>
        </w:rPr>
        <w:t>a</w:t>
      </w:r>
      <w:r>
        <w:rPr>
          <w:rFonts w:ascii="Arial" w:cs="Arial" w:eastAsia="Arial" w:hAnsi="Arial"/>
          <w:sz w:val="19"/>
          <w:szCs w:val="19"/>
          <w:color w:val="131313"/>
        </w:rPr>
        <w:t>t</w:t>
      </w:r>
      <w:r>
        <w:rPr>
          <w:rFonts w:ascii="Arial" w:cs="Arial" w:eastAsia="Arial" w:hAnsi="Arial"/>
          <w:sz w:val="19"/>
          <w:szCs w:val="19"/>
          <w:color w:val="000000"/>
        </w:rPr>
        <w:t xml:space="preserve"> are not </w:t>
      </w:r>
      <w:r>
        <w:rPr>
          <w:rFonts w:ascii="Arial" w:cs="Arial" w:eastAsia="Arial" w:hAnsi="Arial"/>
          <w:sz w:val="19"/>
          <w:szCs w:val="19"/>
          <w:color w:val="131313"/>
        </w:rPr>
        <w:t>reflected</w:t>
      </w:r>
      <w:r>
        <w:rPr>
          <w:rFonts w:ascii="Arial" w:cs="Arial" w:eastAsia="Arial" w:hAnsi="Arial"/>
          <w:sz w:val="19"/>
          <w:szCs w:val="19"/>
          <w:color w:val="000000"/>
        </w:rPr>
        <w:t xml:space="preserve"> on </w:t>
      </w:r>
      <w:r>
        <w:rPr>
          <w:rFonts w:ascii="Arial" w:cs="Arial" w:eastAsia="Arial" w:hAnsi="Arial"/>
          <w:sz w:val="19"/>
          <w:szCs w:val="19"/>
          <w:color w:val="3B3B3B"/>
        </w:rPr>
        <w:t>suc</w:t>
      </w:r>
      <w:r>
        <w:rPr>
          <w:rFonts w:ascii="Arial" w:cs="Arial" w:eastAsia="Arial" w:hAnsi="Arial"/>
          <w:sz w:val="19"/>
          <w:szCs w:val="19"/>
          <w:color w:val="131313"/>
        </w:rPr>
        <w:t>h</w:t>
      </w:r>
      <w:r>
        <w:rPr>
          <w:rFonts w:ascii="Arial" w:cs="Arial" w:eastAsia="Arial" w:hAnsi="Arial"/>
          <w:sz w:val="19"/>
          <w:szCs w:val="19"/>
          <w:color w:val="000000"/>
        </w:rPr>
        <w:t xml:space="preserve"> Operating </w:t>
      </w:r>
      <w:r>
        <w:rPr>
          <w:rFonts w:ascii="Arial" w:cs="Arial" w:eastAsia="Arial" w:hAnsi="Arial"/>
          <w:sz w:val="19"/>
          <w:szCs w:val="19"/>
          <w:color w:val="131313"/>
        </w:rPr>
        <w:t>Budget.</w:t>
      </w:r>
      <w:r>
        <w:rPr>
          <w:rFonts w:ascii="Arial" w:cs="Arial" w:eastAsia="Arial" w:hAnsi="Arial"/>
          <w:sz w:val="19"/>
          <w:szCs w:val="19"/>
          <w:color w:val="000000"/>
        </w:rPr>
        <w:t xml:space="preserve"> If Tenant </w:t>
      </w:r>
      <w:r>
        <w:rPr>
          <w:rFonts w:ascii="Arial" w:cs="Arial" w:eastAsia="Arial" w:hAnsi="Arial"/>
          <w:sz w:val="19"/>
          <w:szCs w:val="19"/>
          <w:color w:val="131313"/>
        </w:rPr>
        <w:t>has</w:t>
      </w:r>
      <w:r>
        <w:rPr>
          <w:rFonts w:ascii="Arial" w:cs="Arial" w:eastAsia="Arial" w:hAnsi="Arial"/>
          <w:sz w:val="19"/>
          <w:szCs w:val="19"/>
          <w:color w:val="000000"/>
        </w:rPr>
        <w:t xml:space="preserve"> any comments </w:t>
      </w:r>
      <w:r>
        <w:rPr>
          <w:rFonts w:ascii="Arial" w:cs="Arial" w:eastAsia="Arial" w:hAnsi="Arial"/>
          <w:sz w:val="19"/>
          <w:szCs w:val="19"/>
          <w:color w:val="131313"/>
        </w:rPr>
        <w:t>r</w:t>
      </w:r>
      <w:r>
        <w:rPr>
          <w:rFonts w:ascii="Arial" w:cs="Arial" w:eastAsia="Arial" w:hAnsi="Arial"/>
          <w:sz w:val="19"/>
          <w:szCs w:val="19"/>
          <w:color w:val="3B3B3B"/>
        </w:rPr>
        <w:t>egar</w:t>
      </w:r>
      <w:r>
        <w:rPr>
          <w:rFonts w:ascii="Arial" w:cs="Arial" w:eastAsia="Arial" w:hAnsi="Arial"/>
          <w:sz w:val="19"/>
          <w:szCs w:val="19"/>
          <w:color w:val="131313"/>
        </w:rPr>
        <w:t>d</w:t>
      </w:r>
      <w:r>
        <w:rPr>
          <w:rFonts w:ascii="Arial" w:cs="Arial" w:eastAsia="Arial" w:hAnsi="Arial"/>
          <w:sz w:val="19"/>
          <w:szCs w:val="19"/>
          <w:color w:val="3B3B3B"/>
        </w:rPr>
        <w:t>ing the</w:t>
      </w:r>
      <w:r>
        <w:rPr>
          <w:rFonts w:ascii="Arial" w:cs="Arial" w:eastAsia="Arial" w:hAnsi="Arial"/>
          <w:sz w:val="19"/>
          <w:szCs w:val="19"/>
          <w:color w:val="000000"/>
        </w:rPr>
        <w:t xml:space="preserve"> Operating </w:t>
      </w:r>
      <w:r>
        <w:rPr>
          <w:rFonts w:ascii="Arial" w:cs="Arial" w:eastAsia="Arial" w:hAnsi="Arial"/>
          <w:sz w:val="19"/>
          <w:szCs w:val="19"/>
          <w:color w:val="131313"/>
        </w:rPr>
        <w:t>Budget,</w:t>
      </w:r>
      <w:r>
        <w:rPr>
          <w:rFonts w:ascii="Arial" w:cs="Arial" w:eastAsia="Arial" w:hAnsi="Arial"/>
          <w:sz w:val="19"/>
          <w:szCs w:val="19"/>
          <w:color w:val="000000"/>
        </w:rPr>
        <w:t xml:space="preserve"> Tenant shall notify Landlord </w:t>
      </w:r>
      <w:r>
        <w:rPr>
          <w:rFonts w:ascii="Arial" w:cs="Arial" w:eastAsia="Arial" w:hAnsi="Arial"/>
          <w:sz w:val="19"/>
          <w:szCs w:val="19"/>
          <w:color w:val="131313"/>
        </w:rPr>
        <w:t>thereof</w:t>
      </w:r>
      <w:r>
        <w:rPr>
          <w:rFonts w:ascii="Arial" w:cs="Arial" w:eastAsia="Arial" w:hAnsi="Arial"/>
          <w:sz w:val="19"/>
          <w:szCs w:val="19"/>
          <w:color w:val="000000"/>
        </w:rPr>
        <w:t xml:space="preserve"> 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w:t>
      </w:r>
      <w:r>
        <w:rPr>
          <w:rFonts w:ascii="Arial" w:cs="Arial" w:eastAsia="Arial" w:hAnsi="Arial"/>
          <w:sz w:val="19"/>
          <w:szCs w:val="19"/>
          <w:color w:val="3B3B3B"/>
        </w:rPr>
        <w:t>a</w:t>
      </w:r>
      <w:r>
        <w:rPr>
          <w:rFonts w:ascii="Arial" w:cs="Arial" w:eastAsia="Arial" w:hAnsi="Arial"/>
          <w:sz w:val="19"/>
          <w:szCs w:val="19"/>
          <w:color w:val="131313"/>
        </w:rPr>
        <w:t>fter</w:t>
      </w:r>
      <w:r>
        <w:rPr>
          <w:rFonts w:ascii="Arial" w:cs="Arial" w:eastAsia="Arial" w:hAnsi="Arial"/>
          <w:sz w:val="19"/>
          <w:szCs w:val="19"/>
          <w:color w:val="000000"/>
        </w:rPr>
        <w:t xml:space="preserve"> Landlord’s </w:t>
      </w:r>
      <w:r>
        <w:rPr>
          <w:rFonts w:ascii="Arial" w:cs="Arial" w:eastAsia="Arial" w:hAnsi="Arial"/>
          <w:sz w:val="19"/>
          <w:szCs w:val="19"/>
          <w:color w:val="131313"/>
        </w:rPr>
        <w:t>delivery</w:t>
      </w:r>
      <w:r>
        <w:rPr>
          <w:rFonts w:ascii="Arial" w:cs="Arial" w:eastAsia="Arial" w:hAnsi="Arial"/>
          <w:sz w:val="19"/>
          <w:szCs w:val="19"/>
          <w:color w:val="000000"/>
        </w:rPr>
        <w:t xml:space="preserve"> of </w:t>
      </w:r>
      <w:r>
        <w:rPr>
          <w:rFonts w:ascii="Arial" w:cs="Arial" w:eastAsia="Arial" w:hAnsi="Arial"/>
          <w:sz w:val="19"/>
          <w:szCs w:val="19"/>
          <w:color w:val="3B3B3B"/>
        </w:rPr>
        <w:t>suc</w:t>
      </w:r>
      <w:r>
        <w:rPr>
          <w:rFonts w:ascii="Arial" w:cs="Arial" w:eastAsia="Arial" w:hAnsi="Arial"/>
          <w:sz w:val="19"/>
          <w:szCs w:val="19"/>
          <w:color w:val="131313"/>
        </w:rPr>
        <w:t>h</w:t>
      </w:r>
      <w:r>
        <w:rPr>
          <w:rFonts w:ascii="Arial" w:cs="Arial" w:eastAsia="Arial" w:hAnsi="Arial"/>
          <w:sz w:val="19"/>
          <w:szCs w:val="19"/>
          <w:color w:val="000000"/>
        </w:rPr>
        <w:t xml:space="preserve"> </w:t>
      </w:r>
      <w:r>
        <w:rPr>
          <w:rFonts w:ascii="Arial" w:cs="Arial" w:eastAsia="Arial" w:hAnsi="Arial"/>
          <w:sz w:val="19"/>
          <w:szCs w:val="19"/>
          <w:color w:val="131313"/>
        </w:rPr>
        <w:t xml:space="preserve">Operating </w:t>
      </w:r>
      <w:r>
        <w:rPr>
          <w:rFonts w:ascii="Arial" w:cs="Arial" w:eastAsia="Arial" w:hAnsi="Arial"/>
          <w:sz w:val="19"/>
          <w:szCs w:val="19"/>
          <w:color w:val="000000"/>
        </w:rPr>
        <w:t>Budget (which</w:t>
      </w:r>
      <w:r>
        <w:rPr>
          <w:rFonts w:ascii="Arial" w:cs="Arial" w:eastAsia="Arial" w:hAnsi="Arial"/>
          <w:sz w:val="19"/>
          <w:szCs w:val="19"/>
          <w:color w:val="131313"/>
        </w:rPr>
        <w:t xml:space="preserve"> no</w:t>
      </w:r>
      <w:r>
        <w:rPr>
          <w:rFonts w:ascii="Arial" w:cs="Arial" w:eastAsia="Arial" w:hAnsi="Arial"/>
          <w:sz w:val="19"/>
          <w:szCs w:val="19"/>
          <w:color w:val="3B3B3B"/>
        </w:rPr>
        <w:t>t</w:t>
      </w:r>
      <w:r>
        <w:rPr>
          <w:rFonts w:ascii="Arial" w:cs="Arial" w:eastAsia="Arial" w:hAnsi="Arial"/>
          <w:sz w:val="19"/>
          <w:szCs w:val="19"/>
          <w:color w:val="131313"/>
        </w:rPr>
        <w:t xml:space="preserve">ice </w:t>
      </w:r>
      <w:r>
        <w:rPr>
          <w:rFonts w:ascii="Arial" w:cs="Arial" w:eastAsia="Arial" w:hAnsi="Arial"/>
          <w:sz w:val="19"/>
          <w:szCs w:val="19"/>
          <w:color w:val="000000"/>
        </w:rPr>
        <w:t>shall also set</w:t>
      </w:r>
      <w:r>
        <w:rPr>
          <w:rFonts w:ascii="Arial" w:cs="Arial" w:eastAsia="Arial" w:hAnsi="Arial"/>
          <w:sz w:val="19"/>
          <w:szCs w:val="19"/>
          <w:color w:val="131313"/>
        </w:rPr>
        <w:t xml:space="preserve"> forth Tenant’s comments </w:t>
      </w:r>
      <w:r>
        <w:rPr>
          <w:rFonts w:ascii="Arial" w:cs="Arial" w:eastAsia="Arial" w:hAnsi="Arial"/>
          <w:sz w:val="19"/>
          <w:szCs w:val="19"/>
          <w:color w:val="000000"/>
        </w:rPr>
        <w:t>with reasonable particularity), with</w:t>
      </w:r>
      <w:r>
        <w:rPr>
          <w:rFonts w:ascii="Arial" w:cs="Arial" w:eastAsia="Arial" w:hAnsi="Arial"/>
          <w:sz w:val="19"/>
          <w:szCs w:val="19"/>
          <w:color w:val="131313"/>
        </w:rPr>
        <w:t xml:space="preserve"> the </w:t>
      </w:r>
      <w:r>
        <w:rPr>
          <w:rFonts w:ascii="Arial" w:cs="Arial" w:eastAsia="Arial" w:hAnsi="Arial"/>
          <w:sz w:val="19"/>
          <w:szCs w:val="19"/>
          <w:color w:val="000000"/>
        </w:rPr>
        <w:t xml:space="preserve">failure of Tenant </w:t>
      </w:r>
      <w:r>
        <w:rPr>
          <w:rFonts w:ascii="Arial" w:cs="Arial" w:eastAsia="Arial" w:hAnsi="Arial"/>
          <w:sz w:val="19"/>
          <w:szCs w:val="19"/>
          <w:color w:val="3B3B3B"/>
        </w:rPr>
        <w:t>to</w:t>
      </w:r>
      <w:r>
        <w:rPr>
          <w:rFonts w:ascii="Arial" w:cs="Arial" w:eastAsia="Arial" w:hAnsi="Arial"/>
          <w:sz w:val="19"/>
          <w:szCs w:val="19"/>
          <w:color w:val="000000"/>
        </w:rPr>
        <w:t xml:space="preserve"> do the </w:t>
      </w:r>
      <w:r>
        <w:rPr>
          <w:rFonts w:ascii="Arial" w:cs="Arial" w:eastAsia="Arial" w:hAnsi="Arial"/>
          <w:sz w:val="19"/>
          <w:szCs w:val="19"/>
          <w:color w:val="3B3B3B"/>
        </w:rPr>
        <w:t>s</w:t>
      </w:r>
      <w:r>
        <w:rPr>
          <w:rFonts w:ascii="Arial" w:cs="Arial" w:eastAsia="Arial" w:hAnsi="Arial"/>
          <w:sz w:val="19"/>
          <w:szCs w:val="19"/>
          <w:color w:val="131313"/>
        </w:rPr>
        <w:t>ame</w:t>
      </w:r>
      <w:r>
        <w:rPr>
          <w:rFonts w:ascii="Arial" w:cs="Arial" w:eastAsia="Arial" w:hAnsi="Arial"/>
          <w:sz w:val="19"/>
          <w:szCs w:val="19"/>
          <w:color w:val="000000"/>
        </w:rPr>
        <w:t xml:space="preserve"> within </w:t>
      </w:r>
      <w:r>
        <w:rPr>
          <w:rFonts w:ascii="Arial" w:cs="Arial" w:eastAsia="Arial" w:hAnsi="Arial"/>
          <w:sz w:val="19"/>
          <w:szCs w:val="19"/>
          <w:color w:val="3B3B3B"/>
        </w:rPr>
        <w:t>such</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131313"/>
        </w:rPr>
        <w:t>day</w:t>
      </w:r>
      <w:r>
        <w:rPr>
          <w:rFonts w:ascii="Arial" w:cs="Arial" w:eastAsia="Arial" w:hAnsi="Arial"/>
          <w:sz w:val="19"/>
          <w:szCs w:val="19"/>
          <w:color w:val="000000"/>
        </w:rPr>
        <w:t xml:space="preserve"> period being </w:t>
      </w:r>
      <w:r>
        <w:rPr>
          <w:rFonts w:ascii="Arial" w:cs="Arial" w:eastAsia="Arial" w:hAnsi="Arial"/>
          <w:sz w:val="19"/>
          <w:szCs w:val="19"/>
          <w:color w:val="131313"/>
        </w:rPr>
        <w:t>deemed</w:t>
      </w:r>
      <w:r>
        <w:rPr>
          <w:rFonts w:ascii="Arial" w:cs="Arial" w:eastAsia="Arial" w:hAnsi="Arial"/>
          <w:sz w:val="19"/>
          <w:szCs w:val="19"/>
          <w:color w:val="000000"/>
        </w:rPr>
        <w:t xml:space="preserve"> an approval by Tenant </w:t>
      </w:r>
      <w:r>
        <w:rPr>
          <w:rFonts w:ascii="Arial" w:cs="Arial" w:eastAsia="Arial" w:hAnsi="Arial"/>
          <w:sz w:val="19"/>
          <w:szCs w:val="19"/>
          <w:color w:val="131313"/>
        </w:rPr>
        <w:t>thereof.</w:t>
      </w:r>
      <w:r>
        <w:rPr>
          <w:rFonts w:ascii="Arial" w:cs="Arial" w:eastAsia="Arial" w:hAnsi="Arial"/>
          <w:sz w:val="19"/>
          <w:szCs w:val="19"/>
          <w:color w:val="000000"/>
        </w:rPr>
        <w:t xml:space="preserve"> Landlord and </w:t>
      </w:r>
      <w:r>
        <w:rPr>
          <w:rFonts w:ascii="Arial" w:cs="Arial" w:eastAsia="Arial" w:hAnsi="Arial"/>
          <w:sz w:val="19"/>
          <w:szCs w:val="19"/>
          <w:color w:val="131313"/>
        </w:rPr>
        <w:t>Tenant</w:t>
      </w:r>
      <w:r>
        <w:rPr>
          <w:rFonts w:ascii="Arial" w:cs="Arial" w:eastAsia="Arial" w:hAnsi="Arial"/>
          <w:sz w:val="19"/>
          <w:szCs w:val="19"/>
          <w:color w:val="000000"/>
        </w:rPr>
        <w:t xml:space="preserve"> shall </w:t>
      </w:r>
      <w:r>
        <w:rPr>
          <w:rFonts w:ascii="Arial" w:cs="Arial" w:eastAsia="Arial" w:hAnsi="Arial"/>
          <w:sz w:val="19"/>
          <w:szCs w:val="19"/>
          <w:color w:val="131313"/>
        </w:rPr>
        <w:t>discuss</w:t>
      </w:r>
      <w:r>
        <w:rPr>
          <w:rFonts w:ascii="Arial" w:cs="Arial" w:eastAsia="Arial" w:hAnsi="Arial"/>
          <w:sz w:val="19"/>
          <w:szCs w:val="19"/>
          <w:color w:val="000000"/>
        </w:rPr>
        <w:t xml:space="preserve"> the line </w:t>
      </w:r>
      <w:r>
        <w:rPr>
          <w:rFonts w:ascii="Arial" w:cs="Arial" w:eastAsia="Arial" w:hAnsi="Arial"/>
          <w:sz w:val="19"/>
          <w:szCs w:val="19"/>
          <w:color w:val="131313"/>
        </w:rPr>
        <w:t>item</w:t>
      </w:r>
      <w:r>
        <w:rPr>
          <w:rFonts w:ascii="Arial" w:cs="Arial" w:eastAsia="Arial" w:hAnsi="Arial"/>
          <w:sz w:val="19"/>
          <w:szCs w:val="19"/>
          <w:color w:val="3B3B3B"/>
        </w:rPr>
        <w:t>s</w:t>
      </w:r>
      <w:r>
        <w:rPr>
          <w:rFonts w:ascii="Arial" w:cs="Arial" w:eastAsia="Arial" w:hAnsi="Arial"/>
          <w:sz w:val="19"/>
          <w:szCs w:val="19"/>
          <w:color w:val="000000"/>
        </w:rPr>
        <w:t xml:space="preserve"> </w:t>
      </w:r>
      <w:r>
        <w:rPr>
          <w:rFonts w:ascii="Arial" w:cs="Arial" w:eastAsia="Arial" w:hAnsi="Arial"/>
          <w:sz w:val="19"/>
          <w:szCs w:val="19"/>
          <w:color w:val="131313"/>
        </w:rPr>
        <w:t>in the</w:t>
      </w:r>
      <w:r>
        <w:rPr>
          <w:rFonts w:ascii="Arial" w:cs="Arial" w:eastAsia="Arial" w:hAnsi="Arial"/>
          <w:sz w:val="19"/>
          <w:szCs w:val="19"/>
          <w:color w:val="000000"/>
        </w:rPr>
        <w:t xml:space="preserve"> Operating Budget </w:t>
      </w:r>
      <w:r>
        <w:rPr>
          <w:rFonts w:ascii="Arial" w:cs="Arial" w:eastAsia="Arial" w:hAnsi="Arial"/>
          <w:sz w:val="19"/>
          <w:szCs w:val="19"/>
          <w:color w:val="131313"/>
        </w:rPr>
        <w:t>(or items de</w:t>
      </w:r>
      <w:r>
        <w:rPr>
          <w:rFonts w:ascii="Arial" w:cs="Arial" w:eastAsia="Arial" w:hAnsi="Arial"/>
          <w:sz w:val="19"/>
          <w:szCs w:val="19"/>
          <w:color w:val="3B3B3B"/>
        </w:rPr>
        <w:t>sired</w:t>
      </w:r>
      <w:r>
        <w:rPr>
          <w:rFonts w:ascii="Arial" w:cs="Arial" w:eastAsia="Arial" w:hAnsi="Arial"/>
          <w:sz w:val="19"/>
          <w:szCs w:val="19"/>
          <w:color w:val="000000"/>
        </w:rPr>
        <w:t xml:space="preserve"> </w:t>
      </w:r>
      <w:r>
        <w:rPr>
          <w:rFonts w:ascii="Arial" w:cs="Arial" w:eastAsia="Arial" w:hAnsi="Arial"/>
          <w:sz w:val="19"/>
          <w:szCs w:val="19"/>
          <w:color w:val="131313"/>
        </w:rPr>
        <w:t>to be</w:t>
      </w:r>
      <w:r>
        <w:rPr>
          <w:rFonts w:ascii="Arial" w:cs="Arial" w:eastAsia="Arial" w:hAnsi="Arial"/>
          <w:sz w:val="19"/>
          <w:szCs w:val="19"/>
          <w:color w:val="000000"/>
        </w:rPr>
        <w:t xml:space="preserve"> added to or deleted </w:t>
      </w:r>
      <w:r>
        <w:rPr>
          <w:rFonts w:ascii="Arial" w:cs="Arial" w:eastAsia="Arial" w:hAnsi="Arial"/>
          <w:sz w:val="19"/>
          <w:szCs w:val="19"/>
          <w:color w:val="131313"/>
        </w:rPr>
        <w:t>from</w:t>
      </w:r>
      <w:r>
        <w:rPr>
          <w:rFonts w:ascii="Arial" w:cs="Arial" w:eastAsia="Arial" w:hAnsi="Arial"/>
          <w:sz w:val="19"/>
          <w:szCs w:val="19"/>
          <w:color w:val="000000"/>
        </w:rPr>
        <w:t xml:space="preserve"> such budget) with respect </w:t>
      </w:r>
      <w:r>
        <w:rPr>
          <w:rFonts w:ascii="Arial" w:cs="Arial" w:eastAsia="Arial" w:hAnsi="Arial"/>
          <w:sz w:val="19"/>
          <w:szCs w:val="19"/>
          <w:color w:val="131313"/>
        </w:rPr>
        <w:t>to</w:t>
      </w:r>
      <w:r>
        <w:rPr>
          <w:rFonts w:ascii="Arial" w:cs="Arial" w:eastAsia="Arial" w:hAnsi="Arial"/>
          <w:sz w:val="19"/>
          <w:szCs w:val="19"/>
          <w:color w:val="000000"/>
        </w:rPr>
        <w:t xml:space="preserve"> which Tenant has commented and the amounts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0"/>
          </w:cols>
          <w:pgMar w:left="980" w:top="1401" w:right="339" w:bottom="1440" w:gutter="0" w:footer="0" w:header="0"/>
        </w:sectPr>
      </w:pPr>
    </w:p>
    <w:bookmarkStart w:id="329" w:name="page330"/>
    <w:bookmarkEnd w:id="329"/>
    <w:p>
      <w:pPr>
        <w:jc w:val="both"/>
        <w:ind w:left="1300"/>
        <w:spacing w:after="0"/>
        <w:rPr>
          <w:sz w:val="20"/>
          <w:szCs w:val="20"/>
          <w:color w:val="auto"/>
        </w:rPr>
      </w:pPr>
      <w:r>
        <w:rPr>
          <w:rFonts w:ascii="Arial" w:cs="Arial" w:eastAsia="Arial" w:hAnsi="Arial"/>
          <w:sz w:val="19"/>
          <w:szCs w:val="19"/>
          <w:color w:val="auto"/>
        </w:rPr>
        <w:t xml:space="preserve">to each </w:t>
      </w:r>
      <w:r>
        <w:rPr>
          <w:rFonts w:ascii="Arial" w:cs="Arial" w:eastAsia="Arial" w:hAnsi="Arial"/>
          <w:sz w:val="19"/>
          <w:szCs w:val="19"/>
          <w:color w:val="3B3B3B"/>
        </w:rPr>
        <w:t>l</w:t>
      </w:r>
      <w:r>
        <w:rPr>
          <w:rFonts w:ascii="Arial" w:cs="Arial" w:eastAsia="Arial" w:hAnsi="Arial"/>
          <w:sz w:val="19"/>
          <w:szCs w:val="19"/>
          <w:color w:val="131313"/>
        </w:rPr>
        <w:t>ine item.</w:t>
      </w:r>
      <w:r>
        <w:rPr>
          <w:rFonts w:ascii="Arial" w:cs="Arial" w:eastAsia="Arial" w:hAnsi="Arial"/>
          <w:sz w:val="19"/>
          <w:szCs w:val="19"/>
          <w:color w:val="auto"/>
        </w:rPr>
        <w:t xml:space="preserve"> Landlord shall consider </w:t>
      </w:r>
      <w:r>
        <w:rPr>
          <w:rFonts w:ascii="Arial" w:cs="Arial" w:eastAsia="Arial" w:hAnsi="Arial"/>
          <w:sz w:val="19"/>
          <w:szCs w:val="19"/>
          <w:color w:val="131313"/>
        </w:rPr>
        <w:t>in good</w:t>
      </w:r>
      <w:r>
        <w:rPr>
          <w:rFonts w:ascii="Arial" w:cs="Arial" w:eastAsia="Arial" w:hAnsi="Arial"/>
          <w:sz w:val="19"/>
          <w:szCs w:val="19"/>
          <w:color w:val="auto"/>
        </w:rPr>
        <w:t xml:space="preserve"> faith the </w:t>
      </w:r>
      <w:r>
        <w:rPr>
          <w:rFonts w:ascii="Arial" w:cs="Arial" w:eastAsia="Arial" w:hAnsi="Arial"/>
          <w:sz w:val="19"/>
          <w:szCs w:val="19"/>
          <w:color w:val="131313"/>
        </w:rPr>
        <w:t>budget</w:t>
      </w:r>
      <w:r>
        <w:rPr>
          <w:rFonts w:ascii="Arial" w:cs="Arial" w:eastAsia="Arial" w:hAnsi="Arial"/>
          <w:sz w:val="19"/>
          <w:szCs w:val="19"/>
          <w:color w:val="auto"/>
        </w:rPr>
        <w:t xml:space="preserve"> changes proposed </w:t>
      </w:r>
      <w:r>
        <w:rPr>
          <w:rFonts w:ascii="Arial" w:cs="Arial" w:eastAsia="Arial" w:hAnsi="Arial"/>
          <w:sz w:val="19"/>
          <w:szCs w:val="19"/>
          <w:color w:val="131313"/>
        </w:rPr>
        <w:t>by</w:t>
      </w:r>
      <w:r>
        <w:rPr>
          <w:rFonts w:ascii="Arial" w:cs="Arial" w:eastAsia="Arial" w:hAnsi="Arial"/>
          <w:sz w:val="19"/>
          <w:szCs w:val="19"/>
          <w:color w:val="auto"/>
        </w:rPr>
        <w:t xml:space="preserve"> Tenant. In the event </w:t>
      </w:r>
      <w:r>
        <w:rPr>
          <w:rFonts w:ascii="Arial" w:cs="Arial" w:eastAsia="Arial" w:hAnsi="Arial"/>
          <w:sz w:val="19"/>
          <w:szCs w:val="19"/>
          <w:color w:val="131313"/>
        </w:rPr>
        <w:t>that</w:t>
      </w:r>
      <w:r>
        <w:rPr>
          <w:rFonts w:ascii="Arial" w:cs="Arial" w:eastAsia="Arial" w:hAnsi="Arial"/>
          <w:sz w:val="19"/>
          <w:szCs w:val="19"/>
          <w:color w:val="auto"/>
        </w:rPr>
        <w:t xml:space="preserve"> </w:t>
      </w:r>
      <w:r>
        <w:rPr>
          <w:rFonts w:ascii="Arial" w:cs="Arial" w:eastAsia="Arial" w:hAnsi="Arial"/>
          <w:sz w:val="19"/>
          <w:szCs w:val="19"/>
          <w:color w:val="131313"/>
        </w:rPr>
        <w:t xml:space="preserve">the Operating </w:t>
      </w:r>
      <w:r>
        <w:rPr>
          <w:rFonts w:ascii="Arial" w:cs="Arial" w:eastAsia="Arial" w:hAnsi="Arial"/>
          <w:sz w:val="19"/>
          <w:szCs w:val="19"/>
          <w:color w:val="000000"/>
        </w:rPr>
        <w:t>Expenses which are within</w:t>
      </w:r>
      <w:r>
        <w:rPr>
          <w:rFonts w:ascii="Arial" w:cs="Arial" w:eastAsia="Arial" w:hAnsi="Arial"/>
          <w:sz w:val="19"/>
          <w:szCs w:val="19"/>
          <w:color w:val="131313"/>
        </w:rPr>
        <w:t xml:space="preserve"> the </w:t>
      </w:r>
      <w:r>
        <w:rPr>
          <w:rFonts w:ascii="Arial" w:cs="Arial" w:eastAsia="Arial" w:hAnsi="Arial"/>
          <w:sz w:val="19"/>
          <w:szCs w:val="19"/>
          <w:color w:val="000000"/>
        </w:rPr>
        <w:t>control and</w:t>
      </w:r>
      <w:r>
        <w:rPr>
          <w:rFonts w:ascii="Arial" w:cs="Arial" w:eastAsia="Arial" w:hAnsi="Arial"/>
          <w:sz w:val="19"/>
          <w:szCs w:val="19"/>
          <w:color w:val="131313"/>
        </w:rPr>
        <w:t xml:space="preserve"> di</w:t>
      </w:r>
      <w:r>
        <w:rPr>
          <w:rFonts w:ascii="Arial" w:cs="Arial" w:eastAsia="Arial" w:hAnsi="Arial"/>
          <w:sz w:val="19"/>
          <w:szCs w:val="19"/>
          <w:color w:val="3B3B3B"/>
        </w:rPr>
        <w:t>scre</w:t>
      </w:r>
      <w:r>
        <w:rPr>
          <w:rFonts w:ascii="Arial" w:cs="Arial" w:eastAsia="Arial" w:hAnsi="Arial"/>
          <w:sz w:val="19"/>
          <w:szCs w:val="19"/>
          <w:color w:val="131313"/>
        </w:rPr>
        <w:t xml:space="preserve">tion </w:t>
      </w:r>
      <w:r>
        <w:rPr>
          <w:rFonts w:ascii="Arial" w:cs="Arial" w:eastAsia="Arial" w:hAnsi="Arial"/>
          <w:sz w:val="19"/>
          <w:szCs w:val="19"/>
          <w:color w:val="000000"/>
        </w:rPr>
        <w:t>of</w:t>
      </w:r>
      <w:r>
        <w:rPr>
          <w:rFonts w:ascii="Arial" w:cs="Arial" w:eastAsia="Arial" w:hAnsi="Arial"/>
          <w:sz w:val="19"/>
          <w:szCs w:val="19"/>
          <w:color w:val="131313"/>
        </w:rPr>
        <w:t xml:space="preserve"> </w:t>
      </w:r>
      <w:r>
        <w:rPr>
          <w:rFonts w:ascii="Arial" w:cs="Arial" w:eastAsia="Arial" w:hAnsi="Arial"/>
          <w:sz w:val="19"/>
          <w:szCs w:val="19"/>
          <w:color w:val="262626"/>
        </w:rPr>
        <w:t>Landlord (the “</w:t>
      </w:r>
      <w:r>
        <w:rPr>
          <w:rFonts w:ascii="Arial" w:cs="Arial" w:eastAsia="Arial" w:hAnsi="Arial"/>
          <w:sz w:val="19"/>
          <w:szCs w:val="19"/>
          <w:u w:val="single" w:color="auto"/>
          <w:color w:val="262626"/>
        </w:rPr>
        <w:t>Controllable</w:t>
      </w:r>
      <w:r>
        <w:rPr>
          <w:rFonts w:ascii="Arial" w:cs="Arial" w:eastAsia="Arial" w:hAnsi="Arial"/>
          <w:sz w:val="19"/>
          <w:szCs w:val="19"/>
          <w:color w:val="131313"/>
        </w:rPr>
        <w:t xml:space="preserve"> </w:t>
      </w:r>
      <w:r>
        <w:rPr>
          <w:rFonts w:ascii="Arial" w:cs="Arial" w:eastAsia="Arial" w:hAnsi="Arial"/>
          <w:sz w:val="19"/>
          <w:szCs w:val="19"/>
          <w:u w:val="single" w:color="auto"/>
          <w:color w:val="161616"/>
        </w:rPr>
        <w:t>Operating</w:t>
      </w:r>
      <w:r>
        <w:rPr>
          <w:rFonts w:ascii="Arial" w:cs="Arial" w:eastAsia="Arial" w:hAnsi="Arial"/>
          <w:sz w:val="19"/>
          <w:szCs w:val="19"/>
          <w:color w:val="131313"/>
        </w:rPr>
        <w:t xml:space="preserve"> </w:t>
      </w:r>
      <w:r>
        <w:rPr>
          <w:rFonts w:ascii="Arial" w:cs="Arial" w:eastAsia="Arial" w:hAnsi="Arial"/>
          <w:sz w:val="19"/>
          <w:szCs w:val="19"/>
          <w:u w:val="single" w:color="auto"/>
          <w:color w:val="363636"/>
        </w:rPr>
        <w:t>Expenses</w:t>
      </w:r>
      <w:r>
        <w:rPr>
          <w:rFonts w:ascii="Arial" w:cs="Arial" w:eastAsia="Arial" w:hAnsi="Arial"/>
          <w:sz w:val="19"/>
          <w:szCs w:val="19"/>
          <w:color w:val="363636"/>
        </w:rPr>
        <w:t xml:space="preserve">”) </w:t>
      </w:r>
      <w:r>
        <w:rPr>
          <w:rFonts w:ascii="Arial" w:cs="Arial" w:eastAsia="Arial" w:hAnsi="Arial"/>
          <w:sz w:val="19"/>
          <w:szCs w:val="19"/>
          <w:color w:val="161616"/>
        </w:rPr>
        <w:t>exceed the Controllable Operating</w:t>
      </w:r>
      <w:r>
        <w:rPr>
          <w:rFonts w:ascii="Arial" w:cs="Arial" w:eastAsia="Arial" w:hAnsi="Arial"/>
          <w:sz w:val="19"/>
          <w:szCs w:val="19"/>
          <w:color w:val="363636"/>
        </w:rPr>
        <w:t xml:space="preserve"> </w:t>
      </w:r>
      <w:r>
        <w:rPr>
          <w:rFonts w:ascii="Arial" w:cs="Arial" w:eastAsia="Arial" w:hAnsi="Arial"/>
          <w:sz w:val="19"/>
          <w:szCs w:val="19"/>
          <w:color w:val="262626"/>
        </w:rPr>
        <w:t>Expenses for</w:t>
      </w:r>
      <w:r>
        <w:rPr>
          <w:rFonts w:ascii="Arial" w:cs="Arial" w:eastAsia="Arial" w:hAnsi="Arial"/>
          <w:sz w:val="19"/>
          <w:szCs w:val="19"/>
          <w:color w:val="363636"/>
        </w:rPr>
        <w:t xml:space="preserve"> the </w:t>
      </w:r>
      <w:r>
        <w:rPr>
          <w:rFonts w:ascii="Arial" w:cs="Arial" w:eastAsia="Arial" w:hAnsi="Arial"/>
          <w:sz w:val="19"/>
          <w:szCs w:val="19"/>
          <w:color w:val="262626"/>
        </w:rPr>
        <w:t>prior</w:t>
      </w:r>
      <w:r>
        <w:rPr>
          <w:rFonts w:ascii="Arial" w:cs="Arial" w:eastAsia="Arial" w:hAnsi="Arial"/>
          <w:sz w:val="19"/>
          <w:szCs w:val="19"/>
          <w:color w:val="363636"/>
        </w:rPr>
        <w:t xml:space="preserve"> </w:t>
      </w:r>
      <w:r>
        <w:rPr>
          <w:rFonts w:ascii="Arial" w:cs="Arial" w:eastAsia="Arial" w:hAnsi="Arial"/>
          <w:sz w:val="19"/>
          <w:szCs w:val="19"/>
          <w:color w:val="161616"/>
        </w:rPr>
        <w:t>year of the Term by</w:t>
      </w:r>
      <w:r>
        <w:rPr>
          <w:rFonts w:ascii="Arial" w:cs="Arial" w:eastAsia="Arial" w:hAnsi="Arial"/>
          <w:sz w:val="19"/>
          <w:szCs w:val="19"/>
          <w:color w:val="363636"/>
        </w:rPr>
        <w:t xml:space="preserve"> </w:t>
      </w:r>
      <w:r>
        <w:rPr>
          <w:rFonts w:ascii="Arial" w:cs="Arial" w:eastAsia="Arial" w:hAnsi="Arial"/>
          <w:sz w:val="19"/>
          <w:szCs w:val="19"/>
          <w:u w:val="single" w:color="auto"/>
          <w:color w:val="000000"/>
        </w:rPr>
        <w:t>[***]</w:t>
      </w:r>
      <w:r>
        <w:rPr>
          <w:rFonts w:ascii="Arial" w:cs="Arial" w:eastAsia="Arial" w:hAnsi="Arial"/>
          <w:sz w:val="19"/>
          <w:szCs w:val="19"/>
          <w:color w:val="363636"/>
        </w:rPr>
        <w:t xml:space="preserve"> </w:t>
      </w:r>
      <w:r>
        <w:rPr>
          <w:rFonts w:ascii="Arial" w:cs="Arial" w:eastAsia="Arial" w:hAnsi="Arial"/>
          <w:sz w:val="19"/>
          <w:szCs w:val="19"/>
          <w:color w:val="161616"/>
        </w:rPr>
        <w:t>percent</w:t>
      </w:r>
      <w:r>
        <w:rPr>
          <w:rFonts w:ascii="Arial" w:cs="Arial" w:eastAsia="Arial" w:hAnsi="Arial"/>
          <w:sz w:val="19"/>
          <w:szCs w:val="19"/>
          <w:color w:val="363636"/>
        </w:rPr>
        <w:t xml:space="preserve"> </w:t>
      </w:r>
      <w:r>
        <w:rPr>
          <w:rFonts w:ascii="Arial" w:cs="Arial" w:eastAsia="Arial" w:hAnsi="Arial"/>
          <w:sz w:val="19"/>
          <w:szCs w:val="19"/>
          <w:color w:val="050505"/>
        </w:rPr>
        <w:t>(</w:t>
      </w:r>
      <w:r>
        <w:rPr>
          <w:rFonts w:ascii="Arial" w:cs="Arial" w:eastAsia="Arial" w:hAnsi="Arial"/>
          <w:sz w:val="19"/>
          <w:szCs w:val="19"/>
          <w:u w:val="single" w:color="auto"/>
          <w:color w:val="000000"/>
        </w:rPr>
        <w:t>[***]</w:t>
      </w:r>
      <w:r>
        <w:rPr>
          <w:rFonts w:ascii="Arial" w:cs="Arial" w:eastAsia="Arial" w:hAnsi="Arial"/>
          <w:sz w:val="19"/>
          <w:szCs w:val="19"/>
          <w:color w:val="363636"/>
        </w:rPr>
        <w:t>%</w:t>
      </w:r>
      <w:r>
        <w:rPr>
          <w:rFonts w:ascii="Arial" w:cs="Arial" w:eastAsia="Arial" w:hAnsi="Arial"/>
          <w:sz w:val="19"/>
          <w:szCs w:val="19"/>
          <w:color w:val="161616"/>
        </w:rPr>
        <w:t>)</w:t>
      </w:r>
      <w:r>
        <w:rPr>
          <w:rFonts w:ascii="Arial" w:cs="Arial" w:eastAsia="Arial" w:hAnsi="Arial"/>
          <w:sz w:val="19"/>
          <w:szCs w:val="19"/>
          <w:color w:val="363636"/>
        </w:rPr>
        <w:t xml:space="preserve"> </w:t>
      </w:r>
      <w:r>
        <w:rPr>
          <w:rFonts w:ascii="Arial" w:cs="Arial" w:eastAsia="Arial" w:hAnsi="Arial"/>
          <w:sz w:val="19"/>
          <w:szCs w:val="19"/>
          <w:color w:val="262626"/>
        </w:rPr>
        <w:t xml:space="preserve">or </w:t>
      </w:r>
      <w:r>
        <w:rPr>
          <w:rFonts w:ascii="Arial" w:cs="Arial" w:eastAsia="Arial" w:hAnsi="Arial"/>
          <w:sz w:val="19"/>
          <w:szCs w:val="19"/>
          <w:color w:val="161616"/>
        </w:rPr>
        <w:t>more,</w:t>
      </w:r>
      <w:r>
        <w:rPr>
          <w:rFonts w:ascii="Arial" w:cs="Arial" w:eastAsia="Arial" w:hAnsi="Arial"/>
          <w:sz w:val="19"/>
          <w:szCs w:val="19"/>
          <w:color w:val="262626"/>
        </w:rPr>
        <w:t xml:space="preserve"> that </w:t>
      </w:r>
      <w:r>
        <w:rPr>
          <w:rFonts w:ascii="Arial" w:cs="Arial" w:eastAsia="Arial" w:hAnsi="Arial"/>
          <w:sz w:val="19"/>
          <w:szCs w:val="19"/>
          <w:color w:val="161616"/>
        </w:rPr>
        <w:t>portion of</w:t>
      </w:r>
      <w:r>
        <w:rPr>
          <w:rFonts w:ascii="Arial" w:cs="Arial" w:eastAsia="Arial" w:hAnsi="Arial"/>
          <w:sz w:val="19"/>
          <w:szCs w:val="19"/>
          <w:color w:val="262626"/>
        </w:rPr>
        <w:t xml:space="preserve"> </w:t>
      </w:r>
      <w:r>
        <w:rPr>
          <w:rFonts w:ascii="Arial" w:cs="Arial" w:eastAsia="Arial" w:hAnsi="Arial"/>
          <w:sz w:val="19"/>
          <w:szCs w:val="19"/>
          <w:color w:val="363636"/>
        </w:rPr>
        <w:t>the</w:t>
      </w:r>
      <w:r>
        <w:rPr>
          <w:rFonts w:ascii="Arial" w:cs="Arial" w:eastAsia="Arial" w:hAnsi="Arial"/>
          <w:sz w:val="19"/>
          <w:szCs w:val="19"/>
          <w:color w:val="262626"/>
        </w:rPr>
        <w:t xml:space="preserve"> </w:t>
      </w:r>
      <w:r>
        <w:rPr>
          <w:rFonts w:ascii="Arial" w:cs="Arial" w:eastAsia="Arial" w:hAnsi="Arial"/>
          <w:sz w:val="19"/>
          <w:szCs w:val="19"/>
          <w:color w:val="161616"/>
        </w:rPr>
        <w:t>Operating Budget relating</w:t>
      </w:r>
      <w:r>
        <w:rPr>
          <w:rFonts w:ascii="Arial" w:cs="Arial" w:eastAsia="Arial" w:hAnsi="Arial"/>
          <w:sz w:val="19"/>
          <w:szCs w:val="19"/>
          <w:color w:val="262626"/>
        </w:rPr>
        <w:t xml:space="preserve"> </w:t>
      </w:r>
      <w:r>
        <w:rPr>
          <w:rFonts w:ascii="Arial" w:cs="Arial" w:eastAsia="Arial" w:hAnsi="Arial"/>
          <w:sz w:val="19"/>
          <w:szCs w:val="19"/>
          <w:color w:val="363636"/>
        </w:rPr>
        <w:t>to</w:t>
      </w:r>
      <w:r>
        <w:rPr>
          <w:rFonts w:ascii="Arial" w:cs="Arial" w:eastAsia="Arial" w:hAnsi="Arial"/>
          <w:sz w:val="19"/>
          <w:szCs w:val="19"/>
          <w:color w:val="262626"/>
        </w:rPr>
        <w:t xml:space="preserve"> such </w:t>
      </w:r>
      <w:r>
        <w:rPr>
          <w:rFonts w:ascii="Arial" w:cs="Arial" w:eastAsia="Arial" w:hAnsi="Arial"/>
          <w:sz w:val="19"/>
          <w:szCs w:val="19"/>
          <w:color w:val="161616"/>
        </w:rPr>
        <w:t>Controllable Operating</w:t>
      </w:r>
      <w:r>
        <w:rPr>
          <w:rFonts w:ascii="Arial" w:cs="Arial" w:eastAsia="Arial" w:hAnsi="Arial"/>
          <w:sz w:val="19"/>
          <w:szCs w:val="19"/>
          <w:color w:val="262626"/>
        </w:rPr>
        <w:t xml:space="preserve"> Expenses </w:t>
      </w:r>
      <w:r>
        <w:rPr>
          <w:rFonts w:ascii="Arial" w:cs="Arial" w:eastAsia="Arial" w:hAnsi="Arial"/>
          <w:sz w:val="19"/>
          <w:szCs w:val="19"/>
          <w:color w:val="161616"/>
        </w:rPr>
        <w:t>shall</w:t>
      </w:r>
      <w:r>
        <w:rPr>
          <w:rFonts w:ascii="Arial" w:cs="Arial" w:eastAsia="Arial" w:hAnsi="Arial"/>
          <w:sz w:val="19"/>
          <w:szCs w:val="19"/>
          <w:color w:val="262626"/>
        </w:rPr>
        <w:t xml:space="preserve"> be subject </w:t>
      </w:r>
      <w:r>
        <w:rPr>
          <w:rFonts w:ascii="Arial" w:cs="Arial" w:eastAsia="Arial" w:hAnsi="Arial"/>
          <w:sz w:val="19"/>
          <w:szCs w:val="19"/>
          <w:color w:val="161616"/>
        </w:rPr>
        <w:t>to</w:t>
      </w:r>
      <w:r>
        <w:rPr>
          <w:rFonts w:ascii="Arial" w:cs="Arial" w:eastAsia="Arial" w:hAnsi="Arial"/>
          <w:sz w:val="19"/>
          <w:szCs w:val="19"/>
          <w:color w:val="262626"/>
        </w:rPr>
        <w:t xml:space="preserve"> </w:t>
      </w:r>
      <w:r>
        <w:rPr>
          <w:rFonts w:ascii="Arial" w:cs="Arial" w:eastAsia="Arial" w:hAnsi="Arial"/>
          <w:sz w:val="19"/>
          <w:szCs w:val="19"/>
          <w:color w:val="161616"/>
        </w:rPr>
        <w:t xml:space="preserve">Tenant’s </w:t>
      </w:r>
      <w:r>
        <w:rPr>
          <w:rFonts w:ascii="Arial" w:cs="Arial" w:eastAsia="Arial" w:hAnsi="Arial"/>
          <w:sz w:val="19"/>
          <w:szCs w:val="19"/>
          <w:color w:val="363636"/>
        </w:rPr>
        <w:t>approval</w:t>
      </w:r>
      <w:r>
        <w:rPr>
          <w:rFonts w:ascii="Arial" w:cs="Arial" w:eastAsia="Arial" w:hAnsi="Arial"/>
          <w:sz w:val="19"/>
          <w:szCs w:val="19"/>
          <w:color w:val="161616"/>
        </w:rPr>
        <w:t xml:space="preserve"> (not to be unreasonably withheld, conditioned </w:t>
      </w:r>
      <w:r>
        <w:rPr>
          <w:rFonts w:ascii="Arial" w:cs="Arial" w:eastAsia="Arial" w:hAnsi="Arial"/>
          <w:sz w:val="19"/>
          <w:szCs w:val="19"/>
          <w:color w:val="262626"/>
        </w:rPr>
        <w:t>or</w:t>
      </w:r>
      <w:r>
        <w:rPr>
          <w:rFonts w:ascii="Arial" w:cs="Arial" w:eastAsia="Arial" w:hAnsi="Arial"/>
          <w:sz w:val="19"/>
          <w:szCs w:val="19"/>
          <w:color w:val="161616"/>
        </w:rPr>
        <w:t xml:space="preserve"> delayed); provided, </w:t>
      </w:r>
      <w:r>
        <w:rPr>
          <w:rFonts w:ascii="Arial" w:cs="Arial" w:eastAsia="Arial" w:hAnsi="Arial"/>
          <w:sz w:val="19"/>
          <w:szCs w:val="19"/>
          <w:color w:val="363636"/>
        </w:rPr>
        <w:t>however,</w:t>
      </w:r>
      <w:r>
        <w:rPr>
          <w:rFonts w:ascii="Arial" w:cs="Arial" w:eastAsia="Arial" w:hAnsi="Arial"/>
          <w:sz w:val="19"/>
          <w:szCs w:val="19"/>
          <w:color w:val="161616"/>
        </w:rPr>
        <w:t xml:space="preserve"> neither Landlord nor Tenant </w:t>
      </w:r>
      <w:r>
        <w:rPr>
          <w:rFonts w:ascii="Arial" w:cs="Arial" w:eastAsia="Arial" w:hAnsi="Arial"/>
          <w:sz w:val="19"/>
          <w:szCs w:val="19"/>
          <w:color w:val="262626"/>
        </w:rPr>
        <w:t>shall</w:t>
      </w:r>
      <w:r>
        <w:rPr>
          <w:rFonts w:ascii="Arial" w:cs="Arial" w:eastAsia="Arial" w:hAnsi="Arial"/>
          <w:sz w:val="19"/>
          <w:szCs w:val="19"/>
          <w:color w:val="161616"/>
        </w:rPr>
        <w:t xml:space="preserve"> be required to consent to </w:t>
      </w:r>
      <w:r>
        <w:rPr>
          <w:rFonts w:ascii="Arial" w:cs="Arial" w:eastAsia="Arial" w:hAnsi="Arial"/>
          <w:sz w:val="19"/>
          <w:szCs w:val="19"/>
          <w:color w:val="363636"/>
        </w:rPr>
        <w:t>any</w:t>
      </w:r>
      <w:r>
        <w:rPr>
          <w:rFonts w:ascii="Arial" w:cs="Arial" w:eastAsia="Arial" w:hAnsi="Arial"/>
          <w:sz w:val="19"/>
          <w:szCs w:val="19"/>
          <w:color w:val="161616"/>
        </w:rPr>
        <w:t xml:space="preserve"> </w:t>
      </w:r>
      <w:r>
        <w:rPr>
          <w:rFonts w:ascii="Arial" w:cs="Arial" w:eastAsia="Arial" w:hAnsi="Arial"/>
          <w:sz w:val="19"/>
          <w:szCs w:val="19"/>
          <w:color w:val="262626"/>
        </w:rPr>
        <w:t>such</w:t>
      </w:r>
      <w:r>
        <w:rPr>
          <w:rFonts w:ascii="Arial" w:cs="Arial" w:eastAsia="Arial" w:hAnsi="Arial"/>
          <w:sz w:val="19"/>
          <w:szCs w:val="19"/>
          <w:color w:val="161616"/>
        </w:rPr>
        <w:t xml:space="preserve"> </w:t>
      </w:r>
      <w:r>
        <w:rPr>
          <w:rFonts w:ascii="Arial" w:cs="Arial" w:eastAsia="Arial" w:hAnsi="Arial"/>
          <w:sz w:val="19"/>
          <w:szCs w:val="19"/>
          <w:color w:val="363636"/>
        </w:rPr>
        <w:t>change</w:t>
      </w:r>
      <w:r>
        <w:rPr>
          <w:rFonts w:ascii="Arial" w:cs="Arial" w:eastAsia="Arial" w:hAnsi="Arial"/>
          <w:sz w:val="19"/>
          <w:szCs w:val="19"/>
          <w:color w:val="161616"/>
        </w:rPr>
        <w:t xml:space="preserve"> </w:t>
      </w:r>
      <w:r>
        <w:rPr>
          <w:rFonts w:ascii="Arial" w:cs="Arial" w:eastAsia="Arial" w:hAnsi="Arial"/>
          <w:sz w:val="19"/>
          <w:szCs w:val="19"/>
          <w:color w:val="262626"/>
        </w:rPr>
        <w:t>(</w:t>
      </w:r>
      <w:r>
        <w:rPr>
          <w:rFonts w:ascii="Arial" w:cs="Arial" w:eastAsia="Arial" w:hAnsi="Arial"/>
          <w:sz w:val="19"/>
          <w:szCs w:val="19"/>
          <w:color w:val="161616"/>
        </w:rPr>
        <w:t xml:space="preserve">or </w:t>
      </w:r>
      <w:r>
        <w:rPr>
          <w:rFonts w:ascii="Arial" w:cs="Arial" w:eastAsia="Arial" w:hAnsi="Arial"/>
          <w:sz w:val="19"/>
          <w:szCs w:val="19"/>
          <w:color w:val="363636"/>
        </w:rPr>
        <w:t>to</w:t>
      </w:r>
      <w:r>
        <w:rPr>
          <w:rFonts w:ascii="Arial" w:cs="Arial" w:eastAsia="Arial" w:hAnsi="Arial"/>
          <w:sz w:val="19"/>
          <w:szCs w:val="19"/>
          <w:color w:val="161616"/>
        </w:rPr>
        <w:t xml:space="preserve"> </w:t>
      </w:r>
      <w:r>
        <w:rPr>
          <w:rFonts w:ascii="Arial" w:cs="Arial" w:eastAsia="Arial" w:hAnsi="Arial"/>
          <w:sz w:val="19"/>
          <w:szCs w:val="19"/>
          <w:color w:val="262626"/>
        </w:rPr>
        <w:t>any</w:t>
      </w:r>
      <w:r>
        <w:rPr>
          <w:rFonts w:ascii="Arial" w:cs="Arial" w:eastAsia="Arial" w:hAnsi="Arial"/>
          <w:sz w:val="19"/>
          <w:szCs w:val="19"/>
          <w:color w:val="161616"/>
        </w:rPr>
        <w:t xml:space="preserve"> resulting variation in </w:t>
      </w:r>
      <w:r>
        <w:rPr>
          <w:rFonts w:ascii="Arial" w:cs="Arial" w:eastAsia="Arial" w:hAnsi="Arial"/>
          <w:sz w:val="19"/>
          <w:szCs w:val="19"/>
          <w:color w:val="262626"/>
        </w:rPr>
        <w:t>the</w:t>
      </w:r>
      <w:r>
        <w:rPr>
          <w:rFonts w:ascii="Arial" w:cs="Arial" w:eastAsia="Arial" w:hAnsi="Arial"/>
          <w:sz w:val="19"/>
          <w:szCs w:val="19"/>
          <w:color w:val="161616"/>
        </w:rPr>
        <w:t xml:space="preserve"> types </w:t>
      </w:r>
      <w:r>
        <w:rPr>
          <w:rFonts w:ascii="Arial" w:cs="Arial" w:eastAsia="Arial" w:hAnsi="Arial"/>
          <w:sz w:val="19"/>
          <w:szCs w:val="19"/>
          <w:color w:val="262626"/>
        </w:rPr>
        <w:t>or</w:t>
      </w:r>
      <w:r>
        <w:rPr>
          <w:rFonts w:ascii="Arial" w:cs="Arial" w:eastAsia="Arial" w:hAnsi="Arial"/>
          <w:sz w:val="19"/>
          <w:szCs w:val="19"/>
          <w:color w:val="161616"/>
        </w:rPr>
        <w:t xml:space="preserve"> </w:t>
      </w:r>
      <w:r>
        <w:rPr>
          <w:rFonts w:ascii="Arial" w:cs="Arial" w:eastAsia="Arial" w:hAnsi="Arial"/>
          <w:sz w:val="19"/>
          <w:szCs w:val="19"/>
          <w:color w:val="050505"/>
        </w:rPr>
        <w:t>levels</w:t>
      </w:r>
      <w:r>
        <w:rPr>
          <w:rFonts w:ascii="Arial" w:cs="Arial" w:eastAsia="Arial" w:hAnsi="Arial"/>
          <w:sz w:val="19"/>
          <w:szCs w:val="19"/>
          <w:color w:val="161616"/>
        </w:rPr>
        <w:t xml:space="preserve"> </w:t>
      </w:r>
      <w:r>
        <w:rPr>
          <w:rFonts w:ascii="Arial" w:cs="Arial" w:eastAsia="Arial" w:hAnsi="Arial"/>
          <w:sz w:val="19"/>
          <w:szCs w:val="19"/>
          <w:color w:val="262626"/>
        </w:rPr>
        <w:t>of</w:t>
      </w:r>
      <w:r>
        <w:rPr>
          <w:rFonts w:ascii="Arial" w:cs="Arial" w:eastAsia="Arial" w:hAnsi="Arial"/>
          <w:sz w:val="19"/>
          <w:szCs w:val="19"/>
          <w:color w:val="161616"/>
        </w:rPr>
        <w:t xml:space="preserve"> </w:t>
      </w:r>
      <w:r>
        <w:rPr>
          <w:rFonts w:ascii="Arial" w:cs="Arial" w:eastAsia="Arial" w:hAnsi="Arial"/>
          <w:sz w:val="19"/>
          <w:szCs w:val="19"/>
          <w:color w:val="262626"/>
        </w:rPr>
        <w:t xml:space="preserve">services provided </w:t>
      </w:r>
      <w:r>
        <w:rPr>
          <w:rFonts w:ascii="Arial" w:cs="Arial" w:eastAsia="Arial" w:hAnsi="Arial"/>
          <w:sz w:val="19"/>
          <w:szCs w:val="19"/>
          <w:color w:val="161616"/>
        </w:rPr>
        <w:t>by</w:t>
      </w:r>
      <w:r>
        <w:rPr>
          <w:rFonts w:ascii="Arial" w:cs="Arial" w:eastAsia="Arial" w:hAnsi="Arial"/>
          <w:sz w:val="19"/>
          <w:szCs w:val="19"/>
          <w:color w:val="262626"/>
        </w:rPr>
        <w:t xml:space="preserve"> Landlord) that (a) </w:t>
      </w:r>
      <w:r>
        <w:rPr>
          <w:rFonts w:ascii="Arial" w:cs="Arial" w:eastAsia="Arial" w:hAnsi="Arial"/>
          <w:sz w:val="19"/>
          <w:szCs w:val="19"/>
          <w:color w:val="363636"/>
        </w:rPr>
        <w:t>is</w:t>
      </w:r>
      <w:r>
        <w:rPr>
          <w:rFonts w:ascii="Arial" w:cs="Arial" w:eastAsia="Arial" w:hAnsi="Arial"/>
          <w:sz w:val="19"/>
          <w:szCs w:val="19"/>
          <w:color w:val="262626"/>
        </w:rPr>
        <w:t xml:space="preserve"> </w:t>
      </w:r>
      <w:r>
        <w:rPr>
          <w:rFonts w:ascii="Arial" w:cs="Arial" w:eastAsia="Arial" w:hAnsi="Arial"/>
          <w:sz w:val="19"/>
          <w:szCs w:val="19"/>
          <w:color w:val="161616"/>
        </w:rPr>
        <w:t>inconsistent</w:t>
      </w:r>
      <w:r>
        <w:rPr>
          <w:rFonts w:ascii="Arial" w:cs="Arial" w:eastAsia="Arial" w:hAnsi="Arial"/>
          <w:sz w:val="19"/>
          <w:szCs w:val="19"/>
          <w:color w:val="262626"/>
        </w:rPr>
        <w:t xml:space="preserve"> with the </w:t>
      </w:r>
      <w:r>
        <w:rPr>
          <w:rFonts w:ascii="Arial" w:cs="Arial" w:eastAsia="Arial" w:hAnsi="Arial"/>
          <w:sz w:val="19"/>
          <w:szCs w:val="19"/>
          <w:color w:val="161616"/>
        </w:rPr>
        <w:t>operation and</w:t>
      </w:r>
      <w:r>
        <w:rPr>
          <w:rFonts w:ascii="Arial" w:cs="Arial" w:eastAsia="Arial" w:hAnsi="Arial"/>
          <w:sz w:val="19"/>
          <w:szCs w:val="19"/>
          <w:color w:val="262626"/>
        </w:rPr>
        <w:t xml:space="preserve"> management </w:t>
      </w:r>
      <w:r>
        <w:rPr>
          <w:rFonts w:ascii="Arial" w:cs="Arial" w:eastAsia="Arial" w:hAnsi="Arial"/>
          <w:sz w:val="19"/>
          <w:szCs w:val="19"/>
          <w:color w:val="161616"/>
        </w:rPr>
        <w:t>practices</w:t>
      </w:r>
      <w:r>
        <w:rPr>
          <w:rFonts w:ascii="Arial" w:cs="Arial" w:eastAsia="Arial" w:hAnsi="Arial"/>
          <w:sz w:val="19"/>
          <w:szCs w:val="19"/>
          <w:color w:val="262626"/>
        </w:rPr>
        <w:t xml:space="preserve"> of </w:t>
      </w:r>
      <w:r>
        <w:rPr>
          <w:rFonts w:ascii="Arial" w:cs="Arial" w:eastAsia="Arial" w:hAnsi="Arial"/>
          <w:sz w:val="19"/>
          <w:szCs w:val="19"/>
          <w:color w:val="161616"/>
        </w:rPr>
        <w:t>landlords</w:t>
      </w:r>
      <w:r>
        <w:rPr>
          <w:rFonts w:ascii="Arial" w:cs="Arial" w:eastAsia="Arial" w:hAnsi="Arial"/>
          <w:sz w:val="19"/>
          <w:szCs w:val="19"/>
          <w:color w:val="262626"/>
        </w:rPr>
        <w:t xml:space="preserve"> of Comparable </w:t>
      </w:r>
      <w:r>
        <w:rPr>
          <w:rFonts w:ascii="Arial" w:cs="Arial" w:eastAsia="Arial" w:hAnsi="Arial"/>
          <w:sz w:val="19"/>
          <w:szCs w:val="19"/>
          <w:color w:val="161616"/>
        </w:rPr>
        <w:t>Buildings or</w:t>
      </w:r>
      <w:r>
        <w:rPr>
          <w:rFonts w:ascii="Arial" w:cs="Arial" w:eastAsia="Arial" w:hAnsi="Arial"/>
          <w:sz w:val="19"/>
          <w:szCs w:val="19"/>
          <w:color w:val="262626"/>
        </w:rPr>
        <w:t xml:space="preserve"> (b) </w:t>
      </w:r>
      <w:r>
        <w:rPr>
          <w:rFonts w:ascii="Arial" w:cs="Arial" w:eastAsia="Arial" w:hAnsi="Arial"/>
          <w:sz w:val="19"/>
          <w:szCs w:val="19"/>
          <w:color w:val="161616"/>
        </w:rPr>
        <w:t>Landlord reasonably determines</w:t>
      </w:r>
      <w:r>
        <w:rPr>
          <w:rFonts w:ascii="Arial" w:cs="Arial" w:eastAsia="Arial" w:hAnsi="Arial"/>
          <w:sz w:val="19"/>
          <w:szCs w:val="19"/>
          <w:color w:val="262626"/>
        </w:rPr>
        <w:t xml:space="preserve"> may </w:t>
      </w:r>
      <w:r>
        <w:rPr>
          <w:rFonts w:ascii="Arial" w:cs="Arial" w:eastAsia="Arial" w:hAnsi="Arial"/>
          <w:sz w:val="19"/>
          <w:szCs w:val="19"/>
          <w:color w:val="161616"/>
        </w:rPr>
        <w:t>have an adverse</w:t>
      </w:r>
      <w:r>
        <w:rPr>
          <w:rFonts w:ascii="Arial" w:cs="Arial" w:eastAsia="Arial" w:hAnsi="Arial"/>
          <w:sz w:val="19"/>
          <w:szCs w:val="19"/>
          <w:color w:val="262626"/>
        </w:rPr>
        <w:t xml:space="preserve"> effect on the </w:t>
      </w:r>
      <w:r>
        <w:rPr>
          <w:rFonts w:ascii="Arial" w:cs="Arial" w:eastAsia="Arial" w:hAnsi="Arial"/>
          <w:sz w:val="19"/>
          <w:szCs w:val="19"/>
          <w:color w:val="161616"/>
        </w:rPr>
        <w:t>Building</w:t>
      </w:r>
      <w:r>
        <w:rPr>
          <w:rFonts w:ascii="Arial" w:cs="Arial" w:eastAsia="Arial" w:hAnsi="Arial"/>
          <w:sz w:val="19"/>
          <w:szCs w:val="19"/>
          <w:color w:val="262626"/>
        </w:rPr>
        <w:t xml:space="preserve"> structure </w:t>
      </w:r>
      <w:r>
        <w:rPr>
          <w:rFonts w:ascii="Arial" w:cs="Arial" w:eastAsia="Arial" w:hAnsi="Arial"/>
          <w:sz w:val="19"/>
          <w:szCs w:val="19"/>
          <w:color w:val="161616"/>
        </w:rPr>
        <w:t>or cause</w:t>
      </w:r>
      <w:r>
        <w:rPr>
          <w:rFonts w:ascii="Arial" w:cs="Arial" w:eastAsia="Arial" w:hAnsi="Arial"/>
          <w:sz w:val="19"/>
          <w:szCs w:val="19"/>
          <w:color w:val="262626"/>
        </w:rPr>
        <w:t xml:space="preserve"> the </w:t>
      </w:r>
      <w:r>
        <w:rPr>
          <w:rFonts w:ascii="Arial" w:cs="Arial" w:eastAsia="Arial" w:hAnsi="Arial"/>
          <w:sz w:val="19"/>
          <w:szCs w:val="19"/>
          <w:color w:val="161616"/>
        </w:rPr>
        <w:t>Building to fail to comply with Applicable</w:t>
      </w:r>
      <w:r>
        <w:rPr>
          <w:rFonts w:ascii="Arial" w:cs="Arial" w:eastAsia="Arial" w:hAnsi="Arial"/>
          <w:sz w:val="19"/>
          <w:szCs w:val="19"/>
          <w:color w:val="262626"/>
        </w:rPr>
        <w:t xml:space="preserve"> Laws. In the </w:t>
      </w:r>
      <w:r>
        <w:rPr>
          <w:rFonts w:ascii="Arial" w:cs="Arial" w:eastAsia="Arial" w:hAnsi="Arial"/>
          <w:sz w:val="19"/>
          <w:szCs w:val="19"/>
          <w:color w:val="161616"/>
        </w:rPr>
        <w:t>event that</w:t>
      </w:r>
      <w:r>
        <w:rPr>
          <w:rFonts w:ascii="Arial" w:cs="Arial" w:eastAsia="Arial" w:hAnsi="Arial"/>
          <w:sz w:val="19"/>
          <w:szCs w:val="19"/>
          <w:color w:val="262626"/>
        </w:rPr>
        <w:t xml:space="preserve"> Tenant </w:t>
      </w:r>
      <w:r>
        <w:rPr>
          <w:rFonts w:ascii="Arial" w:cs="Arial" w:eastAsia="Arial" w:hAnsi="Arial"/>
          <w:sz w:val="19"/>
          <w:szCs w:val="19"/>
          <w:color w:val="161616"/>
        </w:rPr>
        <w:t>is entitled to</w:t>
      </w:r>
      <w:r>
        <w:rPr>
          <w:rFonts w:ascii="Arial" w:cs="Arial" w:eastAsia="Arial" w:hAnsi="Arial"/>
          <w:sz w:val="19"/>
          <w:szCs w:val="19"/>
          <w:color w:val="262626"/>
        </w:rPr>
        <w:t xml:space="preserve"> approve </w:t>
      </w:r>
      <w:r>
        <w:rPr>
          <w:rFonts w:ascii="Arial" w:cs="Arial" w:eastAsia="Arial" w:hAnsi="Arial"/>
          <w:sz w:val="19"/>
          <w:szCs w:val="19"/>
          <w:color w:val="161616"/>
        </w:rPr>
        <w:t>the Controllable Operating</w:t>
      </w:r>
      <w:r>
        <w:rPr>
          <w:rFonts w:ascii="Arial" w:cs="Arial" w:eastAsia="Arial" w:hAnsi="Arial"/>
          <w:sz w:val="19"/>
          <w:szCs w:val="19"/>
          <w:color w:val="262626"/>
        </w:rPr>
        <w:t xml:space="preserve"> Expenses </w:t>
      </w:r>
      <w:r>
        <w:rPr>
          <w:rFonts w:ascii="Arial" w:cs="Arial" w:eastAsia="Arial" w:hAnsi="Arial"/>
          <w:sz w:val="19"/>
          <w:szCs w:val="19"/>
          <w:color w:val="363636"/>
        </w:rPr>
        <w:t>set</w:t>
      </w:r>
      <w:r>
        <w:rPr>
          <w:rFonts w:ascii="Arial" w:cs="Arial" w:eastAsia="Arial" w:hAnsi="Arial"/>
          <w:sz w:val="19"/>
          <w:szCs w:val="19"/>
          <w:color w:val="262626"/>
        </w:rPr>
        <w:t xml:space="preserve"> forth in </w:t>
      </w:r>
      <w:r>
        <w:rPr>
          <w:rFonts w:ascii="Arial" w:cs="Arial" w:eastAsia="Arial" w:hAnsi="Arial"/>
          <w:sz w:val="19"/>
          <w:szCs w:val="19"/>
          <w:color w:val="363636"/>
        </w:rPr>
        <w:t>the</w:t>
      </w:r>
      <w:r>
        <w:rPr>
          <w:rFonts w:ascii="Arial" w:cs="Arial" w:eastAsia="Arial" w:hAnsi="Arial"/>
          <w:sz w:val="19"/>
          <w:szCs w:val="19"/>
          <w:color w:val="262626"/>
        </w:rPr>
        <w:t xml:space="preserve"> </w:t>
      </w:r>
      <w:r>
        <w:rPr>
          <w:rFonts w:ascii="Arial" w:cs="Arial" w:eastAsia="Arial" w:hAnsi="Arial"/>
          <w:sz w:val="19"/>
          <w:szCs w:val="19"/>
          <w:color w:val="161616"/>
        </w:rPr>
        <w:t>Operating Budget pursuant to the</w:t>
      </w:r>
      <w:r>
        <w:rPr>
          <w:rFonts w:ascii="Arial" w:cs="Arial" w:eastAsia="Arial" w:hAnsi="Arial"/>
          <w:sz w:val="19"/>
          <w:szCs w:val="19"/>
          <w:color w:val="262626"/>
        </w:rPr>
        <w:t xml:space="preserve"> </w:t>
      </w:r>
      <w:r>
        <w:rPr>
          <w:rFonts w:ascii="Arial" w:cs="Arial" w:eastAsia="Arial" w:hAnsi="Arial"/>
          <w:sz w:val="19"/>
          <w:szCs w:val="19"/>
          <w:color w:val="363636"/>
        </w:rPr>
        <w:t>foregoing sentence,</w:t>
      </w:r>
      <w:r>
        <w:rPr>
          <w:rFonts w:ascii="Arial" w:cs="Arial" w:eastAsia="Arial" w:hAnsi="Arial"/>
          <w:sz w:val="19"/>
          <w:szCs w:val="19"/>
          <w:color w:val="262626"/>
        </w:rPr>
        <w:t xml:space="preserve"> </w:t>
      </w:r>
      <w:r>
        <w:rPr>
          <w:rFonts w:ascii="Arial" w:cs="Arial" w:eastAsia="Arial" w:hAnsi="Arial"/>
          <w:sz w:val="19"/>
          <w:szCs w:val="19"/>
          <w:color w:val="161616"/>
        </w:rPr>
        <w:t xml:space="preserve">and </w:t>
      </w:r>
      <w:r>
        <w:rPr>
          <w:rFonts w:ascii="Arial" w:cs="Arial" w:eastAsia="Arial" w:hAnsi="Arial"/>
          <w:sz w:val="19"/>
          <w:szCs w:val="19"/>
          <w:color w:val="363636"/>
        </w:rPr>
        <w:t>Tenant fails to</w:t>
      </w:r>
      <w:r>
        <w:rPr>
          <w:rFonts w:ascii="Arial" w:cs="Arial" w:eastAsia="Arial" w:hAnsi="Arial"/>
          <w:sz w:val="19"/>
          <w:szCs w:val="19"/>
          <w:color w:val="161616"/>
        </w:rPr>
        <w:t xml:space="preserve"> </w:t>
      </w:r>
      <w:r>
        <w:rPr>
          <w:rFonts w:ascii="Arial" w:cs="Arial" w:eastAsia="Arial" w:hAnsi="Arial"/>
          <w:sz w:val="19"/>
          <w:szCs w:val="19"/>
          <w:color w:val="262626"/>
        </w:rPr>
        <w:t>respond</w:t>
      </w:r>
      <w:r>
        <w:rPr>
          <w:rFonts w:ascii="Arial" w:cs="Arial" w:eastAsia="Arial" w:hAnsi="Arial"/>
          <w:sz w:val="19"/>
          <w:szCs w:val="19"/>
          <w:color w:val="161616"/>
        </w:rPr>
        <w:t xml:space="preserve"> to </w:t>
      </w:r>
      <w:r>
        <w:rPr>
          <w:rFonts w:ascii="Arial" w:cs="Arial" w:eastAsia="Arial" w:hAnsi="Arial"/>
          <w:sz w:val="19"/>
          <w:szCs w:val="19"/>
          <w:color w:val="363636"/>
        </w:rPr>
        <w:t>Landlord</w:t>
      </w:r>
      <w:r>
        <w:rPr>
          <w:rFonts w:ascii="Arial" w:cs="Arial" w:eastAsia="Arial" w:hAnsi="Arial"/>
          <w:sz w:val="19"/>
          <w:szCs w:val="19"/>
          <w:color w:val="161616"/>
        </w:rPr>
        <w:t xml:space="preserve"> within </w:t>
      </w:r>
      <w:r>
        <w:rPr>
          <w:sz w:val="1"/>
          <w:szCs w:val="1"/>
          <w:color w:val="auto"/>
        </w:rPr>
        <w:drawing>
          <wp:inline distT="0" distB="0" distL="0" distR="0">
            <wp:extent cx="188595" cy="12382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188595" cy="123825"/>
                    </a:xfrm>
                    <a:prstGeom prst="rect">
                      <a:avLst/>
                    </a:prstGeom>
                    <a:noFill/>
                    <a:ln>
                      <a:noFill/>
                    </a:ln>
                  </pic:spPr>
                </pic:pic>
              </a:graphicData>
            </a:graphic>
          </wp:inline>
        </w:drawing>
      </w:r>
      <w:r>
        <w:rPr>
          <w:rFonts w:ascii="Arial" w:cs="Arial" w:eastAsia="Arial" w:hAnsi="Arial"/>
          <w:sz w:val="19"/>
          <w:szCs w:val="19"/>
          <w:color w:val="auto"/>
        </w:rPr>
        <w:t xml:space="preserve">[***] </w:t>
      </w:r>
      <w:r>
        <w:rPr>
          <w:rFonts w:ascii="Arial" w:cs="Arial" w:eastAsia="Arial" w:hAnsi="Arial"/>
          <w:sz w:val="19"/>
          <w:szCs w:val="19"/>
          <w:color w:val="161616"/>
        </w:rPr>
        <w:t>days</w:t>
      </w:r>
      <w:r>
        <w:rPr>
          <w:rFonts w:ascii="Arial" w:cs="Arial" w:eastAsia="Arial" w:hAnsi="Arial"/>
          <w:sz w:val="19"/>
          <w:szCs w:val="19"/>
          <w:color w:val="auto"/>
        </w:rPr>
        <w:t xml:space="preserve"> </w:t>
      </w:r>
      <w:r>
        <w:rPr>
          <w:rFonts w:ascii="Arial" w:cs="Arial" w:eastAsia="Arial" w:hAnsi="Arial"/>
          <w:sz w:val="19"/>
          <w:szCs w:val="19"/>
          <w:color w:val="262626"/>
        </w:rPr>
        <w:t>of Landlord’s</w:t>
      </w:r>
      <w:r>
        <w:rPr>
          <w:rFonts w:ascii="Arial" w:cs="Arial" w:eastAsia="Arial" w:hAnsi="Arial"/>
          <w:sz w:val="19"/>
          <w:szCs w:val="19"/>
          <w:color w:val="auto"/>
        </w:rPr>
        <w:t xml:space="preserve"> </w:t>
      </w:r>
      <w:r>
        <w:rPr>
          <w:rFonts w:ascii="Arial" w:cs="Arial" w:eastAsia="Arial" w:hAnsi="Arial"/>
          <w:sz w:val="19"/>
          <w:szCs w:val="19"/>
          <w:color w:val="161616"/>
        </w:rPr>
        <w:t>delivery to Tenant</w:t>
      </w:r>
      <w:r>
        <w:rPr>
          <w:rFonts w:ascii="Arial" w:cs="Arial" w:eastAsia="Arial" w:hAnsi="Arial"/>
          <w:sz w:val="19"/>
          <w:szCs w:val="19"/>
          <w:color w:val="auto"/>
        </w:rPr>
        <w:t xml:space="preserve"> </w:t>
      </w:r>
      <w:r>
        <w:rPr>
          <w:rFonts w:ascii="Arial" w:cs="Arial" w:eastAsia="Arial" w:hAnsi="Arial"/>
          <w:sz w:val="19"/>
          <w:szCs w:val="19"/>
          <w:color w:val="262626"/>
        </w:rPr>
        <w:t>of</w:t>
      </w:r>
      <w:r>
        <w:rPr>
          <w:rFonts w:ascii="Arial" w:cs="Arial" w:eastAsia="Arial" w:hAnsi="Arial"/>
          <w:sz w:val="19"/>
          <w:szCs w:val="19"/>
          <w:color w:val="auto"/>
        </w:rPr>
        <w:t xml:space="preserve"> </w:t>
      </w:r>
      <w:r>
        <w:rPr>
          <w:rFonts w:ascii="Arial" w:cs="Arial" w:eastAsia="Arial" w:hAnsi="Arial"/>
          <w:sz w:val="19"/>
          <w:szCs w:val="19"/>
          <w:color w:val="161616"/>
        </w:rPr>
        <w:t>the Operating</w:t>
      </w:r>
      <w:r>
        <w:rPr>
          <w:rFonts w:ascii="Arial" w:cs="Arial" w:eastAsia="Arial" w:hAnsi="Arial"/>
          <w:sz w:val="19"/>
          <w:szCs w:val="19"/>
          <w:color w:val="auto"/>
        </w:rPr>
        <w:t xml:space="preserve"> </w:t>
      </w:r>
      <w:r>
        <w:rPr>
          <w:rFonts w:ascii="Arial" w:cs="Arial" w:eastAsia="Arial" w:hAnsi="Arial"/>
          <w:sz w:val="19"/>
          <w:szCs w:val="19"/>
          <w:color w:val="262626"/>
        </w:rPr>
        <w:t xml:space="preserve">Budget, </w:t>
      </w:r>
      <w:r>
        <w:rPr>
          <w:rFonts w:ascii="Arial" w:cs="Arial" w:eastAsia="Arial" w:hAnsi="Arial"/>
          <w:sz w:val="19"/>
          <w:szCs w:val="19"/>
          <w:color w:val="161616"/>
        </w:rPr>
        <w:t>Tenant</w:t>
      </w:r>
      <w:r>
        <w:rPr>
          <w:rFonts w:ascii="Arial" w:cs="Arial" w:eastAsia="Arial" w:hAnsi="Arial"/>
          <w:sz w:val="19"/>
          <w:szCs w:val="19"/>
          <w:color w:val="262626"/>
        </w:rPr>
        <w:t xml:space="preserve"> </w:t>
      </w:r>
      <w:r>
        <w:rPr>
          <w:rFonts w:ascii="Arial" w:cs="Arial" w:eastAsia="Arial" w:hAnsi="Arial"/>
          <w:sz w:val="19"/>
          <w:szCs w:val="19"/>
          <w:color w:val="363636"/>
        </w:rPr>
        <w:t>shall</w:t>
      </w:r>
      <w:r>
        <w:rPr>
          <w:rFonts w:ascii="Arial" w:cs="Arial" w:eastAsia="Arial" w:hAnsi="Arial"/>
          <w:sz w:val="19"/>
          <w:szCs w:val="19"/>
          <w:color w:val="262626"/>
        </w:rPr>
        <w:t xml:space="preserve"> be deemed </w:t>
      </w:r>
      <w:r>
        <w:rPr>
          <w:rFonts w:ascii="Arial" w:cs="Arial" w:eastAsia="Arial" w:hAnsi="Arial"/>
          <w:sz w:val="19"/>
          <w:szCs w:val="19"/>
          <w:color w:val="161616"/>
        </w:rPr>
        <w:t>to have approved</w:t>
      </w:r>
      <w:r>
        <w:rPr>
          <w:rFonts w:ascii="Arial" w:cs="Arial" w:eastAsia="Arial" w:hAnsi="Arial"/>
          <w:sz w:val="19"/>
          <w:szCs w:val="19"/>
          <w:color w:val="262626"/>
        </w:rPr>
        <w:t xml:space="preserve"> of </w:t>
      </w:r>
      <w:r>
        <w:rPr>
          <w:rFonts w:ascii="Arial" w:cs="Arial" w:eastAsia="Arial" w:hAnsi="Arial"/>
          <w:sz w:val="19"/>
          <w:szCs w:val="19"/>
          <w:color w:val="161616"/>
        </w:rPr>
        <w:t>the Operating Budget and</w:t>
      </w:r>
      <w:r>
        <w:rPr>
          <w:rFonts w:ascii="Arial" w:cs="Arial" w:eastAsia="Arial" w:hAnsi="Arial"/>
          <w:sz w:val="19"/>
          <w:szCs w:val="19"/>
          <w:color w:val="262626"/>
        </w:rPr>
        <w:t xml:space="preserve"> </w:t>
      </w:r>
      <w:r>
        <w:rPr>
          <w:rFonts w:ascii="Arial" w:cs="Arial" w:eastAsia="Arial" w:hAnsi="Arial"/>
          <w:sz w:val="19"/>
          <w:szCs w:val="19"/>
          <w:color w:val="363636"/>
        </w:rPr>
        <w:t>such</w:t>
      </w:r>
      <w:r>
        <w:rPr>
          <w:rFonts w:ascii="Arial" w:cs="Arial" w:eastAsia="Arial" w:hAnsi="Arial"/>
          <w:sz w:val="19"/>
          <w:szCs w:val="19"/>
          <w:color w:val="262626"/>
        </w:rPr>
        <w:t xml:space="preserve"> </w:t>
      </w:r>
      <w:r>
        <w:rPr>
          <w:rFonts w:ascii="Arial" w:cs="Arial" w:eastAsia="Arial" w:hAnsi="Arial"/>
          <w:sz w:val="19"/>
          <w:szCs w:val="19"/>
          <w:color w:val="161616"/>
        </w:rPr>
        <w:t>Controllable Operating</w:t>
      </w:r>
      <w:r>
        <w:rPr>
          <w:rFonts w:ascii="Arial" w:cs="Arial" w:eastAsia="Arial" w:hAnsi="Arial"/>
          <w:sz w:val="19"/>
          <w:szCs w:val="19"/>
          <w:color w:val="262626"/>
        </w:rPr>
        <w:t xml:space="preserve"> </w:t>
      </w:r>
      <w:r>
        <w:rPr>
          <w:rFonts w:ascii="Arial" w:cs="Arial" w:eastAsia="Arial" w:hAnsi="Arial"/>
          <w:sz w:val="19"/>
          <w:szCs w:val="19"/>
          <w:color w:val="363636"/>
        </w:rPr>
        <w:t xml:space="preserve">Expenses. </w:t>
      </w:r>
      <w:r>
        <w:rPr>
          <w:rFonts w:ascii="Arial" w:cs="Arial" w:eastAsia="Arial" w:hAnsi="Arial"/>
          <w:sz w:val="19"/>
          <w:szCs w:val="19"/>
          <w:color w:val="262626"/>
        </w:rPr>
        <w:t>If Landlord</w:t>
      </w:r>
      <w:r>
        <w:rPr>
          <w:rFonts w:ascii="Arial" w:cs="Arial" w:eastAsia="Arial" w:hAnsi="Arial"/>
          <w:sz w:val="19"/>
          <w:szCs w:val="19"/>
          <w:color w:val="363636"/>
        </w:rPr>
        <w:t xml:space="preserve"> </w:t>
      </w:r>
      <w:r>
        <w:rPr>
          <w:rFonts w:ascii="Arial" w:cs="Arial" w:eastAsia="Arial" w:hAnsi="Arial"/>
          <w:sz w:val="19"/>
          <w:szCs w:val="19"/>
          <w:color w:val="161616"/>
        </w:rPr>
        <w:t>determines</w:t>
      </w:r>
      <w:r>
        <w:rPr>
          <w:rFonts w:ascii="Arial" w:cs="Arial" w:eastAsia="Arial" w:hAnsi="Arial"/>
          <w:sz w:val="19"/>
          <w:szCs w:val="19"/>
          <w:color w:val="363636"/>
        </w:rPr>
        <w:t xml:space="preserve"> </w:t>
      </w:r>
      <w:r>
        <w:rPr>
          <w:rFonts w:ascii="Arial" w:cs="Arial" w:eastAsia="Arial" w:hAnsi="Arial"/>
          <w:sz w:val="19"/>
          <w:szCs w:val="19"/>
          <w:color w:val="262626"/>
        </w:rPr>
        <w:t>that an</w:t>
      </w:r>
      <w:r>
        <w:rPr>
          <w:rFonts w:ascii="Arial" w:cs="Arial" w:eastAsia="Arial" w:hAnsi="Arial"/>
          <w:sz w:val="19"/>
          <w:szCs w:val="19"/>
          <w:color w:val="363636"/>
        </w:rPr>
        <w:t xml:space="preserve"> </w:t>
      </w:r>
      <w:r>
        <w:rPr>
          <w:rFonts w:ascii="Arial" w:cs="Arial" w:eastAsia="Arial" w:hAnsi="Arial"/>
          <w:sz w:val="19"/>
          <w:szCs w:val="19"/>
          <w:color w:val="161616"/>
        </w:rPr>
        <w:t>Operating</w:t>
      </w:r>
      <w:r>
        <w:rPr>
          <w:rFonts w:ascii="Arial" w:cs="Arial" w:eastAsia="Arial" w:hAnsi="Arial"/>
          <w:sz w:val="19"/>
          <w:szCs w:val="19"/>
          <w:color w:val="363636"/>
        </w:rPr>
        <w:t xml:space="preserve"> </w:t>
      </w:r>
      <w:r>
        <w:rPr>
          <w:rFonts w:ascii="Arial" w:cs="Arial" w:eastAsia="Arial" w:hAnsi="Arial"/>
          <w:sz w:val="19"/>
          <w:szCs w:val="19"/>
          <w:color w:val="262626"/>
        </w:rPr>
        <w:t>Budget was incorrect</w:t>
      </w:r>
      <w:r>
        <w:rPr>
          <w:rFonts w:ascii="Arial" w:cs="Arial" w:eastAsia="Arial" w:hAnsi="Arial"/>
          <w:sz w:val="19"/>
          <w:szCs w:val="19"/>
          <w:color w:val="363636"/>
        </w:rPr>
        <w:t xml:space="preserve"> </w:t>
      </w:r>
      <w:r>
        <w:rPr>
          <w:rFonts w:ascii="Arial" w:cs="Arial" w:eastAsia="Arial" w:hAnsi="Arial"/>
          <w:sz w:val="19"/>
          <w:szCs w:val="19"/>
          <w:color w:val="161616"/>
        </w:rPr>
        <w:t>by</w:t>
      </w:r>
      <w:r>
        <w:rPr>
          <w:rFonts w:ascii="Arial" w:cs="Arial" w:eastAsia="Arial" w:hAnsi="Arial"/>
          <w:sz w:val="19"/>
          <w:szCs w:val="19"/>
          <w:color w:val="363636"/>
        </w:rPr>
        <w:t xml:space="preserve"> </w:t>
      </w:r>
      <w:r>
        <w:rPr>
          <w:rFonts w:ascii="Arial" w:cs="Arial" w:eastAsia="Arial" w:hAnsi="Arial"/>
          <w:sz w:val="19"/>
          <w:szCs w:val="19"/>
          <w:color w:val="262626"/>
        </w:rPr>
        <w:t>a</w:t>
      </w:r>
      <w:r>
        <w:rPr>
          <w:rFonts w:ascii="Arial" w:cs="Arial" w:eastAsia="Arial" w:hAnsi="Arial"/>
          <w:sz w:val="19"/>
          <w:szCs w:val="19"/>
          <w:color w:val="363636"/>
        </w:rPr>
        <w:t xml:space="preserve"> </w:t>
      </w:r>
      <w:r>
        <w:rPr>
          <w:rFonts w:ascii="Arial" w:cs="Arial" w:eastAsia="Arial" w:hAnsi="Arial"/>
          <w:sz w:val="19"/>
          <w:szCs w:val="19"/>
          <w:color w:val="161616"/>
        </w:rPr>
        <w:t>material</w:t>
      </w:r>
      <w:r>
        <w:rPr>
          <w:rFonts w:ascii="Arial" w:cs="Arial" w:eastAsia="Arial" w:hAnsi="Arial"/>
          <w:sz w:val="19"/>
          <w:szCs w:val="19"/>
          <w:color w:val="363636"/>
        </w:rPr>
        <w:t xml:space="preserve"> </w:t>
      </w:r>
      <w:r>
        <w:rPr>
          <w:rFonts w:ascii="Arial" w:cs="Arial" w:eastAsia="Arial" w:hAnsi="Arial"/>
          <w:sz w:val="19"/>
          <w:szCs w:val="19"/>
          <w:color w:val="262626"/>
        </w:rPr>
        <w:t>amount,</w:t>
      </w:r>
      <w:r>
        <w:rPr>
          <w:rFonts w:ascii="Arial" w:cs="Arial" w:eastAsia="Arial" w:hAnsi="Arial"/>
          <w:sz w:val="19"/>
          <w:szCs w:val="19"/>
          <w:color w:val="363636"/>
        </w:rPr>
        <w:t xml:space="preserve"> </w:t>
      </w:r>
      <w:r>
        <w:rPr>
          <w:rFonts w:ascii="Arial" w:cs="Arial" w:eastAsia="Arial" w:hAnsi="Arial"/>
          <w:sz w:val="19"/>
          <w:szCs w:val="19"/>
          <w:color w:val="161616"/>
        </w:rPr>
        <w:t>Landlord</w:t>
      </w:r>
      <w:r>
        <w:rPr>
          <w:rFonts w:ascii="Arial" w:cs="Arial" w:eastAsia="Arial" w:hAnsi="Arial"/>
          <w:sz w:val="19"/>
          <w:szCs w:val="19"/>
          <w:color w:val="363636"/>
        </w:rPr>
        <w:t xml:space="preserve"> shall </w:t>
      </w:r>
      <w:r>
        <w:rPr>
          <w:rFonts w:ascii="Arial" w:cs="Arial" w:eastAsia="Arial" w:hAnsi="Arial"/>
          <w:sz w:val="19"/>
          <w:szCs w:val="19"/>
          <w:color w:val="262626"/>
        </w:rPr>
        <w:t xml:space="preserve">endeavor </w:t>
      </w:r>
      <w:r>
        <w:rPr>
          <w:rFonts w:ascii="Arial" w:cs="Arial" w:eastAsia="Arial" w:hAnsi="Arial"/>
          <w:sz w:val="19"/>
          <w:szCs w:val="19"/>
          <w:color w:val="161616"/>
        </w:rPr>
        <w:t>to provide Tenant</w:t>
      </w:r>
      <w:r>
        <w:rPr>
          <w:rFonts w:ascii="Arial" w:cs="Arial" w:eastAsia="Arial" w:hAnsi="Arial"/>
          <w:sz w:val="19"/>
          <w:szCs w:val="19"/>
          <w:color w:val="262626"/>
        </w:rPr>
        <w:t xml:space="preserve"> with a </w:t>
      </w:r>
      <w:r>
        <w:rPr>
          <w:rFonts w:ascii="Arial" w:cs="Arial" w:eastAsia="Arial" w:hAnsi="Arial"/>
          <w:sz w:val="19"/>
          <w:szCs w:val="19"/>
          <w:color w:val="161616"/>
        </w:rPr>
        <w:t>revised Operating Budget; provided</w:t>
      </w:r>
      <w:r>
        <w:rPr>
          <w:rFonts w:ascii="Arial" w:cs="Arial" w:eastAsia="Arial" w:hAnsi="Arial"/>
          <w:sz w:val="19"/>
          <w:szCs w:val="19"/>
          <w:color w:val="262626"/>
        </w:rPr>
        <w:t xml:space="preserve"> </w:t>
      </w:r>
      <w:r>
        <w:rPr>
          <w:rFonts w:ascii="Arial" w:cs="Arial" w:eastAsia="Arial" w:hAnsi="Arial"/>
          <w:sz w:val="19"/>
          <w:szCs w:val="19"/>
          <w:color w:val="363636"/>
        </w:rPr>
        <w:t>that</w:t>
      </w:r>
      <w:r>
        <w:rPr>
          <w:rFonts w:ascii="Arial" w:cs="Arial" w:eastAsia="Arial" w:hAnsi="Arial"/>
          <w:sz w:val="19"/>
          <w:szCs w:val="19"/>
          <w:color w:val="262626"/>
        </w:rPr>
        <w:t xml:space="preserve"> such </w:t>
      </w:r>
      <w:r>
        <w:rPr>
          <w:rFonts w:ascii="Arial" w:cs="Arial" w:eastAsia="Arial" w:hAnsi="Arial"/>
          <w:sz w:val="19"/>
          <w:szCs w:val="19"/>
          <w:color w:val="161616"/>
        </w:rPr>
        <w:t>revised</w:t>
      </w:r>
      <w:r>
        <w:rPr>
          <w:rFonts w:ascii="Arial" w:cs="Arial" w:eastAsia="Arial" w:hAnsi="Arial"/>
          <w:sz w:val="19"/>
          <w:szCs w:val="19"/>
          <w:color w:val="262626"/>
        </w:rPr>
        <w:t xml:space="preserve"> Operating Budget </w:t>
      </w:r>
      <w:r>
        <w:rPr>
          <w:rFonts w:ascii="Arial" w:cs="Arial" w:eastAsia="Arial" w:hAnsi="Arial"/>
          <w:sz w:val="19"/>
          <w:szCs w:val="19"/>
          <w:color w:val="363636"/>
        </w:rPr>
        <w:t>s</w:t>
      </w:r>
      <w:r>
        <w:rPr>
          <w:rFonts w:ascii="Arial" w:cs="Arial" w:eastAsia="Arial" w:hAnsi="Arial"/>
          <w:sz w:val="19"/>
          <w:szCs w:val="19"/>
          <w:color w:val="161616"/>
        </w:rPr>
        <w:t>h</w:t>
      </w:r>
      <w:r>
        <w:rPr>
          <w:rFonts w:ascii="Arial" w:cs="Arial" w:eastAsia="Arial" w:hAnsi="Arial"/>
          <w:sz w:val="19"/>
          <w:szCs w:val="19"/>
          <w:color w:val="363636"/>
        </w:rPr>
        <w:t>a</w:t>
      </w:r>
      <w:r>
        <w:rPr>
          <w:rFonts w:ascii="Arial" w:cs="Arial" w:eastAsia="Arial" w:hAnsi="Arial"/>
          <w:sz w:val="19"/>
          <w:szCs w:val="19"/>
          <w:color w:val="050505"/>
        </w:rPr>
        <w:t>ll</w:t>
      </w:r>
      <w:r>
        <w:rPr>
          <w:rFonts w:ascii="Arial" w:cs="Arial" w:eastAsia="Arial" w:hAnsi="Arial"/>
          <w:sz w:val="19"/>
          <w:szCs w:val="19"/>
          <w:color w:val="262626"/>
        </w:rPr>
        <w:t xml:space="preserve"> </w:t>
      </w:r>
      <w:r>
        <w:rPr>
          <w:rFonts w:ascii="Arial" w:cs="Arial" w:eastAsia="Arial" w:hAnsi="Arial"/>
          <w:sz w:val="19"/>
          <w:szCs w:val="19"/>
          <w:color w:val="161616"/>
        </w:rPr>
        <w:t>be</w:t>
      </w:r>
      <w:r>
        <w:rPr>
          <w:rFonts w:ascii="Arial" w:cs="Arial" w:eastAsia="Arial" w:hAnsi="Arial"/>
          <w:sz w:val="19"/>
          <w:szCs w:val="19"/>
          <w:color w:val="262626"/>
        </w:rPr>
        <w:t xml:space="preserve"> accompanied by a good </w:t>
      </w:r>
      <w:r>
        <w:rPr>
          <w:rFonts w:ascii="Arial" w:cs="Arial" w:eastAsia="Arial" w:hAnsi="Arial"/>
          <w:sz w:val="19"/>
          <w:szCs w:val="19"/>
          <w:color w:val="363636"/>
        </w:rPr>
        <w:t>faith explanation</w:t>
      </w:r>
      <w:r>
        <w:rPr>
          <w:rFonts w:ascii="Arial" w:cs="Arial" w:eastAsia="Arial" w:hAnsi="Arial"/>
          <w:sz w:val="19"/>
          <w:szCs w:val="19"/>
          <w:color w:val="262626"/>
        </w:rPr>
        <w:t xml:space="preserve"> </w:t>
      </w:r>
      <w:r>
        <w:rPr>
          <w:rFonts w:ascii="Arial" w:cs="Arial" w:eastAsia="Arial" w:hAnsi="Arial"/>
          <w:sz w:val="19"/>
          <w:szCs w:val="19"/>
          <w:color w:val="161616"/>
        </w:rPr>
        <w:t>of</w:t>
      </w:r>
      <w:r>
        <w:rPr>
          <w:rFonts w:ascii="Arial" w:cs="Arial" w:eastAsia="Arial" w:hAnsi="Arial"/>
          <w:sz w:val="19"/>
          <w:szCs w:val="19"/>
          <w:color w:val="262626"/>
        </w:rPr>
        <w:t xml:space="preserve"> any </w:t>
      </w:r>
      <w:r>
        <w:rPr>
          <w:rFonts w:ascii="Arial" w:cs="Arial" w:eastAsia="Arial" w:hAnsi="Arial"/>
          <w:sz w:val="19"/>
          <w:szCs w:val="19"/>
          <w:color w:val="161616"/>
        </w:rPr>
        <w:t>increased amounts</w:t>
      </w:r>
      <w:r>
        <w:rPr>
          <w:rFonts w:ascii="Arial" w:cs="Arial" w:eastAsia="Arial" w:hAnsi="Arial"/>
          <w:sz w:val="19"/>
          <w:szCs w:val="19"/>
          <w:color w:val="262626"/>
        </w:rPr>
        <w:t xml:space="preserve"> </w:t>
      </w:r>
      <w:r>
        <w:rPr>
          <w:rFonts w:ascii="Arial" w:cs="Arial" w:eastAsia="Arial" w:hAnsi="Arial"/>
          <w:sz w:val="19"/>
          <w:szCs w:val="19"/>
          <w:color w:val="363636"/>
        </w:rPr>
        <w:t>set</w:t>
      </w:r>
      <w:r>
        <w:rPr>
          <w:rFonts w:ascii="Arial" w:cs="Arial" w:eastAsia="Arial" w:hAnsi="Arial"/>
          <w:sz w:val="19"/>
          <w:szCs w:val="19"/>
          <w:color w:val="262626"/>
        </w:rPr>
        <w:t xml:space="preserve"> </w:t>
      </w:r>
      <w:r>
        <w:rPr>
          <w:rFonts w:ascii="Arial" w:cs="Arial" w:eastAsia="Arial" w:hAnsi="Arial"/>
          <w:sz w:val="19"/>
          <w:szCs w:val="19"/>
          <w:color w:val="161616"/>
        </w:rPr>
        <w:t>forth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-577215</wp:posOffset>
            </wp:positionV>
            <wp:extent cx="4857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142"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Taxes on Tenant’s Property.</w:t>
      </w:r>
    </w:p>
    <w:p>
      <w:pPr>
        <w:spacing w:after="0" w:line="179" w:lineRule="exact"/>
        <w:rPr>
          <w:rFonts w:ascii="Arial" w:cs="Arial" w:eastAsia="Arial" w:hAnsi="Arial"/>
          <w:sz w:val="22"/>
          <w:szCs w:val="22"/>
          <w:color w:val="auto"/>
        </w:rPr>
      </w:pPr>
    </w:p>
    <w:p>
      <w:pPr>
        <w:ind w:left="1300" w:hanging="648"/>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10.1 Tenant </w:t>
      </w:r>
      <w:r>
        <w:rPr>
          <w:rFonts w:ascii="Arial" w:cs="Arial" w:eastAsia="Arial" w:hAnsi="Arial"/>
          <w:sz w:val="22"/>
          <w:szCs w:val="22"/>
          <w:color w:val="363636"/>
        </w:rPr>
        <w:t>shall</w:t>
      </w:r>
      <w:r>
        <w:rPr>
          <w:rFonts w:ascii="Arial" w:cs="Arial" w:eastAsia="Arial" w:hAnsi="Arial"/>
          <w:sz w:val="22"/>
          <w:szCs w:val="22"/>
          <w:color w:val="auto"/>
        </w:rPr>
        <w:t xml:space="preserve"> </w:t>
      </w:r>
      <w:r>
        <w:rPr>
          <w:rFonts w:ascii="Arial" w:cs="Arial" w:eastAsia="Arial" w:hAnsi="Arial"/>
          <w:sz w:val="22"/>
          <w:szCs w:val="22"/>
          <w:color w:val="262626"/>
        </w:rPr>
        <w:t>pay</w:t>
      </w:r>
      <w:r>
        <w:rPr>
          <w:rFonts w:ascii="Arial" w:cs="Arial" w:eastAsia="Arial" w:hAnsi="Arial"/>
          <w:sz w:val="22"/>
          <w:szCs w:val="22"/>
          <w:color w:val="auto"/>
        </w:rPr>
        <w:t xml:space="preserve"> prior to delinquency any and </w:t>
      </w:r>
      <w:r>
        <w:rPr>
          <w:rFonts w:ascii="Arial" w:cs="Arial" w:eastAsia="Arial" w:hAnsi="Arial"/>
          <w:sz w:val="22"/>
          <w:szCs w:val="22"/>
          <w:color w:val="363636"/>
        </w:rPr>
        <w:t>all</w:t>
      </w:r>
      <w:r>
        <w:rPr>
          <w:rFonts w:ascii="Arial" w:cs="Arial" w:eastAsia="Arial" w:hAnsi="Arial"/>
          <w:sz w:val="22"/>
          <w:szCs w:val="22"/>
          <w:color w:val="auto"/>
        </w:rPr>
        <w:t xml:space="preserve"> taxes </w:t>
      </w:r>
      <w:r>
        <w:rPr>
          <w:rFonts w:ascii="Arial" w:cs="Arial" w:eastAsia="Arial" w:hAnsi="Arial"/>
          <w:sz w:val="22"/>
          <w:szCs w:val="22"/>
          <w:color w:val="050505"/>
        </w:rPr>
        <w:t>l</w:t>
      </w:r>
      <w:r>
        <w:rPr>
          <w:rFonts w:ascii="Arial" w:cs="Arial" w:eastAsia="Arial" w:hAnsi="Arial"/>
          <w:sz w:val="22"/>
          <w:szCs w:val="22"/>
          <w:color w:val="363636"/>
        </w:rPr>
        <w:t>ev</w:t>
      </w:r>
      <w:r>
        <w:rPr>
          <w:rFonts w:ascii="Arial" w:cs="Arial" w:eastAsia="Arial" w:hAnsi="Arial"/>
          <w:sz w:val="22"/>
          <w:szCs w:val="22"/>
          <w:color w:val="auto"/>
        </w:rPr>
        <w:t xml:space="preserve">ied </w:t>
      </w:r>
      <w:r>
        <w:rPr>
          <w:rFonts w:ascii="Arial" w:cs="Arial" w:eastAsia="Arial" w:hAnsi="Arial"/>
          <w:sz w:val="22"/>
          <w:szCs w:val="22"/>
          <w:color w:val="262626"/>
        </w:rPr>
        <w:t>against any</w:t>
      </w:r>
      <w:r>
        <w:rPr>
          <w:rFonts w:ascii="Arial" w:cs="Arial" w:eastAsia="Arial" w:hAnsi="Arial"/>
          <w:sz w:val="22"/>
          <w:szCs w:val="22"/>
          <w:color w:val="auto"/>
        </w:rPr>
        <w:t xml:space="preserve"> personal </w:t>
      </w:r>
      <w:r>
        <w:rPr>
          <w:rFonts w:ascii="Arial" w:cs="Arial" w:eastAsia="Arial" w:hAnsi="Arial"/>
          <w:sz w:val="22"/>
          <w:szCs w:val="22"/>
          <w:color w:val="363636"/>
        </w:rPr>
        <w:t>pr</w:t>
      </w:r>
      <w:r>
        <w:rPr>
          <w:rFonts w:ascii="Arial" w:cs="Arial" w:eastAsia="Arial" w:hAnsi="Arial"/>
          <w:sz w:val="22"/>
          <w:szCs w:val="22"/>
          <w:color w:val="auto"/>
        </w:rPr>
        <w:t>op</w:t>
      </w:r>
      <w:r>
        <w:rPr>
          <w:rFonts w:ascii="Arial" w:cs="Arial" w:eastAsia="Arial" w:hAnsi="Arial"/>
          <w:sz w:val="22"/>
          <w:szCs w:val="22"/>
          <w:color w:val="363636"/>
        </w:rPr>
        <w:t>e</w:t>
      </w:r>
      <w:r>
        <w:rPr>
          <w:rFonts w:ascii="Arial" w:cs="Arial" w:eastAsia="Arial" w:hAnsi="Arial"/>
          <w:sz w:val="22"/>
          <w:szCs w:val="22"/>
          <w:color w:val="auto"/>
        </w:rPr>
        <w:t xml:space="preserve">rty </w:t>
      </w:r>
      <w:r>
        <w:rPr>
          <w:rFonts w:ascii="Arial" w:cs="Arial" w:eastAsia="Arial" w:hAnsi="Arial"/>
          <w:sz w:val="22"/>
          <w:szCs w:val="22"/>
          <w:color w:val="262626"/>
        </w:rPr>
        <w:t>or</w:t>
      </w:r>
      <w:r>
        <w:rPr>
          <w:rFonts w:ascii="Arial" w:cs="Arial" w:eastAsia="Arial" w:hAnsi="Arial"/>
          <w:sz w:val="22"/>
          <w:szCs w:val="22"/>
          <w:color w:val="auto"/>
        </w:rPr>
        <w:t xml:space="preserve"> trade fixtures placed by Tenant in or </w:t>
      </w:r>
      <w:r>
        <w:rPr>
          <w:rFonts w:ascii="Arial" w:cs="Arial" w:eastAsia="Arial" w:hAnsi="Arial"/>
          <w:sz w:val="22"/>
          <w:szCs w:val="22"/>
          <w:color w:val="262626"/>
        </w:rPr>
        <w:t>about</w:t>
      </w:r>
      <w:r>
        <w:rPr>
          <w:rFonts w:ascii="Arial" w:cs="Arial" w:eastAsia="Arial" w:hAnsi="Arial"/>
          <w:sz w:val="22"/>
          <w:szCs w:val="22"/>
          <w:color w:val="auto"/>
        </w:rPr>
        <w:t xml:space="preserve"> </w:t>
      </w:r>
      <w:r>
        <w:rPr>
          <w:rFonts w:ascii="Arial" w:cs="Arial" w:eastAsia="Arial" w:hAnsi="Arial"/>
          <w:sz w:val="22"/>
          <w:szCs w:val="22"/>
          <w:color w:val="363636"/>
        </w:rPr>
        <w:t>the Premises.</w:t>
      </w:r>
    </w:p>
    <w:p>
      <w:pPr>
        <w:spacing w:after="0" w:line="158" w:lineRule="exact"/>
        <w:rPr>
          <w:rFonts w:ascii="Arial" w:cs="Arial" w:eastAsia="Arial" w:hAnsi="Arial"/>
          <w:sz w:val="22"/>
          <w:szCs w:val="22"/>
          <w:color w:val="auto"/>
        </w:rPr>
      </w:pPr>
    </w:p>
    <w:p>
      <w:pPr>
        <w:ind w:left="1300" w:hanging="648"/>
        <w:spacing w:after="0" w:line="226" w:lineRule="auto"/>
        <w:rPr>
          <w:rFonts w:ascii="Arial" w:cs="Arial" w:eastAsia="Arial" w:hAnsi="Arial"/>
          <w:sz w:val="22"/>
          <w:szCs w:val="22"/>
          <w:color w:val="auto"/>
        </w:rPr>
      </w:pPr>
      <w:r>
        <w:rPr>
          <w:rFonts w:ascii="Arial" w:cs="Arial" w:eastAsia="Arial" w:hAnsi="Arial"/>
          <w:sz w:val="21"/>
          <w:szCs w:val="21"/>
          <w:color w:val="auto"/>
        </w:rPr>
        <w:t xml:space="preserve">10.2 If any </w:t>
      </w:r>
      <w:r>
        <w:rPr>
          <w:rFonts w:ascii="Arial" w:cs="Arial" w:eastAsia="Arial" w:hAnsi="Arial"/>
          <w:sz w:val="21"/>
          <w:szCs w:val="21"/>
          <w:color w:val="363636"/>
        </w:rPr>
        <w:t>such taxes</w:t>
      </w:r>
      <w:r>
        <w:rPr>
          <w:rFonts w:ascii="Arial" w:cs="Arial" w:eastAsia="Arial" w:hAnsi="Arial"/>
          <w:sz w:val="21"/>
          <w:szCs w:val="21"/>
          <w:color w:val="auto"/>
        </w:rPr>
        <w:t xml:space="preserve"> </w:t>
      </w:r>
      <w:r>
        <w:rPr>
          <w:rFonts w:ascii="Arial" w:cs="Arial" w:eastAsia="Arial" w:hAnsi="Arial"/>
          <w:sz w:val="21"/>
          <w:szCs w:val="21"/>
          <w:color w:val="161616"/>
        </w:rPr>
        <w:t>on Tenant’s personal</w:t>
      </w:r>
      <w:r>
        <w:rPr>
          <w:rFonts w:ascii="Arial" w:cs="Arial" w:eastAsia="Arial" w:hAnsi="Arial"/>
          <w:sz w:val="21"/>
          <w:szCs w:val="21"/>
          <w:color w:val="auto"/>
        </w:rPr>
        <w:t xml:space="preserve"> property or trade fixtures </w:t>
      </w:r>
      <w:r>
        <w:rPr>
          <w:rFonts w:ascii="Arial" w:cs="Arial" w:eastAsia="Arial" w:hAnsi="Arial"/>
          <w:sz w:val="21"/>
          <w:szCs w:val="21"/>
          <w:color w:val="161616"/>
        </w:rPr>
        <w:t>are levied against</w:t>
      </w:r>
      <w:r>
        <w:rPr>
          <w:rFonts w:ascii="Arial" w:cs="Arial" w:eastAsia="Arial" w:hAnsi="Arial"/>
          <w:sz w:val="21"/>
          <w:szCs w:val="21"/>
          <w:color w:val="auto"/>
        </w:rPr>
        <w:t xml:space="preserve"> Landlord </w:t>
      </w:r>
      <w:r>
        <w:rPr>
          <w:rFonts w:ascii="Arial" w:cs="Arial" w:eastAsia="Arial" w:hAnsi="Arial"/>
          <w:sz w:val="21"/>
          <w:szCs w:val="21"/>
          <w:color w:val="363636"/>
        </w:rPr>
        <w:t>or</w:t>
      </w:r>
      <w:r>
        <w:rPr>
          <w:rFonts w:ascii="Arial" w:cs="Arial" w:eastAsia="Arial" w:hAnsi="Arial"/>
          <w:sz w:val="21"/>
          <w:szCs w:val="21"/>
          <w:color w:val="auto"/>
        </w:rPr>
        <w:t xml:space="preserve"> </w:t>
      </w:r>
      <w:r>
        <w:rPr>
          <w:rFonts w:ascii="Arial" w:cs="Arial" w:eastAsia="Arial" w:hAnsi="Arial"/>
          <w:sz w:val="21"/>
          <w:szCs w:val="21"/>
          <w:color w:val="161616"/>
        </w:rPr>
        <w:t>Landlord’s</w:t>
      </w:r>
      <w:r>
        <w:rPr>
          <w:rFonts w:ascii="Arial" w:cs="Arial" w:eastAsia="Arial" w:hAnsi="Arial"/>
          <w:sz w:val="21"/>
          <w:szCs w:val="21"/>
          <w:color w:val="auto"/>
        </w:rPr>
        <w:t xml:space="preserve"> property </w:t>
      </w:r>
      <w:r>
        <w:rPr>
          <w:rFonts w:ascii="Arial" w:cs="Arial" w:eastAsia="Arial" w:hAnsi="Arial"/>
          <w:sz w:val="21"/>
          <w:szCs w:val="21"/>
          <w:color w:val="161616"/>
        </w:rPr>
        <w:t xml:space="preserve">or, </w:t>
      </w:r>
      <w:r>
        <w:rPr>
          <w:rFonts w:ascii="Arial" w:cs="Arial" w:eastAsia="Arial" w:hAnsi="Arial"/>
          <w:sz w:val="21"/>
          <w:szCs w:val="21"/>
          <w:color w:val="363636"/>
        </w:rPr>
        <w:t>if</w:t>
      </w:r>
      <w:r>
        <w:rPr>
          <w:rFonts w:ascii="Arial" w:cs="Arial" w:eastAsia="Arial" w:hAnsi="Arial"/>
          <w:sz w:val="21"/>
          <w:szCs w:val="21"/>
          <w:color w:val="161616"/>
        </w:rPr>
        <w:t xml:space="preserve"> the </w:t>
      </w:r>
      <w:r>
        <w:rPr>
          <w:rFonts w:ascii="Arial" w:cs="Arial" w:eastAsia="Arial" w:hAnsi="Arial"/>
          <w:sz w:val="21"/>
          <w:szCs w:val="21"/>
          <w:color w:val="000000"/>
        </w:rPr>
        <w:t>assessed valuation of</w:t>
      </w:r>
      <w:r>
        <w:rPr>
          <w:rFonts w:ascii="Arial" w:cs="Arial" w:eastAsia="Arial" w:hAnsi="Arial"/>
          <w:sz w:val="21"/>
          <w:szCs w:val="21"/>
          <w:color w:val="161616"/>
        </w:rPr>
        <w:t xml:space="preserve"> </w:t>
      </w:r>
      <w:r>
        <w:rPr>
          <w:rFonts w:ascii="Arial" w:cs="Arial" w:eastAsia="Arial" w:hAnsi="Arial"/>
          <w:sz w:val="21"/>
          <w:szCs w:val="21"/>
          <w:color w:val="363636"/>
        </w:rPr>
        <w:t>the</w:t>
      </w:r>
      <w:r>
        <w:rPr>
          <w:rFonts w:ascii="Arial" w:cs="Arial" w:eastAsia="Arial" w:hAnsi="Arial"/>
          <w:sz w:val="21"/>
          <w:szCs w:val="21"/>
          <w:color w:val="161616"/>
        </w:rPr>
        <w:t xml:space="preserve"> Building, the </w:t>
      </w:r>
      <w:r>
        <w:rPr>
          <w:rFonts w:ascii="Arial" w:cs="Arial" w:eastAsia="Arial" w:hAnsi="Arial"/>
          <w:sz w:val="21"/>
          <w:szCs w:val="21"/>
          <w:color w:val="000000"/>
        </w:rPr>
        <w:t>Property or</w:t>
      </w:r>
      <w:r>
        <w:rPr>
          <w:rFonts w:ascii="Arial" w:cs="Arial" w:eastAsia="Arial" w:hAnsi="Arial"/>
          <w:sz w:val="21"/>
          <w:szCs w:val="21"/>
          <w:color w:val="161616"/>
        </w:rPr>
        <w:t xml:space="preserve"> the Project </w:t>
      </w:r>
      <w:r>
        <w:rPr>
          <w:rFonts w:ascii="Arial" w:cs="Arial" w:eastAsia="Arial" w:hAnsi="Arial"/>
          <w:sz w:val="21"/>
          <w:szCs w:val="21"/>
          <w:color w:val="363636"/>
        </w:rPr>
        <w:t>is</w:t>
      </w:r>
      <w:r>
        <w:rPr>
          <w:rFonts w:ascii="Arial" w:cs="Arial" w:eastAsia="Arial" w:hAnsi="Arial"/>
          <w:sz w:val="21"/>
          <w:szCs w:val="21"/>
          <w:color w:val="161616"/>
        </w:rPr>
        <w:t xml:space="preserve"> </w:t>
      </w:r>
      <w:r>
        <w:rPr>
          <w:rFonts w:ascii="Arial" w:cs="Arial" w:eastAsia="Arial" w:hAnsi="Arial"/>
          <w:sz w:val="21"/>
          <w:szCs w:val="21"/>
          <w:color w:val="000000"/>
        </w:rPr>
        <w:t>increased</w:t>
      </w:r>
      <w:r>
        <w:rPr>
          <w:rFonts w:ascii="Arial" w:cs="Arial" w:eastAsia="Arial" w:hAnsi="Arial"/>
          <w:sz w:val="21"/>
          <w:szCs w:val="21"/>
          <w:color w:val="161616"/>
        </w:rPr>
        <w:t xml:space="preserve"> by </w:t>
      </w:r>
      <w:r>
        <w:rPr>
          <w:rFonts w:ascii="Arial" w:cs="Arial" w:eastAsia="Arial" w:hAnsi="Arial"/>
          <w:sz w:val="21"/>
          <w:szCs w:val="21"/>
          <w:color w:val="363636"/>
        </w:rPr>
        <w:t>inclusion</w:t>
      </w:r>
      <w:r>
        <w:rPr>
          <w:rFonts w:ascii="Arial" w:cs="Arial" w:eastAsia="Arial" w:hAnsi="Arial"/>
          <w:sz w:val="21"/>
          <w:szCs w:val="21"/>
          <w:color w:val="161616"/>
        </w:rPr>
        <w:t xml:space="preserve"> therein of </w:t>
      </w:r>
      <w:r>
        <w:rPr>
          <w:rFonts w:ascii="Arial" w:cs="Arial" w:eastAsia="Arial" w:hAnsi="Arial"/>
          <w:sz w:val="21"/>
          <w:szCs w:val="21"/>
          <w:color w:val="363636"/>
        </w:rPr>
        <w:t>a</w:t>
      </w:r>
      <w:r>
        <w:rPr>
          <w:rFonts w:ascii="Arial" w:cs="Arial" w:eastAsia="Arial" w:hAnsi="Arial"/>
          <w:sz w:val="21"/>
          <w:szCs w:val="21"/>
          <w:color w:val="161616"/>
        </w:rPr>
        <w:t xml:space="preserve"> value </w:t>
      </w:r>
      <w:r>
        <w:rPr>
          <w:rFonts w:ascii="Arial" w:cs="Arial" w:eastAsia="Arial" w:hAnsi="Arial"/>
          <w:sz w:val="21"/>
          <w:szCs w:val="21"/>
          <w:color w:val="000000"/>
        </w:rPr>
        <w:t xml:space="preserve">attributable to Tenant’s personal </w:t>
      </w:r>
      <w:r>
        <w:rPr>
          <w:rFonts w:ascii="Arial" w:cs="Arial" w:eastAsia="Arial" w:hAnsi="Arial"/>
          <w:sz w:val="21"/>
          <w:szCs w:val="21"/>
          <w:color w:val="161616"/>
        </w:rPr>
        <w:t>property</w:t>
      </w:r>
      <w:r>
        <w:rPr>
          <w:rFonts w:ascii="Arial" w:cs="Arial" w:eastAsia="Arial" w:hAnsi="Arial"/>
          <w:sz w:val="21"/>
          <w:szCs w:val="21"/>
          <w:color w:val="000000"/>
        </w:rPr>
        <w:t xml:space="preserve"> or </w:t>
      </w:r>
      <w:r>
        <w:rPr>
          <w:rFonts w:ascii="Arial" w:cs="Arial" w:eastAsia="Arial" w:hAnsi="Arial"/>
          <w:sz w:val="21"/>
          <w:szCs w:val="21"/>
          <w:color w:val="363636"/>
        </w:rPr>
        <w:t>trade</w:t>
      </w:r>
      <w:r>
        <w:rPr>
          <w:rFonts w:ascii="Arial" w:cs="Arial" w:eastAsia="Arial" w:hAnsi="Arial"/>
          <w:sz w:val="21"/>
          <w:szCs w:val="21"/>
          <w:color w:val="000000"/>
        </w:rPr>
        <w:t xml:space="preserve"> fixtures, </w:t>
      </w:r>
      <w:r>
        <w:rPr>
          <w:rFonts w:ascii="Arial" w:cs="Arial" w:eastAsia="Arial" w:hAnsi="Arial"/>
          <w:sz w:val="21"/>
          <w:szCs w:val="21"/>
          <w:color w:val="161616"/>
        </w:rPr>
        <w:t>and</w:t>
      </w:r>
      <w:r>
        <w:rPr>
          <w:rFonts w:ascii="Arial" w:cs="Arial" w:eastAsia="Arial" w:hAnsi="Arial"/>
          <w:sz w:val="21"/>
          <w:szCs w:val="21"/>
          <w:color w:val="000000"/>
        </w:rPr>
        <w:t xml:space="preserve"> if </w:t>
      </w:r>
      <w:r>
        <w:rPr>
          <w:rFonts w:ascii="Arial" w:cs="Arial" w:eastAsia="Arial" w:hAnsi="Arial"/>
          <w:sz w:val="21"/>
          <w:szCs w:val="21"/>
          <w:color w:val="161616"/>
        </w:rPr>
        <w:t>Landlord,</w:t>
      </w:r>
      <w:r>
        <w:rPr>
          <w:rFonts w:ascii="Arial" w:cs="Arial" w:eastAsia="Arial" w:hAnsi="Arial"/>
          <w:sz w:val="21"/>
          <w:szCs w:val="21"/>
          <w:color w:val="000000"/>
        </w:rPr>
        <w:t xml:space="preserve"> after written notice to </w:t>
      </w:r>
      <w:r>
        <w:rPr>
          <w:rFonts w:ascii="Arial" w:cs="Arial" w:eastAsia="Arial" w:hAnsi="Arial"/>
          <w:sz w:val="21"/>
          <w:szCs w:val="21"/>
          <w:color w:val="161616"/>
        </w:rPr>
        <w:t>Tenant,</w:t>
      </w:r>
      <w:r>
        <w:rPr>
          <w:rFonts w:ascii="Arial" w:cs="Arial" w:eastAsia="Arial" w:hAnsi="Arial"/>
          <w:sz w:val="21"/>
          <w:szCs w:val="21"/>
          <w:color w:val="000000"/>
        </w:rPr>
        <w:t xml:space="preserve"> pays </w:t>
      </w:r>
      <w:r>
        <w:rPr>
          <w:rFonts w:ascii="Arial" w:cs="Arial" w:eastAsia="Arial" w:hAnsi="Arial"/>
          <w:sz w:val="21"/>
          <w:szCs w:val="21"/>
          <w:color w:val="363636"/>
        </w:rPr>
        <w:t>the</w:t>
      </w:r>
      <w:r>
        <w:rPr>
          <w:rFonts w:ascii="Arial" w:cs="Arial" w:eastAsia="Arial" w:hAnsi="Arial"/>
          <w:sz w:val="21"/>
          <w:szCs w:val="21"/>
          <w:color w:val="000000"/>
        </w:rPr>
        <w:t xml:space="preserve"> </w:t>
      </w:r>
      <w:r>
        <w:rPr>
          <w:rFonts w:ascii="Arial" w:cs="Arial" w:eastAsia="Arial" w:hAnsi="Arial"/>
          <w:sz w:val="21"/>
          <w:szCs w:val="21"/>
          <w:color w:val="161616"/>
        </w:rPr>
        <w:t xml:space="preserve">taxes </w:t>
      </w:r>
      <w:r>
        <w:rPr>
          <w:rFonts w:ascii="Arial" w:cs="Arial" w:eastAsia="Arial" w:hAnsi="Arial"/>
          <w:sz w:val="21"/>
          <w:szCs w:val="21"/>
          <w:color w:val="000000"/>
        </w:rPr>
        <w:t>based upon</w:t>
      </w:r>
      <w:r>
        <w:rPr>
          <w:rFonts w:ascii="Arial" w:cs="Arial" w:eastAsia="Arial" w:hAnsi="Arial"/>
          <w:sz w:val="21"/>
          <w:szCs w:val="21"/>
          <w:color w:val="161616"/>
        </w:rPr>
        <w:t xml:space="preserve"> any </w:t>
      </w:r>
      <w:r>
        <w:rPr>
          <w:rFonts w:ascii="Arial" w:cs="Arial" w:eastAsia="Arial" w:hAnsi="Arial"/>
          <w:sz w:val="21"/>
          <w:szCs w:val="21"/>
          <w:color w:val="363636"/>
        </w:rPr>
        <w:t>such</w:t>
      </w:r>
      <w:r>
        <w:rPr>
          <w:rFonts w:ascii="Arial" w:cs="Arial" w:eastAsia="Arial" w:hAnsi="Arial"/>
          <w:sz w:val="21"/>
          <w:szCs w:val="21"/>
          <w:color w:val="161616"/>
        </w:rPr>
        <w:t xml:space="preserve"> increase in the </w:t>
      </w:r>
      <w:r>
        <w:rPr>
          <w:rFonts w:ascii="Arial" w:cs="Arial" w:eastAsia="Arial" w:hAnsi="Arial"/>
          <w:sz w:val="21"/>
          <w:szCs w:val="21"/>
          <w:color w:val="000000"/>
        </w:rPr>
        <w:t>assessed value of</w:t>
      </w:r>
      <w:r>
        <w:rPr>
          <w:rFonts w:ascii="Arial" w:cs="Arial" w:eastAsia="Arial" w:hAnsi="Arial"/>
          <w:sz w:val="21"/>
          <w:szCs w:val="21"/>
          <w:color w:val="161616"/>
        </w:rPr>
        <w:t xml:space="preserve"> the Building, </w:t>
      </w:r>
      <w:r>
        <w:rPr>
          <w:rFonts w:ascii="Arial" w:cs="Arial" w:eastAsia="Arial" w:hAnsi="Arial"/>
          <w:sz w:val="21"/>
          <w:szCs w:val="21"/>
          <w:color w:val="000000"/>
        </w:rPr>
        <w:t>the</w:t>
      </w:r>
      <w:r>
        <w:rPr>
          <w:rFonts w:ascii="Arial" w:cs="Arial" w:eastAsia="Arial" w:hAnsi="Arial"/>
          <w:sz w:val="21"/>
          <w:szCs w:val="21"/>
          <w:color w:val="161616"/>
        </w:rPr>
        <w:t xml:space="preserve"> Property or the Project, then </w:t>
      </w:r>
      <w:r>
        <w:rPr>
          <w:rFonts w:ascii="Arial" w:cs="Arial" w:eastAsia="Arial" w:hAnsi="Arial"/>
          <w:sz w:val="21"/>
          <w:szCs w:val="21"/>
          <w:color w:val="000000"/>
        </w:rPr>
        <w:t>Tenant</w:t>
      </w:r>
      <w:r>
        <w:rPr>
          <w:rFonts w:ascii="Arial" w:cs="Arial" w:eastAsia="Arial" w:hAnsi="Arial"/>
          <w:sz w:val="21"/>
          <w:szCs w:val="21"/>
          <w:color w:val="161616"/>
        </w:rPr>
        <w:t xml:space="preserve"> </w:t>
      </w:r>
      <w:r>
        <w:rPr>
          <w:rFonts w:ascii="Arial" w:cs="Arial" w:eastAsia="Arial" w:hAnsi="Arial"/>
          <w:sz w:val="21"/>
          <w:szCs w:val="21"/>
          <w:color w:val="363636"/>
        </w:rPr>
        <w:t xml:space="preserve">shall, upon </w:t>
      </w:r>
      <w:r>
        <w:rPr>
          <w:rFonts w:ascii="Arial" w:cs="Arial" w:eastAsia="Arial" w:hAnsi="Arial"/>
          <w:sz w:val="21"/>
          <w:szCs w:val="21"/>
          <w:color w:val="161616"/>
        </w:rPr>
        <w:t>demand, repay to Landlord</w:t>
      </w:r>
      <w:r>
        <w:rPr>
          <w:rFonts w:ascii="Arial" w:cs="Arial" w:eastAsia="Arial" w:hAnsi="Arial"/>
          <w:sz w:val="21"/>
          <w:szCs w:val="21"/>
          <w:color w:val="363636"/>
        </w:rPr>
        <w:t xml:space="preserve"> the taxes so </w:t>
      </w:r>
      <w:r>
        <w:rPr>
          <w:rFonts w:ascii="Arial" w:cs="Arial" w:eastAsia="Arial" w:hAnsi="Arial"/>
          <w:sz w:val="21"/>
          <w:szCs w:val="21"/>
          <w:color w:val="000000"/>
        </w:rPr>
        <w:t>paid by Landlord.</w:t>
      </w:r>
    </w:p>
    <w:p>
      <w:pPr>
        <w:spacing w:after="0" w:line="159" w:lineRule="exact"/>
        <w:rPr>
          <w:rFonts w:ascii="Arial" w:cs="Arial" w:eastAsia="Arial" w:hAnsi="Arial"/>
          <w:sz w:val="22"/>
          <w:szCs w:val="22"/>
          <w:color w:val="auto"/>
        </w:rPr>
      </w:pPr>
    </w:p>
    <w:p>
      <w:pPr>
        <w:ind w:left="1300" w:hanging="648"/>
        <w:spacing w:after="0" w:line="246" w:lineRule="auto"/>
        <w:rPr>
          <w:rFonts w:ascii="Arial" w:cs="Arial" w:eastAsia="Arial" w:hAnsi="Arial"/>
          <w:sz w:val="22"/>
          <w:szCs w:val="22"/>
          <w:color w:val="auto"/>
        </w:rPr>
      </w:pPr>
      <w:r>
        <w:rPr>
          <w:rFonts w:ascii="Arial" w:cs="Arial" w:eastAsia="Arial" w:hAnsi="Arial"/>
          <w:sz w:val="19"/>
          <w:szCs w:val="19"/>
          <w:color w:val="auto"/>
        </w:rPr>
        <w:t xml:space="preserve">10.3 </w:t>
      </w:r>
      <w:r>
        <w:rPr>
          <w:rFonts w:ascii="Arial" w:cs="Arial" w:eastAsia="Arial" w:hAnsi="Arial"/>
          <w:sz w:val="19"/>
          <w:szCs w:val="19"/>
          <w:color w:val="262626"/>
        </w:rPr>
        <w:t>If</w:t>
      </w:r>
      <w:r>
        <w:rPr>
          <w:rFonts w:ascii="Arial" w:cs="Arial" w:eastAsia="Arial" w:hAnsi="Arial"/>
          <w:sz w:val="19"/>
          <w:szCs w:val="19"/>
          <w:color w:val="auto"/>
        </w:rPr>
        <w:t xml:space="preserve"> any improvements in </w:t>
      </w:r>
      <w:r>
        <w:rPr>
          <w:rFonts w:ascii="Arial" w:cs="Arial" w:eastAsia="Arial" w:hAnsi="Arial"/>
          <w:sz w:val="19"/>
          <w:szCs w:val="19"/>
          <w:color w:val="262626"/>
        </w:rPr>
        <w:t>or alterations</w:t>
      </w:r>
      <w:r>
        <w:rPr>
          <w:rFonts w:ascii="Arial" w:cs="Arial" w:eastAsia="Arial" w:hAnsi="Arial"/>
          <w:sz w:val="19"/>
          <w:szCs w:val="19"/>
          <w:color w:val="auto"/>
        </w:rPr>
        <w:t xml:space="preserve"> to </w:t>
      </w:r>
      <w:r>
        <w:rPr>
          <w:rFonts w:ascii="Arial" w:cs="Arial" w:eastAsia="Arial" w:hAnsi="Arial"/>
          <w:sz w:val="19"/>
          <w:szCs w:val="19"/>
          <w:color w:val="363636"/>
        </w:rPr>
        <w:t>space</w:t>
      </w:r>
      <w:r>
        <w:rPr>
          <w:rFonts w:ascii="Arial" w:cs="Arial" w:eastAsia="Arial" w:hAnsi="Arial"/>
          <w:sz w:val="19"/>
          <w:szCs w:val="19"/>
          <w:color w:val="auto"/>
        </w:rPr>
        <w:t xml:space="preserve"> </w:t>
      </w:r>
      <w:r>
        <w:rPr>
          <w:rFonts w:ascii="Arial" w:cs="Arial" w:eastAsia="Arial" w:hAnsi="Arial"/>
          <w:sz w:val="19"/>
          <w:szCs w:val="19"/>
          <w:color w:val="262626"/>
        </w:rPr>
        <w:t>in the</w:t>
      </w:r>
      <w:r>
        <w:rPr>
          <w:rFonts w:ascii="Arial" w:cs="Arial" w:eastAsia="Arial" w:hAnsi="Arial"/>
          <w:sz w:val="19"/>
          <w:szCs w:val="19"/>
          <w:color w:val="auto"/>
        </w:rPr>
        <w:t xml:space="preserve"> Lower </w:t>
      </w:r>
      <w:r>
        <w:rPr>
          <w:rFonts w:ascii="Arial" w:cs="Arial" w:eastAsia="Arial" w:hAnsi="Arial"/>
          <w:sz w:val="19"/>
          <w:szCs w:val="19"/>
          <w:color w:val="262626"/>
        </w:rPr>
        <w:t>Campus</w:t>
      </w:r>
      <w:r>
        <w:rPr>
          <w:rFonts w:ascii="Arial" w:cs="Arial" w:eastAsia="Arial" w:hAnsi="Arial"/>
          <w:sz w:val="19"/>
          <w:szCs w:val="19"/>
          <w:color w:val="auto"/>
        </w:rPr>
        <w:t xml:space="preserve"> </w:t>
      </w:r>
      <w:r>
        <w:rPr>
          <w:rFonts w:ascii="Arial" w:cs="Arial" w:eastAsia="Arial" w:hAnsi="Arial"/>
          <w:sz w:val="19"/>
          <w:szCs w:val="19"/>
          <w:color w:val="363636"/>
        </w:rPr>
        <w:t>leased</w:t>
      </w:r>
      <w:r>
        <w:rPr>
          <w:rFonts w:ascii="Arial" w:cs="Arial" w:eastAsia="Arial" w:hAnsi="Arial"/>
          <w:sz w:val="19"/>
          <w:szCs w:val="19"/>
          <w:color w:val="auto"/>
        </w:rPr>
        <w:t xml:space="preserve"> by other tenants </w:t>
      </w:r>
      <w:r>
        <w:rPr>
          <w:rFonts w:ascii="Arial" w:cs="Arial" w:eastAsia="Arial" w:hAnsi="Arial"/>
          <w:sz w:val="19"/>
          <w:szCs w:val="19"/>
          <w:color w:val="262626"/>
        </w:rPr>
        <w:t>at</w:t>
      </w:r>
      <w:r>
        <w:rPr>
          <w:rFonts w:ascii="Arial" w:cs="Arial" w:eastAsia="Arial" w:hAnsi="Arial"/>
          <w:sz w:val="19"/>
          <w:szCs w:val="19"/>
          <w:color w:val="auto"/>
        </w:rPr>
        <w:t xml:space="preserve"> </w:t>
      </w:r>
      <w:r>
        <w:rPr>
          <w:rFonts w:ascii="Arial" w:cs="Arial" w:eastAsia="Arial" w:hAnsi="Arial"/>
          <w:sz w:val="19"/>
          <w:szCs w:val="19"/>
          <w:color w:val="363636"/>
        </w:rPr>
        <w:t>the Project,</w:t>
      </w:r>
      <w:r>
        <w:rPr>
          <w:rFonts w:ascii="Arial" w:cs="Arial" w:eastAsia="Arial" w:hAnsi="Arial"/>
          <w:sz w:val="19"/>
          <w:szCs w:val="19"/>
          <w:color w:val="auto"/>
        </w:rPr>
        <w:t xml:space="preserve"> </w:t>
      </w:r>
      <w:r>
        <w:rPr>
          <w:rFonts w:ascii="Arial" w:cs="Arial" w:eastAsia="Arial" w:hAnsi="Arial"/>
          <w:sz w:val="19"/>
          <w:szCs w:val="19"/>
          <w:color w:val="262626"/>
        </w:rPr>
        <w:t>whether</w:t>
      </w:r>
      <w:r>
        <w:rPr>
          <w:rFonts w:ascii="Arial" w:cs="Arial" w:eastAsia="Arial" w:hAnsi="Arial"/>
          <w:sz w:val="19"/>
          <w:szCs w:val="19"/>
          <w:color w:val="auto"/>
        </w:rPr>
        <w:t xml:space="preserve"> </w:t>
      </w:r>
      <w:r>
        <w:rPr>
          <w:rFonts w:ascii="Arial" w:cs="Arial" w:eastAsia="Arial" w:hAnsi="Arial"/>
          <w:sz w:val="19"/>
          <w:szCs w:val="19"/>
          <w:color w:val="262626"/>
        </w:rPr>
        <w:t xml:space="preserve">owned </w:t>
      </w:r>
      <w:r>
        <w:rPr>
          <w:rFonts w:ascii="Arial" w:cs="Arial" w:eastAsia="Arial" w:hAnsi="Arial"/>
          <w:sz w:val="19"/>
          <w:szCs w:val="19"/>
          <w:color w:val="000000"/>
        </w:rPr>
        <w:t>by Landlord</w:t>
      </w:r>
      <w:r>
        <w:rPr>
          <w:rFonts w:ascii="Arial" w:cs="Arial" w:eastAsia="Arial" w:hAnsi="Arial"/>
          <w:sz w:val="19"/>
          <w:szCs w:val="19"/>
          <w:color w:val="262626"/>
        </w:rPr>
        <w:t xml:space="preserve"> or </w:t>
      </w:r>
      <w:r>
        <w:rPr>
          <w:rFonts w:ascii="Arial" w:cs="Arial" w:eastAsia="Arial" w:hAnsi="Arial"/>
          <w:sz w:val="19"/>
          <w:szCs w:val="19"/>
          <w:color w:val="363636"/>
        </w:rPr>
        <w:t>such</w:t>
      </w:r>
      <w:r>
        <w:rPr>
          <w:rFonts w:ascii="Arial" w:cs="Arial" w:eastAsia="Arial" w:hAnsi="Arial"/>
          <w:sz w:val="19"/>
          <w:szCs w:val="19"/>
          <w:color w:val="262626"/>
        </w:rPr>
        <w:t xml:space="preserve"> </w:t>
      </w:r>
      <w:r>
        <w:rPr>
          <w:rFonts w:ascii="Arial" w:cs="Arial" w:eastAsia="Arial" w:hAnsi="Arial"/>
          <w:sz w:val="19"/>
          <w:szCs w:val="19"/>
          <w:color w:val="000000"/>
        </w:rPr>
        <w:t>other tenant and</w:t>
      </w:r>
      <w:r>
        <w:rPr>
          <w:rFonts w:ascii="Arial" w:cs="Arial" w:eastAsia="Arial" w:hAnsi="Arial"/>
          <w:sz w:val="19"/>
          <w:szCs w:val="19"/>
          <w:color w:val="262626"/>
        </w:rPr>
        <w:t xml:space="preserve"> whether or </w:t>
      </w:r>
      <w:r>
        <w:rPr>
          <w:rFonts w:ascii="Arial" w:cs="Arial" w:eastAsia="Arial" w:hAnsi="Arial"/>
          <w:sz w:val="19"/>
          <w:szCs w:val="19"/>
          <w:color w:val="000000"/>
        </w:rPr>
        <w:t>not</w:t>
      </w:r>
      <w:r>
        <w:rPr>
          <w:rFonts w:ascii="Arial" w:cs="Arial" w:eastAsia="Arial" w:hAnsi="Arial"/>
          <w:sz w:val="19"/>
          <w:szCs w:val="19"/>
          <w:color w:val="262626"/>
        </w:rPr>
        <w:t xml:space="preserve"> affixed </w:t>
      </w:r>
      <w:r>
        <w:rPr>
          <w:rFonts w:ascii="Arial" w:cs="Arial" w:eastAsia="Arial" w:hAnsi="Arial"/>
          <w:sz w:val="19"/>
          <w:szCs w:val="19"/>
          <w:color w:val="000000"/>
        </w:rPr>
        <w:t>to the real property</w:t>
      </w:r>
      <w:r>
        <w:rPr>
          <w:rFonts w:ascii="Arial" w:cs="Arial" w:eastAsia="Arial" w:hAnsi="Arial"/>
          <w:sz w:val="19"/>
          <w:szCs w:val="19"/>
          <w:color w:val="262626"/>
        </w:rPr>
        <w:t xml:space="preserve"> so </w:t>
      </w:r>
      <w:r>
        <w:rPr>
          <w:rFonts w:ascii="Arial" w:cs="Arial" w:eastAsia="Arial" w:hAnsi="Arial"/>
          <w:sz w:val="19"/>
          <w:szCs w:val="19"/>
          <w:color w:val="000000"/>
        </w:rPr>
        <w:t>as to</w:t>
      </w:r>
      <w:r>
        <w:rPr>
          <w:rFonts w:ascii="Arial" w:cs="Arial" w:eastAsia="Arial" w:hAnsi="Arial"/>
          <w:sz w:val="19"/>
          <w:szCs w:val="19"/>
          <w:color w:val="262626"/>
        </w:rPr>
        <w:t xml:space="preserve"> become </w:t>
      </w:r>
      <w:r>
        <w:rPr>
          <w:rFonts w:ascii="Arial" w:cs="Arial" w:eastAsia="Arial" w:hAnsi="Arial"/>
          <w:sz w:val="19"/>
          <w:szCs w:val="19"/>
          <w:color w:val="000000"/>
        </w:rPr>
        <w:t>a part</w:t>
      </w:r>
      <w:r>
        <w:rPr>
          <w:rFonts w:ascii="Arial" w:cs="Arial" w:eastAsia="Arial" w:hAnsi="Arial"/>
          <w:sz w:val="19"/>
          <w:szCs w:val="19"/>
          <w:color w:val="262626"/>
        </w:rPr>
        <w:t xml:space="preserve"> </w:t>
      </w:r>
      <w:r>
        <w:rPr>
          <w:rFonts w:ascii="Arial" w:cs="Arial" w:eastAsia="Arial" w:hAnsi="Arial"/>
          <w:sz w:val="19"/>
          <w:szCs w:val="19"/>
          <w:color w:val="000000"/>
        </w:rPr>
        <w:t xml:space="preserve">thereof, </w:t>
      </w:r>
      <w:r>
        <w:rPr>
          <w:rFonts w:ascii="Arial" w:cs="Arial" w:eastAsia="Arial" w:hAnsi="Arial"/>
          <w:sz w:val="19"/>
          <w:szCs w:val="19"/>
          <w:color w:val="262626"/>
        </w:rPr>
        <w:t>are assessed for</w:t>
      </w:r>
      <w:r>
        <w:rPr>
          <w:rFonts w:ascii="Arial" w:cs="Arial" w:eastAsia="Arial" w:hAnsi="Arial"/>
          <w:sz w:val="19"/>
          <w:szCs w:val="19"/>
          <w:color w:val="000000"/>
        </w:rPr>
        <w:t xml:space="preserve"> real </w:t>
      </w:r>
      <w:r>
        <w:rPr>
          <w:rFonts w:ascii="Arial" w:cs="Arial" w:eastAsia="Arial" w:hAnsi="Arial"/>
          <w:sz w:val="19"/>
          <w:szCs w:val="19"/>
          <w:color w:val="262626"/>
        </w:rPr>
        <w:t>property</w:t>
      </w:r>
      <w:r>
        <w:rPr>
          <w:rFonts w:ascii="Arial" w:cs="Arial" w:eastAsia="Arial" w:hAnsi="Arial"/>
          <w:sz w:val="19"/>
          <w:szCs w:val="19"/>
          <w:color w:val="000000"/>
        </w:rPr>
        <w:t xml:space="preserve"> tax </w:t>
      </w:r>
      <w:r>
        <w:rPr>
          <w:rFonts w:ascii="Arial" w:cs="Arial" w:eastAsia="Arial" w:hAnsi="Arial"/>
          <w:sz w:val="19"/>
          <w:szCs w:val="19"/>
          <w:color w:val="363636"/>
        </w:rPr>
        <w:t>purposes</w:t>
      </w:r>
      <w:r>
        <w:rPr>
          <w:rFonts w:ascii="Arial" w:cs="Arial" w:eastAsia="Arial" w:hAnsi="Arial"/>
          <w:sz w:val="19"/>
          <w:szCs w:val="19"/>
          <w:color w:val="000000"/>
        </w:rPr>
        <w:t xml:space="preserve"> at </w:t>
      </w:r>
      <w:r>
        <w:rPr>
          <w:rFonts w:ascii="Arial" w:cs="Arial" w:eastAsia="Arial" w:hAnsi="Arial"/>
          <w:sz w:val="19"/>
          <w:szCs w:val="19"/>
          <w:color w:val="262626"/>
        </w:rPr>
        <w:t>a valuation</w:t>
      </w:r>
      <w:r>
        <w:rPr>
          <w:rFonts w:ascii="Arial" w:cs="Arial" w:eastAsia="Arial" w:hAnsi="Arial"/>
          <w:sz w:val="19"/>
          <w:szCs w:val="19"/>
          <w:color w:val="000000"/>
        </w:rPr>
        <w:t xml:space="preserve"> higher than </w:t>
      </w:r>
      <w:r>
        <w:rPr>
          <w:rFonts w:ascii="Arial" w:cs="Arial" w:eastAsia="Arial" w:hAnsi="Arial"/>
          <w:sz w:val="19"/>
          <w:szCs w:val="19"/>
          <w:color w:val="363636"/>
        </w:rPr>
        <w:t>the</w:t>
      </w:r>
      <w:r>
        <w:rPr>
          <w:rFonts w:ascii="Arial" w:cs="Arial" w:eastAsia="Arial" w:hAnsi="Arial"/>
          <w:sz w:val="19"/>
          <w:szCs w:val="19"/>
          <w:color w:val="000000"/>
        </w:rPr>
        <w:t xml:space="preserve"> </w:t>
      </w:r>
      <w:r>
        <w:rPr>
          <w:rFonts w:ascii="Arial" w:cs="Arial" w:eastAsia="Arial" w:hAnsi="Arial"/>
          <w:sz w:val="19"/>
          <w:szCs w:val="19"/>
          <w:color w:val="262626"/>
        </w:rPr>
        <w:t>valuation</w:t>
      </w:r>
      <w:r>
        <w:rPr>
          <w:rFonts w:ascii="Arial" w:cs="Arial" w:eastAsia="Arial" w:hAnsi="Arial"/>
          <w:sz w:val="19"/>
          <w:szCs w:val="19"/>
          <w:color w:val="000000"/>
        </w:rPr>
        <w:t xml:space="preserve"> at </w:t>
      </w:r>
      <w:r>
        <w:rPr>
          <w:rFonts w:ascii="Arial" w:cs="Arial" w:eastAsia="Arial" w:hAnsi="Arial"/>
          <w:sz w:val="19"/>
          <w:szCs w:val="19"/>
          <w:color w:val="262626"/>
        </w:rPr>
        <w:t>which</w:t>
      </w:r>
      <w:r>
        <w:rPr>
          <w:rFonts w:ascii="Arial" w:cs="Arial" w:eastAsia="Arial" w:hAnsi="Arial"/>
          <w:sz w:val="19"/>
          <w:szCs w:val="19"/>
          <w:color w:val="000000"/>
        </w:rPr>
        <w:t xml:space="preserve"> improvements </w:t>
      </w:r>
      <w:r>
        <w:rPr>
          <w:rFonts w:ascii="Arial" w:cs="Arial" w:eastAsia="Arial" w:hAnsi="Arial"/>
          <w:sz w:val="19"/>
          <w:szCs w:val="19"/>
          <w:color w:val="262626"/>
        </w:rPr>
        <w:t xml:space="preserve">conforming </w:t>
      </w:r>
      <w:r>
        <w:rPr>
          <w:rFonts w:ascii="Arial" w:cs="Arial" w:eastAsia="Arial" w:hAnsi="Arial"/>
          <w:sz w:val="19"/>
          <w:szCs w:val="19"/>
          <w:color w:val="000000"/>
        </w:rPr>
        <w:t>to Landlord’s building</w:t>
      </w:r>
      <w:r>
        <w:rPr>
          <w:rFonts w:ascii="Arial" w:cs="Arial" w:eastAsia="Arial" w:hAnsi="Arial"/>
          <w:sz w:val="19"/>
          <w:szCs w:val="19"/>
          <w:color w:val="262626"/>
        </w:rPr>
        <w:t xml:space="preserve"> </w:t>
      </w:r>
      <w:r>
        <w:rPr>
          <w:rFonts w:ascii="Arial" w:cs="Arial" w:eastAsia="Arial" w:hAnsi="Arial"/>
          <w:sz w:val="19"/>
          <w:szCs w:val="19"/>
          <w:color w:val="363636"/>
        </w:rPr>
        <w:t>standards</w:t>
      </w:r>
      <w:r>
        <w:rPr>
          <w:rFonts w:ascii="Arial" w:cs="Arial" w:eastAsia="Arial" w:hAnsi="Arial"/>
          <w:sz w:val="19"/>
          <w:szCs w:val="19"/>
          <w:color w:val="262626"/>
        </w:rPr>
        <w:t xml:space="preserve"> </w:t>
      </w:r>
      <w:r>
        <w:rPr>
          <w:rFonts w:ascii="Arial" w:cs="Arial" w:eastAsia="Arial" w:hAnsi="Arial"/>
          <w:sz w:val="19"/>
          <w:szCs w:val="19"/>
          <w:color w:val="000000"/>
        </w:rPr>
        <w:t>(the</w:t>
      </w:r>
      <w:r>
        <w:rPr>
          <w:rFonts w:ascii="Arial" w:cs="Arial" w:eastAsia="Arial" w:hAnsi="Arial"/>
          <w:sz w:val="19"/>
          <w:szCs w:val="19"/>
          <w:color w:val="262626"/>
        </w:rPr>
        <w:t xml:space="preserve"> “</w:t>
      </w:r>
      <w:r>
        <w:rPr>
          <w:rFonts w:ascii="Arial" w:cs="Arial" w:eastAsia="Arial" w:hAnsi="Arial"/>
          <w:sz w:val="19"/>
          <w:szCs w:val="19"/>
          <w:u w:val="single" w:color="auto"/>
          <w:color w:val="262626"/>
        </w:rPr>
        <w:t>Building</w:t>
      </w:r>
      <w:r>
        <w:rPr>
          <w:rFonts w:ascii="Arial" w:cs="Arial" w:eastAsia="Arial" w:hAnsi="Arial"/>
          <w:sz w:val="19"/>
          <w:szCs w:val="19"/>
          <w:color w:val="262626"/>
        </w:rPr>
        <w:t xml:space="preserve"> </w:t>
      </w:r>
      <w:r>
        <w:rPr>
          <w:rFonts w:ascii="Arial" w:cs="Arial" w:eastAsia="Arial" w:hAnsi="Arial"/>
          <w:sz w:val="19"/>
          <w:szCs w:val="19"/>
          <w:u w:val="single" w:color="auto"/>
          <w:color w:val="363636"/>
        </w:rPr>
        <w:t>Standard</w:t>
      </w:r>
      <w:r>
        <w:rPr>
          <w:rFonts w:ascii="Arial" w:cs="Arial" w:eastAsia="Arial" w:hAnsi="Arial"/>
          <w:sz w:val="19"/>
          <w:szCs w:val="19"/>
          <w:color w:val="363636"/>
        </w:rPr>
        <w:t>”),</w:t>
      </w:r>
      <w:r>
        <w:rPr>
          <w:rFonts w:ascii="Arial" w:cs="Arial" w:eastAsia="Arial" w:hAnsi="Arial"/>
          <w:sz w:val="19"/>
          <w:szCs w:val="19"/>
          <w:color w:val="262626"/>
        </w:rPr>
        <w:t xml:space="preserve"> then the real property </w:t>
      </w:r>
      <w:r>
        <w:rPr>
          <w:rFonts w:ascii="Arial" w:cs="Arial" w:eastAsia="Arial" w:hAnsi="Arial"/>
          <w:sz w:val="19"/>
          <w:szCs w:val="19"/>
          <w:color w:val="000000"/>
        </w:rPr>
        <w:t>taxes</w:t>
      </w:r>
      <w:r>
        <w:rPr>
          <w:rFonts w:ascii="Arial" w:cs="Arial" w:eastAsia="Arial" w:hAnsi="Arial"/>
          <w:sz w:val="19"/>
          <w:szCs w:val="19"/>
          <w:color w:val="262626"/>
        </w:rPr>
        <w:t xml:space="preserve"> and assessments </w:t>
      </w:r>
      <w:r>
        <w:rPr>
          <w:rFonts w:ascii="Arial" w:cs="Arial" w:eastAsia="Arial" w:hAnsi="Arial"/>
          <w:sz w:val="19"/>
          <w:szCs w:val="19"/>
          <w:color w:val="000000"/>
        </w:rPr>
        <w:t>levied</w:t>
      </w:r>
      <w:r>
        <w:rPr>
          <w:rFonts w:ascii="Arial" w:cs="Arial" w:eastAsia="Arial" w:hAnsi="Arial"/>
          <w:sz w:val="19"/>
          <w:szCs w:val="19"/>
          <w:color w:val="262626"/>
        </w:rPr>
        <w:t xml:space="preserve"> </w:t>
      </w:r>
      <w:r>
        <w:rPr>
          <w:rFonts w:ascii="Arial" w:cs="Arial" w:eastAsia="Arial" w:hAnsi="Arial"/>
          <w:sz w:val="19"/>
          <w:szCs w:val="19"/>
          <w:color w:val="363636"/>
        </w:rPr>
        <w:t>against</w:t>
      </w:r>
      <w:r>
        <w:rPr>
          <w:rFonts w:ascii="Arial" w:cs="Arial" w:eastAsia="Arial" w:hAnsi="Arial"/>
          <w:sz w:val="19"/>
          <w:szCs w:val="19"/>
          <w:color w:val="262626"/>
        </w:rPr>
        <w:t xml:space="preserve"> </w:t>
      </w:r>
      <w:r>
        <w:rPr>
          <w:rFonts w:ascii="Arial" w:cs="Arial" w:eastAsia="Arial" w:hAnsi="Arial"/>
          <w:sz w:val="19"/>
          <w:szCs w:val="19"/>
          <w:color w:val="000000"/>
        </w:rPr>
        <w:t>Landlord</w:t>
      </w:r>
      <w:r>
        <w:rPr>
          <w:rFonts w:ascii="Arial" w:cs="Arial" w:eastAsia="Arial" w:hAnsi="Arial"/>
          <w:sz w:val="19"/>
          <w:szCs w:val="19"/>
          <w:color w:val="262626"/>
        </w:rPr>
        <w:t xml:space="preserve"> or </w:t>
      </w:r>
      <w:r>
        <w:rPr>
          <w:rFonts w:ascii="Arial" w:cs="Arial" w:eastAsia="Arial" w:hAnsi="Arial"/>
          <w:sz w:val="19"/>
          <w:szCs w:val="19"/>
          <w:color w:val="000000"/>
        </w:rPr>
        <w:t>the Building, the</w:t>
      </w:r>
      <w:r>
        <w:rPr>
          <w:rFonts w:ascii="Arial" w:cs="Arial" w:eastAsia="Arial" w:hAnsi="Arial"/>
          <w:sz w:val="19"/>
          <w:szCs w:val="19"/>
          <w:color w:val="262626"/>
        </w:rPr>
        <w:t xml:space="preserve"> Property or the </w:t>
      </w:r>
      <w:r>
        <w:rPr>
          <w:rFonts w:ascii="Arial" w:cs="Arial" w:eastAsia="Arial" w:hAnsi="Arial"/>
          <w:sz w:val="19"/>
          <w:szCs w:val="19"/>
          <w:color w:val="000000"/>
        </w:rPr>
        <w:t>Project by reason</w:t>
      </w:r>
      <w:r>
        <w:rPr>
          <w:rFonts w:ascii="Arial" w:cs="Arial" w:eastAsia="Arial" w:hAnsi="Arial"/>
          <w:sz w:val="19"/>
          <w:szCs w:val="19"/>
          <w:color w:val="262626"/>
        </w:rPr>
        <w:t xml:space="preserve"> of such </w:t>
      </w:r>
      <w:r>
        <w:rPr>
          <w:rFonts w:ascii="Arial" w:cs="Arial" w:eastAsia="Arial" w:hAnsi="Arial"/>
          <w:sz w:val="19"/>
          <w:szCs w:val="19"/>
          <w:color w:val="000000"/>
        </w:rPr>
        <w:t>excess</w:t>
      </w:r>
      <w:r>
        <w:rPr>
          <w:rFonts w:ascii="Arial" w:cs="Arial" w:eastAsia="Arial" w:hAnsi="Arial"/>
          <w:sz w:val="19"/>
          <w:szCs w:val="19"/>
          <w:color w:val="262626"/>
        </w:rPr>
        <w:t xml:space="preserve"> assessed </w:t>
      </w:r>
      <w:r>
        <w:rPr>
          <w:rFonts w:ascii="Arial" w:cs="Arial" w:eastAsia="Arial" w:hAnsi="Arial"/>
          <w:sz w:val="19"/>
          <w:szCs w:val="19"/>
          <w:color w:val="363636"/>
        </w:rPr>
        <w:t xml:space="preserve">valuation shall not </w:t>
      </w:r>
      <w:r>
        <w:rPr>
          <w:rFonts w:ascii="Arial" w:cs="Arial" w:eastAsia="Arial" w:hAnsi="Arial"/>
          <w:sz w:val="19"/>
          <w:szCs w:val="19"/>
          <w:color w:val="000000"/>
        </w:rPr>
        <w:t>be included</w:t>
      </w:r>
      <w:r>
        <w:rPr>
          <w:rFonts w:ascii="Arial" w:cs="Arial" w:eastAsia="Arial" w:hAnsi="Arial"/>
          <w:sz w:val="19"/>
          <w:szCs w:val="19"/>
          <w:color w:val="363636"/>
        </w:rPr>
        <w:t xml:space="preserve"> </w:t>
      </w:r>
      <w:r>
        <w:rPr>
          <w:rFonts w:ascii="Arial" w:cs="Arial" w:eastAsia="Arial" w:hAnsi="Arial"/>
          <w:sz w:val="19"/>
          <w:szCs w:val="19"/>
          <w:color w:val="262626"/>
        </w:rPr>
        <w:t>in</w:t>
      </w:r>
      <w:r>
        <w:rPr>
          <w:rFonts w:ascii="Arial" w:cs="Arial" w:eastAsia="Arial" w:hAnsi="Arial"/>
          <w:sz w:val="19"/>
          <w:szCs w:val="19"/>
          <w:color w:val="363636"/>
        </w:rPr>
        <w:t xml:space="preserve"> </w:t>
      </w:r>
      <w:r>
        <w:rPr>
          <w:rFonts w:ascii="Arial" w:cs="Arial" w:eastAsia="Arial" w:hAnsi="Arial"/>
          <w:sz w:val="19"/>
          <w:szCs w:val="19"/>
          <w:color w:val="000000"/>
        </w:rPr>
        <w:t>Operating</w:t>
      </w:r>
      <w:r>
        <w:rPr>
          <w:rFonts w:ascii="Arial" w:cs="Arial" w:eastAsia="Arial" w:hAnsi="Arial"/>
          <w:sz w:val="19"/>
          <w:szCs w:val="19"/>
          <w:color w:val="363636"/>
        </w:rPr>
        <w:t xml:space="preserve"> Expenses. </w:t>
      </w:r>
      <w:r>
        <w:rPr>
          <w:rFonts w:ascii="Arial" w:cs="Arial" w:eastAsia="Arial" w:hAnsi="Arial"/>
          <w:sz w:val="19"/>
          <w:szCs w:val="19"/>
          <w:color w:val="262626"/>
        </w:rPr>
        <w:t>If</w:t>
      </w:r>
      <w:r>
        <w:rPr>
          <w:rFonts w:ascii="Arial" w:cs="Arial" w:eastAsia="Arial" w:hAnsi="Arial"/>
          <w:sz w:val="19"/>
          <w:szCs w:val="19"/>
          <w:color w:val="363636"/>
        </w:rPr>
        <w:t xml:space="preserve"> </w:t>
      </w:r>
      <w:r>
        <w:rPr>
          <w:rFonts w:ascii="Arial" w:cs="Arial" w:eastAsia="Arial" w:hAnsi="Arial"/>
          <w:sz w:val="19"/>
          <w:szCs w:val="19"/>
          <w:color w:val="000000"/>
        </w:rPr>
        <w:t>the records</w:t>
      </w:r>
      <w:r>
        <w:rPr>
          <w:rFonts w:ascii="Arial" w:cs="Arial" w:eastAsia="Arial" w:hAnsi="Arial"/>
          <w:sz w:val="19"/>
          <w:szCs w:val="19"/>
          <w:color w:val="363636"/>
        </w:rPr>
        <w:t xml:space="preserve"> </w:t>
      </w:r>
      <w:r>
        <w:rPr>
          <w:rFonts w:ascii="Arial" w:cs="Arial" w:eastAsia="Arial" w:hAnsi="Arial"/>
          <w:sz w:val="19"/>
          <w:szCs w:val="19"/>
          <w:color w:val="262626"/>
        </w:rPr>
        <w:t>of</w:t>
      </w:r>
      <w:r>
        <w:rPr>
          <w:rFonts w:ascii="Arial" w:cs="Arial" w:eastAsia="Arial" w:hAnsi="Arial"/>
          <w:sz w:val="19"/>
          <w:szCs w:val="19"/>
          <w:color w:val="363636"/>
        </w:rPr>
        <w:t xml:space="preserve"> </w:t>
      </w:r>
      <w:r>
        <w:rPr>
          <w:rFonts w:ascii="Arial" w:cs="Arial" w:eastAsia="Arial" w:hAnsi="Arial"/>
          <w:sz w:val="19"/>
          <w:szCs w:val="19"/>
          <w:color w:val="000000"/>
        </w:rPr>
        <w:t>the</w:t>
      </w:r>
      <w:r>
        <w:rPr>
          <w:rFonts w:ascii="Arial" w:cs="Arial" w:eastAsia="Arial" w:hAnsi="Arial"/>
          <w:sz w:val="19"/>
          <w:szCs w:val="19"/>
          <w:color w:val="363636"/>
        </w:rPr>
        <w:t xml:space="preserve"> </w:t>
      </w:r>
      <w:r>
        <w:rPr>
          <w:rFonts w:ascii="Arial" w:cs="Arial" w:eastAsia="Arial" w:hAnsi="Arial"/>
          <w:sz w:val="19"/>
          <w:szCs w:val="19"/>
          <w:color w:val="262626"/>
        </w:rPr>
        <w:t>County Assessor are</w:t>
      </w:r>
      <w:r>
        <w:rPr>
          <w:rFonts w:ascii="Arial" w:cs="Arial" w:eastAsia="Arial" w:hAnsi="Arial"/>
          <w:sz w:val="19"/>
          <w:szCs w:val="19"/>
          <w:color w:val="363636"/>
        </w:rPr>
        <w:t xml:space="preserve"> available </w:t>
      </w:r>
      <w:r>
        <w:rPr>
          <w:rFonts w:ascii="Arial" w:cs="Arial" w:eastAsia="Arial" w:hAnsi="Arial"/>
          <w:sz w:val="19"/>
          <w:szCs w:val="19"/>
          <w:color w:val="000000"/>
        </w:rPr>
        <w:t>and</w:t>
      </w:r>
      <w:r>
        <w:rPr>
          <w:rFonts w:ascii="Arial" w:cs="Arial" w:eastAsia="Arial" w:hAnsi="Arial"/>
          <w:sz w:val="19"/>
          <w:szCs w:val="19"/>
          <w:color w:val="363636"/>
        </w:rPr>
        <w:t xml:space="preserve"> sufficiently </w:t>
      </w:r>
      <w:r>
        <w:rPr>
          <w:rFonts w:ascii="Arial" w:cs="Arial" w:eastAsia="Arial" w:hAnsi="Arial"/>
          <w:sz w:val="19"/>
          <w:szCs w:val="19"/>
          <w:color w:val="000000"/>
        </w:rPr>
        <w:t>detailed</w:t>
      </w:r>
      <w:r>
        <w:rPr>
          <w:rFonts w:ascii="Arial" w:cs="Arial" w:eastAsia="Arial" w:hAnsi="Arial"/>
          <w:sz w:val="19"/>
          <w:szCs w:val="19"/>
          <w:color w:val="363636"/>
        </w:rPr>
        <w:t xml:space="preserve"> to serve as </w:t>
      </w:r>
      <w:r>
        <w:rPr>
          <w:rFonts w:ascii="Arial" w:cs="Arial" w:eastAsia="Arial" w:hAnsi="Arial"/>
          <w:sz w:val="19"/>
          <w:szCs w:val="19"/>
          <w:color w:val="262626"/>
        </w:rPr>
        <w:t>a</w:t>
      </w:r>
      <w:r>
        <w:rPr>
          <w:rFonts w:ascii="Arial" w:cs="Arial" w:eastAsia="Arial" w:hAnsi="Arial"/>
          <w:sz w:val="19"/>
          <w:szCs w:val="19"/>
          <w:color w:val="363636"/>
        </w:rPr>
        <w:t xml:space="preserve"> </w:t>
      </w:r>
      <w:r>
        <w:rPr>
          <w:rFonts w:ascii="Arial" w:cs="Arial" w:eastAsia="Arial" w:hAnsi="Arial"/>
          <w:sz w:val="19"/>
          <w:szCs w:val="19"/>
          <w:color w:val="000000"/>
        </w:rPr>
        <w:t>basis</w:t>
      </w:r>
      <w:r>
        <w:rPr>
          <w:rFonts w:ascii="Arial" w:cs="Arial" w:eastAsia="Arial" w:hAnsi="Arial"/>
          <w:sz w:val="19"/>
          <w:szCs w:val="19"/>
          <w:color w:val="363636"/>
        </w:rPr>
        <w:t xml:space="preserve"> </w:t>
      </w:r>
      <w:r>
        <w:rPr>
          <w:rFonts w:ascii="Arial" w:cs="Arial" w:eastAsia="Arial" w:hAnsi="Arial"/>
          <w:sz w:val="19"/>
          <w:szCs w:val="19"/>
          <w:color w:val="262626"/>
        </w:rPr>
        <w:t>for</w:t>
      </w:r>
      <w:r>
        <w:rPr>
          <w:rFonts w:ascii="Arial" w:cs="Arial" w:eastAsia="Arial" w:hAnsi="Arial"/>
          <w:sz w:val="19"/>
          <w:szCs w:val="19"/>
          <w:color w:val="363636"/>
        </w:rPr>
        <w:t xml:space="preserve"> </w:t>
      </w:r>
      <w:r>
        <w:rPr>
          <w:rFonts w:ascii="Arial" w:cs="Arial" w:eastAsia="Arial" w:hAnsi="Arial"/>
          <w:sz w:val="19"/>
          <w:szCs w:val="19"/>
          <w:color w:val="000000"/>
        </w:rPr>
        <w:t>determining</w:t>
      </w:r>
      <w:r>
        <w:rPr>
          <w:rFonts w:ascii="Arial" w:cs="Arial" w:eastAsia="Arial" w:hAnsi="Arial"/>
          <w:sz w:val="19"/>
          <w:szCs w:val="19"/>
          <w:color w:val="363636"/>
        </w:rPr>
        <w:t xml:space="preserve"> </w:t>
      </w:r>
      <w:r>
        <w:rPr>
          <w:rFonts w:ascii="Arial" w:cs="Arial" w:eastAsia="Arial" w:hAnsi="Arial"/>
          <w:sz w:val="19"/>
          <w:szCs w:val="19"/>
          <w:color w:val="262626"/>
        </w:rPr>
        <w:t>whether</w:t>
      </w:r>
      <w:r>
        <w:rPr>
          <w:rFonts w:ascii="Arial" w:cs="Arial" w:eastAsia="Arial" w:hAnsi="Arial"/>
          <w:sz w:val="19"/>
          <w:szCs w:val="19"/>
          <w:color w:val="363636"/>
        </w:rPr>
        <w:t xml:space="preserve"> said </w:t>
      </w:r>
      <w:r>
        <w:rPr>
          <w:rFonts w:ascii="Arial" w:cs="Arial" w:eastAsia="Arial" w:hAnsi="Arial"/>
          <w:sz w:val="19"/>
          <w:szCs w:val="19"/>
          <w:color w:val="000000"/>
        </w:rPr>
        <w:t>improvements</w:t>
      </w:r>
      <w:r>
        <w:rPr>
          <w:rFonts w:ascii="Arial" w:cs="Arial" w:eastAsia="Arial" w:hAnsi="Arial"/>
          <w:sz w:val="19"/>
          <w:szCs w:val="19"/>
          <w:color w:val="363636"/>
        </w:rPr>
        <w:t xml:space="preserve"> </w:t>
      </w:r>
      <w:r>
        <w:rPr>
          <w:rFonts w:ascii="Arial" w:cs="Arial" w:eastAsia="Arial" w:hAnsi="Arial"/>
          <w:sz w:val="19"/>
          <w:szCs w:val="19"/>
          <w:color w:val="262626"/>
        </w:rPr>
        <w:t>or</w:t>
      </w:r>
      <w:r>
        <w:rPr>
          <w:rFonts w:ascii="Arial" w:cs="Arial" w:eastAsia="Arial" w:hAnsi="Arial"/>
          <w:sz w:val="19"/>
          <w:szCs w:val="19"/>
          <w:color w:val="363636"/>
        </w:rPr>
        <w:t xml:space="preserve"> alterations </w:t>
      </w:r>
      <w:r>
        <w:rPr>
          <w:rFonts w:ascii="Arial" w:cs="Arial" w:eastAsia="Arial" w:hAnsi="Arial"/>
          <w:sz w:val="19"/>
          <w:szCs w:val="19"/>
          <w:color w:val="000000"/>
        </w:rPr>
        <w:t>are</w:t>
      </w:r>
      <w:r>
        <w:rPr>
          <w:rFonts w:ascii="Arial" w:cs="Arial" w:eastAsia="Arial" w:hAnsi="Arial"/>
          <w:sz w:val="19"/>
          <w:szCs w:val="19"/>
          <w:color w:val="363636"/>
        </w:rPr>
        <w:t xml:space="preserve"> </w:t>
      </w:r>
      <w:r>
        <w:rPr>
          <w:rFonts w:ascii="Arial" w:cs="Arial" w:eastAsia="Arial" w:hAnsi="Arial"/>
          <w:sz w:val="19"/>
          <w:szCs w:val="19"/>
          <w:color w:val="262626"/>
        </w:rPr>
        <w:t>assessed at a</w:t>
      </w:r>
      <w:r>
        <w:rPr>
          <w:rFonts w:ascii="Arial" w:cs="Arial" w:eastAsia="Arial" w:hAnsi="Arial"/>
          <w:sz w:val="19"/>
          <w:szCs w:val="19"/>
          <w:color w:val="363636"/>
        </w:rPr>
        <w:t xml:space="preserve"> </w:t>
      </w:r>
      <w:r>
        <w:rPr>
          <w:rFonts w:ascii="Arial" w:cs="Arial" w:eastAsia="Arial" w:hAnsi="Arial"/>
          <w:sz w:val="19"/>
          <w:szCs w:val="19"/>
          <w:color w:val="000000"/>
        </w:rPr>
        <w:t xml:space="preserve">higher </w:t>
      </w:r>
      <w:r>
        <w:rPr>
          <w:rFonts w:ascii="Arial" w:cs="Arial" w:eastAsia="Arial" w:hAnsi="Arial"/>
          <w:sz w:val="19"/>
          <w:szCs w:val="19"/>
          <w:color w:val="363636"/>
        </w:rPr>
        <w:t>valuation than</w:t>
      </w:r>
      <w:r>
        <w:rPr>
          <w:rFonts w:ascii="Arial" w:cs="Arial" w:eastAsia="Arial" w:hAnsi="Arial"/>
          <w:sz w:val="19"/>
          <w:szCs w:val="19"/>
          <w:color w:val="000000"/>
        </w:rPr>
        <w:t xml:space="preserve"> the Building </w:t>
      </w:r>
      <w:r>
        <w:rPr>
          <w:rFonts w:ascii="Arial" w:cs="Arial" w:eastAsia="Arial" w:hAnsi="Arial"/>
          <w:sz w:val="19"/>
          <w:szCs w:val="19"/>
          <w:color w:val="363636"/>
        </w:rPr>
        <w:t>Standard,</w:t>
      </w:r>
      <w:r>
        <w:rPr>
          <w:rFonts w:ascii="Arial" w:cs="Arial" w:eastAsia="Arial" w:hAnsi="Arial"/>
          <w:sz w:val="19"/>
          <w:szCs w:val="19"/>
          <w:color w:val="000000"/>
        </w:rPr>
        <w:t xml:space="preserve"> then </w:t>
      </w:r>
      <w:r>
        <w:rPr>
          <w:rFonts w:ascii="Arial" w:cs="Arial" w:eastAsia="Arial" w:hAnsi="Arial"/>
          <w:sz w:val="19"/>
          <w:szCs w:val="19"/>
          <w:color w:val="363636"/>
        </w:rPr>
        <w:t>such</w:t>
      </w:r>
      <w:r>
        <w:rPr>
          <w:rFonts w:ascii="Arial" w:cs="Arial" w:eastAsia="Arial" w:hAnsi="Arial"/>
          <w:sz w:val="19"/>
          <w:szCs w:val="19"/>
          <w:color w:val="000000"/>
        </w:rPr>
        <w:t xml:space="preserve"> </w:t>
      </w:r>
      <w:r>
        <w:rPr>
          <w:rFonts w:ascii="Arial" w:cs="Arial" w:eastAsia="Arial" w:hAnsi="Arial"/>
          <w:sz w:val="19"/>
          <w:szCs w:val="19"/>
          <w:color w:val="262626"/>
        </w:rPr>
        <w:t>records shall</w:t>
      </w:r>
      <w:r>
        <w:rPr>
          <w:rFonts w:ascii="Arial" w:cs="Arial" w:eastAsia="Arial" w:hAnsi="Arial"/>
          <w:sz w:val="19"/>
          <w:szCs w:val="19"/>
          <w:color w:val="000000"/>
        </w:rPr>
        <w:t xml:space="preserve"> be binding </w:t>
      </w:r>
      <w:r>
        <w:rPr>
          <w:rFonts w:ascii="Arial" w:cs="Arial" w:eastAsia="Arial" w:hAnsi="Arial"/>
          <w:sz w:val="19"/>
          <w:szCs w:val="19"/>
          <w:color w:val="262626"/>
        </w:rPr>
        <w:t>on</w:t>
      </w:r>
      <w:r>
        <w:rPr>
          <w:rFonts w:ascii="Arial" w:cs="Arial" w:eastAsia="Arial" w:hAnsi="Arial"/>
          <w:sz w:val="19"/>
          <w:szCs w:val="19"/>
          <w:color w:val="000000"/>
        </w:rPr>
        <w:t xml:space="preserve"> both Landlord </w:t>
      </w:r>
      <w:r>
        <w:rPr>
          <w:rFonts w:ascii="Arial" w:cs="Arial" w:eastAsia="Arial" w:hAnsi="Arial"/>
          <w:sz w:val="19"/>
          <w:szCs w:val="19"/>
          <w:color w:val="262626"/>
        </w:rPr>
        <w:t>and</w:t>
      </w:r>
      <w:r>
        <w:rPr>
          <w:rFonts w:ascii="Arial" w:cs="Arial" w:eastAsia="Arial" w:hAnsi="Arial"/>
          <w:sz w:val="19"/>
          <w:szCs w:val="19"/>
          <w:color w:val="000000"/>
        </w:rPr>
        <w:t xml:space="preserve"> Tenant.</w:t>
      </w:r>
    </w:p>
    <w:p>
      <w:pPr>
        <w:spacing w:after="0" w:line="152" w:lineRule="exact"/>
        <w:rPr>
          <w:rFonts w:ascii="Arial" w:cs="Arial" w:eastAsia="Arial" w:hAnsi="Arial"/>
          <w:sz w:val="22"/>
          <w:szCs w:val="22"/>
          <w:color w:val="auto"/>
        </w:rPr>
      </w:pPr>
    </w:p>
    <w:p>
      <w:pPr>
        <w:ind w:left="640" w:hanging="632"/>
        <w:spacing w:after="0"/>
        <w:tabs>
          <w:tab w:leader="none" w:pos="640"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 xml:space="preserve">Security </w:t>
      </w:r>
      <w:r>
        <w:rPr>
          <w:rFonts w:ascii="Arial" w:cs="Arial" w:eastAsia="Arial" w:hAnsi="Arial"/>
          <w:sz w:val="22"/>
          <w:szCs w:val="22"/>
          <w:u w:val="single" w:color="auto"/>
          <w:color w:val="161616"/>
        </w:rPr>
        <w:t>Deposit.</w:t>
      </w:r>
    </w:p>
    <w:p>
      <w:pPr>
        <w:spacing w:after="0" w:line="179"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 xml:space="preserve">11.1 </w:t>
      </w:r>
      <w:r>
        <w:rPr>
          <w:rFonts w:ascii="Arial" w:cs="Arial" w:eastAsia="Arial" w:hAnsi="Arial"/>
          <w:sz w:val="22"/>
          <w:szCs w:val="22"/>
          <w:color w:val="282828"/>
        </w:rPr>
        <w:t>Tenant</w:t>
      </w:r>
      <w:r>
        <w:rPr>
          <w:rFonts w:ascii="Arial" w:cs="Arial" w:eastAsia="Arial" w:hAnsi="Arial"/>
          <w:sz w:val="22"/>
          <w:szCs w:val="22"/>
          <w:color w:val="auto"/>
        </w:rPr>
        <w:t xml:space="preserve"> </w:t>
      </w:r>
      <w:r>
        <w:rPr>
          <w:rFonts w:ascii="Arial" w:cs="Arial" w:eastAsia="Arial" w:hAnsi="Arial"/>
          <w:sz w:val="22"/>
          <w:szCs w:val="22"/>
          <w:color w:val="3A3A3A"/>
        </w:rPr>
        <w:t>shall</w:t>
      </w:r>
      <w:r>
        <w:rPr>
          <w:rFonts w:ascii="Arial" w:cs="Arial" w:eastAsia="Arial" w:hAnsi="Arial"/>
          <w:sz w:val="22"/>
          <w:szCs w:val="22"/>
          <w:color w:val="auto"/>
        </w:rPr>
        <w:t xml:space="preserve"> deposit with Landlord, on </w:t>
      </w:r>
      <w:r>
        <w:rPr>
          <w:rFonts w:ascii="Arial" w:cs="Arial" w:eastAsia="Arial" w:hAnsi="Arial"/>
          <w:sz w:val="22"/>
          <w:szCs w:val="22"/>
          <w:color w:val="282828"/>
        </w:rPr>
        <w:t>or</w:t>
      </w:r>
      <w:r>
        <w:rPr>
          <w:rFonts w:ascii="Arial" w:cs="Arial" w:eastAsia="Arial" w:hAnsi="Arial"/>
          <w:sz w:val="22"/>
          <w:szCs w:val="22"/>
          <w:color w:val="auto"/>
        </w:rPr>
        <w:t xml:space="preserve"> before </w:t>
      </w:r>
      <w:r>
        <w:rPr>
          <w:rFonts w:ascii="Arial" w:cs="Arial" w:eastAsia="Arial" w:hAnsi="Arial"/>
          <w:sz w:val="22"/>
          <w:szCs w:val="22"/>
          <w:color w:val="282828"/>
        </w:rPr>
        <w:t>the Execution Date, the sum</w:t>
      </w:r>
      <w:r>
        <w:rPr>
          <w:rFonts w:ascii="Arial" w:cs="Arial" w:eastAsia="Arial" w:hAnsi="Arial"/>
          <w:sz w:val="22"/>
          <w:szCs w:val="22"/>
          <w:color w:val="auto"/>
        </w:rPr>
        <w:t xml:space="preserve"> set </w:t>
      </w:r>
      <w:r>
        <w:rPr>
          <w:rFonts w:ascii="Arial" w:cs="Arial" w:eastAsia="Arial" w:hAnsi="Arial"/>
          <w:sz w:val="22"/>
          <w:szCs w:val="22"/>
          <w:color w:val="282828"/>
        </w:rPr>
        <w:t>forth in</w:t>
      </w:r>
      <w:r>
        <w:rPr>
          <w:rFonts w:ascii="Arial" w:cs="Arial" w:eastAsia="Arial" w:hAnsi="Arial"/>
          <w:sz w:val="22"/>
          <w:szCs w:val="22"/>
          <w:color w:val="auto"/>
        </w:rPr>
        <w:t xml:space="preserve"> </w:t>
      </w:r>
      <w:r>
        <w:rPr>
          <w:rFonts w:ascii="Arial" w:cs="Arial" w:eastAsia="Arial" w:hAnsi="Arial"/>
          <w:sz w:val="22"/>
          <w:szCs w:val="22"/>
          <w:u w:val="single" w:color="auto"/>
          <w:color w:val="282828"/>
        </w:rPr>
        <w:t>Section 2.6</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Security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Deposit</w:t>
      </w:r>
      <w:r>
        <w:rPr>
          <w:rFonts w:ascii="Arial" w:cs="Arial" w:eastAsia="Arial" w:hAnsi="Arial"/>
          <w:sz w:val="22"/>
          <w:szCs w:val="22"/>
          <w:color w:val="auto"/>
        </w:rPr>
        <w:t xml:space="preserve">”), </w:t>
      </w:r>
      <w:r>
        <w:rPr>
          <w:rFonts w:ascii="Arial" w:cs="Arial" w:eastAsia="Arial" w:hAnsi="Arial"/>
          <w:sz w:val="22"/>
          <w:szCs w:val="22"/>
          <w:color w:val="282828"/>
        </w:rPr>
        <w:t>which sum</w:t>
      </w:r>
      <w:r>
        <w:rPr>
          <w:rFonts w:ascii="Arial" w:cs="Arial" w:eastAsia="Arial" w:hAnsi="Arial"/>
          <w:sz w:val="22"/>
          <w:szCs w:val="22"/>
          <w:color w:val="auto"/>
        </w:rPr>
        <w:t xml:space="preserve"> </w:t>
      </w:r>
      <w:r>
        <w:rPr>
          <w:rFonts w:ascii="Arial" w:cs="Arial" w:eastAsia="Arial" w:hAnsi="Arial"/>
          <w:sz w:val="22"/>
          <w:szCs w:val="22"/>
          <w:color w:val="3A3A3A"/>
        </w:rPr>
        <w:t>shall</w:t>
      </w:r>
      <w:r>
        <w:rPr>
          <w:rFonts w:ascii="Arial" w:cs="Arial" w:eastAsia="Arial" w:hAnsi="Arial"/>
          <w:sz w:val="22"/>
          <w:szCs w:val="22"/>
          <w:color w:val="auto"/>
        </w:rPr>
        <w:t xml:space="preserve"> </w:t>
      </w:r>
      <w:r>
        <w:rPr>
          <w:rFonts w:ascii="Arial" w:cs="Arial" w:eastAsia="Arial" w:hAnsi="Arial"/>
          <w:sz w:val="22"/>
          <w:szCs w:val="22"/>
          <w:color w:val="282828"/>
        </w:rPr>
        <w:t>be</w:t>
      </w:r>
      <w:r>
        <w:rPr>
          <w:rFonts w:ascii="Arial" w:cs="Arial" w:eastAsia="Arial" w:hAnsi="Arial"/>
          <w:sz w:val="22"/>
          <w:szCs w:val="22"/>
          <w:color w:val="auto"/>
        </w:rPr>
        <w:t xml:space="preserve"> held by Landlord </w:t>
      </w:r>
      <w:r>
        <w:rPr>
          <w:rFonts w:ascii="Arial" w:cs="Arial" w:eastAsia="Arial" w:hAnsi="Arial"/>
          <w:sz w:val="22"/>
          <w:szCs w:val="22"/>
          <w:color w:val="282828"/>
        </w:rPr>
        <w:t>as security</w:t>
      </w:r>
      <w:r>
        <w:rPr>
          <w:rFonts w:ascii="Arial" w:cs="Arial" w:eastAsia="Arial" w:hAnsi="Arial"/>
          <w:sz w:val="22"/>
          <w:szCs w:val="22"/>
          <w:color w:val="auto"/>
        </w:rPr>
        <w:t xml:space="preserve"> for the faithful </w:t>
      </w:r>
      <w:r>
        <w:rPr>
          <w:rFonts w:ascii="Arial" w:cs="Arial" w:eastAsia="Arial" w:hAnsi="Arial"/>
          <w:sz w:val="22"/>
          <w:szCs w:val="22"/>
          <w:color w:val="282828"/>
        </w:rPr>
        <w:t>performance by</w:t>
      </w:r>
      <w:r>
        <w:rPr>
          <w:rFonts w:ascii="Arial" w:cs="Arial" w:eastAsia="Arial" w:hAnsi="Arial"/>
          <w:sz w:val="22"/>
          <w:szCs w:val="22"/>
          <w:color w:val="auto"/>
        </w:rPr>
        <w:t xml:space="preserve"> Tenant of all of </w:t>
      </w:r>
      <w:r>
        <w:rPr>
          <w:rFonts w:ascii="Arial" w:cs="Arial" w:eastAsia="Arial" w:hAnsi="Arial"/>
          <w:sz w:val="22"/>
          <w:szCs w:val="22"/>
          <w:color w:val="282828"/>
        </w:rPr>
        <w:t>the</w:t>
      </w:r>
      <w:r>
        <w:rPr>
          <w:rFonts w:ascii="Arial" w:cs="Arial" w:eastAsia="Arial" w:hAnsi="Arial"/>
          <w:sz w:val="22"/>
          <w:szCs w:val="22"/>
          <w:color w:val="auto"/>
        </w:rPr>
        <w:t xml:space="preserv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330" w:name="page331"/>
    <w:bookmarkEnd w:id="330"/>
    <w:p>
      <w:pPr>
        <w:jc w:val="both"/>
        <w:ind w:left="640"/>
        <w:spacing w:after="0" w:line="220" w:lineRule="auto"/>
        <w:rPr>
          <w:sz w:val="20"/>
          <w:szCs w:val="20"/>
          <w:color w:val="auto"/>
        </w:rPr>
      </w:pPr>
      <w:r>
        <w:rPr>
          <w:rFonts w:ascii="Arial" w:cs="Arial" w:eastAsia="Arial" w:hAnsi="Arial"/>
          <w:sz w:val="21"/>
          <w:szCs w:val="21"/>
          <w:color w:val="282828"/>
        </w:rPr>
        <w:t xml:space="preserve">covenants and </w:t>
      </w:r>
      <w:r>
        <w:rPr>
          <w:rFonts w:ascii="Arial" w:cs="Arial" w:eastAsia="Arial" w:hAnsi="Arial"/>
          <w:sz w:val="21"/>
          <w:szCs w:val="21"/>
          <w:color w:val="000000"/>
        </w:rPr>
        <w:t>conditions of</w:t>
      </w:r>
      <w:r>
        <w:rPr>
          <w:rFonts w:ascii="Arial" w:cs="Arial" w:eastAsia="Arial" w:hAnsi="Arial"/>
          <w:sz w:val="21"/>
          <w:szCs w:val="21"/>
          <w:color w:val="282828"/>
        </w:rPr>
        <w:t xml:space="preserve"> </w:t>
      </w:r>
      <w:r>
        <w:rPr>
          <w:rFonts w:ascii="Arial" w:cs="Arial" w:eastAsia="Arial" w:hAnsi="Arial"/>
          <w:sz w:val="21"/>
          <w:szCs w:val="21"/>
          <w:color w:val="3A3A3A"/>
        </w:rPr>
        <w:t>this</w:t>
      </w:r>
      <w:r>
        <w:rPr>
          <w:rFonts w:ascii="Arial" w:cs="Arial" w:eastAsia="Arial" w:hAnsi="Arial"/>
          <w:sz w:val="21"/>
          <w:szCs w:val="21"/>
          <w:color w:val="282828"/>
        </w:rPr>
        <w:t xml:space="preserve"> Lease to be kept </w:t>
      </w:r>
      <w:r>
        <w:rPr>
          <w:rFonts w:ascii="Arial" w:cs="Arial" w:eastAsia="Arial" w:hAnsi="Arial"/>
          <w:sz w:val="21"/>
          <w:szCs w:val="21"/>
          <w:color w:val="000000"/>
        </w:rPr>
        <w:t>and performed by</w:t>
      </w:r>
      <w:r>
        <w:rPr>
          <w:rFonts w:ascii="Arial" w:cs="Arial" w:eastAsia="Arial" w:hAnsi="Arial"/>
          <w:sz w:val="21"/>
          <w:szCs w:val="21"/>
          <w:color w:val="282828"/>
        </w:rPr>
        <w:t xml:space="preserve"> </w:t>
      </w:r>
      <w:r>
        <w:rPr>
          <w:rFonts w:ascii="Arial" w:cs="Arial" w:eastAsia="Arial" w:hAnsi="Arial"/>
          <w:sz w:val="21"/>
          <w:szCs w:val="21"/>
          <w:color w:val="3A3A3A"/>
        </w:rPr>
        <w:t>Tenant</w:t>
      </w:r>
      <w:r>
        <w:rPr>
          <w:rFonts w:ascii="Arial" w:cs="Arial" w:eastAsia="Arial" w:hAnsi="Arial"/>
          <w:sz w:val="21"/>
          <w:szCs w:val="21"/>
          <w:color w:val="282828"/>
        </w:rPr>
        <w:t xml:space="preserve"> </w:t>
      </w:r>
      <w:r>
        <w:rPr>
          <w:rFonts w:ascii="Arial" w:cs="Arial" w:eastAsia="Arial" w:hAnsi="Arial"/>
          <w:sz w:val="21"/>
          <w:szCs w:val="21"/>
          <w:color w:val="000000"/>
        </w:rPr>
        <w:t>during the Term.</w:t>
      </w:r>
      <w:r>
        <w:rPr>
          <w:rFonts w:ascii="Arial" w:cs="Arial" w:eastAsia="Arial" w:hAnsi="Arial"/>
          <w:sz w:val="21"/>
          <w:szCs w:val="21"/>
          <w:color w:val="282828"/>
        </w:rPr>
        <w:t xml:space="preserve"> If </w:t>
      </w:r>
      <w:r>
        <w:rPr>
          <w:rFonts w:ascii="Arial" w:cs="Arial" w:eastAsia="Arial" w:hAnsi="Arial"/>
          <w:sz w:val="21"/>
          <w:szCs w:val="21"/>
          <w:color w:val="000000"/>
        </w:rPr>
        <w:t>Tenant defaults</w:t>
      </w:r>
      <w:r>
        <w:rPr>
          <w:rFonts w:ascii="Arial" w:cs="Arial" w:eastAsia="Arial" w:hAnsi="Arial"/>
          <w:sz w:val="21"/>
          <w:szCs w:val="21"/>
          <w:color w:val="282828"/>
        </w:rPr>
        <w:t xml:space="preserve"> (after applicable notice </w:t>
      </w:r>
      <w:r>
        <w:rPr>
          <w:rFonts w:ascii="Arial" w:cs="Arial" w:eastAsia="Arial" w:hAnsi="Arial"/>
          <w:sz w:val="21"/>
          <w:szCs w:val="21"/>
          <w:color w:val="000000"/>
        </w:rPr>
        <w:t>and</w:t>
      </w:r>
      <w:r>
        <w:rPr>
          <w:rFonts w:ascii="Arial" w:cs="Arial" w:eastAsia="Arial" w:hAnsi="Arial"/>
          <w:sz w:val="21"/>
          <w:szCs w:val="21"/>
          <w:color w:val="282828"/>
        </w:rPr>
        <w:t xml:space="preserve"> cure periods) </w:t>
      </w:r>
      <w:r>
        <w:rPr>
          <w:rFonts w:ascii="Arial" w:cs="Arial" w:eastAsia="Arial" w:hAnsi="Arial"/>
          <w:sz w:val="21"/>
          <w:szCs w:val="21"/>
          <w:color w:val="000000"/>
        </w:rPr>
        <w:t>with respect</w:t>
      </w:r>
      <w:r>
        <w:rPr>
          <w:rFonts w:ascii="Arial" w:cs="Arial" w:eastAsia="Arial" w:hAnsi="Arial"/>
          <w:sz w:val="21"/>
          <w:szCs w:val="21"/>
          <w:color w:val="282828"/>
        </w:rPr>
        <w:t xml:space="preserve"> </w:t>
      </w:r>
      <w:r>
        <w:rPr>
          <w:rFonts w:ascii="Arial" w:cs="Arial" w:eastAsia="Arial" w:hAnsi="Arial"/>
          <w:sz w:val="21"/>
          <w:szCs w:val="21"/>
          <w:color w:val="3A3A3A"/>
        </w:rPr>
        <w:t>to</w:t>
      </w:r>
      <w:r>
        <w:rPr>
          <w:rFonts w:ascii="Arial" w:cs="Arial" w:eastAsia="Arial" w:hAnsi="Arial"/>
          <w:sz w:val="21"/>
          <w:szCs w:val="21"/>
          <w:color w:val="282828"/>
        </w:rPr>
        <w:t xml:space="preserve"> any </w:t>
      </w:r>
      <w:r>
        <w:rPr>
          <w:rFonts w:ascii="Arial" w:cs="Arial" w:eastAsia="Arial" w:hAnsi="Arial"/>
          <w:sz w:val="21"/>
          <w:szCs w:val="21"/>
          <w:color w:val="000000"/>
        </w:rPr>
        <w:t>provision</w:t>
      </w:r>
      <w:r>
        <w:rPr>
          <w:rFonts w:ascii="Arial" w:cs="Arial" w:eastAsia="Arial" w:hAnsi="Arial"/>
          <w:sz w:val="21"/>
          <w:szCs w:val="21"/>
          <w:color w:val="282828"/>
        </w:rPr>
        <w:t xml:space="preserve"> of this </w:t>
      </w:r>
      <w:r>
        <w:rPr>
          <w:rFonts w:ascii="Arial" w:cs="Arial" w:eastAsia="Arial" w:hAnsi="Arial"/>
          <w:sz w:val="21"/>
          <w:szCs w:val="21"/>
          <w:color w:val="3A3A3A"/>
        </w:rPr>
        <w:t>Lease,</w:t>
      </w:r>
      <w:r>
        <w:rPr>
          <w:rFonts w:ascii="Arial" w:cs="Arial" w:eastAsia="Arial" w:hAnsi="Arial"/>
          <w:sz w:val="21"/>
          <w:szCs w:val="21"/>
          <w:color w:val="282828"/>
        </w:rPr>
        <w:t xml:space="preserve"> </w:t>
      </w:r>
      <w:r>
        <w:rPr>
          <w:rFonts w:ascii="Arial" w:cs="Arial" w:eastAsia="Arial" w:hAnsi="Arial"/>
          <w:sz w:val="21"/>
          <w:szCs w:val="21"/>
          <w:color w:val="000000"/>
        </w:rPr>
        <w:t>including any</w:t>
      </w:r>
      <w:r>
        <w:rPr>
          <w:rFonts w:ascii="Arial" w:cs="Arial" w:eastAsia="Arial" w:hAnsi="Arial"/>
          <w:sz w:val="21"/>
          <w:szCs w:val="21"/>
          <w:color w:val="282828"/>
        </w:rPr>
        <w:t xml:space="preserve"> provision </w:t>
      </w:r>
      <w:r>
        <w:rPr>
          <w:rFonts w:ascii="Arial" w:cs="Arial" w:eastAsia="Arial" w:hAnsi="Arial"/>
          <w:sz w:val="21"/>
          <w:szCs w:val="21"/>
          <w:color w:val="000000"/>
        </w:rPr>
        <w:t xml:space="preserve">relating to the </w:t>
      </w:r>
      <w:r>
        <w:rPr>
          <w:rFonts w:ascii="Arial" w:cs="Arial" w:eastAsia="Arial" w:hAnsi="Arial"/>
          <w:sz w:val="21"/>
          <w:szCs w:val="21"/>
          <w:color w:val="282828"/>
        </w:rPr>
        <w:t>payment of</w:t>
      </w:r>
      <w:r>
        <w:rPr>
          <w:rFonts w:ascii="Arial" w:cs="Arial" w:eastAsia="Arial" w:hAnsi="Arial"/>
          <w:sz w:val="21"/>
          <w:szCs w:val="21"/>
          <w:color w:val="000000"/>
        </w:rPr>
        <w:t xml:space="preserve"> Rent, </w:t>
      </w:r>
      <w:r>
        <w:rPr>
          <w:rFonts w:ascii="Arial" w:cs="Arial" w:eastAsia="Arial" w:hAnsi="Arial"/>
          <w:sz w:val="21"/>
          <w:szCs w:val="21"/>
          <w:color w:val="3A3A3A"/>
        </w:rPr>
        <w:t>then</w:t>
      </w:r>
      <w:r>
        <w:rPr>
          <w:rFonts w:ascii="Arial" w:cs="Arial" w:eastAsia="Arial" w:hAnsi="Arial"/>
          <w:sz w:val="21"/>
          <w:szCs w:val="21"/>
          <w:color w:val="000000"/>
        </w:rPr>
        <w:t xml:space="preserve"> </w:t>
      </w:r>
      <w:r>
        <w:rPr>
          <w:rFonts w:ascii="Arial" w:cs="Arial" w:eastAsia="Arial" w:hAnsi="Arial"/>
          <w:sz w:val="21"/>
          <w:szCs w:val="21"/>
          <w:color w:val="282828"/>
        </w:rPr>
        <w:t>Landlord</w:t>
      </w:r>
      <w:r>
        <w:rPr>
          <w:rFonts w:ascii="Arial" w:cs="Arial" w:eastAsia="Arial" w:hAnsi="Arial"/>
          <w:sz w:val="21"/>
          <w:szCs w:val="21"/>
          <w:color w:val="000000"/>
        </w:rPr>
        <w:t xml:space="preserve"> may (but </w:t>
      </w:r>
      <w:r>
        <w:rPr>
          <w:rFonts w:ascii="Arial" w:cs="Arial" w:eastAsia="Arial" w:hAnsi="Arial"/>
          <w:sz w:val="21"/>
          <w:szCs w:val="21"/>
          <w:color w:val="282828"/>
        </w:rPr>
        <w:t>shall</w:t>
      </w:r>
      <w:r>
        <w:rPr>
          <w:rFonts w:ascii="Arial" w:cs="Arial" w:eastAsia="Arial" w:hAnsi="Arial"/>
          <w:sz w:val="21"/>
          <w:szCs w:val="21"/>
          <w:color w:val="000000"/>
        </w:rPr>
        <w:t xml:space="preserve"> not be required </w:t>
      </w:r>
      <w:r>
        <w:rPr>
          <w:rFonts w:ascii="Arial" w:cs="Arial" w:eastAsia="Arial" w:hAnsi="Arial"/>
          <w:sz w:val="21"/>
          <w:szCs w:val="21"/>
          <w:color w:val="282828"/>
        </w:rPr>
        <w:t>to) use,</w:t>
      </w:r>
      <w:r>
        <w:rPr>
          <w:rFonts w:ascii="Arial" w:cs="Arial" w:eastAsia="Arial" w:hAnsi="Arial"/>
          <w:sz w:val="21"/>
          <w:szCs w:val="21"/>
          <w:color w:val="000000"/>
        </w:rPr>
        <w:t xml:space="preserve"> apply </w:t>
      </w:r>
      <w:r>
        <w:rPr>
          <w:rFonts w:ascii="Arial" w:cs="Arial" w:eastAsia="Arial" w:hAnsi="Arial"/>
          <w:sz w:val="21"/>
          <w:szCs w:val="21"/>
          <w:color w:val="282828"/>
        </w:rPr>
        <w:t>or</w:t>
      </w:r>
      <w:r>
        <w:rPr>
          <w:rFonts w:ascii="Arial" w:cs="Arial" w:eastAsia="Arial" w:hAnsi="Arial"/>
          <w:sz w:val="21"/>
          <w:szCs w:val="21"/>
          <w:color w:val="000000"/>
        </w:rPr>
        <w:t xml:space="preserve"> retain </w:t>
      </w:r>
      <w:r>
        <w:rPr>
          <w:rFonts w:ascii="Arial" w:cs="Arial" w:eastAsia="Arial" w:hAnsi="Arial"/>
          <w:sz w:val="21"/>
          <w:szCs w:val="21"/>
          <w:color w:val="282828"/>
        </w:rPr>
        <w:t>all or any</w:t>
      </w:r>
      <w:r>
        <w:rPr>
          <w:rFonts w:ascii="Arial" w:cs="Arial" w:eastAsia="Arial" w:hAnsi="Arial"/>
          <w:sz w:val="21"/>
          <w:szCs w:val="21"/>
          <w:color w:val="000000"/>
        </w:rPr>
        <w:t xml:space="preserve"> part </w:t>
      </w:r>
      <w:r>
        <w:rPr>
          <w:rFonts w:ascii="Arial" w:cs="Arial" w:eastAsia="Arial" w:hAnsi="Arial"/>
          <w:sz w:val="21"/>
          <w:szCs w:val="21"/>
          <w:color w:val="282828"/>
        </w:rPr>
        <w:t xml:space="preserve">of </w:t>
      </w:r>
      <w:r>
        <w:rPr>
          <w:rFonts w:ascii="Arial" w:cs="Arial" w:eastAsia="Arial" w:hAnsi="Arial"/>
          <w:sz w:val="21"/>
          <w:szCs w:val="21"/>
          <w:color w:val="000000"/>
        </w:rPr>
        <w:t>the Security Deposit for</w:t>
      </w:r>
      <w:r>
        <w:rPr>
          <w:rFonts w:ascii="Arial" w:cs="Arial" w:eastAsia="Arial" w:hAnsi="Arial"/>
          <w:sz w:val="21"/>
          <w:szCs w:val="21"/>
          <w:color w:val="282828"/>
        </w:rPr>
        <w:t xml:space="preserve"> the payment </w:t>
      </w:r>
      <w:r>
        <w:rPr>
          <w:rFonts w:ascii="Arial" w:cs="Arial" w:eastAsia="Arial" w:hAnsi="Arial"/>
          <w:sz w:val="21"/>
          <w:szCs w:val="21"/>
          <w:color w:val="000000"/>
        </w:rPr>
        <w:t>of any Rent</w:t>
      </w:r>
      <w:r>
        <w:rPr>
          <w:rFonts w:ascii="Arial" w:cs="Arial" w:eastAsia="Arial" w:hAnsi="Arial"/>
          <w:sz w:val="21"/>
          <w:szCs w:val="21"/>
          <w:color w:val="282828"/>
        </w:rPr>
        <w:t xml:space="preserve"> or any </w:t>
      </w:r>
      <w:r>
        <w:rPr>
          <w:rFonts w:ascii="Arial" w:cs="Arial" w:eastAsia="Arial" w:hAnsi="Arial"/>
          <w:sz w:val="21"/>
          <w:szCs w:val="21"/>
          <w:color w:val="000000"/>
        </w:rPr>
        <w:t>other</w:t>
      </w:r>
      <w:r>
        <w:rPr>
          <w:rFonts w:ascii="Arial" w:cs="Arial" w:eastAsia="Arial" w:hAnsi="Arial"/>
          <w:sz w:val="21"/>
          <w:szCs w:val="21"/>
          <w:color w:val="282828"/>
        </w:rPr>
        <w:t xml:space="preserve"> sum </w:t>
      </w:r>
      <w:r>
        <w:rPr>
          <w:rFonts w:ascii="Arial" w:cs="Arial" w:eastAsia="Arial" w:hAnsi="Arial"/>
          <w:sz w:val="21"/>
          <w:szCs w:val="21"/>
          <w:color w:val="000000"/>
        </w:rPr>
        <w:t>in default (after applicable</w:t>
      </w:r>
      <w:r>
        <w:rPr>
          <w:rFonts w:ascii="Arial" w:cs="Arial" w:eastAsia="Arial" w:hAnsi="Arial"/>
          <w:sz w:val="21"/>
          <w:szCs w:val="21"/>
          <w:color w:val="282828"/>
        </w:rPr>
        <w:t xml:space="preserve"> notice and cure periods), </w:t>
      </w:r>
      <w:r>
        <w:rPr>
          <w:rFonts w:ascii="Arial" w:cs="Arial" w:eastAsia="Arial" w:hAnsi="Arial"/>
          <w:sz w:val="21"/>
          <w:szCs w:val="21"/>
          <w:color w:val="000000"/>
        </w:rPr>
        <w:t>or to compensate</w:t>
      </w:r>
      <w:r>
        <w:rPr>
          <w:rFonts w:ascii="Arial" w:cs="Arial" w:eastAsia="Arial" w:hAnsi="Arial"/>
          <w:sz w:val="21"/>
          <w:szCs w:val="21"/>
          <w:color w:val="282828"/>
        </w:rPr>
        <w:t xml:space="preserve"> Landlord for any </w:t>
      </w:r>
      <w:r>
        <w:rPr>
          <w:rFonts w:ascii="Arial" w:cs="Arial" w:eastAsia="Arial" w:hAnsi="Arial"/>
          <w:sz w:val="21"/>
          <w:szCs w:val="21"/>
          <w:color w:val="000000"/>
        </w:rPr>
        <w:t>other loss</w:t>
      </w:r>
      <w:r>
        <w:rPr>
          <w:rFonts w:ascii="Arial" w:cs="Arial" w:eastAsia="Arial" w:hAnsi="Arial"/>
          <w:sz w:val="21"/>
          <w:szCs w:val="21"/>
          <w:color w:val="282828"/>
        </w:rPr>
        <w:t xml:space="preserve"> or </w:t>
      </w:r>
      <w:r>
        <w:rPr>
          <w:rFonts w:ascii="Arial" w:cs="Arial" w:eastAsia="Arial" w:hAnsi="Arial"/>
          <w:sz w:val="21"/>
          <w:szCs w:val="21"/>
          <w:color w:val="000000"/>
        </w:rPr>
        <w:t>damage</w:t>
      </w:r>
      <w:r>
        <w:rPr>
          <w:rFonts w:ascii="Arial" w:cs="Arial" w:eastAsia="Arial" w:hAnsi="Arial"/>
          <w:sz w:val="21"/>
          <w:szCs w:val="21"/>
          <w:color w:val="282828"/>
        </w:rPr>
        <w:t xml:space="preserve"> that Landlord may suffer </w:t>
      </w:r>
      <w:r>
        <w:rPr>
          <w:rFonts w:ascii="Arial" w:cs="Arial" w:eastAsia="Arial" w:hAnsi="Arial"/>
          <w:sz w:val="21"/>
          <w:szCs w:val="21"/>
          <w:color w:val="000000"/>
        </w:rPr>
        <w:t>by reason of</w:t>
      </w:r>
      <w:r>
        <w:rPr>
          <w:rFonts w:ascii="Arial" w:cs="Arial" w:eastAsia="Arial" w:hAnsi="Arial"/>
          <w:sz w:val="21"/>
          <w:szCs w:val="21"/>
          <w:color w:val="282828"/>
        </w:rPr>
        <w:t xml:space="preserve"> </w:t>
      </w:r>
      <w:r>
        <w:rPr>
          <w:rFonts w:ascii="Arial" w:cs="Arial" w:eastAsia="Arial" w:hAnsi="Arial"/>
          <w:sz w:val="21"/>
          <w:szCs w:val="21"/>
          <w:color w:val="3A3A3A"/>
        </w:rPr>
        <w:t>such</w:t>
      </w:r>
      <w:r>
        <w:rPr>
          <w:rFonts w:ascii="Arial" w:cs="Arial" w:eastAsia="Arial" w:hAnsi="Arial"/>
          <w:sz w:val="21"/>
          <w:szCs w:val="21"/>
          <w:color w:val="282828"/>
        </w:rPr>
        <w:t xml:space="preserve"> </w:t>
      </w:r>
      <w:r>
        <w:rPr>
          <w:rFonts w:ascii="Arial" w:cs="Arial" w:eastAsia="Arial" w:hAnsi="Arial"/>
          <w:sz w:val="21"/>
          <w:szCs w:val="21"/>
          <w:color w:val="000000"/>
        </w:rPr>
        <w:t xml:space="preserve">default. </w:t>
      </w:r>
      <w:r>
        <w:rPr>
          <w:rFonts w:ascii="Arial" w:cs="Arial" w:eastAsia="Arial" w:hAnsi="Arial"/>
          <w:sz w:val="21"/>
          <w:szCs w:val="21"/>
          <w:color w:val="282828"/>
        </w:rPr>
        <w:t>If,</w:t>
      </w:r>
      <w:r>
        <w:rPr>
          <w:rFonts w:ascii="Arial" w:cs="Arial" w:eastAsia="Arial" w:hAnsi="Arial"/>
          <w:sz w:val="21"/>
          <w:szCs w:val="21"/>
          <w:color w:val="000000"/>
        </w:rPr>
        <w:t xml:space="preserve"> at any time prior to the date that is </w:t>
      </w:r>
      <w:r>
        <w:rPr>
          <w:rFonts w:ascii="Arial" w:cs="Arial" w:eastAsia="Arial" w:hAnsi="Arial"/>
          <w:sz w:val="21"/>
          <w:szCs w:val="21"/>
          <w:u w:val="single" w:color="auto"/>
          <w:color w:val="000000"/>
        </w:rPr>
        <w:t>[***]</w:t>
      </w:r>
      <w:r>
        <w:rPr>
          <w:rFonts w:ascii="Arial" w:cs="Arial" w:eastAsia="Arial" w:hAnsi="Arial"/>
          <w:sz w:val="21"/>
          <w:szCs w:val="21"/>
          <w:color w:val="000000"/>
        </w:rPr>
        <w:t xml:space="preserve"> days prior to </w:t>
      </w:r>
      <w:r>
        <w:rPr>
          <w:rFonts w:ascii="Arial" w:cs="Arial" w:eastAsia="Arial" w:hAnsi="Arial"/>
          <w:sz w:val="21"/>
          <w:szCs w:val="21"/>
          <w:color w:val="3A3A3A"/>
        </w:rPr>
        <w:t>the</w:t>
      </w:r>
      <w:r>
        <w:rPr>
          <w:rFonts w:ascii="Arial" w:cs="Arial" w:eastAsia="Arial" w:hAnsi="Arial"/>
          <w:sz w:val="21"/>
          <w:szCs w:val="21"/>
          <w:color w:val="000000"/>
        </w:rPr>
        <w:t xml:space="preserve"> </w:t>
      </w:r>
      <w:r>
        <w:rPr>
          <w:rFonts w:ascii="Arial" w:cs="Arial" w:eastAsia="Arial" w:hAnsi="Arial"/>
          <w:sz w:val="21"/>
          <w:szCs w:val="21"/>
          <w:color w:val="282828"/>
        </w:rPr>
        <w:t>expiration of</w:t>
      </w:r>
      <w:r>
        <w:rPr>
          <w:rFonts w:ascii="Arial" w:cs="Arial" w:eastAsia="Arial" w:hAnsi="Arial"/>
          <w:sz w:val="21"/>
          <w:szCs w:val="21"/>
          <w:color w:val="000000"/>
        </w:rPr>
        <w:t xml:space="preserve"> the </w:t>
      </w:r>
      <w:r>
        <w:rPr>
          <w:rFonts w:ascii="Arial" w:cs="Arial" w:eastAsia="Arial" w:hAnsi="Arial"/>
          <w:sz w:val="21"/>
          <w:szCs w:val="21"/>
          <w:color w:val="282828"/>
        </w:rPr>
        <w:t>Term,</w:t>
      </w:r>
      <w:r>
        <w:rPr>
          <w:rFonts w:ascii="Arial" w:cs="Arial" w:eastAsia="Arial" w:hAnsi="Arial"/>
          <w:sz w:val="21"/>
          <w:szCs w:val="21"/>
          <w:color w:val="000000"/>
        </w:rPr>
        <w:t xml:space="preserve"> any </w:t>
      </w:r>
      <w:r>
        <w:rPr>
          <w:rFonts w:ascii="Arial" w:cs="Arial" w:eastAsia="Arial" w:hAnsi="Arial"/>
          <w:sz w:val="21"/>
          <w:szCs w:val="21"/>
          <w:color w:val="282828"/>
        </w:rPr>
        <w:t>portion</w:t>
      </w:r>
      <w:r>
        <w:rPr>
          <w:rFonts w:ascii="Arial" w:cs="Arial" w:eastAsia="Arial" w:hAnsi="Arial"/>
          <w:sz w:val="21"/>
          <w:szCs w:val="21"/>
          <w:color w:val="000000"/>
        </w:rPr>
        <w:t xml:space="preserve"> of the </w:t>
      </w:r>
      <w:r>
        <w:rPr>
          <w:rFonts w:ascii="Arial" w:cs="Arial" w:eastAsia="Arial" w:hAnsi="Arial"/>
          <w:sz w:val="21"/>
          <w:szCs w:val="21"/>
          <w:color w:val="282828"/>
        </w:rPr>
        <w:t xml:space="preserve">Security Deposit </w:t>
      </w:r>
      <w:r>
        <w:rPr>
          <w:rFonts w:ascii="Arial" w:cs="Arial" w:eastAsia="Arial" w:hAnsi="Arial"/>
          <w:sz w:val="21"/>
          <w:szCs w:val="21"/>
          <w:color w:val="000000"/>
        </w:rPr>
        <w:t>is</w:t>
      </w:r>
      <w:r>
        <w:rPr>
          <w:rFonts w:ascii="Arial" w:cs="Arial" w:eastAsia="Arial" w:hAnsi="Arial"/>
          <w:sz w:val="21"/>
          <w:szCs w:val="21"/>
          <w:color w:val="282828"/>
        </w:rPr>
        <w:t xml:space="preserve"> so </w:t>
      </w:r>
      <w:r>
        <w:rPr>
          <w:rFonts w:ascii="Arial" w:cs="Arial" w:eastAsia="Arial" w:hAnsi="Arial"/>
          <w:sz w:val="21"/>
          <w:szCs w:val="21"/>
          <w:color w:val="000000"/>
        </w:rPr>
        <w:t>used or applied,</w:t>
      </w:r>
      <w:r>
        <w:rPr>
          <w:rFonts w:ascii="Arial" w:cs="Arial" w:eastAsia="Arial" w:hAnsi="Arial"/>
          <w:sz w:val="21"/>
          <w:szCs w:val="21"/>
          <w:color w:val="282828"/>
        </w:rPr>
        <w:t xml:space="preserve"> </w:t>
      </w:r>
      <w:r>
        <w:rPr>
          <w:rFonts w:ascii="Arial" w:cs="Arial" w:eastAsia="Arial" w:hAnsi="Arial"/>
          <w:sz w:val="21"/>
          <w:szCs w:val="21"/>
          <w:color w:val="3A3A3A"/>
        </w:rPr>
        <w:t>then</w:t>
      </w:r>
      <w:r>
        <w:rPr>
          <w:rFonts w:ascii="Arial" w:cs="Arial" w:eastAsia="Arial" w:hAnsi="Arial"/>
          <w:sz w:val="21"/>
          <w:szCs w:val="21"/>
          <w:color w:val="282828"/>
        </w:rPr>
        <w:t xml:space="preserve"> </w:t>
      </w:r>
      <w:r>
        <w:rPr>
          <w:rFonts w:ascii="Arial" w:cs="Arial" w:eastAsia="Arial" w:hAnsi="Arial"/>
          <w:sz w:val="21"/>
          <w:szCs w:val="21"/>
          <w:color w:val="000000"/>
        </w:rPr>
        <w:t>Tenant</w:t>
      </w:r>
      <w:r>
        <w:rPr>
          <w:rFonts w:ascii="Arial" w:cs="Arial" w:eastAsia="Arial" w:hAnsi="Arial"/>
          <w:sz w:val="21"/>
          <w:szCs w:val="21"/>
          <w:color w:val="282828"/>
        </w:rPr>
        <w:t xml:space="preserve"> shall, within </w:t>
      </w:r>
      <w:r>
        <w:rPr>
          <w:rFonts w:ascii="Arial" w:cs="Arial" w:eastAsia="Arial" w:hAnsi="Arial"/>
          <w:sz w:val="21"/>
          <w:szCs w:val="21"/>
          <w:u w:val="single" w:color="auto"/>
          <w:color w:val="000000"/>
        </w:rPr>
        <w:t>[***]</w:t>
      </w:r>
      <w:r>
        <w:rPr>
          <w:rFonts w:ascii="Arial" w:cs="Arial" w:eastAsia="Arial" w:hAnsi="Arial"/>
          <w:sz w:val="21"/>
          <w:szCs w:val="21"/>
          <w:color w:val="282828"/>
        </w:rPr>
        <w:t xml:space="preserve"> </w:t>
      </w:r>
      <w:r>
        <w:rPr>
          <w:rFonts w:ascii="Arial" w:cs="Arial" w:eastAsia="Arial" w:hAnsi="Arial"/>
          <w:sz w:val="21"/>
          <w:szCs w:val="21"/>
          <w:color w:val="000000"/>
        </w:rPr>
        <w:t>business days</w:t>
      </w:r>
      <w:r>
        <w:rPr>
          <w:rFonts w:ascii="Arial" w:cs="Arial" w:eastAsia="Arial" w:hAnsi="Arial"/>
          <w:sz w:val="21"/>
          <w:szCs w:val="21"/>
          <w:color w:val="282828"/>
        </w:rPr>
        <w:t xml:space="preserve"> </w:t>
      </w:r>
      <w:r>
        <w:rPr>
          <w:rFonts w:ascii="Arial" w:cs="Arial" w:eastAsia="Arial" w:hAnsi="Arial"/>
          <w:sz w:val="21"/>
          <w:szCs w:val="21"/>
          <w:color w:val="3A3A3A"/>
        </w:rPr>
        <w:t>following</w:t>
      </w:r>
      <w:r>
        <w:rPr>
          <w:rFonts w:ascii="Arial" w:cs="Arial" w:eastAsia="Arial" w:hAnsi="Arial"/>
          <w:sz w:val="21"/>
          <w:szCs w:val="21"/>
          <w:color w:val="282828"/>
        </w:rPr>
        <w:t xml:space="preserve"> </w:t>
      </w:r>
      <w:r>
        <w:rPr>
          <w:rFonts w:ascii="Arial" w:cs="Arial" w:eastAsia="Arial" w:hAnsi="Arial"/>
          <w:sz w:val="21"/>
          <w:szCs w:val="21"/>
          <w:color w:val="000000"/>
        </w:rPr>
        <w:t>demand</w:t>
      </w:r>
      <w:r>
        <w:rPr>
          <w:rFonts w:ascii="Arial" w:cs="Arial" w:eastAsia="Arial" w:hAnsi="Arial"/>
          <w:sz w:val="21"/>
          <w:szCs w:val="21"/>
          <w:color w:val="282828"/>
        </w:rPr>
        <w:t xml:space="preserve"> therefor, </w:t>
      </w:r>
      <w:r>
        <w:rPr>
          <w:rFonts w:ascii="Arial" w:cs="Arial" w:eastAsia="Arial" w:hAnsi="Arial"/>
          <w:sz w:val="21"/>
          <w:szCs w:val="21"/>
          <w:color w:val="000000"/>
        </w:rPr>
        <w:t xml:space="preserve">deposit </w:t>
      </w:r>
      <w:r>
        <w:rPr>
          <w:rFonts w:ascii="Arial" w:cs="Arial" w:eastAsia="Arial" w:hAnsi="Arial"/>
          <w:sz w:val="21"/>
          <w:szCs w:val="21"/>
          <w:color w:val="282828"/>
        </w:rPr>
        <w:t>cash</w:t>
      </w:r>
      <w:r>
        <w:rPr>
          <w:rFonts w:ascii="Arial" w:cs="Arial" w:eastAsia="Arial" w:hAnsi="Arial"/>
          <w:sz w:val="21"/>
          <w:szCs w:val="21"/>
          <w:color w:val="000000"/>
        </w:rPr>
        <w:t xml:space="preserve"> with </w:t>
      </w:r>
      <w:r>
        <w:rPr>
          <w:rFonts w:ascii="Arial" w:cs="Arial" w:eastAsia="Arial" w:hAnsi="Arial"/>
          <w:sz w:val="21"/>
          <w:szCs w:val="21"/>
          <w:color w:val="3A3A3A"/>
        </w:rPr>
        <w:t>Landlord in</w:t>
      </w:r>
      <w:r>
        <w:rPr>
          <w:rFonts w:ascii="Arial" w:cs="Arial" w:eastAsia="Arial" w:hAnsi="Arial"/>
          <w:sz w:val="21"/>
          <w:szCs w:val="21"/>
          <w:color w:val="000000"/>
        </w:rPr>
        <w:t xml:space="preserve"> an </w:t>
      </w:r>
      <w:r>
        <w:rPr>
          <w:rFonts w:ascii="Arial" w:cs="Arial" w:eastAsia="Arial" w:hAnsi="Arial"/>
          <w:sz w:val="21"/>
          <w:szCs w:val="21"/>
          <w:color w:val="282828"/>
        </w:rPr>
        <w:t>amount</w:t>
      </w:r>
      <w:r>
        <w:rPr>
          <w:rFonts w:ascii="Arial" w:cs="Arial" w:eastAsia="Arial" w:hAnsi="Arial"/>
          <w:sz w:val="21"/>
          <w:szCs w:val="21"/>
          <w:color w:val="000000"/>
        </w:rPr>
        <w:t xml:space="preserve"> </w:t>
      </w:r>
      <w:r>
        <w:rPr>
          <w:rFonts w:ascii="Arial" w:cs="Arial" w:eastAsia="Arial" w:hAnsi="Arial"/>
          <w:sz w:val="21"/>
          <w:szCs w:val="21"/>
          <w:color w:val="3A3A3A"/>
        </w:rPr>
        <w:t>sufficient</w:t>
      </w:r>
      <w:r>
        <w:rPr>
          <w:rFonts w:ascii="Arial" w:cs="Arial" w:eastAsia="Arial" w:hAnsi="Arial"/>
          <w:sz w:val="21"/>
          <w:szCs w:val="21"/>
          <w:color w:val="000000"/>
        </w:rPr>
        <w:t xml:space="preserve"> to restore </w:t>
      </w:r>
      <w:r>
        <w:rPr>
          <w:rFonts w:ascii="Arial" w:cs="Arial" w:eastAsia="Arial" w:hAnsi="Arial"/>
          <w:sz w:val="21"/>
          <w:szCs w:val="21"/>
          <w:color w:val="3A3A3A"/>
        </w:rPr>
        <w:t>the</w:t>
      </w:r>
      <w:r>
        <w:rPr>
          <w:rFonts w:ascii="Arial" w:cs="Arial" w:eastAsia="Arial" w:hAnsi="Arial"/>
          <w:sz w:val="21"/>
          <w:szCs w:val="21"/>
          <w:color w:val="000000"/>
        </w:rPr>
        <w:t xml:space="preserve"> </w:t>
      </w:r>
      <w:r>
        <w:rPr>
          <w:rFonts w:ascii="Arial" w:cs="Arial" w:eastAsia="Arial" w:hAnsi="Arial"/>
          <w:sz w:val="21"/>
          <w:szCs w:val="21"/>
          <w:color w:val="282828"/>
        </w:rPr>
        <w:t>Security</w:t>
      </w:r>
      <w:r>
        <w:rPr>
          <w:rFonts w:ascii="Arial" w:cs="Arial" w:eastAsia="Arial" w:hAnsi="Arial"/>
          <w:sz w:val="21"/>
          <w:szCs w:val="21"/>
          <w:color w:val="000000"/>
        </w:rPr>
        <w:t xml:space="preserve"> Deposit to </w:t>
      </w:r>
      <w:r>
        <w:rPr>
          <w:rFonts w:ascii="Arial" w:cs="Arial" w:eastAsia="Arial" w:hAnsi="Arial"/>
          <w:sz w:val="21"/>
          <w:szCs w:val="21"/>
          <w:color w:val="282828"/>
        </w:rPr>
        <w:t>its</w:t>
      </w:r>
      <w:r>
        <w:rPr>
          <w:rFonts w:ascii="Arial" w:cs="Arial" w:eastAsia="Arial" w:hAnsi="Arial"/>
          <w:sz w:val="21"/>
          <w:szCs w:val="21"/>
          <w:color w:val="000000"/>
        </w:rPr>
        <w:t xml:space="preserve"> original </w:t>
      </w:r>
      <w:r>
        <w:rPr>
          <w:rFonts w:ascii="Arial" w:cs="Arial" w:eastAsia="Arial" w:hAnsi="Arial"/>
          <w:sz w:val="21"/>
          <w:szCs w:val="21"/>
          <w:color w:val="282828"/>
        </w:rPr>
        <w:t>amount,</w:t>
      </w:r>
      <w:r>
        <w:rPr>
          <w:rFonts w:ascii="Arial" w:cs="Arial" w:eastAsia="Arial" w:hAnsi="Arial"/>
          <w:sz w:val="21"/>
          <w:szCs w:val="21"/>
          <w:color w:val="000000"/>
        </w:rPr>
        <w:t xml:space="preserve"> and Tenant’s </w:t>
      </w:r>
      <w:r>
        <w:rPr>
          <w:rFonts w:ascii="Arial" w:cs="Arial" w:eastAsia="Arial" w:hAnsi="Arial"/>
          <w:sz w:val="21"/>
          <w:szCs w:val="21"/>
          <w:color w:val="282828"/>
        </w:rPr>
        <w:t>failure</w:t>
      </w:r>
      <w:r>
        <w:rPr>
          <w:rFonts w:ascii="Arial" w:cs="Arial" w:eastAsia="Arial" w:hAnsi="Arial"/>
          <w:sz w:val="21"/>
          <w:szCs w:val="21"/>
          <w:color w:val="000000"/>
        </w:rPr>
        <w:t xml:space="preserve"> to do </w:t>
      </w:r>
      <w:r>
        <w:rPr>
          <w:rFonts w:ascii="Arial" w:cs="Arial" w:eastAsia="Arial" w:hAnsi="Arial"/>
          <w:sz w:val="21"/>
          <w:szCs w:val="21"/>
          <w:color w:val="282828"/>
        </w:rPr>
        <w:t>so shall</w:t>
      </w:r>
      <w:r>
        <w:rPr>
          <w:rFonts w:ascii="Arial" w:cs="Arial" w:eastAsia="Arial" w:hAnsi="Arial"/>
          <w:sz w:val="21"/>
          <w:szCs w:val="21"/>
          <w:color w:val="000000"/>
        </w:rPr>
        <w:t xml:space="preserve"> be a material breach </w:t>
      </w:r>
      <w:r>
        <w:rPr>
          <w:rFonts w:ascii="Arial" w:cs="Arial" w:eastAsia="Arial" w:hAnsi="Arial"/>
          <w:sz w:val="21"/>
          <w:szCs w:val="21"/>
          <w:color w:val="282828"/>
        </w:rPr>
        <w:t>of</w:t>
      </w:r>
      <w:r>
        <w:rPr>
          <w:rFonts w:ascii="Arial" w:cs="Arial" w:eastAsia="Arial" w:hAnsi="Arial"/>
          <w:sz w:val="21"/>
          <w:szCs w:val="21"/>
          <w:color w:val="000000"/>
        </w:rPr>
        <w:t xml:space="preserve"> this </w:t>
      </w:r>
      <w:r>
        <w:rPr>
          <w:rFonts w:ascii="Arial" w:cs="Arial" w:eastAsia="Arial" w:hAnsi="Arial"/>
          <w:sz w:val="21"/>
          <w:szCs w:val="21"/>
          <w:color w:val="282828"/>
        </w:rPr>
        <w:t>Lease.</w:t>
      </w:r>
      <w:r>
        <w:rPr>
          <w:rFonts w:ascii="Arial" w:cs="Arial" w:eastAsia="Arial" w:hAnsi="Arial"/>
          <w:sz w:val="21"/>
          <w:szCs w:val="21"/>
          <w:color w:val="000000"/>
        </w:rPr>
        <w:t xml:space="preserve"> The provisions of </w:t>
      </w:r>
      <w:r>
        <w:rPr>
          <w:rFonts w:ascii="Arial" w:cs="Arial" w:eastAsia="Arial" w:hAnsi="Arial"/>
          <w:sz w:val="21"/>
          <w:szCs w:val="21"/>
          <w:color w:val="282828"/>
        </w:rPr>
        <w:t>this Article</w:t>
      </w:r>
      <w:r>
        <w:rPr>
          <w:rFonts w:ascii="Arial" w:cs="Arial" w:eastAsia="Arial" w:hAnsi="Arial"/>
          <w:sz w:val="21"/>
          <w:szCs w:val="21"/>
          <w:color w:val="000000"/>
        </w:rPr>
        <w:t xml:space="preserve"> </w:t>
      </w:r>
      <w:r>
        <w:rPr>
          <w:rFonts w:ascii="Arial" w:cs="Arial" w:eastAsia="Arial" w:hAnsi="Arial"/>
          <w:sz w:val="21"/>
          <w:szCs w:val="21"/>
          <w:color w:val="3A3A3A"/>
        </w:rPr>
        <w:t>shall</w:t>
      </w:r>
      <w:r>
        <w:rPr>
          <w:rFonts w:ascii="Arial" w:cs="Arial" w:eastAsia="Arial" w:hAnsi="Arial"/>
          <w:sz w:val="21"/>
          <w:szCs w:val="21"/>
          <w:color w:val="000000"/>
        </w:rPr>
        <w:t xml:space="preserve"> </w:t>
      </w:r>
      <w:r>
        <w:rPr>
          <w:rFonts w:ascii="Arial" w:cs="Arial" w:eastAsia="Arial" w:hAnsi="Arial"/>
          <w:sz w:val="21"/>
          <w:szCs w:val="21"/>
          <w:color w:val="282828"/>
        </w:rPr>
        <w:t>survive</w:t>
      </w:r>
      <w:r>
        <w:rPr>
          <w:rFonts w:ascii="Arial" w:cs="Arial" w:eastAsia="Arial" w:hAnsi="Arial"/>
          <w:sz w:val="21"/>
          <w:szCs w:val="21"/>
          <w:color w:val="000000"/>
        </w:rPr>
        <w:t xml:space="preserve"> the </w:t>
      </w:r>
      <w:r>
        <w:rPr>
          <w:rFonts w:ascii="Arial" w:cs="Arial" w:eastAsia="Arial" w:hAnsi="Arial"/>
          <w:sz w:val="21"/>
          <w:szCs w:val="21"/>
          <w:color w:val="282828"/>
        </w:rPr>
        <w:t xml:space="preserve">expiration </w:t>
      </w:r>
      <w:r>
        <w:rPr>
          <w:rFonts w:ascii="Arial" w:cs="Arial" w:eastAsia="Arial" w:hAnsi="Arial"/>
          <w:sz w:val="21"/>
          <w:szCs w:val="21"/>
          <w:color w:val="000000"/>
        </w:rPr>
        <w:t>or</w:t>
      </w:r>
      <w:r>
        <w:rPr>
          <w:rFonts w:ascii="Arial" w:cs="Arial" w:eastAsia="Arial" w:hAnsi="Arial"/>
          <w:sz w:val="21"/>
          <w:szCs w:val="21"/>
          <w:color w:val="282828"/>
        </w:rPr>
        <w:t xml:space="preserve"> earlier </w:t>
      </w:r>
      <w:r>
        <w:rPr>
          <w:rFonts w:ascii="Arial" w:cs="Arial" w:eastAsia="Arial" w:hAnsi="Arial"/>
          <w:sz w:val="21"/>
          <w:szCs w:val="21"/>
          <w:color w:val="000000"/>
        </w:rPr>
        <w:t>termination</w:t>
      </w:r>
      <w:r>
        <w:rPr>
          <w:rFonts w:ascii="Arial" w:cs="Arial" w:eastAsia="Arial" w:hAnsi="Arial"/>
          <w:sz w:val="21"/>
          <w:szCs w:val="21"/>
          <w:color w:val="282828"/>
        </w:rPr>
        <w:t xml:space="preserve"> of </w:t>
      </w:r>
      <w:r>
        <w:rPr>
          <w:rFonts w:ascii="Arial" w:cs="Arial" w:eastAsia="Arial" w:hAnsi="Arial"/>
          <w:sz w:val="21"/>
          <w:szCs w:val="21"/>
          <w:color w:val="000000"/>
        </w:rPr>
        <w:t>this Lease.</w:t>
      </w:r>
    </w:p>
    <w:p>
      <w:pPr>
        <w:spacing w:after="0" w:line="162" w:lineRule="exact"/>
        <w:rPr>
          <w:sz w:val="20"/>
          <w:szCs w:val="20"/>
          <w:color w:val="auto"/>
        </w:rPr>
      </w:pPr>
    </w:p>
    <w:p>
      <w:pPr>
        <w:jc w:val="both"/>
        <w:ind w:left="640" w:hanging="647"/>
        <w:spacing w:after="0" w:line="223" w:lineRule="auto"/>
        <w:tabs>
          <w:tab w:leader="none" w:pos="620" w:val="left"/>
        </w:tabs>
        <w:rPr>
          <w:sz w:val="20"/>
          <w:szCs w:val="20"/>
          <w:color w:val="auto"/>
        </w:rPr>
      </w:pPr>
      <w:r>
        <w:rPr>
          <w:rFonts w:ascii="Arial" w:cs="Arial" w:eastAsia="Arial" w:hAnsi="Arial"/>
          <w:sz w:val="22"/>
          <w:szCs w:val="22"/>
          <w:color w:val="auto"/>
        </w:rPr>
        <w:t>11.2</w:t>
        <w:tab/>
        <w:t xml:space="preserve">In the event of bankruptcy </w:t>
      </w:r>
      <w:r>
        <w:rPr>
          <w:rFonts w:ascii="Arial" w:cs="Arial" w:eastAsia="Arial" w:hAnsi="Arial"/>
          <w:sz w:val="22"/>
          <w:szCs w:val="22"/>
          <w:color w:val="282828"/>
        </w:rPr>
        <w:t>or</w:t>
      </w:r>
      <w:r>
        <w:rPr>
          <w:rFonts w:ascii="Arial" w:cs="Arial" w:eastAsia="Arial" w:hAnsi="Arial"/>
          <w:sz w:val="22"/>
          <w:szCs w:val="22"/>
          <w:color w:val="auto"/>
        </w:rPr>
        <w:t xml:space="preserve"> other debtor-creditor proceedings </w:t>
      </w:r>
      <w:r>
        <w:rPr>
          <w:rFonts w:ascii="Arial" w:cs="Arial" w:eastAsia="Arial" w:hAnsi="Arial"/>
          <w:sz w:val="22"/>
          <w:szCs w:val="22"/>
          <w:color w:val="282828"/>
        </w:rPr>
        <w:t>against</w:t>
      </w:r>
      <w:r>
        <w:rPr>
          <w:rFonts w:ascii="Arial" w:cs="Arial" w:eastAsia="Arial" w:hAnsi="Arial"/>
          <w:sz w:val="22"/>
          <w:szCs w:val="22"/>
          <w:color w:val="auto"/>
        </w:rPr>
        <w:t xml:space="preserve"> Tenant, </w:t>
      </w:r>
      <w:r>
        <w:rPr>
          <w:rFonts w:ascii="Arial" w:cs="Arial" w:eastAsia="Arial" w:hAnsi="Arial"/>
          <w:sz w:val="22"/>
          <w:szCs w:val="22"/>
          <w:color w:val="282828"/>
        </w:rPr>
        <w:t>the</w:t>
      </w:r>
      <w:r>
        <w:rPr>
          <w:rFonts w:ascii="Arial" w:cs="Arial" w:eastAsia="Arial" w:hAnsi="Arial"/>
          <w:sz w:val="22"/>
          <w:szCs w:val="22"/>
          <w:color w:val="auto"/>
        </w:rPr>
        <w:t xml:space="preserve"> Security Deposit </w:t>
      </w:r>
      <w:r>
        <w:rPr>
          <w:rFonts w:ascii="Arial" w:cs="Arial" w:eastAsia="Arial" w:hAnsi="Arial"/>
          <w:sz w:val="22"/>
          <w:szCs w:val="22"/>
          <w:color w:val="3A3A3A"/>
        </w:rPr>
        <w:t>shall</w:t>
      </w:r>
      <w:r>
        <w:rPr>
          <w:rFonts w:ascii="Arial" w:cs="Arial" w:eastAsia="Arial" w:hAnsi="Arial"/>
          <w:sz w:val="22"/>
          <w:szCs w:val="22"/>
          <w:color w:val="auto"/>
        </w:rPr>
        <w:t xml:space="preserve"> be </w:t>
      </w:r>
      <w:r>
        <w:rPr>
          <w:rFonts w:ascii="Arial" w:cs="Arial" w:eastAsia="Arial" w:hAnsi="Arial"/>
          <w:sz w:val="22"/>
          <w:szCs w:val="22"/>
          <w:color w:val="282828"/>
        </w:rPr>
        <w:t xml:space="preserve">deemed </w:t>
      </w:r>
      <w:r>
        <w:rPr>
          <w:rFonts w:ascii="Arial" w:cs="Arial" w:eastAsia="Arial" w:hAnsi="Arial"/>
          <w:sz w:val="22"/>
          <w:szCs w:val="22"/>
          <w:color w:val="000000"/>
        </w:rPr>
        <w:t>to be</w:t>
      </w:r>
      <w:r>
        <w:rPr>
          <w:rFonts w:ascii="Arial" w:cs="Arial" w:eastAsia="Arial" w:hAnsi="Arial"/>
          <w:sz w:val="22"/>
          <w:szCs w:val="22"/>
          <w:color w:val="282828"/>
        </w:rPr>
        <w:t xml:space="preserve"> applied first to the </w:t>
      </w:r>
      <w:r>
        <w:rPr>
          <w:rFonts w:ascii="Arial" w:cs="Arial" w:eastAsia="Arial" w:hAnsi="Arial"/>
          <w:sz w:val="22"/>
          <w:szCs w:val="22"/>
          <w:color w:val="000000"/>
        </w:rPr>
        <w:t>payment of Rent and</w:t>
      </w:r>
      <w:r>
        <w:rPr>
          <w:rFonts w:ascii="Arial" w:cs="Arial" w:eastAsia="Arial" w:hAnsi="Arial"/>
          <w:sz w:val="22"/>
          <w:szCs w:val="22"/>
          <w:color w:val="282828"/>
        </w:rPr>
        <w:t xml:space="preserve"> other </w:t>
      </w:r>
      <w:r>
        <w:rPr>
          <w:rFonts w:ascii="Arial" w:cs="Arial" w:eastAsia="Arial" w:hAnsi="Arial"/>
          <w:sz w:val="22"/>
          <w:szCs w:val="22"/>
          <w:color w:val="000000"/>
        </w:rPr>
        <w:t>charges due</w:t>
      </w:r>
      <w:r>
        <w:rPr>
          <w:rFonts w:ascii="Arial" w:cs="Arial" w:eastAsia="Arial" w:hAnsi="Arial"/>
          <w:sz w:val="22"/>
          <w:szCs w:val="22"/>
          <w:color w:val="282828"/>
        </w:rPr>
        <w:t xml:space="preserve"> Landlord for all periods </w:t>
      </w:r>
      <w:r>
        <w:rPr>
          <w:rFonts w:ascii="Arial" w:cs="Arial" w:eastAsia="Arial" w:hAnsi="Arial"/>
          <w:sz w:val="22"/>
          <w:szCs w:val="22"/>
          <w:color w:val="000000"/>
        </w:rPr>
        <w:t>prior to the</w:t>
      </w:r>
      <w:r>
        <w:rPr>
          <w:rFonts w:ascii="Arial" w:cs="Arial" w:eastAsia="Arial" w:hAnsi="Arial"/>
          <w:sz w:val="22"/>
          <w:szCs w:val="22"/>
          <w:color w:val="282828"/>
        </w:rPr>
        <w:t xml:space="preserve"> filing of </w:t>
      </w:r>
      <w:r>
        <w:rPr>
          <w:rFonts w:ascii="Arial" w:cs="Arial" w:eastAsia="Arial" w:hAnsi="Arial"/>
          <w:sz w:val="22"/>
          <w:szCs w:val="22"/>
          <w:color w:val="3A3A3A"/>
        </w:rPr>
        <w:t>such</w:t>
      </w:r>
      <w:r>
        <w:rPr>
          <w:rFonts w:ascii="Arial" w:cs="Arial" w:eastAsia="Arial" w:hAnsi="Arial"/>
          <w:sz w:val="22"/>
          <w:szCs w:val="22"/>
          <w:color w:val="282828"/>
        </w:rPr>
        <w:t xml:space="preserve"> proceedings.</w:t>
      </w:r>
    </w:p>
    <w:p>
      <w:pPr>
        <w:spacing w:after="0" w:line="159"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 xml:space="preserve">Landlord </w:t>
      </w:r>
      <w:r>
        <w:rPr>
          <w:rFonts w:ascii="Arial" w:cs="Arial" w:eastAsia="Arial" w:hAnsi="Arial"/>
          <w:sz w:val="19"/>
          <w:szCs w:val="19"/>
          <w:color w:val="282828"/>
        </w:rPr>
        <w:t>may deliver</w:t>
      </w:r>
      <w:r>
        <w:rPr>
          <w:rFonts w:ascii="Arial" w:cs="Arial" w:eastAsia="Arial" w:hAnsi="Arial"/>
          <w:sz w:val="19"/>
          <w:szCs w:val="19"/>
          <w:color w:val="auto"/>
        </w:rPr>
        <w:t xml:space="preserve"> to any </w:t>
      </w:r>
      <w:r>
        <w:rPr>
          <w:rFonts w:ascii="Arial" w:cs="Arial" w:eastAsia="Arial" w:hAnsi="Arial"/>
          <w:sz w:val="19"/>
          <w:szCs w:val="19"/>
          <w:color w:val="282828"/>
        </w:rPr>
        <w:t>purchaser</w:t>
      </w:r>
      <w:r>
        <w:rPr>
          <w:rFonts w:ascii="Arial" w:cs="Arial" w:eastAsia="Arial" w:hAnsi="Arial"/>
          <w:sz w:val="19"/>
          <w:szCs w:val="19"/>
          <w:color w:val="auto"/>
        </w:rPr>
        <w:t xml:space="preserve"> of Landlord’s entire interest </w:t>
      </w:r>
      <w:r>
        <w:rPr>
          <w:rFonts w:ascii="Arial" w:cs="Arial" w:eastAsia="Arial" w:hAnsi="Arial"/>
          <w:sz w:val="19"/>
          <w:szCs w:val="19"/>
          <w:color w:val="282828"/>
        </w:rPr>
        <w:t>in</w:t>
      </w:r>
      <w:r>
        <w:rPr>
          <w:rFonts w:ascii="Arial" w:cs="Arial" w:eastAsia="Arial" w:hAnsi="Arial"/>
          <w:sz w:val="19"/>
          <w:szCs w:val="19"/>
          <w:color w:val="auto"/>
        </w:rPr>
        <w:t xml:space="preserve"> </w:t>
      </w:r>
      <w:r>
        <w:rPr>
          <w:rFonts w:ascii="Arial" w:cs="Arial" w:eastAsia="Arial" w:hAnsi="Arial"/>
          <w:sz w:val="19"/>
          <w:szCs w:val="19"/>
          <w:color w:val="3A3A3A"/>
        </w:rPr>
        <w:t>the</w:t>
      </w:r>
      <w:r>
        <w:rPr>
          <w:rFonts w:ascii="Arial" w:cs="Arial" w:eastAsia="Arial" w:hAnsi="Arial"/>
          <w:sz w:val="19"/>
          <w:szCs w:val="19"/>
          <w:color w:val="auto"/>
        </w:rPr>
        <w:t xml:space="preserve"> Premises the Security Deposit delivered hereunder </w:t>
      </w:r>
      <w:r>
        <w:rPr>
          <w:rFonts w:ascii="Arial" w:cs="Arial" w:eastAsia="Arial" w:hAnsi="Arial"/>
          <w:sz w:val="19"/>
          <w:szCs w:val="19"/>
          <w:color w:val="282828"/>
        </w:rPr>
        <w:t>by</w:t>
      </w:r>
      <w:r>
        <w:rPr>
          <w:rFonts w:ascii="Arial" w:cs="Arial" w:eastAsia="Arial" w:hAnsi="Arial"/>
          <w:sz w:val="19"/>
          <w:szCs w:val="19"/>
          <w:color w:val="auto"/>
        </w:rPr>
        <w:t xml:space="preserve"> Tenant, and, upon </w:t>
      </w:r>
      <w:r>
        <w:rPr>
          <w:rFonts w:ascii="Arial" w:cs="Arial" w:eastAsia="Arial" w:hAnsi="Arial"/>
          <w:sz w:val="19"/>
          <w:szCs w:val="19"/>
          <w:color w:val="282828"/>
        </w:rPr>
        <w:t>such purchaser’s</w:t>
      </w:r>
      <w:r>
        <w:rPr>
          <w:rFonts w:ascii="Arial" w:cs="Arial" w:eastAsia="Arial" w:hAnsi="Arial"/>
          <w:sz w:val="19"/>
          <w:szCs w:val="19"/>
          <w:color w:val="auto"/>
        </w:rPr>
        <w:t xml:space="preserve"> agreement in </w:t>
      </w:r>
      <w:r>
        <w:rPr>
          <w:rFonts w:ascii="Arial" w:cs="Arial" w:eastAsia="Arial" w:hAnsi="Arial"/>
          <w:sz w:val="19"/>
          <w:szCs w:val="19"/>
          <w:color w:val="282828"/>
        </w:rPr>
        <w:t>writing to assume</w:t>
      </w:r>
      <w:r>
        <w:rPr>
          <w:rFonts w:ascii="Arial" w:cs="Arial" w:eastAsia="Arial" w:hAnsi="Arial"/>
          <w:sz w:val="19"/>
          <w:szCs w:val="19"/>
          <w:color w:val="auto"/>
        </w:rPr>
        <w:t xml:space="preserve"> Landlord’s obligations under this Lease </w:t>
      </w:r>
      <w:r>
        <w:rPr>
          <w:rFonts w:ascii="Arial" w:cs="Arial" w:eastAsia="Arial" w:hAnsi="Arial"/>
          <w:sz w:val="19"/>
          <w:szCs w:val="19"/>
          <w:color w:val="282828"/>
        </w:rPr>
        <w:t>with respect</w:t>
      </w:r>
      <w:r>
        <w:rPr>
          <w:rFonts w:ascii="Arial" w:cs="Arial" w:eastAsia="Arial" w:hAnsi="Arial"/>
          <w:sz w:val="19"/>
          <w:szCs w:val="19"/>
          <w:color w:val="auto"/>
        </w:rPr>
        <w:t xml:space="preserve"> to the Security Deposit, </w:t>
      </w:r>
      <w:r>
        <w:rPr>
          <w:rFonts w:ascii="Arial" w:cs="Arial" w:eastAsia="Arial" w:hAnsi="Arial"/>
          <w:sz w:val="19"/>
          <w:szCs w:val="19"/>
          <w:color w:val="282828"/>
        </w:rPr>
        <w:t>Landlord shall</w:t>
      </w:r>
      <w:r>
        <w:rPr>
          <w:rFonts w:ascii="Arial" w:cs="Arial" w:eastAsia="Arial" w:hAnsi="Arial"/>
          <w:sz w:val="19"/>
          <w:szCs w:val="19"/>
          <w:color w:val="auto"/>
        </w:rPr>
        <w:t xml:space="preserve"> be discharged </w:t>
      </w:r>
      <w:r>
        <w:rPr>
          <w:rFonts w:ascii="Arial" w:cs="Arial" w:eastAsia="Arial" w:hAnsi="Arial"/>
          <w:sz w:val="19"/>
          <w:szCs w:val="19"/>
          <w:color w:val="282828"/>
        </w:rPr>
        <w:t>from any</w:t>
      </w:r>
      <w:r>
        <w:rPr>
          <w:rFonts w:ascii="Arial" w:cs="Arial" w:eastAsia="Arial" w:hAnsi="Arial"/>
          <w:sz w:val="19"/>
          <w:szCs w:val="19"/>
          <w:color w:val="auto"/>
        </w:rPr>
        <w:t xml:space="preserve"> further liability </w:t>
      </w:r>
      <w:r>
        <w:rPr>
          <w:rFonts w:ascii="Arial" w:cs="Arial" w:eastAsia="Arial" w:hAnsi="Arial"/>
          <w:sz w:val="19"/>
          <w:szCs w:val="19"/>
          <w:color w:val="282828"/>
        </w:rPr>
        <w:t>with</w:t>
      </w:r>
      <w:r>
        <w:rPr>
          <w:rFonts w:ascii="Arial" w:cs="Arial" w:eastAsia="Arial" w:hAnsi="Arial"/>
          <w:sz w:val="19"/>
          <w:szCs w:val="19"/>
          <w:color w:val="auto"/>
        </w:rPr>
        <w:t xml:space="preserve"> respect to </w:t>
      </w:r>
      <w:r>
        <w:rPr>
          <w:rFonts w:ascii="Arial" w:cs="Arial" w:eastAsia="Arial" w:hAnsi="Arial"/>
          <w:sz w:val="19"/>
          <w:szCs w:val="19"/>
          <w:color w:val="3A3A3A"/>
        </w:rPr>
        <w:t xml:space="preserve">such </w:t>
      </w:r>
      <w:r>
        <w:rPr>
          <w:rFonts w:ascii="Arial" w:cs="Arial" w:eastAsia="Arial" w:hAnsi="Arial"/>
          <w:sz w:val="19"/>
          <w:szCs w:val="19"/>
          <w:color w:val="282828"/>
        </w:rPr>
        <w:t>Security Deposit.</w:t>
      </w:r>
      <w:r>
        <w:rPr>
          <w:rFonts w:ascii="Arial" w:cs="Arial" w:eastAsia="Arial" w:hAnsi="Arial"/>
          <w:sz w:val="19"/>
          <w:szCs w:val="19"/>
          <w:color w:val="3A3A3A"/>
        </w:rPr>
        <w:t xml:space="preserve"> </w:t>
      </w:r>
      <w:r>
        <w:rPr>
          <w:rFonts w:ascii="Arial" w:cs="Arial" w:eastAsia="Arial" w:hAnsi="Arial"/>
          <w:sz w:val="19"/>
          <w:szCs w:val="19"/>
          <w:color w:val="000000"/>
        </w:rPr>
        <w:t>This provision</w:t>
      </w:r>
      <w:r>
        <w:rPr>
          <w:rFonts w:ascii="Arial" w:cs="Arial" w:eastAsia="Arial" w:hAnsi="Arial"/>
          <w:sz w:val="19"/>
          <w:szCs w:val="19"/>
          <w:color w:val="3A3A3A"/>
        </w:rPr>
        <w:t xml:space="preserve"> </w:t>
      </w:r>
      <w:r>
        <w:rPr>
          <w:rFonts w:ascii="Arial" w:cs="Arial" w:eastAsia="Arial" w:hAnsi="Arial"/>
          <w:sz w:val="19"/>
          <w:szCs w:val="19"/>
          <w:color w:val="282828"/>
        </w:rPr>
        <w:t>shall</w:t>
      </w:r>
      <w:r>
        <w:rPr>
          <w:rFonts w:ascii="Arial" w:cs="Arial" w:eastAsia="Arial" w:hAnsi="Arial"/>
          <w:sz w:val="19"/>
          <w:szCs w:val="19"/>
          <w:color w:val="3A3A3A"/>
        </w:rPr>
        <w:t xml:space="preserve"> </w:t>
      </w:r>
      <w:r>
        <w:rPr>
          <w:rFonts w:ascii="Arial" w:cs="Arial" w:eastAsia="Arial" w:hAnsi="Arial"/>
          <w:sz w:val="19"/>
          <w:szCs w:val="19"/>
          <w:color w:val="000000"/>
        </w:rPr>
        <w:t>also</w:t>
      </w:r>
      <w:r>
        <w:rPr>
          <w:rFonts w:ascii="Arial" w:cs="Arial" w:eastAsia="Arial" w:hAnsi="Arial"/>
          <w:sz w:val="19"/>
          <w:szCs w:val="19"/>
          <w:color w:val="3A3A3A"/>
        </w:rPr>
        <w:t xml:space="preserve"> </w:t>
      </w:r>
      <w:r>
        <w:rPr>
          <w:rFonts w:ascii="Arial" w:cs="Arial" w:eastAsia="Arial" w:hAnsi="Arial"/>
          <w:sz w:val="19"/>
          <w:szCs w:val="19"/>
          <w:color w:val="282828"/>
        </w:rPr>
        <w:t>apply to</w:t>
      </w:r>
      <w:r>
        <w:rPr>
          <w:rFonts w:ascii="Arial" w:cs="Arial" w:eastAsia="Arial" w:hAnsi="Arial"/>
          <w:sz w:val="19"/>
          <w:szCs w:val="19"/>
          <w:color w:val="3A3A3A"/>
        </w:rPr>
        <w:t xml:space="preserve"> </w:t>
      </w:r>
      <w:r>
        <w:rPr>
          <w:rFonts w:ascii="Arial" w:cs="Arial" w:eastAsia="Arial" w:hAnsi="Arial"/>
          <w:sz w:val="19"/>
          <w:szCs w:val="19"/>
          <w:color w:val="000000"/>
        </w:rPr>
        <w:t>any</w:t>
      </w:r>
      <w:r>
        <w:rPr>
          <w:rFonts w:ascii="Arial" w:cs="Arial" w:eastAsia="Arial" w:hAnsi="Arial"/>
          <w:sz w:val="19"/>
          <w:szCs w:val="19"/>
          <w:color w:val="3A3A3A"/>
        </w:rPr>
        <w:t xml:space="preserve"> subsequent </w:t>
      </w:r>
      <w:r>
        <w:rPr>
          <w:rFonts w:ascii="Arial" w:cs="Arial" w:eastAsia="Arial" w:hAnsi="Arial"/>
          <w:sz w:val="19"/>
          <w:szCs w:val="19"/>
          <w:color w:val="000000"/>
        </w:rPr>
        <w:t>transfers.</w:t>
      </w:r>
    </w:p>
    <w:p>
      <w:pPr>
        <w:spacing w:after="0" w:line="144"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color w:val="282828"/>
        </w:rPr>
        <w:t>Security</w:t>
      </w:r>
      <w:r>
        <w:rPr>
          <w:rFonts w:ascii="Arial" w:cs="Arial" w:eastAsia="Arial" w:hAnsi="Arial"/>
          <w:sz w:val="19"/>
          <w:szCs w:val="19"/>
          <w:color w:val="auto"/>
        </w:rPr>
        <w:t xml:space="preserve"> Deposit, or </w:t>
      </w:r>
      <w:r>
        <w:rPr>
          <w:rFonts w:ascii="Arial" w:cs="Arial" w:eastAsia="Arial" w:hAnsi="Arial"/>
          <w:sz w:val="19"/>
          <w:szCs w:val="19"/>
          <w:color w:val="3A3A3A"/>
        </w:rPr>
        <w:t>the</w:t>
      </w:r>
      <w:r>
        <w:rPr>
          <w:rFonts w:ascii="Arial" w:cs="Arial" w:eastAsia="Arial" w:hAnsi="Arial"/>
          <w:sz w:val="19"/>
          <w:szCs w:val="19"/>
          <w:color w:val="auto"/>
        </w:rPr>
        <w:t xml:space="preserve"> </w:t>
      </w:r>
      <w:r>
        <w:rPr>
          <w:rFonts w:ascii="Arial" w:cs="Arial" w:eastAsia="Arial" w:hAnsi="Arial"/>
          <w:sz w:val="19"/>
          <w:szCs w:val="19"/>
          <w:color w:val="282828"/>
        </w:rPr>
        <w:t>remaining</w:t>
      </w:r>
      <w:r>
        <w:rPr>
          <w:rFonts w:ascii="Arial" w:cs="Arial" w:eastAsia="Arial" w:hAnsi="Arial"/>
          <w:sz w:val="19"/>
          <w:szCs w:val="19"/>
          <w:color w:val="auto"/>
        </w:rPr>
        <w:t xml:space="preserve"> balance </w:t>
      </w:r>
      <w:r>
        <w:rPr>
          <w:rFonts w:ascii="Arial" w:cs="Arial" w:eastAsia="Arial" w:hAnsi="Arial"/>
          <w:sz w:val="19"/>
          <w:szCs w:val="19"/>
          <w:color w:val="282828"/>
        </w:rPr>
        <w:t>thereof following</w:t>
      </w:r>
      <w:r>
        <w:rPr>
          <w:rFonts w:ascii="Arial" w:cs="Arial" w:eastAsia="Arial" w:hAnsi="Arial"/>
          <w:sz w:val="19"/>
          <w:szCs w:val="19"/>
          <w:color w:val="auto"/>
        </w:rPr>
        <w:t xml:space="preserve"> </w:t>
      </w:r>
      <w:r>
        <w:rPr>
          <w:rFonts w:ascii="Arial" w:cs="Arial" w:eastAsia="Arial" w:hAnsi="Arial"/>
          <w:sz w:val="19"/>
          <w:szCs w:val="19"/>
          <w:color w:val="494949"/>
        </w:rPr>
        <w:t>Landlord’s</w:t>
      </w:r>
      <w:r>
        <w:rPr>
          <w:rFonts w:ascii="Arial" w:cs="Arial" w:eastAsia="Arial" w:hAnsi="Arial"/>
          <w:sz w:val="19"/>
          <w:szCs w:val="19"/>
          <w:color w:val="auto"/>
        </w:rPr>
        <w:t xml:space="preserve"> use, application </w:t>
      </w:r>
      <w:r>
        <w:rPr>
          <w:rFonts w:ascii="Arial" w:cs="Arial" w:eastAsia="Arial" w:hAnsi="Arial"/>
          <w:sz w:val="19"/>
          <w:szCs w:val="19"/>
          <w:color w:val="282828"/>
        </w:rPr>
        <w:t>or</w:t>
      </w:r>
      <w:r>
        <w:rPr>
          <w:rFonts w:ascii="Arial" w:cs="Arial" w:eastAsia="Arial" w:hAnsi="Arial"/>
          <w:sz w:val="19"/>
          <w:szCs w:val="19"/>
          <w:color w:val="auto"/>
        </w:rPr>
        <w:t xml:space="preserve"> </w:t>
      </w:r>
      <w:r>
        <w:rPr>
          <w:rFonts w:ascii="Arial" w:cs="Arial" w:eastAsia="Arial" w:hAnsi="Arial"/>
          <w:sz w:val="19"/>
          <w:szCs w:val="19"/>
          <w:color w:val="3A3A3A"/>
        </w:rPr>
        <w:t>retention</w:t>
      </w:r>
      <w:r>
        <w:rPr>
          <w:rFonts w:ascii="Arial" w:cs="Arial" w:eastAsia="Arial" w:hAnsi="Arial"/>
          <w:sz w:val="19"/>
          <w:szCs w:val="19"/>
          <w:color w:val="auto"/>
        </w:rPr>
        <w:t xml:space="preserve"> </w:t>
      </w:r>
      <w:r>
        <w:rPr>
          <w:rFonts w:ascii="Arial" w:cs="Arial" w:eastAsia="Arial" w:hAnsi="Arial"/>
          <w:sz w:val="19"/>
          <w:szCs w:val="19"/>
          <w:color w:val="282828"/>
        </w:rPr>
        <w:t>of the</w:t>
      </w:r>
      <w:r>
        <w:rPr>
          <w:rFonts w:ascii="Arial" w:cs="Arial" w:eastAsia="Arial" w:hAnsi="Arial"/>
          <w:sz w:val="19"/>
          <w:szCs w:val="19"/>
          <w:color w:val="auto"/>
        </w:rPr>
        <w:t xml:space="preserve"> </w:t>
      </w:r>
      <w:r>
        <w:rPr>
          <w:rFonts w:ascii="Arial" w:cs="Arial" w:eastAsia="Arial" w:hAnsi="Arial"/>
          <w:sz w:val="19"/>
          <w:szCs w:val="19"/>
          <w:color w:val="3A3A3A"/>
        </w:rPr>
        <w:t xml:space="preserve">Security </w:t>
      </w:r>
      <w:r>
        <w:rPr>
          <w:rFonts w:ascii="Arial" w:cs="Arial" w:eastAsia="Arial" w:hAnsi="Arial"/>
          <w:sz w:val="19"/>
          <w:szCs w:val="19"/>
          <w:color w:val="000000"/>
        </w:rPr>
        <w:t>Deposit pursuant to</w:t>
      </w:r>
      <w:r>
        <w:rPr>
          <w:rFonts w:ascii="Arial" w:cs="Arial" w:eastAsia="Arial" w:hAnsi="Arial"/>
          <w:sz w:val="19"/>
          <w:szCs w:val="19"/>
          <w:color w:val="3A3A3A"/>
        </w:rPr>
        <w:t xml:space="preserve"> </w:t>
      </w:r>
      <w:r>
        <w:rPr>
          <w:rFonts w:ascii="Arial" w:cs="Arial" w:eastAsia="Arial" w:hAnsi="Arial"/>
          <w:sz w:val="19"/>
          <w:szCs w:val="19"/>
          <w:u w:val="single" w:color="auto"/>
          <w:color w:val="282828"/>
        </w:rPr>
        <w:t>Section</w:t>
      </w:r>
      <w:r>
        <w:rPr>
          <w:rFonts w:ascii="Arial" w:cs="Arial" w:eastAsia="Arial" w:hAnsi="Arial"/>
          <w:sz w:val="19"/>
          <w:szCs w:val="19"/>
          <w:color w:val="3A3A3A"/>
        </w:rPr>
        <w:t xml:space="preserve"> </w:t>
      </w:r>
      <w:r>
        <w:rPr>
          <w:rFonts w:ascii="Arial" w:cs="Arial" w:eastAsia="Arial" w:hAnsi="Arial"/>
          <w:sz w:val="19"/>
          <w:szCs w:val="19"/>
          <w:u w:val="single" w:color="auto"/>
          <w:color w:val="000000"/>
        </w:rPr>
        <w:t>11.1</w:t>
      </w:r>
      <w:r>
        <w:rPr>
          <w:rFonts w:ascii="Arial" w:cs="Arial" w:eastAsia="Arial" w:hAnsi="Arial"/>
          <w:sz w:val="19"/>
          <w:szCs w:val="19"/>
          <w:color w:val="000000"/>
        </w:rPr>
        <w:t>,</w:t>
      </w:r>
      <w:r>
        <w:rPr>
          <w:rFonts w:ascii="Arial" w:cs="Arial" w:eastAsia="Arial" w:hAnsi="Arial"/>
          <w:sz w:val="19"/>
          <w:szCs w:val="19"/>
          <w:color w:val="3A3A3A"/>
        </w:rPr>
        <w:t xml:space="preserve"> shall </w:t>
      </w:r>
      <w:r>
        <w:rPr>
          <w:rFonts w:ascii="Arial" w:cs="Arial" w:eastAsia="Arial" w:hAnsi="Arial"/>
          <w:sz w:val="19"/>
          <w:szCs w:val="19"/>
          <w:color w:val="000000"/>
        </w:rPr>
        <w:t>be</w:t>
      </w:r>
      <w:r>
        <w:rPr>
          <w:rFonts w:ascii="Arial" w:cs="Arial" w:eastAsia="Arial" w:hAnsi="Arial"/>
          <w:sz w:val="19"/>
          <w:szCs w:val="19"/>
          <w:color w:val="3A3A3A"/>
        </w:rPr>
        <w:t xml:space="preserve"> returned </w:t>
      </w:r>
      <w:r>
        <w:rPr>
          <w:rFonts w:ascii="Arial" w:cs="Arial" w:eastAsia="Arial" w:hAnsi="Arial"/>
          <w:sz w:val="19"/>
          <w:szCs w:val="19"/>
          <w:color w:val="000000"/>
        </w:rPr>
        <w:t>to</w:t>
      </w:r>
      <w:r>
        <w:rPr>
          <w:rFonts w:ascii="Arial" w:cs="Arial" w:eastAsia="Arial" w:hAnsi="Arial"/>
          <w:sz w:val="19"/>
          <w:szCs w:val="19"/>
          <w:color w:val="3A3A3A"/>
        </w:rPr>
        <w:t xml:space="preserve"> </w:t>
      </w:r>
      <w:r>
        <w:rPr>
          <w:rFonts w:ascii="Arial" w:cs="Arial" w:eastAsia="Arial" w:hAnsi="Arial"/>
          <w:sz w:val="19"/>
          <w:szCs w:val="19"/>
          <w:color w:val="282828"/>
        </w:rPr>
        <w:t>Tenant</w:t>
      </w:r>
      <w:r>
        <w:rPr>
          <w:rFonts w:ascii="Arial" w:cs="Arial" w:eastAsia="Arial" w:hAnsi="Arial"/>
          <w:sz w:val="19"/>
          <w:szCs w:val="19"/>
          <w:color w:val="3A3A3A"/>
        </w:rPr>
        <w:t xml:space="preserve"> </w:t>
      </w:r>
      <w:r>
        <w:rPr>
          <w:rFonts w:ascii="Arial" w:cs="Arial" w:eastAsia="Arial" w:hAnsi="Arial"/>
          <w:sz w:val="19"/>
          <w:szCs w:val="19"/>
          <w:color w:val="000000"/>
        </w:rPr>
        <w:t>(or, at Landlord’s</w:t>
      </w:r>
      <w:r>
        <w:rPr>
          <w:rFonts w:ascii="Arial" w:cs="Arial" w:eastAsia="Arial" w:hAnsi="Arial"/>
          <w:sz w:val="19"/>
          <w:szCs w:val="19"/>
          <w:color w:val="3A3A3A"/>
        </w:rPr>
        <w:t xml:space="preserve"> </w:t>
      </w:r>
      <w:r>
        <w:rPr>
          <w:rFonts w:ascii="Arial" w:cs="Arial" w:eastAsia="Arial" w:hAnsi="Arial"/>
          <w:sz w:val="19"/>
          <w:szCs w:val="19"/>
          <w:color w:val="282828"/>
        </w:rPr>
        <w:t>option,</w:t>
      </w:r>
      <w:r>
        <w:rPr>
          <w:rFonts w:ascii="Arial" w:cs="Arial" w:eastAsia="Arial" w:hAnsi="Arial"/>
          <w:sz w:val="19"/>
          <w:szCs w:val="19"/>
          <w:color w:val="3A3A3A"/>
        </w:rPr>
        <w:t xml:space="preserve"> </w:t>
      </w:r>
      <w:r>
        <w:rPr>
          <w:rFonts w:ascii="Arial" w:cs="Arial" w:eastAsia="Arial" w:hAnsi="Arial"/>
          <w:sz w:val="19"/>
          <w:szCs w:val="19"/>
          <w:color w:val="000000"/>
        </w:rPr>
        <w:t>to the last</w:t>
      </w:r>
      <w:r>
        <w:rPr>
          <w:rFonts w:ascii="Arial" w:cs="Arial" w:eastAsia="Arial" w:hAnsi="Arial"/>
          <w:sz w:val="19"/>
          <w:szCs w:val="19"/>
          <w:color w:val="3A3A3A"/>
        </w:rPr>
        <w:t xml:space="preserve"> </w:t>
      </w:r>
      <w:r>
        <w:rPr>
          <w:rFonts w:ascii="Arial" w:cs="Arial" w:eastAsia="Arial" w:hAnsi="Arial"/>
          <w:sz w:val="19"/>
          <w:szCs w:val="19"/>
          <w:color w:val="282828"/>
        </w:rPr>
        <w:t>assignee</w:t>
      </w:r>
      <w:r>
        <w:rPr>
          <w:rFonts w:ascii="Arial" w:cs="Arial" w:eastAsia="Arial" w:hAnsi="Arial"/>
          <w:sz w:val="19"/>
          <w:szCs w:val="19"/>
          <w:color w:val="3A3A3A"/>
        </w:rPr>
        <w:t xml:space="preserve"> </w:t>
      </w:r>
      <w:r>
        <w:rPr>
          <w:rFonts w:ascii="Arial" w:cs="Arial" w:eastAsia="Arial" w:hAnsi="Arial"/>
          <w:sz w:val="19"/>
          <w:szCs w:val="19"/>
          <w:color w:val="282828"/>
        </w:rPr>
        <w:t xml:space="preserve">of </w:t>
      </w:r>
      <w:r>
        <w:rPr>
          <w:rFonts w:ascii="Arial" w:cs="Arial" w:eastAsia="Arial" w:hAnsi="Arial"/>
          <w:sz w:val="19"/>
          <w:szCs w:val="19"/>
          <w:color w:val="3A3A3A"/>
        </w:rPr>
        <w:t>Tenant’s</w:t>
      </w:r>
      <w:r>
        <w:rPr>
          <w:rFonts w:ascii="Arial" w:cs="Arial" w:eastAsia="Arial" w:hAnsi="Arial"/>
          <w:sz w:val="19"/>
          <w:szCs w:val="19"/>
          <w:color w:val="282828"/>
        </w:rPr>
        <w:t xml:space="preserve"> </w:t>
      </w:r>
      <w:r>
        <w:rPr>
          <w:rFonts w:ascii="Arial" w:cs="Arial" w:eastAsia="Arial" w:hAnsi="Arial"/>
          <w:sz w:val="19"/>
          <w:szCs w:val="19"/>
          <w:color w:val="000000"/>
        </w:rPr>
        <w:t>interest he</w:t>
      </w:r>
      <w:r>
        <w:rPr>
          <w:rFonts w:ascii="Arial" w:cs="Arial" w:eastAsia="Arial" w:hAnsi="Arial"/>
          <w:sz w:val="19"/>
          <w:szCs w:val="19"/>
          <w:color w:val="494949"/>
        </w:rPr>
        <w:t>r</w:t>
      </w:r>
      <w:r>
        <w:rPr>
          <w:rFonts w:ascii="Arial" w:cs="Arial" w:eastAsia="Arial" w:hAnsi="Arial"/>
          <w:sz w:val="19"/>
          <w:szCs w:val="19"/>
          <w:color w:val="282828"/>
        </w:rPr>
        <w:t xml:space="preserve">eunder) within </w:t>
      </w:r>
      <w:r>
        <w:rPr>
          <w:rFonts w:ascii="Arial" w:cs="Arial" w:eastAsia="Arial" w:hAnsi="Arial"/>
          <w:sz w:val="19"/>
          <w:szCs w:val="19"/>
          <w:color w:val="000000"/>
        </w:rPr>
        <w:t>thirty (30)</w:t>
      </w:r>
      <w:r>
        <w:rPr>
          <w:rFonts w:ascii="Arial" w:cs="Arial" w:eastAsia="Arial" w:hAnsi="Arial"/>
          <w:sz w:val="19"/>
          <w:szCs w:val="19"/>
          <w:color w:val="282828"/>
        </w:rPr>
        <w:t xml:space="preserve"> days after </w:t>
      </w:r>
      <w:r>
        <w:rPr>
          <w:rFonts w:ascii="Arial" w:cs="Arial" w:eastAsia="Arial" w:hAnsi="Arial"/>
          <w:sz w:val="19"/>
          <w:szCs w:val="19"/>
          <w:color w:val="000000"/>
        </w:rPr>
        <w:t>the</w:t>
      </w:r>
      <w:r>
        <w:rPr>
          <w:rFonts w:ascii="Arial" w:cs="Arial" w:eastAsia="Arial" w:hAnsi="Arial"/>
          <w:sz w:val="19"/>
          <w:szCs w:val="19"/>
          <w:color w:val="282828"/>
        </w:rPr>
        <w:t xml:space="preserve"> </w:t>
      </w:r>
      <w:r>
        <w:rPr>
          <w:rFonts w:ascii="Arial" w:cs="Arial" w:eastAsia="Arial" w:hAnsi="Arial"/>
          <w:sz w:val="19"/>
          <w:szCs w:val="19"/>
          <w:color w:val="3A3A3A"/>
        </w:rPr>
        <w:t>expiration</w:t>
      </w:r>
      <w:r>
        <w:rPr>
          <w:rFonts w:ascii="Arial" w:cs="Arial" w:eastAsia="Arial" w:hAnsi="Arial"/>
          <w:sz w:val="19"/>
          <w:szCs w:val="19"/>
          <w:color w:val="282828"/>
        </w:rPr>
        <w:t xml:space="preserve"> or </w:t>
      </w:r>
      <w:r>
        <w:rPr>
          <w:rFonts w:ascii="Arial" w:cs="Arial" w:eastAsia="Arial" w:hAnsi="Arial"/>
          <w:sz w:val="19"/>
          <w:szCs w:val="19"/>
          <w:color w:val="3A3A3A"/>
        </w:rPr>
        <w:t>earlier termination</w:t>
      </w:r>
      <w:r>
        <w:rPr>
          <w:rFonts w:ascii="Arial" w:cs="Arial" w:eastAsia="Arial" w:hAnsi="Arial"/>
          <w:sz w:val="19"/>
          <w:szCs w:val="19"/>
          <w:color w:val="282828"/>
        </w:rPr>
        <w:t xml:space="preserve"> of this Lease.</w:t>
      </w:r>
    </w:p>
    <w:p>
      <w:pPr>
        <w:spacing w:after="0" w:line="13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Intentionally Deleted.</w:t>
      </w:r>
    </w:p>
    <w:p>
      <w:pPr>
        <w:spacing w:after="0" w:line="179" w:lineRule="exact"/>
        <w:rPr>
          <w:sz w:val="20"/>
          <w:szCs w:val="20"/>
          <w:color w:val="auto"/>
        </w:rPr>
      </w:pPr>
    </w:p>
    <w:p>
      <w:pPr>
        <w:jc w:val="both"/>
        <w:ind w:left="640" w:hanging="647"/>
        <w:spacing w:after="0" w:line="214" w:lineRule="auto"/>
        <w:tabs>
          <w:tab w:leader="none" w:pos="620" w:val="left"/>
        </w:tabs>
        <w:rPr>
          <w:sz w:val="20"/>
          <w:szCs w:val="20"/>
          <w:color w:val="auto"/>
        </w:rPr>
      </w:pPr>
      <w:r>
        <w:rPr>
          <w:rFonts w:ascii="Arial" w:cs="Arial" w:eastAsia="Arial" w:hAnsi="Arial"/>
          <w:sz w:val="22"/>
          <w:szCs w:val="22"/>
          <w:color w:val="auto"/>
        </w:rPr>
        <w:t>11.6</w:t>
        <w:tab/>
        <w:t xml:space="preserve">If the </w:t>
      </w:r>
      <w:r>
        <w:rPr>
          <w:rFonts w:ascii="Arial" w:cs="Arial" w:eastAsia="Arial" w:hAnsi="Arial"/>
          <w:sz w:val="22"/>
          <w:szCs w:val="22"/>
          <w:color w:val="282828"/>
        </w:rPr>
        <w:t>Security</w:t>
      </w:r>
      <w:r>
        <w:rPr>
          <w:rFonts w:ascii="Arial" w:cs="Arial" w:eastAsia="Arial" w:hAnsi="Arial"/>
          <w:sz w:val="22"/>
          <w:szCs w:val="22"/>
          <w:color w:val="auto"/>
        </w:rPr>
        <w:t xml:space="preserve"> Deposit </w:t>
      </w:r>
      <w:r>
        <w:rPr>
          <w:rFonts w:ascii="Arial" w:cs="Arial" w:eastAsia="Arial" w:hAnsi="Arial"/>
          <w:sz w:val="22"/>
          <w:szCs w:val="22"/>
          <w:color w:val="282828"/>
        </w:rPr>
        <w:t>shall be</w:t>
      </w:r>
      <w:r>
        <w:rPr>
          <w:rFonts w:ascii="Arial" w:cs="Arial" w:eastAsia="Arial" w:hAnsi="Arial"/>
          <w:sz w:val="22"/>
          <w:szCs w:val="22"/>
          <w:color w:val="auto"/>
        </w:rPr>
        <w:t xml:space="preserve"> in cash, Landlord </w:t>
      </w:r>
      <w:r>
        <w:rPr>
          <w:rFonts w:ascii="Arial" w:cs="Arial" w:eastAsia="Arial" w:hAnsi="Arial"/>
          <w:sz w:val="22"/>
          <w:szCs w:val="22"/>
          <w:color w:val="282828"/>
        </w:rPr>
        <w:t>shall</w:t>
      </w:r>
      <w:r>
        <w:rPr>
          <w:rFonts w:ascii="Arial" w:cs="Arial" w:eastAsia="Arial" w:hAnsi="Arial"/>
          <w:sz w:val="22"/>
          <w:szCs w:val="22"/>
          <w:color w:val="auto"/>
        </w:rPr>
        <w:t xml:space="preserve"> hold </w:t>
      </w:r>
      <w:r>
        <w:rPr>
          <w:rFonts w:ascii="Arial" w:cs="Arial" w:eastAsia="Arial" w:hAnsi="Arial"/>
          <w:sz w:val="22"/>
          <w:szCs w:val="22"/>
          <w:color w:val="282828"/>
        </w:rPr>
        <w:t>the Security</w:t>
      </w:r>
      <w:r>
        <w:rPr>
          <w:rFonts w:ascii="Arial" w:cs="Arial" w:eastAsia="Arial" w:hAnsi="Arial"/>
          <w:sz w:val="22"/>
          <w:szCs w:val="22"/>
          <w:color w:val="auto"/>
        </w:rPr>
        <w:t xml:space="preserve"> Deposit </w:t>
      </w:r>
      <w:r>
        <w:rPr>
          <w:rFonts w:ascii="Arial" w:cs="Arial" w:eastAsia="Arial" w:hAnsi="Arial"/>
          <w:sz w:val="22"/>
          <w:szCs w:val="22"/>
          <w:color w:val="282828"/>
        </w:rPr>
        <w:t>in an</w:t>
      </w:r>
      <w:r>
        <w:rPr>
          <w:rFonts w:ascii="Arial" w:cs="Arial" w:eastAsia="Arial" w:hAnsi="Arial"/>
          <w:sz w:val="22"/>
          <w:szCs w:val="22"/>
          <w:color w:val="auto"/>
        </w:rPr>
        <w:t xml:space="preserve"> interest-bearing account at a </w:t>
      </w:r>
      <w:r>
        <w:rPr>
          <w:rFonts w:ascii="Arial" w:cs="Arial" w:eastAsia="Arial" w:hAnsi="Arial"/>
          <w:sz w:val="22"/>
          <w:szCs w:val="22"/>
          <w:color w:val="282828"/>
        </w:rPr>
        <w:t xml:space="preserve">federally-insured </w:t>
      </w:r>
      <w:r>
        <w:rPr>
          <w:rFonts w:ascii="Arial" w:cs="Arial" w:eastAsia="Arial" w:hAnsi="Arial"/>
          <w:sz w:val="22"/>
          <w:szCs w:val="22"/>
          <w:color w:val="000000"/>
        </w:rPr>
        <w:t>banking</w:t>
      </w:r>
      <w:r>
        <w:rPr>
          <w:rFonts w:ascii="Arial" w:cs="Arial" w:eastAsia="Arial" w:hAnsi="Arial"/>
          <w:sz w:val="22"/>
          <w:szCs w:val="22"/>
          <w:color w:val="282828"/>
        </w:rPr>
        <w:t xml:space="preserve"> organization selected </w:t>
      </w:r>
      <w:r>
        <w:rPr>
          <w:rFonts w:ascii="Arial" w:cs="Arial" w:eastAsia="Arial" w:hAnsi="Arial"/>
          <w:sz w:val="22"/>
          <w:szCs w:val="22"/>
          <w:color w:val="000000"/>
        </w:rPr>
        <w:t>by Landlord;</w:t>
      </w:r>
      <w:r>
        <w:rPr>
          <w:rFonts w:ascii="Arial" w:cs="Arial" w:eastAsia="Arial" w:hAnsi="Arial"/>
          <w:sz w:val="22"/>
          <w:szCs w:val="22"/>
          <w:color w:val="282828"/>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000000"/>
        </w:rPr>
        <w:t>, however, that</w:t>
      </w:r>
      <w:r>
        <w:rPr>
          <w:rFonts w:ascii="Arial" w:cs="Arial" w:eastAsia="Arial" w:hAnsi="Arial"/>
          <w:sz w:val="22"/>
          <w:szCs w:val="22"/>
          <w:color w:val="282828"/>
        </w:rPr>
        <w:t xml:space="preserve"> Landlord shall </w:t>
      </w:r>
      <w:r>
        <w:rPr>
          <w:rFonts w:ascii="Arial" w:cs="Arial" w:eastAsia="Arial" w:hAnsi="Arial"/>
          <w:sz w:val="22"/>
          <w:szCs w:val="22"/>
          <w:color w:val="000000"/>
        </w:rPr>
        <w:t>maintain a</w:t>
      </w:r>
      <w:r>
        <w:rPr>
          <w:rFonts w:ascii="Arial" w:cs="Arial" w:eastAsia="Arial" w:hAnsi="Arial"/>
          <w:sz w:val="22"/>
          <w:szCs w:val="22"/>
          <w:color w:val="282828"/>
        </w:rPr>
        <w:t xml:space="preserve"> </w:t>
      </w:r>
      <w:r>
        <w:rPr>
          <w:rFonts w:ascii="Arial" w:cs="Arial" w:eastAsia="Arial" w:hAnsi="Arial"/>
          <w:sz w:val="22"/>
          <w:szCs w:val="22"/>
          <w:color w:val="3A3A3A"/>
        </w:rPr>
        <w:t xml:space="preserve">separate </w:t>
      </w:r>
      <w:r>
        <w:rPr>
          <w:rFonts w:ascii="Arial" w:cs="Arial" w:eastAsia="Arial" w:hAnsi="Arial"/>
          <w:sz w:val="22"/>
          <w:szCs w:val="22"/>
          <w:color w:val="000000"/>
        </w:rPr>
        <w:t>account for the</w:t>
      </w:r>
      <w:r>
        <w:rPr>
          <w:rFonts w:ascii="Arial" w:cs="Arial" w:eastAsia="Arial" w:hAnsi="Arial"/>
          <w:sz w:val="22"/>
          <w:szCs w:val="22"/>
          <w:color w:val="3A3A3A"/>
        </w:rPr>
        <w:t xml:space="preserve"> </w:t>
      </w:r>
      <w:r>
        <w:rPr>
          <w:rFonts w:ascii="Arial" w:cs="Arial" w:eastAsia="Arial" w:hAnsi="Arial"/>
          <w:sz w:val="22"/>
          <w:szCs w:val="22"/>
          <w:color w:val="282828"/>
        </w:rPr>
        <w:t>Security</w:t>
      </w:r>
      <w:r>
        <w:rPr>
          <w:rFonts w:ascii="Arial" w:cs="Arial" w:eastAsia="Arial" w:hAnsi="Arial"/>
          <w:sz w:val="22"/>
          <w:szCs w:val="22"/>
          <w:color w:val="3A3A3A"/>
        </w:rPr>
        <w:t xml:space="preserve"> </w:t>
      </w:r>
      <w:r>
        <w:rPr>
          <w:rFonts w:ascii="Arial" w:cs="Arial" w:eastAsia="Arial" w:hAnsi="Arial"/>
          <w:sz w:val="22"/>
          <w:szCs w:val="22"/>
          <w:color w:val="000000"/>
        </w:rPr>
        <w:t>Deposit,</w:t>
      </w:r>
      <w:r>
        <w:rPr>
          <w:rFonts w:ascii="Arial" w:cs="Arial" w:eastAsia="Arial" w:hAnsi="Arial"/>
          <w:sz w:val="22"/>
          <w:szCs w:val="22"/>
          <w:color w:val="3A3A3A"/>
        </w:rPr>
        <w:t xml:space="preserve"> </w:t>
      </w:r>
      <w:r>
        <w:rPr>
          <w:rFonts w:ascii="Arial" w:cs="Arial" w:eastAsia="Arial" w:hAnsi="Arial"/>
          <w:sz w:val="22"/>
          <w:szCs w:val="22"/>
          <w:color w:val="282828"/>
        </w:rPr>
        <w:t>and shall not</w:t>
      </w:r>
      <w:r>
        <w:rPr>
          <w:rFonts w:ascii="Arial" w:cs="Arial" w:eastAsia="Arial" w:hAnsi="Arial"/>
          <w:sz w:val="22"/>
          <w:szCs w:val="22"/>
          <w:color w:val="3A3A3A"/>
        </w:rPr>
        <w:t xml:space="preserve"> </w:t>
      </w:r>
      <w:r>
        <w:rPr>
          <w:rFonts w:ascii="Arial" w:cs="Arial" w:eastAsia="Arial" w:hAnsi="Arial"/>
          <w:sz w:val="22"/>
          <w:szCs w:val="22"/>
          <w:color w:val="000000"/>
        </w:rPr>
        <w:t>intermingle</w:t>
      </w:r>
      <w:r>
        <w:rPr>
          <w:rFonts w:ascii="Arial" w:cs="Arial" w:eastAsia="Arial" w:hAnsi="Arial"/>
          <w:sz w:val="22"/>
          <w:szCs w:val="22"/>
          <w:color w:val="3A3A3A"/>
        </w:rPr>
        <w:t xml:space="preserve"> </w:t>
      </w:r>
      <w:r>
        <w:rPr>
          <w:rFonts w:ascii="Arial" w:cs="Arial" w:eastAsia="Arial" w:hAnsi="Arial"/>
          <w:sz w:val="22"/>
          <w:szCs w:val="22"/>
          <w:color w:val="282828"/>
        </w:rPr>
        <w:t>it with</w:t>
      </w:r>
      <w:r>
        <w:rPr>
          <w:rFonts w:ascii="Arial" w:cs="Arial" w:eastAsia="Arial" w:hAnsi="Arial"/>
          <w:sz w:val="22"/>
          <w:szCs w:val="22"/>
          <w:color w:val="3A3A3A"/>
        </w:rPr>
        <w:t xml:space="preserve"> </w:t>
      </w:r>
      <w:r>
        <w:rPr>
          <w:rFonts w:ascii="Arial" w:cs="Arial" w:eastAsia="Arial" w:hAnsi="Arial"/>
          <w:sz w:val="22"/>
          <w:szCs w:val="22"/>
          <w:color w:val="000000"/>
        </w:rPr>
        <w:t>other</w:t>
      </w:r>
      <w:r>
        <w:rPr>
          <w:rFonts w:ascii="Arial" w:cs="Arial" w:eastAsia="Arial" w:hAnsi="Arial"/>
          <w:sz w:val="22"/>
          <w:szCs w:val="22"/>
          <w:color w:val="3A3A3A"/>
        </w:rPr>
        <w:t xml:space="preserve"> </w:t>
      </w:r>
      <w:r>
        <w:rPr>
          <w:rFonts w:ascii="Arial" w:cs="Arial" w:eastAsia="Arial" w:hAnsi="Arial"/>
          <w:sz w:val="22"/>
          <w:szCs w:val="22"/>
          <w:color w:val="282828"/>
        </w:rPr>
        <w:t>funds</w:t>
      </w:r>
      <w:r>
        <w:rPr>
          <w:rFonts w:ascii="Arial" w:cs="Arial" w:eastAsia="Arial" w:hAnsi="Arial"/>
          <w:sz w:val="22"/>
          <w:szCs w:val="22"/>
          <w:color w:val="3A3A3A"/>
        </w:rPr>
        <w:t xml:space="preserve"> </w:t>
      </w:r>
      <w:r>
        <w:rPr>
          <w:rFonts w:ascii="Arial" w:cs="Arial" w:eastAsia="Arial" w:hAnsi="Arial"/>
          <w:sz w:val="22"/>
          <w:szCs w:val="22"/>
          <w:color w:val="000000"/>
        </w:rPr>
        <w:t>of</w:t>
      </w:r>
      <w:r>
        <w:rPr>
          <w:rFonts w:ascii="Arial" w:cs="Arial" w:eastAsia="Arial" w:hAnsi="Arial"/>
          <w:sz w:val="22"/>
          <w:szCs w:val="22"/>
          <w:color w:val="3A3A3A"/>
        </w:rPr>
        <w:t xml:space="preserve"> </w:t>
      </w:r>
      <w:r>
        <w:rPr>
          <w:rFonts w:ascii="Arial" w:cs="Arial" w:eastAsia="Arial" w:hAnsi="Arial"/>
          <w:sz w:val="22"/>
          <w:szCs w:val="22"/>
          <w:color w:val="282828"/>
        </w:rPr>
        <w:t>Landlord.</w:t>
      </w:r>
      <w:r>
        <w:rPr>
          <w:rFonts w:ascii="Arial" w:cs="Arial" w:eastAsia="Arial" w:hAnsi="Arial"/>
          <w:sz w:val="22"/>
          <w:szCs w:val="22"/>
          <w:color w:val="3A3A3A"/>
        </w:rPr>
        <w:t xml:space="preserve"> Tenant </w:t>
      </w:r>
      <w:r>
        <w:rPr>
          <w:rFonts w:ascii="Arial" w:cs="Arial" w:eastAsia="Arial" w:hAnsi="Arial"/>
          <w:sz w:val="22"/>
          <w:szCs w:val="22"/>
          <w:color w:val="282828"/>
        </w:rPr>
        <w:t>shall</w:t>
      </w:r>
      <w:r>
        <w:rPr>
          <w:rFonts w:ascii="Arial" w:cs="Arial" w:eastAsia="Arial" w:hAnsi="Arial"/>
          <w:sz w:val="22"/>
          <w:szCs w:val="22"/>
          <w:color w:val="3A3A3A"/>
        </w:rPr>
        <w:t xml:space="preserve"> </w:t>
      </w:r>
      <w:r>
        <w:rPr>
          <w:rFonts w:ascii="Arial" w:cs="Arial" w:eastAsia="Arial" w:hAnsi="Arial"/>
          <w:sz w:val="22"/>
          <w:szCs w:val="22"/>
          <w:color w:val="000000"/>
        </w:rPr>
        <w:t xml:space="preserve">be </w:t>
      </w:r>
      <w:r>
        <w:rPr>
          <w:rFonts w:ascii="Arial" w:cs="Arial" w:eastAsia="Arial" w:hAnsi="Arial"/>
          <w:sz w:val="22"/>
          <w:szCs w:val="22"/>
          <w:color w:val="282828"/>
        </w:rPr>
        <w:t>entitled</w:t>
      </w:r>
      <w:r>
        <w:rPr>
          <w:rFonts w:ascii="Arial" w:cs="Arial" w:eastAsia="Arial" w:hAnsi="Arial"/>
          <w:sz w:val="22"/>
          <w:szCs w:val="22"/>
          <w:color w:val="000000"/>
        </w:rPr>
        <w:t xml:space="preserve"> to all interest </w:t>
      </w:r>
      <w:r>
        <w:rPr>
          <w:rFonts w:ascii="Arial" w:cs="Arial" w:eastAsia="Arial" w:hAnsi="Arial"/>
          <w:sz w:val="22"/>
          <w:szCs w:val="22"/>
          <w:color w:val="282828"/>
        </w:rPr>
        <w:t>and/or</w:t>
      </w:r>
      <w:r>
        <w:rPr>
          <w:rFonts w:ascii="Arial" w:cs="Arial" w:eastAsia="Arial" w:hAnsi="Arial"/>
          <w:sz w:val="22"/>
          <w:szCs w:val="22"/>
          <w:color w:val="000000"/>
        </w:rPr>
        <w:t xml:space="preserve"> dividends, </w:t>
      </w:r>
      <w:r>
        <w:rPr>
          <w:rFonts w:ascii="Arial" w:cs="Arial" w:eastAsia="Arial" w:hAnsi="Arial"/>
          <w:sz w:val="22"/>
          <w:szCs w:val="22"/>
          <w:color w:val="282828"/>
        </w:rPr>
        <w:t>if</w:t>
      </w:r>
      <w:r>
        <w:rPr>
          <w:rFonts w:ascii="Arial" w:cs="Arial" w:eastAsia="Arial" w:hAnsi="Arial"/>
          <w:sz w:val="22"/>
          <w:szCs w:val="22"/>
          <w:color w:val="000000"/>
        </w:rPr>
        <w:t xml:space="preserve"> any, </w:t>
      </w:r>
      <w:r>
        <w:rPr>
          <w:rFonts w:ascii="Arial" w:cs="Arial" w:eastAsia="Arial" w:hAnsi="Arial"/>
          <w:sz w:val="22"/>
          <w:szCs w:val="22"/>
          <w:color w:val="282828"/>
        </w:rPr>
        <w:t>accruing</w:t>
      </w:r>
      <w:r>
        <w:rPr>
          <w:rFonts w:ascii="Arial" w:cs="Arial" w:eastAsia="Arial" w:hAnsi="Arial"/>
          <w:sz w:val="22"/>
          <w:szCs w:val="22"/>
          <w:color w:val="000000"/>
        </w:rPr>
        <w:t xml:space="preserve"> on </w:t>
      </w:r>
      <w:r>
        <w:rPr>
          <w:rFonts w:ascii="Arial" w:cs="Arial" w:eastAsia="Arial" w:hAnsi="Arial"/>
          <w:sz w:val="22"/>
          <w:szCs w:val="22"/>
          <w:color w:val="282828"/>
        </w:rPr>
        <w:t>the Security Deposit.</w:t>
      </w:r>
      <w:r>
        <w:rPr>
          <w:rFonts w:ascii="Arial" w:cs="Arial" w:eastAsia="Arial" w:hAnsi="Arial"/>
          <w:sz w:val="22"/>
          <w:szCs w:val="22"/>
          <w:color w:val="000000"/>
        </w:rPr>
        <w:t xml:space="preserve"> Landlord shall not </w:t>
      </w:r>
      <w:r>
        <w:rPr>
          <w:rFonts w:ascii="Arial" w:cs="Arial" w:eastAsia="Arial" w:hAnsi="Arial"/>
          <w:sz w:val="22"/>
          <w:szCs w:val="22"/>
          <w:color w:val="282828"/>
        </w:rPr>
        <w:t>be required</w:t>
      </w:r>
      <w:r>
        <w:rPr>
          <w:rFonts w:ascii="Arial" w:cs="Arial" w:eastAsia="Arial" w:hAnsi="Arial"/>
          <w:sz w:val="22"/>
          <w:szCs w:val="22"/>
          <w:color w:val="000000"/>
        </w:rPr>
        <w:t xml:space="preserve"> </w:t>
      </w:r>
      <w:r>
        <w:rPr>
          <w:rFonts w:ascii="Arial" w:cs="Arial" w:eastAsia="Arial" w:hAnsi="Arial"/>
          <w:sz w:val="22"/>
          <w:szCs w:val="22"/>
          <w:color w:val="282828"/>
        </w:rPr>
        <w:t xml:space="preserve">to </w:t>
      </w:r>
      <w:r>
        <w:rPr>
          <w:rFonts w:ascii="Arial" w:cs="Arial" w:eastAsia="Arial" w:hAnsi="Arial"/>
          <w:sz w:val="22"/>
          <w:szCs w:val="22"/>
          <w:color w:val="000000"/>
        </w:rPr>
        <w:t>credit Tenant with</w:t>
      </w:r>
      <w:r>
        <w:rPr>
          <w:rFonts w:ascii="Arial" w:cs="Arial" w:eastAsia="Arial" w:hAnsi="Arial"/>
          <w:sz w:val="22"/>
          <w:szCs w:val="22"/>
          <w:color w:val="282828"/>
        </w:rPr>
        <w:t xml:space="preserve"> any interest for </w:t>
      </w:r>
      <w:r>
        <w:rPr>
          <w:rFonts w:ascii="Arial" w:cs="Arial" w:eastAsia="Arial" w:hAnsi="Arial"/>
          <w:sz w:val="22"/>
          <w:szCs w:val="22"/>
          <w:color w:val="000000"/>
        </w:rPr>
        <w:t>any</w:t>
      </w:r>
      <w:r>
        <w:rPr>
          <w:rFonts w:ascii="Arial" w:cs="Arial" w:eastAsia="Arial" w:hAnsi="Arial"/>
          <w:sz w:val="22"/>
          <w:szCs w:val="22"/>
          <w:color w:val="282828"/>
        </w:rPr>
        <w:t xml:space="preserve"> period during </w:t>
      </w:r>
      <w:r>
        <w:rPr>
          <w:rFonts w:ascii="Arial" w:cs="Arial" w:eastAsia="Arial" w:hAnsi="Arial"/>
          <w:sz w:val="22"/>
          <w:szCs w:val="22"/>
          <w:color w:val="000000"/>
        </w:rPr>
        <w:t>which Landlord does not</w:t>
      </w:r>
      <w:r>
        <w:rPr>
          <w:rFonts w:ascii="Arial" w:cs="Arial" w:eastAsia="Arial" w:hAnsi="Arial"/>
          <w:sz w:val="22"/>
          <w:szCs w:val="22"/>
          <w:color w:val="282828"/>
        </w:rPr>
        <w:t xml:space="preserve"> receive </w:t>
      </w:r>
      <w:r>
        <w:rPr>
          <w:rFonts w:ascii="Arial" w:cs="Arial" w:eastAsia="Arial" w:hAnsi="Arial"/>
          <w:sz w:val="22"/>
          <w:szCs w:val="22"/>
          <w:color w:val="000000"/>
        </w:rPr>
        <w:t>interest</w:t>
      </w:r>
      <w:r>
        <w:rPr>
          <w:rFonts w:ascii="Arial" w:cs="Arial" w:eastAsia="Arial" w:hAnsi="Arial"/>
          <w:sz w:val="22"/>
          <w:szCs w:val="22"/>
          <w:color w:val="282828"/>
        </w:rPr>
        <w:t xml:space="preserve"> on </w:t>
      </w:r>
      <w:r>
        <w:rPr>
          <w:rFonts w:ascii="Arial" w:cs="Arial" w:eastAsia="Arial" w:hAnsi="Arial"/>
          <w:sz w:val="22"/>
          <w:szCs w:val="22"/>
          <w:color w:val="000000"/>
        </w:rPr>
        <w:t>the</w:t>
      </w:r>
      <w:r>
        <w:rPr>
          <w:rFonts w:ascii="Arial" w:cs="Arial" w:eastAsia="Arial" w:hAnsi="Arial"/>
          <w:sz w:val="22"/>
          <w:szCs w:val="22"/>
          <w:color w:val="282828"/>
        </w:rPr>
        <w:t xml:space="preserve"> Security Deposit.</w:t>
      </w:r>
    </w:p>
    <w:p>
      <w:pPr>
        <w:spacing w:after="0" w:line="159"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color w:val="282828"/>
        </w:rPr>
        <w:t>Security</w:t>
      </w:r>
      <w:r>
        <w:rPr>
          <w:rFonts w:ascii="Arial" w:cs="Arial" w:eastAsia="Arial" w:hAnsi="Arial"/>
          <w:sz w:val="19"/>
          <w:szCs w:val="19"/>
          <w:color w:val="auto"/>
        </w:rPr>
        <w:t xml:space="preserve"> Deposit may </w:t>
      </w:r>
      <w:r>
        <w:rPr>
          <w:rFonts w:ascii="Arial" w:cs="Arial" w:eastAsia="Arial" w:hAnsi="Arial"/>
          <w:sz w:val="19"/>
          <w:szCs w:val="19"/>
          <w:color w:val="282828"/>
        </w:rPr>
        <w:t>be in</w:t>
      </w:r>
      <w:r>
        <w:rPr>
          <w:rFonts w:ascii="Arial" w:cs="Arial" w:eastAsia="Arial" w:hAnsi="Arial"/>
          <w:sz w:val="19"/>
          <w:szCs w:val="19"/>
          <w:color w:val="auto"/>
        </w:rPr>
        <w:t xml:space="preserve"> the form of cash, a </w:t>
      </w:r>
      <w:r>
        <w:rPr>
          <w:rFonts w:ascii="Arial" w:cs="Arial" w:eastAsia="Arial" w:hAnsi="Arial"/>
          <w:sz w:val="19"/>
          <w:szCs w:val="19"/>
          <w:color w:val="282828"/>
        </w:rPr>
        <w:t>letter</w:t>
      </w:r>
      <w:r>
        <w:rPr>
          <w:rFonts w:ascii="Arial" w:cs="Arial" w:eastAsia="Arial" w:hAnsi="Arial"/>
          <w:sz w:val="19"/>
          <w:szCs w:val="19"/>
          <w:color w:val="auto"/>
        </w:rPr>
        <w:t xml:space="preserve"> of credit or, to the </w:t>
      </w:r>
      <w:r>
        <w:rPr>
          <w:rFonts w:ascii="Arial" w:cs="Arial" w:eastAsia="Arial" w:hAnsi="Arial"/>
          <w:sz w:val="19"/>
          <w:szCs w:val="19"/>
          <w:color w:val="282828"/>
        </w:rPr>
        <w:t>extent</w:t>
      </w:r>
      <w:r>
        <w:rPr>
          <w:rFonts w:ascii="Arial" w:cs="Arial" w:eastAsia="Arial" w:hAnsi="Arial"/>
          <w:sz w:val="19"/>
          <w:szCs w:val="19"/>
          <w:color w:val="auto"/>
        </w:rPr>
        <w:t xml:space="preserve"> acceptable to Landlord in its </w:t>
      </w:r>
      <w:r>
        <w:rPr>
          <w:rFonts w:ascii="Arial" w:cs="Arial" w:eastAsia="Arial" w:hAnsi="Arial"/>
          <w:sz w:val="19"/>
          <w:szCs w:val="19"/>
          <w:color w:val="3A3A3A"/>
        </w:rPr>
        <w:t xml:space="preserve">sole </w:t>
      </w:r>
      <w:r>
        <w:rPr>
          <w:rFonts w:ascii="Arial" w:cs="Arial" w:eastAsia="Arial" w:hAnsi="Arial"/>
          <w:sz w:val="19"/>
          <w:szCs w:val="19"/>
          <w:color w:val="000000"/>
        </w:rPr>
        <w:t>discretion, any other</w:t>
      </w:r>
      <w:r>
        <w:rPr>
          <w:rFonts w:ascii="Arial" w:cs="Arial" w:eastAsia="Arial" w:hAnsi="Arial"/>
          <w:sz w:val="19"/>
          <w:szCs w:val="19"/>
          <w:color w:val="3A3A3A"/>
        </w:rPr>
        <w:t xml:space="preserve"> security </w:t>
      </w:r>
      <w:r>
        <w:rPr>
          <w:rFonts w:ascii="Arial" w:cs="Arial" w:eastAsia="Arial" w:hAnsi="Arial"/>
          <w:sz w:val="19"/>
          <w:szCs w:val="19"/>
          <w:color w:val="000000"/>
        </w:rPr>
        <w:t>instrument. Tenant may</w:t>
      </w:r>
      <w:r>
        <w:rPr>
          <w:rFonts w:ascii="Arial" w:cs="Arial" w:eastAsia="Arial" w:hAnsi="Arial"/>
          <w:sz w:val="19"/>
          <w:szCs w:val="19"/>
          <w:color w:val="3A3A3A"/>
        </w:rPr>
        <w:t xml:space="preserve"> </w:t>
      </w:r>
      <w:r>
        <w:rPr>
          <w:rFonts w:ascii="Arial" w:cs="Arial" w:eastAsia="Arial" w:hAnsi="Arial"/>
          <w:sz w:val="19"/>
          <w:szCs w:val="19"/>
          <w:color w:val="282828"/>
        </w:rPr>
        <w:t>at</w:t>
      </w:r>
      <w:r>
        <w:rPr>
          <w:rFonts w:ascii="Arial" w:cs="Arial" w:eastAsia="Arial" w:hAnsi="Arial"/>
          <w:sz w:val="19"/>
          <w:szCs w:val="19"/>
          <w:color w:val="3A3A3A"/>
        </w:rPr>
        <w:t xml:space="preserve"> </w:t>
      </w:r>
      <w:r>
        <w:rPr>
          <w:rFonts w:ascii="Arial" w:cs="Arial" w:eastAsia="Arial" w:hAnsi="Arial"/>
          <w:sz w:val="19"/>
          <w:szCs w:val="19"/>
          <w:color w:val="151515"/>
        </w:rPr>
        <w:t>any time,</w:t>
      </w:r>
      <w:r>
        <w:rPr>
          <w:rFonts w:ascii="Arial" w:cs="Arial" w:eastAsia="Arial" w:hAnsi="Arial"/>
          <w:sz w:val="19"/>
          <w:szCs w:val="19"/>
          <w:color w:val="3A3A3A"/>
        </w:rPr>
        <w:t xml:space="preserve"> </w:t>
      </w:r>
      <w:r>
        <w:rPr>
          <w:rFonts w:ascii="Arial" w:cs="Arial" w:eastAsia="Arial" w:hAnsi="Arial"/>
          <w:sz w:val="19"/>
          <w:szCs w:val="19"/>
          <w:color w:val="282828"/>
        </w:rPr>
        <w:t>except when Tenant is in</w:t>
      </w:r>
      <w:r>
        <w:rPr>
          <w:rFonts w:ascii="Arial" w:cs="Arial" w:eastAsia="Arial" w:hAnsi="Arial"/>
          <w:sz w:val="19"/>
          <w:szCs w:val="19"/>
          <w:color w:val="3A3A3A"/>
        </w:rPr>
        <w:t xml:space="preserve"> </w:t>
      </w:r>
      <w:r>
        <w:rPr>
          <w:rFonts w:ascii="Arial" w:cs="Arial" w:eastAsia="Arial" w:hAnsi="Arial"/>
          <w:sz w:val="19"/>
          <w:szCs w:val="19"/>
          <w:color w:val="151515"/>
        </w:rPr>
        <w:t>Default</w:t>
      </w:r>
      <w:r>
        <w:rPr>
          <w:rFonts w:ascii="Arial" w:cs="Arial" w:eastAsia="Arial" w:hAnsi="Arial"/>
          <w:sz w:val="19"/>
          <w:szCs w:val="19"/>
          <w:color w:val="3A3A3A"/>
        </w:rPr>
        <w:t xml:space="preserve"> </w:t>
      </w:r>
      <w:r>
        <w:rPr>
          <w:rFonts w:ascii="Arial" w:cs="Arial" w:eastAsia="Arial" w:hAnsi="Arial"/>
          <w:sz w:val="19"/>
          <w:szCs w:val="19"/>
          <w:color w:val="282828"/>
        </w:rPr>
        <w:t>(as</w:t>
      </w:r>
      <w:r>
        <w:rPr>
          <w:rFonts w:ascii="Arial" w:cs="Arial" w:eastAsia="Arial" w:hAnsi="Arial"/>
          <w:sz w:val="19"/>
          <w:szCs w:val="19"/>
          <w:color w:val="3A3A3A"/>
        </w:rPr>
        <w:t xml:space="preserve"> </w:t>
      </w:r>
      <w:r>
        <w:rPr>
          <w:rFonts w:ascii="Arial" w:cs="Arial" w:eastAsia="Arial" w:hAnsi="Arial"/>
          <w:sz w:val="19"/>
          <w:szCs w:val="19"/>
          <w:color w:val="151515"/>
        </w:rPr>
        <w:t xml:space="preserve">defined below), deliver a letter of </w:t>
      </w:r>
      <w:r>
        <w:rPr>
          <w:rFonts w:ascii="Arial" w:cs="Arial" w:eastAsia="Arial" w:hAnsi="Arial"/>
          <w:sz w:val="19"/>
          <w:szCs w:val="19"/>
          <w:color w:val="282828"/>
        </w:rPr>
        <w:t>credit</w:t>
      </w:r>
      <w:r>
        <w:rPr>
          <w:rFonts w:ascii="Arial" w:cs="Arial" w:eastAsia="Arial" w:hAnsi="Arial"/>
          <w:sz w:val="19"/>
          <w:szCs w:val="19"/>
          <w:color w:val="151515"/>
        </w:rPr>
        <w:t xml:space="preserve"> (the </w:t>
      </w:r>
      <w:r>
        <w:rPr>
          <w:rFonts w:ascii="Arial" w:cs="Arial" w:eastAsia="Arial" w:hAnsi="Arial"/>
          <w:sz w:val="19"/>
          <w:szCs w:val="19"/>
          <w:color w:val="282828"/>
        </w:rPr>
        <w:t>“L/C Security’’)</w:t>
      </w:r>
      <w:r>
        <w:rPr>
          <w:rFonts w:ascii="Arial" w:cs="Arial" w:eastAsia="Arial" w:hAnsi="Arial"/>
          <w:sz w:val="19"/>
          <w:szCs w:val="19"/>
          <w:color w:val="151515"/>
        </w:rPr>
        <w:t xml:space="preserve"> as the </w:t>
      </w:r>
      <w:r>
        <w:rPr>
          <w:rFonts w:ascii="Arial" w:cs="Arial" w:eastAsia="Arial" w:hAnsi="Arial"/>
          <w:sz w:val="19"/>
          <w:szCs w:val="19"/>
          <w:color w:val="3D3D3D"/>
        </w:rPr>
        <w:t>e</w:t>
      </w:r>
      <w:r>
        <w:rPr>
          <w:rFonts w:ascii="Arial" w:cs="Arial" w:eastAsia="Arial" w:hAnsi="Arial"/>
          <w:sz w:val="19"/>
          <w:szCs w:val="19"/>
          <w:color w:val="151515"/>
        </w:rPr>
        <w:t xml:space="preserve">ntire Security Deposit, as </w:t>
      </w:r>
      <w:r>
        <w:rPr>
          <w:rFonts w:ascii="Arial" w:cs="Arial" w:eastAsia="Arial" w:hAnsi="Arial"/>
          <w:sz w:val="19"/>
          <w:szCs w:val="19"/>
          <w:color w:val="282828"/>
        </w:rPr>
        <w:t>follows:</w:t>
      </w:r>
    </w:p>
    <w:p>
      <w:pPr>
        <w:spacing w:after="0" w:line="132" w:lineRule="exact"/>
        <w:rPr>
          <w:sz w:val="20"/>
          <w:szCs w:val="20"/>
          <w:color w:val="auto"/>
        </w:rPr>
      </w:pPr>
    </w:p>
    <w:p>
      <w:pPr>
        <w:jc w:val="both"/>
        <w:ind w:left="1300" w:hanging="647"/>
        <w:spacing w:after="0" w:line="257" w:lineRule="auto"/>
        <w:rPr>
          <w:sz w:val="20"/>
          <w:szCs w:val="20"/>
          <w:color w:val="auto"/>
        </w:rPr>
      </w:pPr>
      <w:r>
        <w:rPr>
          <w:rFonts w:ascii="Arial" w:cs="Arial" w:eastAsia="Arial" w:hAnsi="Arial"/>
          <w:sz w:val="19"/>
          <w:szCs w:val="19"/>
          <w:color w:val="auto"/>
        </w:rPr>
        <w:t xml:space="preserve">11.7.1. </w:t>
      </w:r>
      <w:r>
        <w:rPr>
          <w:rFonts w:ascii="Arial" w:cs="Arial" w:eastAsia="Arial" w:hAnsi="Arial"/>
          <w:sz w:val="19"/>
          <w:szCs w:val="19"/>
          <w:color w:val="282828"/>
        </w:rPr>
        <w:t>If Tenant</w:t>
      </w:r>
      <w:r>
        <w:rPr>
          <w:rFonts w:ascii="Arial" w:cs="Arial" w:eastAsia="Arial" w:hAnsi="Arial"/>
          <w:sz w:val="19"/>
          <w:szCs w:val="19"/>
          <w:color w:val="auto"/>
        </w:rPr>
        <w:t xml:space="preserve"> elects </w:t>
      </w:r>
      <w:r>
        <w:rPr>
          <w:rFonts w:ascii="Arial" w:cs="Arial" w:eastAsia="Arial" w:hAnsi="Arial"/>
          <w:sz w:val="19"/>
          <w:szCs w:val="19"/>
          <w:color w:val="3D3D3D"/>
        </w:rPr>
        <w:t>to</w:t>
      </w:r>
      <w:r>
        <w:rPr>
          <w:rFonts w:ascii="Arial" w:cs="Arial" w:eastAsia="Arial" w:hAnsi="Arial"/>
          <w:sz w:val="19"/>
          <w:szCs w:val="19"/>
          <w:color w:val="auto"/>
        </w:rPr>
        <w:t xml:space="preserve"> deliver </w:t>
      </w:r>
      <w:r>
        <w:rPr>
          <w:rFonts w:ascii="Arial" w:cs="Arial" w:eastAsia="Arial" w:hAnsi="Arial"/>
          <w:sz w:val="19"/>
          <w:szCs w:val="19"/>
          <w:color w:val="282828"/>
        </w:rPr>
        <w:t>L/C Security, then</w:t>
      </w:r>
      <w:r>
        <w:rPr>
          <w:rFonts w:ascii="Arial" w:cs="Arial" w:eastAsia="Arial" w:hAnsi="Arial"/>
          <w:sz w:val="19"/>
          <w:szCs w:val="19"/>
          <w:color w:val="auto"/>
        </w:rPr>
        <w:t xml:space="preserve"> Tenant </w:t>
      </w:r>
      <w:r>
        <w:rPr>
          <w:rFonts w:ascii="Arial" w:cs="Arial" w:eastAsia="Arial" w:hAnsi="Arial"/>
          <w:sz w:val="19"/>
          <w:szCs w:val="19"/>
          <w:color w:val="282828"/>
        </w:rPr>
        <w:t>shall</w:t>
      </w:r>
      <w:r>
        <w:rPr>
          <w:rFonts w:ascii="Arial" w:cs="Arial" w:eastAsia="Arial" w:hAnsi="Arial"/>
          <w:sz w:val="19"/>
          <w:szCs w:val="19"/>
          <w:color w:val="auto"/>
        </w:rPr>
        <w:t xml:space="preserve"> prov</w:t>
      </w:r>
      <w:r>
        <w:rPr>
          <w:rFonts w:ascii="Arial" w:cs="Arial" w:eastAsia="Arial" w:hAnsi="Arial"/>
          <w:sz w:val="19"/>
          <w:szCs w:val="19"/>
          <w:color w:val="3D3D3D"/>
        </w:rPr>
        <w:t>i</w:t>
      </w:r>
      <w:r>
        <w:rPr>
          <w:rFonts w:ascii="Arial" w:cs="Arial" w:eastAsia="Arial" w:hAnsi="Arial"/>
          <w:sz w:val="19"/>
          <w:szCs w:val="19"/>
          <w:color w:val="auto"/>
        </w:rPr>
        <w:t>de Landlo</w:t>
      </w:r>
      <w:r>
        <w:rPr>
          <w:rFonts w:ascii="Arial" w:cs="Arial" w:eastAsia="Arial" w:hAnsi="Arial"/>
          <w:sz w:val="19"/>
          <w:szCs w:val="19"/>
          <w:color w:val="3D3D3D"/>
        </w:rPr>
        <w:t>rd</w:t>
      </w:r>
      <w:r>
        <w:rPr>
          <w:rFonts w:ascii="Arial" w:cs="Arial" w:eastAsia="Arial" w:hAnsi="Arial"/>
          <w:sz w:val="19"/>
          <w:szCs w:val="19"/>
          <w:color w:val="auto"/>
        </w:rPr>
        <w:t xml:space="preserve">, and maintain in full force and effect </w:t>
      </w:r>
      <w:r>
        <w:rPr>
          <w:rFonts w:ascii="Arial" w:cs="Arial" w:eastAsia="Arial" w:hAnsi="Arial"/>
          <w:sz w:val="19"/>
          <w:szCs w:val="19"/>
          <w:color w:val="282828"/>
        </w:rPr>
        <w:t>throughout the Term</w:t>
      </w:r>
      <w:r>
        <w:rPr>
          <w:rFonts w:ascii="Arial" w:cs="Arial" w:eastAsia="Arial" w:hAnsi="Arial"/>
          <w:sz w:val="19"/>
          <w:szCs w:val="19"/>
          <w:color w:val="auto"/>
        </w:rPr>
        <w:t xml:space="preserve"> and until the date </w:t>
      </w:r>
      <w:r>
        <w:rPr>
          <w:rFonts w:ascii="Arial" w:cs="Arial" w:eastAsia="Arial" w:hAnsi="Arial"/>
          <w:sz w:val="19"/>
          <w:szCs w:val="19"/>
          <w:color w:val="282828"/>
        </w:rPr>
        <w:t>that</w:t>
      </w:r>
      <w:r>
        <w:rPr>
          <w:rFonts w:ascii="Arial" w:cs="Arial" w:eastAsia="Arial" w:hAnsi="Arial"/>
          <w:sz w:val="19"/>
          <w:szCs w:val="19"/>
          <w:color w:val="auto"/>
        </w:rPr>
        <w:t xml:space="preserve"> is two (2) </w:t>
      </w:r>
      <w:r>
        <w:rPr>
          <w:rFonts w:ascii="Arial" w:cs="Arial" w:eastAsia="Arial" w:hAnsi="Arial"/>
          <w:sz w:val="19"/>
          <w:szCs w:val="19"/>
          <w:color w:val="282828"/>
        </w:rPr>
        <w:t>months after</w:t>
      </w:r>
      <w:r>
        <w:rPr>
          <w:rFonts w:ascii="Arial" w:cs="Arial" w:eastAsia="Arial" w:hAnsi="Arial"/>
          <w:sz w:val="19"/>
          <w:szCs w:val="19"/>
          <w:color w:val="auto"/>
        </w:rPr>
        <w:t xml:space="preserve"> the then-current </w:t>
      </w:r>
      <w:r>
        <w:rPr>
          <w:rFonts w:ascii="Arial" w:cs="Arial" w:eastAsia="Arial" w:hAnsi="Arial"/>
          <w:sz w:val="19"/>
          <w:szCs w:val="19"/>
          <w:color w:val="3D3D3D"/>
        </w:rPr>
        <w:t>Term</w:t>
      </w:r>
      <w:r>
        <w:rPr>
          <w:rFonts w:ascii="Arial" w:cs="Arial" w:eastAsia="Arial" w:hAnsi="Arial"/>
          <w:sz w:val="19"/>
          <w:szCs w:val="19"/>
          <w:color w:val="auto"/>
        </w:rPr>
        <w:t xml:space="preserve"> </w:t>
      </w:r>
      <w:r>
        <w:rPr>
          <w:rFonts w:ascii="Arial" w:cs="Arial" w:eastAsia="Arial" w:hAnsi="Arial"/>
          <w:sz w:val="19"/>
          <w:szCs w:val="19"/>
          <w:color w:val="282828"/>
        </w:rPr>
        <w:t>Expiration</w:t>
      </w:r>
      <w:r>
        <w:rPr>
          <w:rFonts w:ascii="Arial" w:cs="Arial" w:eastAsia="Arial" w:hAnsi="Arial"/>
          <w:sz w:val="19"/>
          <w:szCs w:val="19"/>
          <w:color w:val="auto"/>
        </w:rPr>
        <w:t xml:space="preserve"> Date, </w:t>
      </w:r>
      <w:r>
        <w:rPr>
          <w:rFonts w:ascii="Arial" w:cs="Arial" w:eastAsia="Arial" w:hAnsi="Arial"/>
          <w:sz w:val="19"/>
          <w:szCs w:val="19"/>
          <w:color w:val="282828"/>
        </w:rPr>
        <w:t>a</w:t>
      </w:r>
      <w:r>
        <w:rPr>
          <w:rFonts w:ascii="Arial" w:cs="Arial" w:eastAsia="Arial" w:hAnsi="Arial"/>
          <w:sz w:val="19"/>
          <w:szCs w:val="19"/>
          <w:color w:val="auto"/>
        </w:rPr>
        <w:t xml:space="preserve"> </w:t>
      </w:r>
      <w:r>
        <w:rPr>
          <w:rFonts w:ascii="Arial" w:cs="Arial" w:eastAsia="Arial" w:hAnsi="Arial"/>
          <w:sz w:val="19"/>
          <w:szCs w:val="19"/>
          <w:color w:val="030303"/>
        </w:rPr>
        <w:t>letter</w:t>
      </w:r>
      <w:r>
        <w:rPr>
          <w:rFonts w:ascii="Arial" w:cs="Arial" w:eastAsia="Arial" w:hAnsi="Arial"/>
          <w:sz w:val="19"/>
          <w:szCs w:val="19"/>
          <w:color w:val="auto"/>
        </w:rPr>
        <w:t xml:space="preserve"> </w:t>
      </w:r>
      <w:r>
        <w:rPr>
          <w:rFonts w:ascii="Arial" w:cs="Arial" w:eastAsia="Arial" w:hAnsi="Arial"/>
          <w:sz w:val="19"/>
          <w:szCs w:val="19"/>
          <w:color w:val="282828"/>
        </w:rPr>
        <w:t>of</w:t>
      </w:r>
      <w:r>
        <w:rPr>
          <w:rFonts w:ascii="Arial" w:cs="Arial" w:eastAsia="Arial" w:hAnsi="Arial"/>
          <w:sz w:val="19"/>
          <w:szCs w:val="19"/>
          <w:color w:val="auto"/>
        </w:rPr>
        <w:t xml:space="preserve"> cred</w:t>
      </w:r>
      <w:r>
        <w:rPr>
          <w:rFonts w:ascii="Arial" w:cs="Arial" w:eastAsia="Arial" w:hAnsi="Arial"/>
          <w:sz w:val="19"/>
          <w:szCs w:val="19"/>
          <w:color w:val="3D3D3D"/>
        </w:rPr>
        <w:t>i</w:t>
      </w:r>
      <w:r>
        <w:rPr>
          <w:rFonts w:ascii="Arial" w:cs="Arial" w:eastAsia="Arial" w:hAnsi="Arial"/>
          <w:sz w:val="19"/>
          <w:szCs w:val="19"/>
          <w:color w:val="auto"/>
        </w:rPr>
        <w:t xml:space="preserve">t in the </w:t>
      </w:r>
      <w:r>
        <w:rPr>
          <w:rFonts w:ascii="Arial" w:cs="Arial" w:eastAsia="Arial" w:hAnsi="Arial"/>
          <w:sz w:val="19"/>
          <w:szCs w:val="19"/>
          <w:color w:val="282828"/>
        </w:rPr>
        <w:t>form</w:t>
      </w:r>
      <w:r>
        <w:rPr>
          <w:rFonts w:ascii="Arial" w:cs="Arial" w:eastAsia="Arial" w:hAnsi="Arial"/>
          <w:sz w:val="19"/>
          <w:szCs w:val="19"/>
          <w:color w:val="auto"/>
        </w:rPr>
        <w:t xml:space="preserve"> of </w:t>
      </w:r>
      <w:r>
        <w:rPr>
          <w:rFonts w:ascii="Arial" w:cs="Arial" w:eastAsia="Arial" w:hAnsi="Arial"/>
          <w:sz w:val="19"/>
          <w:szCs w:val="19"/>
          <w:u w:val="single" w:color="auto"/>
          <w:color w:val="282828"/>
        </w:rPr>
        <w:t>Exhibit E</w:t>
      </w:r>
      <w:r>
        <w:rPr>
          <w:rFonts w:ascii="Arial" w:cs="Arial" w:eastAsia="Arial" w:hAnsi="Arial"/>
          <w:sz w:val="19"/>
          <w:szCs w:val="19"/>
          <w:color w:val="auto"/>
        </w:rPr>
        <w:t xml:space="preserve"> i</w:t>
      </w:r>
      <w:r>
        <w:rPr>
          <w:rFonts w:ascii="Arial" w:cs="Arial" w:eastAsia="Arial" w:hAnsi="Arial"/>
          <w:sz w:val="19"/>
          <w:szCs w:val="19"/>
          <w:color w:val="3D3D3D"/>
        </w:rPr>
        <w:t>ss</w:t>
      </w:r>
      <w:r>
        <w:rPr>
          <w:rFonts w:ascii="Arial" w:cs="Arial" w:eastAsia="Arial" w:hAnsi="Arial"/>
          <w:sz w:val="19"/>
          <w:szCs w:val="19"/>
          <w:color w:val="auto"/>
        </w:rPr>
        <w:t xml:space="preserve">ued by an issuer reasonably </w:t>
      </w:r>
      <w:r>
        <w:rPr>
          <w:rFonts w:ascii="Arial" w:cs="Arial" w:eastAsia="Arial" w:hAnsi="Arial"/>
          <w:sz w:val="19"/>
          <w:szCs w:val="19"/>
          <w:color w:val="282828"/>
        </w:rPr>
        <w:t>satisfactory</w:t>
      </w:r>
      <w:r>
        <w:rPr>
          <w:rFonts w:ascii="Arial" w:cs="Arial" w:eastAsia="Arial" w:hAnsi="Arial"/>
          <w:sz w:val="19"/>
          <w:szCs w:val="19"/>
          <w:color w:val="auto"/>
        </w:rPr>
        <w:t xml:space="preserve"> to </w:t>
      </w:r>
      <w:r>
        <w:rPr>
          <w:rFonts w:ascii="Arial" w:cs="Arial" w:eastAsia="Arial" w:hAnsi="Arial"/>
          <w:sz w:val="19"/>
          <w:szCs w:val="19"/>
          <w:color w:val="282828"/>
        </w:rPr>
        <w:t>Landlord,</w:t>
      </w:r>
      <w:r>
        <w:rPr>
          <w:rFonts w:ascii="Arial" w:cs="Arial" w:eastAsia="Arial" w:hAnsi="Arial"/>
          <w:sz w:val="19"/>
          <w:szCs w:val="19"/>
          <w:color w:val="auto"/>
        </w:rPr>
        <w:t xml:space="preserve"> in the </w:t>
      </w:r>
      <w:r>
        <w:rPr>
          <w:rFonts w:ascii="Arial" w:cs="Arial" w:eastAsia="Arial" w:hAnsi="Arial"/>
          <w:sz w:val="19"/>
          <w:szCs w:val="19"/>
          <w:color w:val="282828"/>
        </w:rPr>
        <w:t>amount of the Security</w:t>
      </w:r>
      <w:r>
        <w:rPr>
          <w:rFonts w:ascii="Arial" w:cs="Arial" w:eastAsia="Arial" w:hAnsi="Arial"/>
          <w:sz w:val="19"/>
          <w:szCs w:val="19"/>
          <w:color w:val="auto"/>
        </w:rPr>
        <w:t xml:space="preserve"> Deposit, </w:t>
      </w:r>
      <w:r>
        <w:rPr>
          <w:rFonts w:ascii="Arial" w:cs="Arial" w:eastAsia="Arial" w:hAnsi="Arial"/>
          <w:sz w:val="19"/>
          <w:szCs w:val="19"/>
          <w:color w:val="282828"/>
        </w:rPr>
        <w:t>with an</w:t>
      </w:r>
      <w:r>
        <w:rPr>
          <w:rFonts w:ascii="Arial" w:cs="Arial" w:eastAsia="Arial" w:hAnsi="Arial"/>
          <w:sz w:val="19"/>
          <w:szCs w:val="19"/>
          <w:color w:val="auto"/>
        </w:rPr>
        <w:t xml:space="preserve"> ini</w:t>
      </w:r>
      <w:r>
        <w:rPr>
          <w:rFonts w:ascii="Arial" w:cs="Arial" w:eastAsia="Arial" w:hAnsi="Arial"/>
          <w:sz w:val="19"/>
          <w:szCs w:val="19"/>
          <w:color w:val="3D3D3D"/>
        </w:rPr>
        <w:t>t</w:t>
      </w:r>
      <w:r>
        <w:rPr>
          <w:rFonts w:ascii="Arial" w:cs="Arial" w:eastAsia="Arial" w:hAnsi="Arial"/>
          <w:sz w:val="19"/>
          <w:szCs w:val="19"/>
          <w:color w:val="auto"/>
        </w:rPr>
        <w:t xml:space="preserve">ial term </w:t>
      </w:r>
      <w:r>
        <w:rPr>
          <w:rFonts w:ascii="Arial" w:cs="Arial" w:eastAsia="Arial" w:hAnsi="Arial"/>
          <w:sz w:val="19"/>
          <w:szCs w:val="19"/>
          <w:color w:val="282828"/>
        </w:rPr>
        <w:t>of at least one year.</w:t>
      </w:r>
      <w:r>
        <w:rPr>
          <w:rFonts w:ascii="Arial" w:cs="Arial" w:eastAsia="Arial" w:hAnsi="Arial"/>
          <w:sz w:val="19"/>
          <w:szCs w:val="19"/>
          <w:color w:val="auto"/>
        </w:rPr>
        <w:t xml:space="preserve"> Notwithstanding </w:t>
      </w:r>
      <w:r>
        <w:rPr>
          <w:rFonts w:ascii="Arial" w:cs="Arial" w:eastAsia="Arial" w:hAnsi="Arial"/>
          <w:sz w:val="19"/>
          <w:szCs w:val="19"/>
          <w:color w:val="282828"/>
        </w:rPr>
        <w:t>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80"/>
          </w:cols>
          <w:pgMar w:left="980" w:top="1401" w:right="339" w:bottom="1440" w:gutter="0" w:footer="0" w:header="0"/>
        </w:sectPr>
      </w:pPr>
    </w:p>
    <w:bookmarkStart w:id="331" w:name="page332"/>
    <w:bookmarkEnd w:id="331"/>
    <w:p>
      <w:pPr>
        <w:jc w:val="both"/>
        <w:ind w:left="840"/>
        <w:spacing w:after="0" w:line="242" w:lineRule="auto"/>
        <w:rPr>
          <w:sz w:val="20"/>
          <w:szCs w:val="20"/>
          <w:color w:val="auto"/>
        </w:rPr>
      </w:pPr>
      <w:r>
        <w:rPr>
          <w:rFonts w:ascii="Arial" w:cs="Arial" w:eastAsia="Arial" w:hAnsi="Arial"/>
          <w:sz w:val="19"/>
          <w:szCs w:val="19"/>
          <w:color w:val="282828"/>
        </w:rPr>
        <w:t xml:space="preserve">Tenant shall </w:t>
      </w:r>
      <w:r>
        <w:rPr>
          <w:rFonts w:ascii="Arial" w:cs="Arial" w:eastAsia="Arial" w:hAnsi="Arial"/>
          <w:sz w:val="19"/>
          <w:szCs w:val="19"/>
          <w:color w:val="000000"/>
        </w:rPr>
        <w:t>have</w:t>
      </w:r>
      <w:r>
        <w:rPr>
          <w:rFonts w:ascii="Arial" w:cs="Arial" w:eastAsia="Arial" w:hAnsi="Arial"/>
          <w:sz w:val="19"/>
          <w:szCs w:val="19"/>
          <w:color w:val="282828"/>
        </w:rPr>
        <w:t xml:space="preserve"> the </w:t>
      </w:r>
      <w:r>
        <w:rPr>
          <w:rFonts w:ascii="Arial" w:cs="Arial" w:eastAsia="Arial" w:hAnsi="Arial"/>
          <w:sz w:val="19"/>
          <w:szCs w:val="19"/>
          <w:color w:val="000000"/>
        </w:rPr>
        <w:t>right</w:t>
      </w:r>
      <w:r>
        <w:rPr>
          <w:rFonts w:ascii="Arial" w:cs="Arial" w:eastAsia="Arial" w:hAnsi="Arial"/>
          <w:sz w:val="19"/>
          <w:szCs w:val="19"/>
          <w:color w:val="282828"/>
        </w:rPr>
        <w:t xml:space="preserve"> at any </w:t>
      </w:r>
      <w:r>
        <w:rPr>
          <w:rFonts w:ascii="Arial" w:cs="Arial" w:eastAsia="Arial" w:hAnsi="Arial"/>
          <w:sz w:val="19"/>
          <w:szCs w:val="19"/>
          <w:color w:val="000000"/>
        </w:rPr>
        <w:t>time and from</w:t>
      </w:r>
      <w:r>
        <w:rPr>
          <w:rFonts w:ascii="Arial" w:cs="Arial" w:eastAsia="Arial" w:hAnsi="Arial"/>
          <w:sz w:val="19"/>
          <w:szCs w:val="19"/>
          <w:color w:val="282828"/>
        </w:rPr>
        <w:t xml:space="preserve"> time to </w:t>
      </w:r>
      <w:r>
        <w:rPr>
          <w:rFonts w:ascii="Arial" w:cs="Arial" w:eastAsia="Arial" w:hAnsi="Arial"/>
          <w:sz w:val="19"/>
          <w:szCs w:val="19"/>
          <w:color w:val="000000"/>
        </w:rPr>
        <w:t>time</w:t>
      </w:r>
      <w:r>
        <w:rPr>
          <w:rFonts w:ascii="Arial" w:cs="Arial" w:eastAsia="Arial" w:hAnsi="Arial"/>
          <w:sz w:val="19"/>
          <w:szCs w:val="19"/>
          <w:color w:val="282828"/>
        </w:rPr>
        <w:t xml:space="preserve"> during </w:t>
      </w:r>
      <w:r>
        <w:rPr>
          <w:rFonts w:ascii="Arial" w:cs="Arial" w:eastAsia="Arial" w:hAnsi="Arial"/>
          <w:sz w:val="19"/>
          <w:szCs w:val="19"/>
          <w:color w:val="000000"/>
        </w:rPr>
        <w:t>the</w:t>
      </w:r>
      <w:r>
        <w:rPr>
          <w:rFonts w:ascii="Arial" w:cs="Arial" w:eastAsia="Arial" w:hAnsi="Arial"/>
          <w:sz w:val="19"/>
          <w:szCs w:val="19"/>
          <w:color w:val="282828"/>
        </w:rPr>
        <w:t xml:space="preserve"> Term </w:t>
      </w:r>
      <w:r>
        <w:rPr>
          <w:rFonts w:ascii="Arial" w:cs="Arial" w:eastAsia="Arial" w:hAnsi="Arial"/>
          <w:sz w:val="19"/>
          <w:szCs w:val="19"/>
          <w:color w:val="030303"/>
        </w:rPr>
        <w:t>to</w:t>
      </w:r>
      <w:r>
        <w:rPr>
          <w:rFonts w:ascii="Arial" w:cs="Arial" w:eastAsia="Arial" w:hAnsi="Arial"/>
          <w:sz w:val="19"/>
          <w:szCs w:val="19"/>
          <w:color w:val="282828"/>
        </w:rPr>
        <w:t xml:space="preserve"> </w:t>
      </w:r>
      <w:r>
        <w:rPr>
          <w:rFonts w:ascii="Arial" w:cs="Arial" w:eastAsia="Arial" w:hAnsi="Arial"/>
          <w:sz w:val="19"/>
          <w:szCs w:val="19"/>
          <w:color w:val="000000"/>
        </w:rPr>
        <w:t>deliver</w:t>
      </w:r>
      <w:r>
        <w:rPr>
          <w:rFonts w:ascii="Arial" w:cs="Arial" w:eastAsia="Arial" w:hAnsi="Arial"/>
          <w:sz w:val="19"/>
          <w:szCs w:val="19"/>
          <w:color w:val="282828"/>
        </w:rPr>
        <w:t xml:space="preserve"> a </w:t>
      </w:r>
      <w:r>
        <w:rPr>
          <w:rFonts w:ascii="Arial" w:cs="Arial" w:eastAsia="Arial" w:hAnsi="Arial"/>
          <w:sz w:val="19"/>
          <w:szCs w:val="19"/>
          <w:color w:val="000000"/>
        </w:rPr>
        <w:t>cash</w:t>
      </w:r>
      <w:r>
        <w:rPr>
          <w:rFonts w:ascii="Arial" w:cs="Arial" w:eastAsia="Arial" w:hAnsi="Arial"/>
          <w:sz w:val="19"/>
          <w:szCs w:val="19"/>
          <w:color w:val="282828"/>
        </w:rPr>
        <w:t xml:space="preserve"> security deposit </w:t>
      </w:r>
      <w:r>
        <w:rPr>
          <w:rFonts w:ascii="Arial" w:cs="Arial" w:eastAsia="Arial" w:hAnsi="Arial"/>
          <w:sz w:val="19"/>
          <w:szCs w:val="19"/>
          <w:color w:val="3D3D3D"/>
        </w:rPr>
        <w:t>in</w:t>
      </w:r>
      <w:r>
        <w:rPr>
          <w:rFonts w:ascii="Arial" w:cs="Arial" w:eastAsia="Arial" w:hAnsi="Arial"/>
          <w:sz w:val="19"/>
          <w:szCs w:val="19"/>
          <w:color w:val="282828"/>
        </w:rPr>
        <w:t xml:space="preserve"> lieu </w:t>
      </w:r>
      <w:r>
        <w:rPr>
          <w:rFonts w:ascii="Arial" w:cs="Arial" w:eastAsia="Arial" w:hAnsi="Arial"/>
          <w:sz w:val="19"/>
          <w:szCs w:val="19"/>
          <w:color w:val="000000"/>
        </w:rPr>
        <w:t>of the</w:t>
      </w:r>
      <w:r>
        <w:rPr>
          <w:rFonts w:ascii="Arial" w:cs="Arial" w:eastAsia="Arial" w:hAnsi="Arial"/>
          <w:sz w:val="19"/>
          <w:szCs w:val="19"/>
          <w:color w:val="282828"/>
        </w:rPr>
        <w:t xml:space="preserve"> </w:t>
      </w:r>
      <w:r>
        <w:rPr>
          <w:rFonts w:ascii="Arial" w:cs="Arial" w:eastAsia="Arial" w:hAnsi="Arial"/>
          <w:sz w:val="19"/>
          <w:szCs w:val="19"/>
          <w:color w:val="3D3D3D"/>
        </w:rPr>
        <w:t>L/C</w:t>
      </w:r>
      <w:r>
        <w:rPr>
          <w:rFonts w:ascii="Arial" w:cs="Arial" w:eastAsia="Arial" w:hAnsi="Arial"/>
          <w:sz w:val="19"/>
          <w:szCs w:val="19"/>
          <w:color w:val="282828"/>
        </w:rPr>
        <w:t xml:space="preserve"> Security </w:t>
      </w:r>
      <w:r>
        <w:rPr>
          <w:rFonts w:ascii="Arial" w:cs="Arial" w:eastAsia="Arial" w:hAnsi="Arial"/>
          <w:sz w:val="19"/>
          <w:szCs w:val="19"/>
          <w:color w:val="000000"/>
        </w:rPr>
        <w:t>upon not less than</w:t>
      </w:r>
      <w:r>
        <w:rPr>
          <w:rFonts w:ascii="Arial" w:cs="Arial" w:eastAsia="Arial" w:hAnsi="Arial"/>
          <w:sz w:val="19"/>
          <w:szCs w:val="19"/>
          <w:color w:val="282828"/>
        </w:rPr>
        <w:t xml:space="preserve"> 30 </w:t>
      </w:r>
      <w:r>
        <w:rPr>
          <w:rFonts w:ascii="Arial" w:cs="Arial" w:eastAsia="Arial" w:hAnsi="Arial"/>
          <w:sz w:val="19"/>
          <w:szCs w:val="19"/>
          <w:color w:val="000000"/>
        </w:rPr>
        <w:t>days’ advance</w:t>
      </w:r>
      <w:r>
        <w:rPr>
          <w:rFonts w:ascii="Arial" w:cs="Arial" w:eastAsia="Arial" w:hAnsi="Arial"/>
          <w:sz w:val="19"/>
          <w:szCs w:val="19"/>
          <w:color w:val="282828"/>
        </w:rPr>
        <w:t xml:space="preserve"> written </w:t>
      </w:r>
      <w:r>
        <w:rPr>
          <w:rFonts w:ascii="Arial" w:cs="Arial" w:eastAsia="Arial" w:hAnsi="Arial"/>
          <w:sz w:val="19"/>
          <w:szCs w:val="19"/>
          <w:color w:val="000000"/>
        </w:rPr>
        <w:t>notice</w:t>
      </w:r>
      <w:r>
        <w:rPr>
          <w:rFonts w:ascii="Arial" w:cs="Arial" w:eastAsia="Arial" w:hAnsi="Arial"/>
          <w:sz w:val="19"/>
          <w:szCs w:val="19"/>
          <w:color w:val="282828"/>
        </w:rPr>
        <w:t xml:space="preserve"> </w:t>
      </w:r>
      <w:r>
        <w:rPr>
          <w:rFonts w:ascii="Arial" w:cs="Arial" w:eastAsia="Arial" w:hAnsi="Arial"/>
          <w:sz w:val="19"/>
          <w:szCs w:val="19"/>
          <w:color w:val="3D3D3D"/>
        </w:rPr>
        <w:t>t</w:t>
      </w:r>
      <w:r>
        <w:rPr>
          <w:rFonts w:ascii="Arial" w:cs="Arial" w:eastAsia="Arial" w:hAnsi="Arial"/>
          <w:sz w:val="19"/>
          <w:szCs w:val="19"/>
          <w:color w:val="000000"/>
        </w:rPr>
        <w:t>o</w:t>
      </w:r>
      <w:r>
        <w:rPr>
          <w:rFonts w:ascii="Arial" w:cs="Arial" w:eastAsia="Arial" w:hAnsi="Arial"/>
          <w:sz w:val="19"/>
          <w:szCs w:val="19"/>
          <w:color w:val="282828"/>
        </w:rPr>
        <w:t xml:space="preserve"> Landlord. </w:t>
      </w:r>
      <w:r>
        <w:rPr>
          <w:rFonts w:ascii="Arial" w:cs="Arial" w:eastAsia="Arial" w:hAnsi="Arial"/>
          <w:sz w:val="19"/>
          <w:szCs w:val="19"/>
          <w:color w:val="000000"/>
        </w:rPr>
        <w:t>Upon</w:t>
      </w:r>
      <w:r>
        <w:rPr>
          <w:rFonts w:ascii="Arial" w:cs="Arial" w:eastAsia="Arial" w:hAnsi="Arial"/>
          <w:sz w:val="19"/>
          <w:szCs w:val="19"/>
          <w:color w:val="282828"/>
        </w:rPr>
        <w:t xml:space="preserve"> </w:t>
      </w:r>
      <w:r>
        <w:rPr>
          <w:rFonts w:ascii="Arial" w:cs="Arial" w:eastAsia="Arial" w:hAnsi="Arial"/>
          <w:sz w:val="19"/>
          <w:szCs w:val="19"/>
          <w:color w:val="000000"/>
        </w:rPr>
        <w:t xml:space="preserve">delivery of </w:t>
      </w:r>
      <w:r>
        <w:rPr>
          <w:rFonts w:ascii="Arial" w:cs="Arial" w:eastAsia="Arial" w:hAnsi="Arial"/>
          <w:sz w:val="19"/>
          <w:szCs w:val="19"/>
          <w:color w:val="282828"/>
        </w:rPr>
        <w:t>a cash security deposit by Tenant</w:t>
      </w:r>
      <w:r>
        <w:rPr>
          <w:rFonts w:ascii="Arial" w:cs="Arial" w:eastAsia="Arial" w:hAnsi="Arial"/>
          <w:sz w:val="19"/>
          <w:szCs w:val="19"/>
          <w:color w:val="000000"/>
        </w:rPr>
        <w:t xml:space="preserve"> </w:t>
      </w:r>
      <w:r>
        <w:rPr>
          <w:rFonts w:ascii="Arial" w:cs="Arial" w:eastAsia="Arial" w:hAnsi="Arial"/>
          <w:sz w:val="19"/>
          <w:szCs w:val="19"/>
          <w:color w:val="3D3D3D"/>
        </w:rPr>
        <w:t>to</w:t>
      </w:r>
      <w:r>
        <w:rPr>
          <w:rFonts w:ascii="Arial" w:cs="Arial" w:eastAsia="Arial" w:hAnsi="Arial"/>
          <w:sz w:val="19"/>
          <w:szCs w:val="19"/>
          <w:color w:val="000000"/>
        </w:rPr>
        <w:t xml:space="preserve"> </w:t>
      </w:r>
      <w:r>
        <w:rPr>
          <w:rFonts w:ascii="Arial" w:cs="Arial" w:eastAsia="Arial" w:hAnsi="Arial"/>
          <w:sz w:val="19"/>
          <w:szCs w:val="19"/>
          <w:color w:val="282828"/>
        </w:rPr>
        <w:t>Landlord</w:t>
      </w:r>
      <w:r>
        <w:rPr>
          <w:rFonts w:ascii="Arial" w:cs="Arial" w:eastAsia="Arial" w:hAnsi="Arial"/>
          <w:sz w:val="19"/>
          <w:szCs w:val="19"/>
          <w:color w:val="000000"/>
        </w:rPr>
        <w:t xml:space="preserve"> in lieu of the </w:t>
      </w:r>
      <w:r>
        <w:rPr>
          <w:rFonts w:ascii="Arial" w:cs="Arial" w:eastAsia="Arial" w:hAnsi="Arial"/>
          <w:sz w:val="19"/>
          <w:szCs w:val="19"/>
          <w:color w:val="282828"/>
        </w:rPr>
        <w:t>L/C Security,</w:t>
      </w:r>
      <w:r>
        <w:rPr>
          <w:rFonts w:ascii="Arial" w:cs="Arial" w:eastAsia="Arial" w:hAnsi="Arial"/>
          <w:sz w:val="19"/>
          <w:szCs w:val="19"/>
          <w:color w:val="000000"/>
        </w:rPr>
        <w:t xml:space="preserve"> </w:t>
      </w:r>
      <w:r>
        <w:rPr>
          <w:rFonts w:ascii="Arial" w:cs="Arial" w:eastAsia="Arial" w:hAnsi="Arial"/>
          <w:sz w:val="19"/>
          <w:szCs w:val="19"/>
          <w:color w:val="3D3D3D"/>
        </w:rPr>
        <w:t>Lan</w:t>
      </w:r>
      <w:r>
        <w:rPr>
          <w:rFonts w:ascii="Arial" w:cs="Arial" w:eastAsia="Arial" w:hAnsi="Arial"/>
          <w:sz w:val="19"/>
          <w:szCs w:val="19"/>
          <w:color w:val="000000"/>
        </w:rPr>
        <w:t xml:space="preserve">dlord </w:t>
      </w:r>
      <w:r>
        <w:rPr>
          <w:rFonts w:ascii="Arial" w:cs="Arial" w:eastAsia="Arial" w:hAnsi="Arial"/>
          <w:sz w:val="19"/>
          <w:szCs w:val="19"/>
          <w:color w:val="3D3D3D"/>
        </w:rPr>
        <w:t>shall</w:t>
      </w:r>
      <w:r>
        <w:rPr>
          <w:rFonts w:ascii="Arial" w:cs="Arial" w:eastAsia="Arial" w:hAnsi="Arial"/>
          <w:sz w:val="19"/>
          <w:szCs w:val="19"/>
          <w:color w:val="000000"/>
        </w:rPr>
        <w:t xml:space="preserve"> </w:t>
      </w:r>
      <w:r>
        <w:rPr>
          <w:rFonts w:ascii="Arial" w:cs="Arial" w:eastAsia="Arial" w:hAnsi="Arial"/>
          <w:sz w:val="19"/>
          <w:szCs w:val="19"/>
          <w:color w:val="282828"/>
        </w:rPr>
        <w:t xml:space="preserve">promptly return the </w:t>
      </w:r>
      <w:r>
        <w:rPr>
          <w:rFonts w:ascii="Arial" w:cs="Arial" w:eastAsia="Arial" w:hAnsi="Arial"/>
          <w:sz w:val="19"/>
          <w:szCs w:val="19"/>
          <w:color w:val="000000"/>
        </w:rPr>
        <w:t>original</w:t>
      </w:r>
      <w:r>
        <w:rPr>
          <w:rFonts w:ascii="Arial" w:cs="Arial" w:eastAsia="Arial" w:hAnsi="Arial"/>
          <w:sz w:val="19"/>
          <w:szCs w:val="19"/>
          <w:color w:val="282828"/>
        </w:rPr>
        <w:t xml:space="preserve"> L/C Security to Tenant. </w:t>
      </w:r>
      <w:r>
        <w:rPr>
          <w:rFonts w:ascii="Arial" w:cs="Arial" w:eastAsia="Arial" w:hAnsi="Arial"/>
          <w:sz w:val="19"/>
          <w:szCs w:val="19"/>
          <w:color w:val="000000"/>
        </w:rPr>
        <w:t>Landlord</w:t>
      </w:r>
      <w:r>
        <w:rPr>
          <w:rFonts w:ascii="Arial" w:cs="Arial" w:eastAsia="Arial" w:hAnsi="Arial"/>
          <w:sz w:val="19"/>
          <w:szCs w:val="19"/>
          <w:color w:val="282828"/>
        </w:rPr>
        <w:t xml:space="preserve"> may </w:t>
      </w:r>
      <w:r>
        <w:rPr>
          <w:rFonts w:ascii="Arial" w:cs="Arial" w:eastAsia="Arial" w:hAnsi="Arial"/>
          <w:sz w:val="19"/>
          <w:szCs w:val="19"/>
          <w:color w:val="000000"/>
        </w:rPr>
        <w:t>require the</w:t>
      </w:r>
      <w:r>
        <w:rPr>
          <w:rFonts w:ascii="Arial" w:cs="Arial" w:eastAsia="Arial" w:hAnsi="Arial"/>
          <w:sz w:val="19"/>
          <w:szCs w:val="19"/>
          <w:color w:val="282828"/>
        </w:rPr>
        <w:t xml:space="preserve"> L/C Security </w:t>
      </w:r>
      <w:r>
        <w:rPr>
          <w:rFonts w:ascii="Arial" w:cs="Arial" w:eastAsia="Arial" w:hAnsi="Arial"/>
          <w:sz w:val="19"/>
          <w:szCs w:val="19"/>
          <w:color w:val="3D3D3D"/>
        </w:rPr>
        <w:t>to</w:t>
      </w:r>
      <w:r>
        <w:rPr>
          <w:rFonts w:ascii="Arial" w:cs="Arial" w:eastAsia="Arial" w:hAnsi="Arial"/>
          <w:sz w:val="19"/>
          <w:szCs w:val="19"/>
          <w:color w:val="282828"/>
        </w:rPr>
        <w:t xml:space="preserve"> </w:t>
      </w:r>
      <w:r>
        <w:rPr>
          <w:rFonts w:ascii="Arial" w:cs="Arial" w:eastAsia="Arial" w:hAnsi="Arial"/>
          <w:sz w:val="19"/>
          <w:szCs w:val="19"/>
          <w:color w:val="000000"/>
        </w:rPr>
        <w:t>be</w:t>
      </w:r>
      <w:r>
        <w:rPr>
          <w:rFonts w:ascii="Arial" w:cs="Arial" w:eastAsia="Arial" w:hAnsi="Arial"/>
          <w:sz w:val="19"/>
          <w:szCs w:val="19"/>
          <w:color w:val="282828"/>
        </w:rPr>
        <w:t xml:space="preserve"> re-issued </w:t>
      </w:r>
      <w:r>
        <w:rPr>
          <w:rFonts w:ascii="Arial" w:cs="Arial" w:eastAsia="Arial" w:hAnsi="Arial"/>
          <w:sz w:val="19"/>
          <w:szCs w:val="19"/>
          <w:color w:val="000000"/>
        </w:rPr>
        <w:t xml:space="preserve">by </w:t>
      </w:r>
      <w:r>
        <w:rPr>
          <w:rFonts w:ascii="Arial" w:cs="Arial" w:eastAsia="Arial" w:hAnsi="Arial"/>
          <w:sz w:val="19"/>
          <w:szCs w:val="19"/>
          <w:color w:val="282828"/>
        </w:rPr>
        <w:t>a</w:t>
      </w:r>
      <w:r>
        <w:rPr>
          <w:rFonts w:ascii="Arial" w:cs="Arial" w:eastAsia="Arial" w:hAnsi="Arial"/>
          <w:sz w:val="19"/>
          <w:szCs w:val="19"/>
          <w:color w:val="000000"/>
        </w:rPr>
        <w:t xml:space="preserve"> different issuer </w:t>
      </w:r>
      <w:r>
        <w:rPr>
          <w:rFonts w:ascii="Arial" w:cs="Arial" w:eastAsia="Arial" w:hAnsi="Arial"/>
          <w:sz w:val="19"/>
          <w:szCs w:val="19"/>
          <w:color w:val="282828"/>
        </w:rPr>
        <w:t>at any time during</w:t>
      </w:r>
      <w:r>
        <w:rPr>
          <w:rFonts w:ascii="Arial" w:cs="Arial" w:eastAsia="Arial" w:hAnsi="Arial"/>
          <w:sz w:val="19"/>
          <w:szCs w:val="19"/>
          <w:color w:val="000000"/>
        </w:rPr>
        <w:t xml:space="preserve"> </w:t>
      </w:r>
      <w:r>
        <w:rPr>
          <w:rFonts w:ascii="Arial" w:cs="Arial" w:eastAsia="Arial" w:hAnsi="Arial"/>
          <w:sz w:val="19"/>
          <w:szCs w:val="19"/>
          <w:color w:val="030303"/>
        </w:rPr>
        <w:t>t</w:t>
      </w:r>
      <w:r>
        <w:rPr>
          <w:rFonts w:ascii="Arial" w:cs="Arial" w:eastAsia="Arial" w:hAnsi="Arial"/>
          <w:sz w:val="19"/>
          <w:szCs w:val="19"/>
          <w:color w:val="3D3D3D"/>
        </w:rPr>
        <w:t>he</w:t>
      </w:r>
      <w:r>
        <w:rPr>
          <w:rFonts w:ascii="Arial" w:cs="Arial" w:eastAsia="Arial" w:hAnsi="Arial"/>
          <w:sz w:val="19"/>
          <w:szCs w:val="19"/>
          <w:color w:val="000000"/>
        </w:rPr>
        <w:t xml:space="preserve"> </w:t>
      </w:r>
      <w:r>
        <w:rPr>
          <w:rFonts w:ascii="Arial" w:cs="Arial" w:eastAsia="Arial" w:hAnsi="Arial"/>
          <w:sz w:val="19"/>
          <w:szCs w:val="19"/>
          <w:color w:val="282828"/>
        </w:rPr>
        <w:t>Term if</w:t>
      </w:r>
      <w:r>
        <w:rPr>
          <w:rFonts w:ascii="Arial" w:cs="Arial" w:eastAsia="Arial" w:hAnsi="Arial"/>
          <w:sz w:val="19"/>
          <w:szCs w:val="19"/>
          <w:color w:val="000000"/>
        </w:rPr>
        <w:t xml:space="preserve"> Landlord </w:t>
      </w:r>
      <w:r>
        <w:rPr>
          <w:rFonts w:ascii="Arial" w:cs="Arial" w:eastAsia="Arial" w:hAnsi="Arial"/>
          <w:sz w:val="19"/>
          <w:szCs w:val="19"/>
          <w:color w:val="282828"/>
        </w:rPr>
        <w:t>reasonably</w:t>
      </w:r>
      <w:r>
        <w:rPr>
          <w:rFonts w:ascii="Arial" w:cs="Arial" w:eastAsia="Arial" w:hAnsi="Arial"/>
          <w:sz w:val="19"/>
          <w:szCs w:val="19"/>
          <w:color w:val="000000"/>
        </w:rPr>
        <w:t xml:space="preserve"> believes </w:t>
      </w:r>
      <w:r>
        <w:rPr>
          <w:rFonts w:ascii="Arial" w:cs="Arial" w:eastAsia="Arial" w:hAnsi="Arial"/>
          <w:sz w:val="19"/>
          <w:szCs w:val="19"/>
          <w:color w:val="282828"/>
        </w:rPr>
        <w:t>that the issuing</w:t>
      </w:r>
      <w:r>
        <w:rPr>
          <w:rFonts w:ascii="Arial" w:cs="Arial" w:eastAsia="Arial" w:hAnsi="Arial"/>
          <w:sz w:val="19"/>
          <w:szCs w:val="19"/>
          <w:color w:val="000000"/>
        </w:rPr>
        <w:t xml:space="preserve"> bank </w:t>
      </w:r>
      <w:r>
        <w:rPr>
          <w:rFonts w:ascii="Arial" w:cs="Arial" w:eastAsia="Arial" w:hAnsi="Arial"/>
          <w:sz w:val="19"/>
          <w:szCs w:val="19"/>
          <w:color w:val="282828"/>
        </w:rPr>
        <w:t>of</w:t>
      </w:r>
      <w:r>
        <w:rPr>
          <w:rFonts w:ascii="Arial" w:cs="Arial" w:eastAsia="Arial" w:hAnsi="Arial"/>
          <w:sz w:val="19"/>
          <w:szCs w:val="19"/>
          <w:color w:val="000000"/>
        </w:rPr>
        <w:t xml:space="preserve"> </w:t>
      </w:r>
      <w:r>
        <w:rPr>
          <w:rFonts w:ascii="Arial" w:cs="Arial" w:eastAsia="Arial" w:hAnsi="Arial"/>
          <w:sz w:val="19"/>
          <w:szCs w:val="19"/>
          <w:color w:val="282828"/>
        </w:rPr>
        <w:t xml:space="preserve">the L/C Security </w:t>
      </w:r>
      <w:r>
        <w:rPr>
          <w:rFonts w:ascii="Arial" w:cs="Arial" w:eastAsia="Arial" w:hAnsi="Arial"/>
          <w:sz w:val="19"/>
          <w:szCs w:val="19"/>
          <w:color w:val="030303"/>
        </w:rPr>
        <w:t>is</w:t>
      </w:r>
      <w:r>
        <w:rPr>
          <w:rFonts w:ascii="Arial" w:cs="Arial" w:eastAsia="Arial" w:hAnsi="Arial"/>
          <w:sz w:val="19"/>
          <w:szCs w:val="19"/>
          <w:color w:val="282828"/>
        </w:rPr>
        <w:t xml:space="preserve"> or may soon </w:t>
      </w:r>
      <w:r>
        <w:rPr>
          <w:rFonts w:ascii="Arial" w:cs="Arial" w:eastAsia="Arial" w:hAnsi="Arial"/>
          <w:sz w:val="19"/>
          <w:szCs w:val="19"/>
          <w:color w:val="000000"/>
        </w:rPr>
        <w:t>become</w:t>
      </w:r>
      <w:r>
        <w:rPr>
          <w:rFonts w:ascii="Arial" w:cs="Arial" w:eastAsia="Arial" w:hAnsi="Arial"/>
          <w:sz w:val="19"/>
          <w:szCs w:val="19"/>
          <w:color w:val="282828"/>
        </w:rPr>
        <w:t xml:space="preserve"> insolvent; </w:t>
      </w:r>
      <w:r>
        <w:rPr>
          <w:rFonts w:ascii="Arial" w:cs="Arial" w:eastAsia="Arial" w:hAnsi="Arial"/>
          <w:sz w:val="19"/>
          <w:szCs w:val="19"/>
          <w:color w:val="000000"/>
        </w:rPr>
        <w:t>provided</w:t>
      </w:r>
      <w:r>
        <w:rPr>
          <w:rFonts w:ascii="Arial" w:cs="Arial" w:eastAsia="Arial" w:hAnsi="Arial"/>
          <w:sz w:val="19"/>
          <w:szCs w:val="19"/>
          <w:color w:val="3D3D3D"/>
        </w:rPr>
        <w:t>,</w:t>
      </w:r>
      <w:r>
        <w:rPr>
          <w:rFonts w:ascii="Arial" w:cs="Arial" w:eastAsia="Arial" w:hAnsi="Arial"/>
          <w:sz w:val="19"/>
          <w:szCs w:val="19"/>
          <w:color w:val="282828"/>
        </w:rPr>
        <w:t xml:space="preserve"> however, </w:t>
      </w:r>
      <w:r>
        <w:rPr>
          <w:rFonts w:ascii="Arial" w:cs="Arial" w:eastAsia="Arial" w:hAnsi="Arial"/>
          <w:sz w:val="19"/>
          <w:szCs w:val="19"/>
          <w:color w:val="000000"/>
        </w:rPr>
        <w:t>Landlord</w:t>
      </w:r>
      <w:r>
        <w:rPr>
          <w:rFonts w:ascii="Arial" w:cs="Arial" w:eastAsia="Arial" w:hAnsi="Arial"/>
          <w:sz w:val="19"/>
          <w:szCs w:val="19"/>
          <w:color w:val="282828"/>
        </w:rPr>
        <w:t xml:space="preserve"> shall </w:t>
      </w:r>
      <w:r>
        <w:rPr>
          <w:rFonts w:ascii="Arial" w:cs="Arial" w:eastAsia="Arial" w:hAnsi="Arial"/>
          <w:sz w:val="19"/>
          <w:szCs w:val="19"/>
          <w:color w:val="000000"/>
        </w:rPr>
        <w:t>return the</w:t>
      </w:r>
      <w:r>
        <w:rPr>
          <w:rFonts w:ascii="Arial" w:cs="Arial" w:eastAsia="Arial" w:hAnsi="Arial"/>
          <w:sz w:val="19"/>
          <w:szCs w:val="19"/>
          <w:color w:val="282828"/>
        </w:rPr>
        <w:t xml:space="preserve"> existing L/C Security </w:t>
      </w:r>
      <w:r>
        <w:rPr>
          <w:rFonts w:ascii="Arial" w:cs="Arial" w:eastAsia="Arial" w:hAnsi="Arial"/>
          <w:sz w:val="19"/>
          <w:szCs w:val="19"/>
          <w:color w:val="000000"/>
        </w:rPr>
        <w:t>to</w:t>
      </w:r>
      <w:r>
        <w:rPr>
          <w:rFonts w:ascii="Arial" w:cs="Arial" w:eastAsia="Arial" w:hAnsi="Arial"/>
          <w:sz w:val="19"/>
          <w:szCs w:val="19"/>
          <w:color w:val="282828"/>
        </w:rPr>
        <w:t xml:space="preserve"> </w:t>
      </w:r>
      <w:r>
        <w:rPr>
          <w:rFonts w:ascii="Arial" w:cs="Arial" w:eastAsia="Arial" w:hAnsi="Arial"/>
          <w:sz w:val="19"/>
          <w:szCs w:val="19"/>
          <w:color w:val="3D3D3D"/>
        </w:rPr>
        <w:t>the</w:t>
      </w:r>
      <w:r>
        <w:rPr>
          <w:rFonts w:ascii="Arial" w:cs="Arial" w:eastAsia="Arial" w:hAnsi="Arial"/>
          <w:sz w:val="19"/>
          <w:szCs w:val="19"/>
          <w:color w:val="282828"/>
        </w:rPr>
        <w:t xml:space="preserve"> </w:t>
      </w:r>
      <w:r>
        <w:rPr>
          <w:rFonts w:ascii="Arial" w:cs="Arial" w:eastAsia="Arial" w:hAnsi="Arial"/>
          <w:sz w:val="19"/>
          <w:szCs w:val="19"/>
          <w:color w:val="000000"/>
        </w:rPr>
        <w:t>exist</w:t>
      </w:r>
      <w:r>
        <w:rPr>
          <w:rFonts w:ascii="Arial" w:cs="Arial" w:eastAsia="Arial" w:hAnsi="Arial"/>
          <w:sz w:val="19"/>
          <w:szCs w:val="19"/>
          <w:color w:val="3D3D3D"/>
        </w:rPr>
        <w:t>ing</w:t>
      </w:r>
      <w:r>
        <w:rPr>
          <w:rFonts w:ascii="Arial" w:cs="Arial" w:eastAsia="Arial" w:hAnsi="Arial"/>
          <w:sz w:val="19"/>
          <w:szCs w:val="19"/>
          <w:color w:val="282828"/>
        </w:rPr>
        <w:t xml:space="preserve"> </w:t>
      </w:r>
      <w:r>
        <w:rPr>
          <w:rFonts w:ascii="Arial" w:cs="Arial" w:eastAsia="Arial" w:hAnsi="Arial"/>
          <w:sz w:val="19"/>
          <w:szCs w:val="19"/>
          <w:color w:val="000000"/>
        </w:rPr>
        <w:t>issuer</w:t>
      </w:r>
      <w:r>
        <w:rPr>
          <w:rFonts w:ascii="Arial" w:cs="Arial" w:eastAsia="Arial" w:hAnsi="Arial"/>
          <w:sz w:val="19"/>
          <w:szCs w:val="19"/>
          <w:color w:val="282828"/>
        </w:rPr>
        <w:t xml:space="preserve"> immediately upon </w:t>
      </w:r>
      <w:r>
        <w:rPr>
          <w:rFonts w:ascii="Arial" w:cs="Arial" w:eastAsia="Arial" w:hAnsi="Arial"/>
          <w:sz w:val="19"/>
          <w:szCs w:val="19"/>
          <w:color w:val="000000"/>
        </w:rPr>
        <w:t>r</w:t>
      </w:r>
      <w:r>
        <w:rPr>
          <w:rFonts w:ascii="Arial" w:cs="Arial" w:eastAsia="Arial" w:hAnsi="Arial"/>
          <w:sz w:val="19"/>
          <w:szCs w:val="19"/>
          <w:color w:val="3D3D3D"/>
        </w:rPr>
        <w:t>ece</w:t>
      </w:r>
      <w:r>
        <w:rPr>
          <w:rFonts w:ascii="Arial" w:cs="Arial" w:eastAsia="Arial" w:hAnsi="Arial"/>
          <w:sz w:val="19"/>
          <w:szCs w:val="19"/>
          <w:color w:val="000000"/>
        </w:rPr>
        <w:t>ipt</w:t>
      </w:r>
      <w:r>
        <w:rPr>
          <w:rFonts w:ascii="Arial" w:cs="Arial" w:eastAsia="Arial" w:hAnsi="Arial"/>
          <w:sz w:val="19"/>
          <w:szCs w:val="19"/>
          <w:color w:val="282828"/>
        </w:rPr>
        <w:t xml:space="preserve"> of </w:t>
      </w:r>
      <w:r>
        <w:rPr>
          <w:rFonts w:ascii="Arial" w:cs="Arial" w:eastAsia="Arial" w:hAnsi="Arial"/>
          <w:sz w:val="19"/>
          <w:szCs w:val="19"/>
          <w:color w:val="000000"/>
        </w:rPr>
        <w:t>th</w:t>
      </w:r>
      <w:r>
        <w:rPr>
          <w:rFonts w:ascii="Arial" w:cs="Arial" w:eastAsia="Arial" w:hAnsi="Arial"/>
          <w:sz w:val="19"/>
          <w:szCs w:val="19"/>
          <w:color w:val="3D3D3D"/>
        </w:rPr>
        <w:t>e</w:t>
      </w:r>
      <w:r>
        <w:rPr>
          <w:rFonts w:ascii="Arial" w:cs="Arial" w:eastAsia="Arial" w:hAnsi="Arial"/>
          <w:sz w:val="19"/>
          <w:szCs w:val="19"/>
          <w:color w:val="282828"/>
        </w:rPr>
        <w:t xml:space="preserve"> substitute </w:t>
      </w:r>
      <w:r>
        <w:rPr>
          <w:rFonts w:ascii="Arial" w:cs="Arial" w:eastAsia="Arial" w:hAnsi="Arial"/>
          <w:sz w:val="19"/>
          <w:szCs w:val="19"/>
          <w:color w:val="3D3D3D"/>
        </w:rPr>
        <w:t>L/C</w:t>
      </w:r>
      <w:r>
        <w:rPr>
          <w:rFonts w:ascii="Arial" w:cs="Arial" w:eastAsia="Arial" w:hAnsi="Arial"/>
          <w:sz w:val="19"/>
          <w:szCs w:val="19"/>
          <w:color w:val="282828"/>
        </w:rPr>
        <w:t xml:space="preserve"> Security. </w:t>
      </w:r>
      <w:r>
        <w:rPr>
          <w:rFonts w:ascii="Arial" w:cs="Arial" w:eastAsia="Arial" w:hAnsi="Arial"/>
          <w:sz w:val="19"/>
          <w:szCs w:val="19"/>
          <w:color w:val="000000"/>
        </w:rPr>
        <w:t>If any issuer</w:t>
      </w:r>
      <w:r>
        <w:rPr>
          <w:rFonts w:ascii="Arial" w:cs="Arial" w:eastAsia="Arial" w:hAnsi="Arial"/>
          <w:sz w:val="19"/>
          <w:szCs w:val="19"/>
          <w:color w:val="282828"/>
        </w:rPr>
        <w:t xml:space="preserve"> of the L/C Security shall </w:t>
      </w:r>
      <w:r>
        <w:rPr>
          <w:rFonts w:ascii="Arial" w:cs="Arial" w:eastAsia="Arial" w:hAnsi="Arial"/>
          <w:sz w:val="19"/>
          <w:szCs w:val="19"/>
          <w:color w:val="000000"/>
        </w:rPr>
        <w:t>become</w:t>
      </w:r>
      <w:r>
        <w:rPr>
          <w:rFonts w:ascii="Arial" w:cs="Arial" w:eastAsia="Arial" w:hAnsi="Arial"/>
          <w:sz w:val="19"/>
          <w:szCs w:val="19"/>
          <w:color w:val="282828"/>
        </w:rPr>
        <w:t xml:space="preserve"> insolvent </w:t>
      </w:r>
      <w:r>
        <w:rPr>
          <w:rFonts w:ascii="Arial" w:cs="Arial" w:eastAsia="Arial" w:hAnsi="Arial"/>
          <w:sz w:val="19"/>
          <w:szCs w:val="19"/>
          <w:color w:val="000000"/>
        </w:rPr>
        <w:t>or placed</w:t>
      </w:r>
      <w:r>
        <w:rPr>
          <w:rFonts w:ascii="Arial" w:cs="Arial" w:eastAsia="Arial" w:hAnsi="Arial"/>
          <w:sz w:val="19"/>
          <w:szCs w:val="19"/>
          <w:color w:val="282828"/>
        </w:rPr>
        <w:t xml:space="preserve"> into </w:t>
      </w:r>
      <w:r>
        <w:rPr>
          <w:rFonts w:ascii="Arial" w:cs="Arial" w:eastAsia="Arial" w:hAnsi="Arial"/>
          <w:sz w:val="19"/>
          <w:szCs w:val="19"/>
          <w:color w:val="3D3D3D"/>
        </w:rPr>
        <w:t>FD</w:t>
      </w:r>
      <w:r>
        <w:rPr>
          <w:rFonts w:ascii="Arial" w:cs="Arial" w:eastAsia="Arial" w:hAnsi="Arial"/>
          <w:sz w:val="19"/>
          <w:szCs w:val="19"/>
          <w:color w:val="030303"/>
        </w:rPr>
        <w:t>I</w:t>
      </w:r>
      <w:r>
        <w:rPr>
          <w:rFonts w:ascii="Arial" w:cs="Arial" w:eastAsia="Arial" w:hAnsi="Arial"/>
          <w:sz w:val="19"/>
          <w:szCs w:val="19"/>
          <w:color w:val="282828"/>
        </w:rPr>
        <w:t xml:space="preserve">C receivership, </w:t>
      </w:r>
      <w:r>
        <w:rPr>
          <w:rFonts w:ascii="Arial" w:cs="Arial" w:eastAsia="Arial" w:hAnsi="Arial"/>
          <w:sz w:val="19"/>
          <w:szCs w:val="19"/>
          <w:color w:val="000000"/>
        </w:rPr>
        <w:t>then Tenant</w:t>
      </w:r>
      <w:r>
        <w:rPr>
          <w:rFonts w:ascii="Arial" w:cs="Arial" w:eastAsia="Arial" w:hAnsi="Arial"/>
          <w:sz w:val="19"/>
          <w:szCs w:val="19"/>
          <w:color w:val="282828"/>
        </w:rPr>
        <w:t xml:space="preserve"> </w:t>
      </w:r>
      <w:r>
        <w:rPr>
          <w:rFonts w:ascii="Arial" w:cs="Arial" w:eastAsia="Arial" w:hAnsi="Arial"/>
          <w:sz w:val="19"/>
          <w:szCs w:val="19"/>
          <w:color w:val="3D3D3D"/>
        </w:rPr>
        <w:t>sha</w:t>
      </w:r>
      <w:r>
        <w:rPr>
          <w:rFonts w:ascii="Arial" w:cs="Arial" w:eastAsia="Arial" w:hAnsi="Arial"/>
          <w:sz w:val="19"/>
          <w:szCs w:val="19"/>
          <w:color w:val="030303"/>
        </w:rPr>
        <w:t>ll</w:t>
      </w:r>
      <w:r>
        <w:rPr>
          <w:rFonts w:ascii="Arial" w:cs="Arial" w:eastAsia="Arial" w:hAnsi="Arial"/>
          <w:sz w:val="19"/>
          <w:szCs w:val="19"/>
          <w:color w:val="282828"/>
        </w:rPr>
        <w:t xml:space="preserve"> within </w:t>
      </w:r>
      <w:r>
        <w:rPr>
          <w:rFonts w:ascii="Arial" w:cs="Arial" w:eastAsia="Arial" w:hAnsi="Arial"/>
          <w:sz w:val="19"/>
          <w:szCs w:val="19"/>
          <w:u w:val="single" w:color="auto"/>
          <w:color w:val="000000"/>
        </w:rPr>
        <w:t>[***]</w:t>
      </w:r>
      <w:r>
        <w:rPr>
          <w:rFonts w:ascii="Arial" w:cs="Arial" w:eastAsia="Arial" w:hAnsi="Arial"/>
          <w:sz w:val="19"/>
          <w:szCs w:val="19"/>
          <w:color w:val="282828"/>
        </w:rPr>
        <w:t xml:space="preserve"> </w:t>
      </w:r>
      <w:r>
        <w:rPr>
          <w:rFonts w:ascii="Arial" w:cs="Arial" w:eastAsia="Arial" w:hAnsi="Arial"/>
          <w:sz w:val="19"/>
          <w:szCs w:val="19"/>
          <w:color w:val="000000"/>
        </w:rPr>
        <w:t>day</w:t>
      </w:r>
      <w:r>
        <w:rPr>
          <w:rFonts w:ascii="Arial" w:cs="Arial" w:eastAsia="Arial" w:hAnsi="Arial"/>
          <w:sz w:val="19"/>
          <w:szCs w:val="19"/>
          <w:color w:val="3D3D3D"/>
        </w:rPr>
        <w:t>s</w:t>
      </w:r>
      <w:r>
        <w:rPr>
          <w:rFonts w:ascii="Arial" w:cs="Arial" w:eastAsia="Arial" w:hAnsi="Arial"/>
          <w:sz w:val="19"/>
          <w:szCs w:val="19"/>
          <w:color w:val="000000"/>
        </w:rPr>
        <w:t xml:space="preserve"> </w:t>
      </w:r>
      <w:r>
        <w:rPr>
          <w:rFonts w:ascii="Arial" w:cs="Arial" w:eastAsia="Arial" w:hAnsi="Arial"/>
          <w:sz w:val="19"/>
          <w:szCs w:val="19"/>
          <w:color w:val="282828"/>
        </w:rPr>
        <w:t>thereafter</w:t>
      </w:r>
      <w:r>
        <w:rPr>
          <w:rFonts w:ascii="Arial" w:cs="Arial" w:eastAsia="Arial" w:hAnsi="Arial"/>
          <w:sz w:val="19"/>
          <w:szCs w:val="19"/>
          <w:color w:val="000000"/>
        </w:rPr>
        <w:t xml:space="preserve"> deliver to Landlord (without the requi</w:t>
      </w:r>
      <w:r>
        <w:rPr>
          <w:rFonts w:ascii="Arial" w:cs="Arial" w:eastAsia="Arial" w:hAnsi="Arial"/>
          <w:sz w:val="19"/>
          <w:szCs w:val="19"/>
          <w:color w:val="3D3D3D"/>
        </w:rPr>
        <w:t>rement</w:t>
      </w:r>
      <w:r>
        <w:rPr>
          <w:rFonts w:ascii="Arial" w:cs="Arial" w:eastAsia="Arial" w:hAnsi="Arial"/>
          <w:sz w:val="19"/>
          <w:szCs w:val="19"/>
          <w:color w:val="000000"/>
        </w:rPr>
        <w:t xml:space="preserve"> of notice from </w:t>
      </w:r>
      <w:r>
        <w:rPr>
          <w:rFonts w:ascii="Arial" w:cs="Arial" w:eastAsia="Arial" w:hAnsi="Arial"/>
          <w:sz w:val="19"/>
          <w:szCs w:val="19"/>
          <w:color w:val="282828"/>
        </w:rPr>
        <w:t>Landlord) substitute L/C</w:t>
      </w:r>
      <w:r>
        <w:rPr>
          <w:rFonts w:ascii="Arial" w:cs="Arial" w:eastAsia="Arial" w:hAnsi="Arial"/>
          <w:sz w:val="19"/>
          <w:szCs w:val="19"/>
          <w:color w:val="000000"/>
        </w:rPr>
        <w:t xml:space="preserve"> </w:t>
      </w:r>
      <w:r>
        <w:rPr>
          <w:rFonts w:ascii="Arial" w:cs="Arial" w:eastAsia="Arial" w:hAnsi="Arial"/>
          <w:sz w:val="19"/>
          <w:szCs w:val="19"/>
          <w:color w:val="282828"/>
        </w:rPr>
        <w:t xml:space="preserve">Security issued </w:t>
      </w:r>
      <w:r>
        <w:rPr>
          <w:rFonts w:ascii="Arial" w:cs="Arial" w:eastAsia="Arial" w:hAnsi="Arial"/>
          <w:sz w:val="19"/>
          <w:szCs w:val="19"/>
          <w:color w:val="000000"/>
        </w:rPr>
        <w:t>by</w:t>
      </w:r>
      <w:r>
        <w:rPr>
          <w:rFonts w:ascii="Arial" w:cs="Arial" w:eastAsia="Arial" w:hAnsi="Arial"/>
          <w:sz w:val="19"/>
          <w:szCs w:val="19"/>
          <w:color w:val="282828"/>
        </w:rPr>
        <w:t xml:space="preserve"> an </w:t>
      </w:r>
      <w:r>
        <w:rPr>
          <w:rFonts w:ascii="Arial" w:cs="Arial" w:eastAsia="Arial" w:hAnsi="Arial"/>
          <w:sz w:val="19"/>
          <w:szCs w:val="19"/>
          <w:color w:val="000000"/>
        </w:rPr>
        <w:t>is</w:t>
      </w:r>
      <w:r>
        <w:rPr>
          <w:rFonts w:ascii="Arial" w:cs="Arial" w:eastAsia="Arial" w:hAnsi="Arial"/>
          <w:sz w:val="19"/>
          <w:szCs w:val="19"/>
          <w:color w:val="3D3D3D"/>
        </w:rPr>
        <w:t>sue</w:t>
      </w:r>
      <w:r>
        <w:rPr>
          <w:rFonts w:ascii="Arial" w:cs="Arial" w:eastAsia="Arial" w:hAnsi="Arial"/>
          <w:sz w:val="19"/>
          <w:szCs w:val="19"/>
          <w:color w:val="000000"/>
        </w:rPr>
        <w:t>r</w:t>
      </w:r>
      <w:r>
        <w:rPr>
          <w:rFonts w:ascii="Arial" w:cs="Arial" w:eastAsia="Arial" w:hAnsi="Arial"/>
          <w:sz w:val="19"/>
          <w:szCs w:val="19"/>
          <w:color w:val="282828"/>
        </w:rPr>
        <w:t xml:space="preserve"> reasonably </w:t>
      </w:r>
      <w:r>
        <w:rPr>
          <w:rFonts w:ascii="Arial" w:cs="Arial" w:eastAsia="Arial" w:hAnsi="Arial"/>
          <w:sz w:val="19"/>
          <w:szCs w:val="19"/>
          <w:color w:val="3D3D3D"/>
        </w:rPr>
        <w:t>sa</w:t>
      </w:r>
      <w:r>
        <w:rPr>
          <w:rFonts w:ascii="Arial" w:cs="Arial" w:eastAsia="Arial" w:hAnsi="Arial"/>
          <w:sz w:val="19"/>
          <w:szCs w:val="19"/>
          <w:color w:val="000000"/>
        </w:rPr>
        <w:t>tisfactory to</w:t>
      </w:r>
      <w:r>
        <w:rPr>
          <w:rFonts w:ascii="Arial" w:cs="Arial" w:eastAsia="Arial" w:hAnsi="Arial"/>
          <w:sz w:val="19"/>
          <w:szCs w:val="19"/>
          <w:color w:val="282828"/>
        </w:rPr>
        <w:t xml:space="preserve"> Landlord, </w:t>
      </w:r>
      <w:r>
        <w:rPr>
          <w:rFonts w:ascii="Arial" w:cs="Arial" w:eastAsia="Arial" w:hAnsi="Arial"/>
          <w:sz w:val="19"/>
          <w:szCs w:val="19"/>
          <w:color w:val="000000"/>
        </w:rPr>
        <w:t>and otherwise</w:t>
      </w:r>
      <w:r>
        <w:rPr>
          <w:rFonts w:ascii="Arial" w:cs="Arial" w:eastAsia="Arial" w:hAnsi="Arial"/>
          <w:sz w:val="19"/>
          <w:szCs w:val="19"/>
          <w:color w:val="282828"/>
        </w:rPr>
        <w:t xml:space="preserve"> conforming </w:t>
      </w:r>
      <w:r>
        <w:rPr>
          <w:rFonts w:ascii="Arial" w:cs="Arial" w:eastAsia="Arial" w:hAnsi="Arial"/>
          <w:sz w:val="19"/>
          <w:szCs w:val="19"/>
          <w:color w:val="000000"/>
        </w:rPr>
        <w:t>to the</w:t>
      </w:r>
      <w:r>
        <w:rPr>
          <w:rFonts w:ascii="Arial" w:cs="Arial" w:eastAsia="Arial" w:hAnsi="Arial"/>
          <w:sz w:val="19"/>
          <w:szCs w:val="19"/>
          <w:color w:val="282828"/>
        </w:rPr>
        <w:t xml:space="preserve"> requirements set forth in </w:t>
      </w:r>
      <w:r>
        <w:rPr>
          <w:rFonts w:ascii="Arial" w:cs="Arial" w:eastAsia="Arial" w:hAnsi="Arial"/>
          <w:sz w:val="19"/>
          <w:szCs w:val="19"/>
          <w:color w:val="000000"/>
        </w:rPr>
        <w:t>this</w:t>
      </w:r>
      <w:r>
        <w:rPr>
          <w:rFonts w:ascii="Arial" w:cs="Arial" w:eastAsia="Arial" w:hAnsi="Arial"/>
          <w:sz w:val="19"/>
          <w:szCs w:val="19"/>
          <w:color w:val="282828"/>
        </w:rPr>
        <w:t xml:space="preserve"> Article. As used </w:t>
      </w:r>
      <w:r>
        <w:rPr>
          <w:rFonts w:ascii="Arial" w:cs="Arial" w:eastAsia="Arial" w:hAnsi="Arial"/>
          <w:sz w:val="19"/>
          <w:szCs w:val="19"/>
          <w:color w:val="000000"/>
        </w:rPr>
        <w:t>herein</w:t>
      </w:r>
      <w:r>
        <w:rPr>
          <w:rFonts w:ascii="Arial" w:cs="Arial" w:eastAsia="Arial" w:hAnsi="Arial"/>
          <w:sz w:val="19"/>
          <w:szCs w:val="19"/>
          <w:color w:val="282828"/>
        </w:rPr>
        <w:t xml:space="preserve"> with respect </w:t>
      </w:r>
      <w:r>
        <w:rPr>
          <w:rFonts w:ascii="Arial" w:cs="Arial" w:eastAsia="Arial" w:hAnsi="Arial"/>
          <w:sz w:val="19"/>
          <w:szCs w:val="19"/>
          <w:color w:val="3D3D3D"/>
        </w:rPr>
        <w:t>to</w:t>
      </w:r>
      <w:r>
        <w:rPr>
          <w:rFonts w:ascii="Arial" w:cs="Arial" w:eastAsia="Arial" w:hAnsi="Arial"/>
          <w:sz w:val="19"/>
          <w:szCs w:val="19"/>
          <w:color w:val="282828"/>
        </w:rPr>
        <w:t xml:space="preserve"> the issuer </w:t>
      </w:r>
      <w:r>
        <w:rPr>
          <w:rFonts w:ascii="Arial" w:cs="Arial" w:eastAsia="Arial" w:hAnsi="Arial"/>
          <w:sz w:val="19"/>
          <w:szCs w:val="19"/>
          <w:color w:val="000000"/>
        </w:rPr>
        <w:t>of the</w:t>
      </w:r>
      <w:r>
        <w:rPr>
          <w:rFonts w:ascii="Arial" w:cs="Arial" w:eastAsia="Arial" w:hAnsi="Arial"/>
          <w:sz w:val="19"/>
          <w:szCs w:val="19"/>
          <w:color w:val="282828"/>
        </w:rPr>
        <w:t xml:space="preserve"> L/C Security, “insolvent” </w:t>
      </w:r>
      <w:r>
        <w:rPr>
          <w:rFonts w:ascii="Arial" w:cs="Arial" w:eastAsia="Arial" w:hAnsi="Arial"/>
          <w:sz w:val="19"/>
          <w:szCs w:val="19"/>
          <w:color w:val="3D3D3D"/>
        </w:rPr>
        <w:t>sha</w:t>
      </w:r>
      <w:r>
        <w:rPr>
          <w:rFonts w:ascii="Arial" w:cs="Arial" w:eastAsia="Arial" w:hAnsi="Arial"/>
          <w:sz w:val="19"/>
          <w:szCs w:val="19"/>
          <w:color w:val="000000"/>
        </w:rPr>
        <w:t>ll</w:t>
      </w:r>
      <w:r>
        <w:rPr>
          <w:rFonts w:ascii="Arial" w:cs="Arial" w:eastAsia="Arial" w:hAnsi="Arial"/>
          <w:sz w:val="19"/>
          <w:szCs w:val="19"/>
          <w:color w:val="282828"/>
        </w:rPr>
        <w:t xml:space="preserve"> mean </w:t>
      </w:r>
      <w:r>
        <w:rPr>
          <w:rFonts w:ascii="Arial" w:cs="Arial" w:eastAsia="Arial" w:hAnsi="Arial"/>
          <w:sz w:val="19"/>
          <w:szCs w:val="19"/>
          <w:color w:val="000000"/>
        </w:rPr>
        <w:t>the determination of</w:t>
      </w:r>
      <w:r>
        <w:rPr>
          <w:rFonts w:ascii="Arial" w:cs="Arial" w:eastAsia="Arial" w:hAnsi="Arial"/>
          <w:sz w:val="19"/>
          <w:szCs w:val="19"/>
          <w:color w:val="282828"/>
        </w:rPr>
        <w:t xml:space="preserve"> insolvency as made by such </w:t>
      </w:r>
      <w:r>
        <w:rPr>
          <w:rFonts w:ascii="Arial" w:cs="Arial" w:eastAsia="Arial" w:hAnsi="Arial"/>
          <w:sz w:val="19"/>
          <w:szCs w:val="19"/>
          <w:color w:val="000000"/>
        </w:rPr>
        <w:t>issuer’s primary bank</w:t>
      </w:r>
      <w:r>
        <w:rPr>
          <w:rFonts w:ascii="Arial" w:cs="Arial" w:eastAsia="Arial" w:hAnsi="Arial"/>
          <w:sz w:val="19"/>
          <w:szCs w:val="19"/>
          <w:color w:val="282828"/>
        </w:rPr>
        <w:t xml:space="preserve"> regulator </w:t>
      </w:r>
      <w:r>
        <w:rPr>
          <w:rFonts w:ascii="Arial" w:cs="Arial" w:eastAsia="Arial" w:hAnsi="Arial"/>
          <w:sz w:val="19"/>
          <w:szCs w:val="19"/>
          <w:i w:val="1"/>
          <w:iCs w:val="1"/>
          <w:color w:val="282828"/>
        </w:rPr>
        <w:t xml:space="preserve">(i.e., </w:t>
      </w:r>
      <w:r>
        <w:rPr>
          <w:rFonts w:ascii="Arial" w:cs="Arial" w:eastAsia="Arial" w:hAnsi="Arial"/>
          <w:sz w:val="19"/>
          <w:szCs w:val="19"/>
          <w:color w:val="000000"/>
        </w:rPr>
        <w:t>the</w:t>
      </w:r>
      <w:r>
        <w:rPr>
          <w:rFonts w:ascii="Arial" w:cs="Arial" w:eastAsia="Arial" w:hAnsi="Arial"/>
          <w:sz w:val="19"/>
          <w:szCs w:val="19"/>
          <w:i w:val="1"/>
          <w:iCs w:val="1"/>
          <w:color w:val="282828"/>
        </w:rPr>
        <w:t xml:space="preserve"> </w:t>
      </w:r>
      <w:r>
        <w:rPr>
          <w:rFonts w:ascii="Arial" w:cs="Arial" w:eastAsia="Arial" w:hAnsi="Arial"/>
          <w:sz w:val="19"/>
          <w:szCs w:val="19"/>
          <w:color w:val="282828"/>
        </w:rPr>
        <w:t>state</w:t>
      </w:r>
      <w:r>
        <w:rPr>
          <w:rFonts w:ascii="Arial" w:cs="Arial" w:eastAsia="Arial" w:hAnsi="Arial"/>
          <w:sz w:val="19"/>
          <w:szCs w:val="19"/>
          <w:i w:val="1"/>
          <w:iCs w:val="1"/>
          <w:color w:val="282828"/>
        </w:rPr>
        <w:t xml:space="preserve"> </w:t>
      </w:r>
      <w:r>
        <w:rPr>
          <w:rFonts w:ascii="Arial" w:cs="Arial" w:eastAsia="Arial" w:hAnsi="Arial"/>
          <w:sz w:val="19"/>
          <w:szCs w:val="19"/>
          <w:color w:val="000000"/>
        </w:rPr>
        <w:t>bank</w:t>
      </w:r>
      <w:r>
        <w:rPr>
          <w:rFonts w:ascii="Arial" w:cs="Arial" w:eastAsia="Arial" w:hAnsi="Arial"/>
          <w:sz w:val="19"/>
          <w:szCs w:val="19"/>
          <w:i w:val="1"/>
          <w:iCs w:val="1"/>
          <w:color w:val="282828"/>
        </w:rPr>
        <w:t xml:space="preserve"> </w:t>
      </w:r>
      <w:r>
        <w:rPr>
          <w:rFonts w:ascii="Arial" w:cs="Arial" w:eastAsia="Arial" w:hAnsi="Arial"/>
          <w:sz w:val="19"/>
          <w:szCs w:val="19"/>
          <w:color w:val="282828"/>
        </w:rPr>
        <w:t>supervisor for state chartered</w:t>
      </w:r>
      <w:r>
        <w:rPr>
          <w:rFonts w:ascii="Arial" w:cs="Arial" w:eastAsia="Arial" w:hAnsi="Arial"/>
          <w:sz w:val="19"/>
          <w:szCs w:val="19"/>
          <w:i w:val="1"/>
          <w:iCs w:val="1"/>
          <w:color w:val="282828"/>
        </w:rPr>
        <w:t xml:space="preserve"> </w:t>
      </w:r>
      <w:r>
        <w:rPr>
          <w:rFonts w:ascii="Arial" w:cs="Arial" w:eastAsia="Arial" w:hAnsi="Arial"/>
          <w:sz w:val="19"/>
          <w:szCs w:val="19"/>
          <w:color w:val="000000"/>
        </w:rPr>
        <w:t>banks;</w:t>
      </w:r>
      <w:r>
        <w:rPr>
          <w:rFonts w:ascii="Arial" w:cs="Arial" w:eastAsia="Arial" w:hAnsi="Arial"/>
          <w:sz w:val="19"/>
          <w:szCs w:val="19"/>
          <w:i w:val="1"/>
          <w:iCs w:val="1"/>
          <w:color w:val="282828"/>
        </w:rPr>
        <w:t xml:space="preserve"> </w:t>
      </w:r>
      <w:r>
        <w:rPr>
          <w:rFonts w:ascii="Arial" w:cs="Arial" w:eastAsia="Arial" w:hAnsi="Arial"/>
          <w:sz w:val="19"/>
          <w:szCs w:val="19"/>
          <w:color w:val="282828"/>
        </w:rPr>
        <w:t>the</w:t>
      </w:r>
      <w:r>
        <w:rPr>
          <w:rFonts w:ascii="Arial" w:cs="Arial" w:eastAsia="Arial" w:hAnsi="Arial"/>
          <w:sz w:val="19"/>
          <w:szCs w:val="19"/>
          <w:i w:val="1"/>
          <w:iCs w:val="1"/>
          <w:color w:val="282828"/>
        </w:rPr>
        <w:t xml:space="preserve"> </w:t>
      </w:r>
      <w:r>
        <w:rPr>
          <w:rFonts w:ascii="Arial" w:cs="Arial" w:eastAsia="Arial" w:hAnsi="Arial"/>
          <w:sz w:val="19"/>
          <w:szCs w:val="19"/>
          <w:color w:val="000000"/>
        </w:rPr>
        <w:t>OCC</w:t>
      </w:r>
      <w:r>
        <w:rPr>
          <w:rFonts w:ascii="Arial" w:cs="Arial" w:eastAsia="Arial" w:hAnsi="Arial"/>
          <w:sz w:val="19"/>
          <w:szCs w:val="19"/>
          <w:i w:val="1"/>
          <w:iCs w:val="1"/>
          <w:color w:val="282828"/>
        </w:rPr>
        <w:t xml:space="preserve"> </w:t>
      </w:r>
      <w:r>
        <w:rPr>
          <w:rFonts w:ascii="Arial" w:cs="Arial" w:eastAsia="Arial" w:hAnsi="Arial"/>
          <w:sz w:val="19"/>
          <w:szCs w:val="19"/>
          <w:color w:val="282828"/>
        </w:rPr>
        <w:t>or</w:t>
      </w:r>
      <w:r>
        <w:rPr>
          <w:rFonts w:ascii="Arial" w:cs="Arial" w:eastAsia="Arial" w:hAnsi="Arial"/>
          <w:sz w:val="19"/>
          <w:szCs w:val="19"/>
          <w:i w:val="1"/>
          <w:iCs w:val="1"/>
          <w:color w:val="282828"/>
        </w:rPr>
        <w:t xml:space="preserve"> </w:t>
      </w:r>
      <w:r>
        <w:rPr>
          <w:rFonts w:ascii="Arial" w:cs="Arial" w:eastAsia="Arial" w:hAnsi="Arial"/>
          <w:sz w:val="19"/>
          <w:szCs w:val="19"/>
          <w:color w:val="000000"/>
        </w:rPr>
        <w:t>OTS,</w:t>
      </w:r>
      <w:r>
        <w:rPr>
          <w:rFonts w:ascii="Arial" w:cs="Arial" w:eastAsia="Arial" w:hAnsi="Arial"/>
          <w:sz w:val="19"/>
          <w:szCs w:val="19"/>
          <w:i w:val="1"/>
          <w:iCs w:val="1"/>
          <w:color w:val="282828"/>
        </w:rPr>
        <w:t xml:space="preserve"> </w:t>
      </w:r>
      <w:r>
        <w:rPr>
          <w:rFonts w:ascii="Arial" w:cs="Arial" w:eastAsia="Arial" w:hAnsi="Arial"/>
          <w:sz w:val="19"/>
          <w:szCs w:val="19"/>
          <w:color w:val="282828"/>
        </w:rPr>
        <w:t>respectively, for</w:t>
      </w:r>
      <w:r>
        <w:rPr>
          <w:rFonts w:ascii="Arial" w:cs="Arial" w:eastAsia="Arial" w:hAnsi="Arial"/>
          <w:sz w:val="19"/>
          <w:szCs w:val="19"/>
          <w:i w:val="1"/>
          <w:iCs w:val="1"/>
          <w:color w:val="282828"/>
        </w:rPr>
        <w:t xml:space="preserve"> </w:t>
      </w:r>
      <w:r>
        <w:rPr>
          <w:rFonts w:ascii="Arial" w:cs="Arial" w:eastAsia="Arial" w:hAnsi="Arial"/>
          <w:sz w:val="19"/>
          <w:szCs w:val="19"/>
          <w:color w:val="000000"/>
        </w:rPr>
        <w:t>federally</w:t>
      </w:r>
      <w:r>
        <w:rPr>
          <w:rFonts w:ascii="Arial" w:cs="Arial" w:eastAsia="Arial" w:hAnsi="Arial"/>
          <w:sz w:val="19"/>
          <w:szCs w:val="19"/>
          <w:i w:val="1"/>
          <w:iCs w:val="1"/>
          <w:color w:val="282828"/>
        </w:rPr>
        <w:t xml:space="preserve"> </w:t>
      </w:r>
      <w:r>
        <w:rPr>
          <w:rFonts w:ascii="Arial" w:cs="Arial" w:eastAsia="Arial" w:hAnsi="Arial"/>
          <w:sz w:val="19"/>
          <w:szCs w:val="19"/>
          <w:color w:val="282828"/>
        </w:rPr>
        <w:t>chartered banks or thrifts; or the Federal Reserve for its member banks).</w:t>
      </w:r>
    </w:p>
    <w:p>
      <w:pPr>
        <w:spacing w:after="0" w:line="376" w:lineRule="exact"/>
        <w:rPr>
          <w:sz w:val="20"/>
          <w:szCs w:val="20"/>
          <w:color w:val="auto"/>
        </w:rPr>
      </w:pPr>
    </w:p>
    <w:p>
      <w:pPr>
        <w:jc w:val="both"/>
        <w:ind w:left="840" w:hanging="647"/>
        <w:spacing w:after="0" w:line="223" w:lineRule="auto"/>
        <w:rPr>
          <w:sz w:val="20"/>
          <w:szCs w:val="20"/>
          <w:color w:val="auto"/>
        </w:rPr>
      </w:pPr>
      <w:r>
        <w:rPr>
          <w:rFonts w:ascii="Arial" w:cs="Arial" w:eastAsia="Arial" w:hAnsi="Arial"/>
          <w:sz w:val="22"/>
          <w:szCs w:val="22"/>
          <w:color w:val="auto"/>
        </w:rPr>
        <w:t xml:space="preserve">11.7.2. If </w:t>
      </w:r>
      <w:r>
        <w:rPr>
          <w:rFonts w:ascii="Arial" w:cs="Arial" w:eastAsia="Arial" w:hAnsi="Arial"/>
          <w:sz w:val="22"/>
          <w:szCs w:val="22"/>
          <w:color w:val="151515"/>
        </w:rPr>
        <w:t>Tenant delivers</w:t>
      </w:r>
      <w:r>
        <w:rPr>
          <w:rFonts w:ascii="Arial" w:cs="Arial" w:eastAsia="Arial" w:hAnsi="Arial"/>
          <w:sz w:val="22"/>
          <w:szCs w:val="22"/>
          <w:color w:val="auto"/>
        </w:rPr>
        <w:t xml:space="preserve"> </w:t>
      </w:r>
      <w:r>
        <w:rPr>
          <w:rFonts w:ascii="Arial" w:cs="Arial" w:eastAsia="Arial" w:hAnsi="Arial"/>
          <w:sz w:val="22"/>
          <w:szCs w:val="22"/>
          <w:color w:val="3D3D3D"/>
        </w:rPr>
        <w:t>to</w:t>
      </w:r>
      <w:r>
        <w:rPr>
          <w:rFonts w:ascii="Arial" w:cs="Arial" w:eastAsia="Arial" w:hAnsi="Arial"/>
          <w:sz w:val="22"/>
          <w:szCs w:val="22"/>
          <w:color w:val="auto"/>
        </w:rPr>
        <w:t xml:space="preserve"> Landlord L/C Security conforming </w:t>
      </w:r>
      <w:r>
        <w:rPr>
          <w:rFonts w:ascii="Arial" w:cs="Arial" w:eastAsia="Arial" w:hAnsi="Arial"/>
          <w:sz w:val="22"/>
          <w:szCs w:val="22"/>
          <w:color w:val="151515"/>
        </w:rPr>
        <w:t>to</w:t>
      </w:r>
      <w:r>
        <w:rPr>
          <w:rFonts w:ascii="Arial" w:cs="Arial" w:eastAsia="Arial" w:hAnsi="Arial"/>
          <w:sz w:val="22"/>
          <w:szCs w:val="22"/>
          <w:color w:val="auto"/>
        </w:rPr>
        <w:t xml:space="preserve"> the requirements set </w:t>
      </w:r>
      <w:r>
        <w:rPr>
          <w:rFonts w:ascii="Arial" w:cs="Arial" w:eastAsia="Arial" w:hAnsi="Arial"/>
          <w:sz w:val="22"/>
          <w:szCs w:val="22"/>
          <w:color w:val="151515"/>
        </w:rPr>
        <w:t>forth</w:t>
      </w:r>
      <w:r>
        <w:rPr>
          <w:rFonts w:ascii="Arial" w:cs="Arial" w:eastAsia="Arial" w:hAnsi="Arial"/>
          <w:sz w:val="22"/>
          <w:szCs w:val="22"/>
          <w:color w:val="auto"/>
        </w:rPr>
        <w:t xml:space="preserve"> in </w:t>
      </w:r>
      <w:r>
        <w:rPr>
          <w:rFonts w:ascii="Arial" w:cs="Arial" w:eastAsia="Arial" w:hAnsi="Arial"/>
          <w:sz w:val="22"/>
          <w:szCs w:val="22"/>
          <w:color w:val="030303"/>
        </w:rPr>
        <w:t>this</w:t>
      </w:r>
      <w:r>
        <w:rPr>
          <w:rFonts w:ascii="Arial" w:cs="Arial" w:eastAsia="Arial" w:hAnsi="Arial"/>
          <w:sz w:val="22"/>
          <w:szCs w:val="22"/>
          <w:color w:val="auto"/>
        </w:rPr>
        <w:t xml:space="preserve"> Article </w:t>
      </w:r>
      <w:r>
        <w:rPr>
          <w:rFonts w:ascii="Arial" w:cs="Arial" w:eastAsia="Arial" w:hAnsi="Arial"/>
          <w:sz w:val="22"/>
          <w:szCs w:val="22"/>
          <w:color w:val="151515"/>
        </w:rPr>
        <w:t>in place</w:t>
      </w:r>
      <w:r>
        <w:rPr>
          <w:rFonts w:ascii="Arial" w:cs="Arial" w:eastAsia="Arial" w:hAnsi="Arial"/>
          <w:sz w:val="22"/>
          <w:szCs w:val="22"/>
          <w:color w:val="auto"/>
        </w:rPr>
        <w:t xml:space="preserve"> of </w:t>
      </w:r>
      <w:r>
        <w:rPr>
          <w:rFonts w:ascii="Arial" w:cs="Arial" w:eastAsia="Arial" w:hAnsi="Arial"/>
          <w:sz w:val="22"/>
          <w:szCs w:val="22"/>
          <w:color w:val="151515"/>
        </w:rPr>
        <w:t>the</w:t>
      </w:r>
      <w:r>
        <w:rPr>
          <w:rFonts w:ascii="Arial" w:cs="Arial" w:eastAsia="Arial" w:hAnsi="Arial"/>
          <w:sz w:val="22"/>
          <w:szCs w:val="22"/>
          <w:color w:val="auto"/>
        </w:rPr>
        <w:t xml:space="preserve"> entire Security </w:t>
      </w:r>
      <w:r>
        <w:rPr>
          <w:rFonts w:ascii="Arial" w:cs="Arial" w:eastAsia="Arial" w:hAnsi="Arial"/>
          <w:sz w:val="22"/>
          <w:szCs w:val="22"/>
          <w:color w:val="151515"/>
        </w:rPr>
        <w:t>Deposi</w:t>
      </w:r>
      <w:r>
        <w:rPr>
          <w:rFonts w:ascii="Arial" w:cs="Arial" w:eastAsia="Arial" w:hAnsi="Arial"/>
          <w:sz w:val="22"/>
          <w:szCs w:val="22"/>
          <w:color w:val="3D3D3D"/>
        </w:rPr>
        <w:t>t,</w:t>
      </w:r>
      <w:r>
        <w:rPr>
          <w:rFonts w:ascii="Arial" w:cs="Arial" w:eastAsia="Arial" w:hAnsi="Arial"/>
          <w:sz w:val="22"/>
          <w:szCs w:val="22"/>
          <w:color w:val="auto"/>
        </w:rPr>
        <w:t xml:space="preserve"> Landlord shall </w:t>
      </w:r>
      <w:r>
        <w:rPr>
          <w:rFonts w:ascii="Arial" w:cs="Arial" w:eastAsia="Arial" w:hAnsi="Arial"/>
          <w:sz w:val="22"/>
          <w:szCs w:val="22"/>
          <w:color w:val="151515"/>
        </w:rPr>
        <w:t>remit</w:t>
      </w:r>
      <w:r>
        <w:rPr>
          <w:rFonts w:ascii="Arial" w:cs="Arial" w:eastAsia="Arial" w:hAnsi="Arial"/>
          <w:sz w:val="22"/>
          <w:szCs w:val="22"/>
          <w:color w:val="auto"/>
        </w:rPr>
        <w:t xml:space="preserve"> </w:t>
      </w:r>
      <w:r>
        <w:rPr>
          <w:rFonts w:ascii="Arial" w:cs="Arial" w:eastAsia="Arial" w:hAnsi="Arial"/>
          <w:sz w:val="22"/>
          <w:szCs w:val="22"/>
          <w:color w:val="3D3D3D"/>
        </w:rPr>
        <w:t>t</w:t>
      </w:r>
      <w:r>
        <w:rPr>
          <w:rFonts w:ascii="Arial" w:cs="Arial" w:eastAsia="Arial" w:hAnsi="Arial"/>
          <w:sz w:val="22"/>
          <w:szCs w:val="22"/>
          <w:color w:val="151515"/>
        </w:rPr>
        <w:t>o</w:t>
      </w:r>
      <w:r>
        <w:rPr>
          <w:rFonts w:ascii="Arial" w:cs="Arial" w:eastAsia="Arial" w:hAnsi="Arial"/>
          <w:sz w:val="22"/>
          <w:szCs w:val="22"/>
          <w:color w:val="auto"/>
        </w:rPr>
        <w:t xml:space="preserve"> Tenant any cash Security </w:t>
      </w:r>
      <w:r>
        <w:rPr>
          <w:rFonts w:ascii="Arial" w:cs="Arial" w:eastAsia="Arial" w:hAnsi="Arial"/>
          <w:sz w:val="22"/>
          <w:szCs w:val="22"/>
          <w:color w:val="151515"/>
        </w:rPr>
        <w:t>D</w:t>
      </w:r>
      <w:r>
        <w:rPr>
          <w:rFonts w:ascii="Arial" w:cs="Arial" w:eastAsia="Arial" w:hAnsi="Arial"/>
          <w:sz w:val="22"/>
          <w:szCs w:val="22"/>
          <w:color w:val="3D3D3D"/>
        </w:rPr>
        <w:t>ep</w:t>
      </w:r>
      <w:r>
        <w:rPr>
          <w:rFonts w:ascii="Arial" w:cs="Arial" w:eastAsia="Arial" w:hAnsi="Arial"/>
          <w:sz w:val="22"/>
          <w:szCs w:val="22"/>
          <w:color w:val="151515"/>
        </w:rPr>
        <w:t>osit</w:t>
      </w:r>
      <w:r>
        <w:rPr>
          <w:rFonts w:ascii="Arial" w:cs="Arial" w:eastAsia="Arial" w:hAnsi="Arial"/>
          <w:sz w:val="22"/>
          <w:szCs w:val="22"/>
          <w:color w:val="auto"/>
        </w:rPr>
        <w:t xml:space="preserve"> Landlord </w:t>
      </w:r>
      <w:r>
        <w:rPr>
          <w:rFonts w:ascii="Arial" w:cs="Arial" w:eastAsia="Arial" w:hAnsi="Arial"/>
          <w:sz w:val="22"/>
          <w:szCs w:val="22"/>
          <w:color w:val="151515"/>
        </w:rPr>
        <w:t xml:space="preserve">previously </w:t>
      </w:r>
      <w:r>
        <w:rPr>
          <w:rFonts w:ascii="Arial" w:cs="Arial" w:eastAsia="Arial" w:hAnsi="Arial"/>
          <w:sz w:val="22"/>
          <w:szCs w:val="22"/>
          <w:color w:val="030303"/>
        </w:rPr>
        <w:t>held</w:t>
      </w:r>
      <w:r>
        <w:rPr>
          <w:rFonts w:ascii="Arial" w:cs="Arial" w:eastAsia="Arial" w:hAnsi="Arial"/>
          <w:sz w:val="22"/>
          <w:szCs w:val="22"/>
          <w:color w:val="151515"/>
        </w:rPr>
        <w:t xml:space="preserve"> within ten </w:t>
      </w:r>
      <w:r>
        <w:rPr>
          <w:rFonts w:ascii="Arial" w:cs="Arial" w:eastAsia="Arial" w:hAnsi="Arial"/>
          <w:sz w:val="22"/>
          <w:szCs w:val="22"/>
          <w:color w:val="000000"/>
        </w:rPr>
        <w:t>(10) business days after such delivery.</w:t>
      </w:r>
    </w:p>
    <w:p>
      <w:pPr>
        <w:spacing w:after="0" w:line="159" w:lineRule="exact"/>
        <w:rPr>
          <w:sz w:val="20"/>
          <w:szCs w:val="20"/>
          <w:color w:val="auto"/>
        </w:rPr>
      </w:pPr>
    </w:p>
    <w:p>
      <w:pPr>
        <w:jc w:val="both"/>
        <w:ind w:left="840" w:hanging="647"/>
        <w:spacing w:after="0"/>
        <w:rPr>
          <w:sz w:val="20"/>
          <w:szCs w:val="20"/>
          <w:color w:val="auto"/>
        </w:rPr>
      </w:pPr>
      <w:r>
        <w:rPr>
          <w:rFonts w:ascii="Arial" w:cs="Arial" w:eastAsia="Arial" w:hAnsi="Arial"/>
          <w:sz w:val="19"/>
          <w:szCs w:val="19"/>
          <w:color w:val="auto"/>
        </w:rPr>
        <w:t xml:space="preserve">11.7.3. </w:t>
      </w:r>
      <w:r>
        <w:rPr>
          <w:rFonts w:ascii="Arial" w:cs="Arial" w:eastAsia="Arial" w:hAnsi="Arial"/>
          <w:sz w:val="19"/>
          <w:szCs w:val="19"/>
          <w:color w:val="151515"/>
        </w:rPr>
        <w:t>Landlord may draw upon the</w:t>
      </w:r>
      <w:r>
        <w:rPr>
          <w:rFonts w:ascii="Arial" w:cs="Arial" w:eastAsia="Arial" w:hAnsi="Arial"/>
          <w:sz w:val="19"/>
          <w:szCs w:val="19"/>
          <w:color w:val="auto"/>
        </w:rPr>
        <w:t xml:space="preserve"> L/C Security, and hold and apply </w:t>
      </w:r>
      <w:r>
        <w:rPr>
          <w:rFonts w:ascii="Arial" w:cs="Arial" w:eastAsia="Arial" w:hAnsi="Arial"/>
          <w:sz w:val="19"/>
          <w:szCs w:val="19"/>
          <w:color w:val="151515"/>
        </w:rPr>
        <w:t>the</w:t>
      </w:r>
      <w:r>
        <w:rPr>
          <w:rFonts w:ascii="Arial" w:cs="Arial" w:eastAsia="Arial" w:hAnsi="Arial"/>
          <w:sz w:val="19"/>
          <w:szCs w:val="19"/>
          <w:color w:val="auto"/>
        </w:rPr>
        <w:t xml:space="preserve"> proceeds in </w:t>
      </w:r>
      <w:r>
        <w:rPr>
          <w:rFonts w:ascii="Arial" w:cs="Arial" w:eastAsia="Arial" w:hAnsi="Arial"/>
          <w:sz w:val="19"/>
          <w:szCs w:val="19"/>
          <w:color w:val="151515"/>
        </w:rPr>
        <w:t>the</w:t>
      </w:r>
      <w:r>
        <w:rPr>
          <w:rFonts w:ascii="Arial" w:cs="Arial" w:eastAsia="Arial" w:hAnsi="Arial"/>
          <w:sz w:val="19"/>
          <w:szCs w:val="19"/>
          <w:color w:val="auto"/>
        </w:rPr>
        <w:t xml:space="preserve"> </w:t>
      </w:r>
      <w:r>
        <w:rPr>
          <w:rFonts w:ascii="Arial" w:cs="Arial" w:eastAsia="Arial" w:hAnsi="Arial"/>
          <w:sz w:val="19"/>
          <w:szCs w:val="19"/>
          <w:color w:val="3D3D3D"/>
        </w:rPr>
        <w:t>s</w:t>
      </w:r>
      <w:r>
        <w:rPr>
          <w:rFonts w:ascii="Arial" w:cs="Arial" w:eastAsia="Arial" w:hAnsi="Arial"/>
          <w:sz w:val="19"/>
          <w:szCs w:val="19"/>
          <w:color w:val="151515"/>
        </w:rPr>
        <w:t>ame</w:t>
      </w:r>
      <w:r>
        <w:rPr>
          <w:rFonts w:ascii="Arial" w:cs="Arial" w:eastAsia="Arial" w:hAnsi="Arial"/>
          <w:sz w:val="19"/>
          <w:szCs w:val="19"/>
          <w:color w:val="auto"/>
        </w:rPr>
        <w:t xml:space="preserve"> manner </w:t>
      </w:r>
      <w:r>
        <w:rPr>
          <w:rFonts w:ascii="Arial" w:cs="Arial" w:eastAsia="Arial" w:hAnsi="Arial"/>
          <w:sz w:val="19"/>
          <w:szCs w:val="19"/>
          <w:color w:val="151515"/>
        </w:rPr>
        <w:t>and</w:t>
      </w:r>
      <w:r>
        <w:rPr>
          <w:rFonts w:ascii="Arial" w:cs="Arial" w:eastAsia="Arial" w:hAnsi="Arial"/>
          <w:sz w:val="19"/>
          <w:szCs w:val="19"/>
          <w:color w:val="auto"/>
        </w:rPr>
        <w:t xml:space="preserve"> for </w:t>
      </w:r>
      <w:r>
        <w:rPr>
          <w:rFonts w:ascii="Arial" w:cs="Arial" w:eastAsia="Arial" w:hAnsi="Arial"/>
          <w:sz w:val="19"/>
          <w:szCs w:val="19"/>
          <w:color w:val="151515"/>
        </w:rPr>
        <w:t>the</w:t>
      </w:r>
      <w:r>
        <w:rPr>
          <w:rFonts w:ascii="Arial" w:cs="Arial" w:eastAsia="Arial" w:hAnsi="Arial"/>
          <w:sz w:val="19"/>
          <w:szCs w:val="19"/>
          <w:color w:val="auto"/>
        </w:rPr>
        <w:t xml:space="preserve"> same </w:t>
      </w:r>
      <w:r>
        <w:rPr>
          <w:rFonts w:ascii="Arial" w:cs="Arial" w:eastAsia="Arial" w:hAnsi="Arial"/>
          <w:sz w:val="19"/>
          <w:szCs w:val="19"/>
          <w:color w:val="151515"/>
        </w:rPr>
        <w:t>purposes</w:t>
      </w:r>
      <w:r>
        <w:rPr>
          <w:rFonts w:ascii="Arial" w:cs="Arial" w:eastAsia="Arial" w:hAnsi="Arial"/>
          <w:sz w:val="19"/>
          <w:szCs w:val="19"/>
          <w:color w:val="auto"/>
        </w:rPr>
        <w:t xml:space="preserve"> as </w:t>
      </w:r>
      <w:r>
        <w:rPr>
          <w:rFonts w:ascii="Arial" w:cs="Arial" w:eastAsia="Arial" w:hAnsi="Arial"/>
          <w:sz w:val="19"/>
          <w:szCs w:val="19"/>
          <w:color w:val="151515"/>
        </w:rPr>
        <w:t>the</w:t>
      </w:r>
      <w:r>
        <w:rPr>
          <w:rFonts w:ascii="Arial" w:cs="Arial" w:eastAsia="Arial" w:hAnsi="Arial"/>
          <w:sz w:val="19"/>
          <w:szCs w:val="19"/>
          <w:color w:val="auto"/>
        </w:rPr>
        <w:t xml:space="preserve"> Security </w:t>
      </w:r>
      <w:r>
        <w:rPr>
          <w:rFonts w:ascii="Arial" w:cs="Arial" w:eastAsia="Arial" w:hAnsi="Arial"/>
          <w:sz w:val="19"/>
          <w:szCs w:val="19"/>
          <w:color w:val="151515"/>
        </w:rPr>
        <w:t>Depo</w:t>
      </w:r>
      <w:r>
        <w:rPr>
          <w:rFonts w:ascii="Arial" w:cs="Arial" w:eastAsia="Arial" w:hAnsi="Arial"/>
          <w:sz w:val="19"/>
          <w:szCs w:val="19"/>
          <w:color w:val="3D3D3D"/>
        </w:rPr>
        <w:t>sit, if</w:t>
      </w:r>
      <w:r>
        <w:rPr>
          <w:rFonts w:ascii="Arial" w:cs="Arial" w:eastAsia="Arial" w:hAnsi="Arial"/>
          <w:sz w:val="19"/>
          <w:szCs w:val="19"/>
          <w:color w:val="151515"/>
        </w:rPr>
        <w:t>:</w:t>
      </w:r>
      <w:r>
        <w:rPr>
          <w:rFonts w:ascii="Arial" w:cs="Arial" w:eastAsia="Arial" w:hAnsi="Arial"/>
          <w:sz w:val="19"/>
          <w:szCs w:val="19"/>
          <w:color w:val="auto"/>
        </w:rPr>
        <w:t xml:space="preserve"> (i) an </w:t>
      </w:r>
      <w:r>
        <w:rPr>
          <w:rFonts w:ascii="Arial" w:cs="Arial" w:eastAsia="Arial" w:hAnsi="Arial"/>
          <w:sz w:val="19"/>
          <w:szCs w:val="19"/>
          <w:color w:val="151515"/>
        </w:rPr>
        <w:t>uncu</w:t>
      </w:r>
      <w:r>
        <w:rPr>
          <w:rFonts w:ascii="Arial" w:cs="Arial" w:eastAsia="Arial" w:hAnsi="Arial"/>
          <w:sz w:val="19"/>
          <w:szCs w:val="19"/>
          <w:color w:val="3D3D3D"/>
        </w:rPr>
        <w:t>r</w:t>
      </w:r>
      <w:r>
        <w:rPr>
          <w:rFonts w:ascii="Arial" w:cs="Arial" w:eastAsia="Arial" w:hAnsi="Arial"/>
          <w:sz w:val="19"/>
          <w:szCs w:val="19"/>
          <w:color w:val="151515"/>
        </w:rPr>
        <w:t>ed De</w:t>
      </w:r>
      <w:r>
        <w:rPr>
          <w:rFonts w:ascii="Arial" w:cs="Arial" w:eastAsia="Arial" w:hAnsi="Arial"/>
          <w:sz w:val="19"/>
          <w:szCs w:val="19"/>
          <w:color w:val="3D3D3D"/>
        </w:rPr>
        <w:t>fault</w:t>
      </w:r>
      <w:r>
        <w:rPr>
          <w:rFonts w:ascii="Arial" w:cs="Arial" w:eastAsia="Arial" w:hAnsi="Arial"/>
          <w:sz w:val="19"/>
          <w:szCs w:val="19"/>
          <w:color w:val="auto"/>
        </w:rPr>
        <w:t xml:space="preserve"> exists; </w:t>
      </w:r>
      <w:r>
        <w:rPr>
          <w:rFonts w:ascii="Arial" w:cs="Arial" w:eastAsia="Arial" w:hAnsi="Arial"/>
          <w:sz w:val="19"/>
          <w:szCs w:val="19"/>
          <w:color w:val="151515"/>
        </w:rPr>
        <w:t>(ii)</w:t>
      </w:r>
      <w:r>
        <w:rPr>
          <w:rFonts w:ascii="Arial" w:cs="Arial" w:eastAsia="Arial" w:hAnsi="Arial"/>
          <w:sz w:val="19"/>
          <w:szCs w:val="19"/>
          <w:color w:val="auto"/>
        </w:rPr>
        <w:t xml:space="preserve"> as of </w:t>
      </w:r>
      <w:r>
        <w:rPr>
          <w:rFonts w:ascii="Arial" w:cs="Arial" w:eastAsia="Arial" w:hAnsi="Arial"/>
          <w:sz w:val="19"/>
          <w:szCs w:val="19"/>
          <w:color w:val="151515"/>
        </w:rPr>
        <w:t>the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151515"/>
        </w:rPr>
        <w:t>days b</w:t>
      </w:r>
      <w:r>
        <w:rPr>
          <w:rFonts w:ascii="Arial" w:cs="Arial" w:eastAsia="Arial" w:hAnsi="Arial"/>
          <w:sz w:val="19"/>
          <w:szCs w:val="19"/>
          <w:color w:val="3D3D3D"/>
        </w:rPr>
        <w:t>e</w:t>
      </w:r>
      <w:r>
        <w:rPr>
          <w:rFonts w:ascii="Arial" w:cs="Arial" w:eastAsia="Arial" w:hAnsi="Arial"/>
          <w:sz w:val="19"/>
          <w:szCs w:val="19"/>
          <w:color w:val="151515"/>
        </w:rPr>
        <w:t>fore</w:t>
      </w:r>
      <w:r>
        <w:rPr>
          <w:rFonts w:ascii="Arial" w:cs="Arial" w:eastAsia="Arial" w:hAnsi="Arial"/>
          <w:sz w:val="19"/>
          <w:szCs w:val="19"/>
          <w:color w:val="auto"/>
        </w:rPr>
        <w:t xml:space="preserve"> any L/C Security expires </w:t>
      </w:r>
      <w:r>
        <w:rPr>
          <w:rFonts w:ascii="Arial" w:cs="Arial" w:eastAsia="Arial" w:hAnsi="Arial"/>
          <w:sz w:val="19"/>
          <w:szCs w:val="19"/>
          <w:color w:val="151515"/>
        </w:rPr>
        <w:t>(</w:t>
      </w:r>
      <w:r>
        <w:rPr>
          <w:rFonts w:ascii="Arial" w:cs="Arial" w:eastAsia="Arial" w:hAnsi="Arial"/>
          <w:sz w:val="19"/>
          <w:szCs w:val="19"/>
          <w:color w:val="auto"/>
        </w:rPr>
        <w:t xml:space="preserve">even </w:t>
      </w:r>
      <w:r>
        <w:rPr>
          <w:rFonts w:ascii="Arial" w:cs="Arial" w:eastAsia="Arial" w:hAnsi="Arial"/>
          <w:sz w:val="19"/>
          <w:szCs w:val="19"/>
          <w:color w:val="151515"/>
        </w:rPr>
        <w:t>if</w:t>
      </w:r>
      <w:r>
        <w:rPr>
          <w:rFonts w:ascii="Arial" w:cs="Arial" w:eastAsia="Arial" w:hAnsi="Arial"/>
          <w:sz w:val="19"/>
          <w:szCs w:val="19"/>
          <w:color w:val="auto"/>
        </w:rPr>
        <w:t xml:space="preserve"> </w:t>
      </w:r>
      <w:r>
        <w:rPr>
          <w:rFonts w:ascii="Arial" w:cs="Arial" w:eastAsia="Arial" w:hAnsi="Arial"/>
          <w:sz w:val="19"/>
          <w:szCs w:val="19"/>
          <w:color w:val="3D3D3D"/>
        </w:rPr>
        <w:t>s</w:t>
      </w:r>
      <w:r>
        <w:rPr>
          <w:rFonts w:ascii="Arial" w:cs="Arial" w:eastAsia="Arial" w:hAnsi="Arial"/>
          <w:sz w:val="19"/>
          <w:szCs w:val="19"/>
          <w:color w:val="151515"/>
        </w:rPr>
        <w:t>uch</w:t>
      </w:r>
      <w:r>
        <w:rPr>
          <w:rFonts w:ascii="Arial" w:cs="Arial" w:eastAsia="Arial" w:hAnsi="Arial"/>
          <w:sz w:val="19"/>
          <w:szCs w:val="19"/>
          <w:color w:val="auto"/>
        </w:rPr>
        <w:t xml:space="preserve"> </w:t>
      </w:r>
      <w:r>
        <w:rPr>
          <w:rFonts w:ascii="Arial" w:cs="Arial" w:eastAsia="Arial" w:hAnsi="Arial"/>
          <w:sz w:val="19"/>
          <w:szCs w:val="19"/>
          <w:color w:val="3D3D3D"/>
        </w:rPr>
        <w:t>sc</w:t>
      </w:r>
      <w:r>
        <w:rPr>
          <w:rFonts w:ascii="Arial" w:cs="Arial" w:eastAsia="Arial" w:hAnsi="Arial"/>
          <w:sz w:val="19"/>
          <w:szCs w:val="19"/>
          <w:color w:val="151515"/>
        </w:rPr>
        <w:t>heduled</w:t>
      </w:r>
      <w:r>
        <w:rPr>
          <w:rFonts w:ascii="Arial" w:cs="Arial" w:eastAsia="Arial" w:hAnsi="Arial"/>
          <w:sz w:val="19"/>
          <w:szCs w:val="19"/>
          <w:color w:val="auto"/>
        </w:rPr>
        <w:t xml:space="preserve"> expiry </w:t>
      </w:r>
      <w:r>
        <w:rPr>
          <w:rFonts w:ascii="Arial" w:cs="Arial" w:eastAsia="Arial" w:hAnsi="Arial"/>
          <w:sz w:val="19"/>
          <w:szCs w:val="19"/>
          <w:color w:val="151515"/>
        </w:rPr>
        <w:t>date</w:t>
      </w:r>
      <w:r>
        <w:rPr>
          <w:rFonts w:ascii="Arial" w:cs="Arial" w:eastAsia="Arial" w:hAnsi="Arial"/>
          <w:sz w:val="19"/>
          <w:szCs w:val="19"/>
          <w:color w:val="auto"/>
        </w:rPr>
        <w:t xml:space="preserve"> is after the Term Expiration </w:t>
      </w:r>
      <w:r>
        <w:rPr>
          <w:rFonts w:ascii="Arial" w:cs="Arial" w:eastAsia="Arial" w:hAnsi="Arial"/>
          <w:sz w:val="19"/>
          <w:szCs w:val="19"/>
          <w:color w:val="151515"/>
        </w:rPr>
        <w:t>Date but the</w:t>
      </w:r>
      <w:r>
        <w:rPr>
          <w:rFonts w:ascii="Arial" w:cs="Arial" w:eastAsia="Arial" w:hAnsi="Arial"/>
          <w:sz w:val="19"/>
          <w:szCs w:val="19"/>
          <w:color w:val="auto"/>
        </w:rPr>
        <w:t xml:space="preserve"> same </w:t>
      </w:r>
      <w:r>
        <w:rPr>
          <w:rFonts w:ascii="Arial" w:cs="Arial" w:eastAsia="Arial" w:hAnsi="Arial"/>
          <w:sz w:val="19"/>
          <w:szCs w:val="19"/>
          <w:color w:val="151515"/>
        </w:rPr>
        <w:t>must be before the</w:t>
      </w:r>
      <w:r>
        <w:rPr>
          <w:rFonts w:ascii="Arial" w:cs="Arial" w:eastAsia="Arial" w:hAnsi="Arial"/>
          <w:sz w:val="19"/>
          <w:szCs w:val="19"/>
          <w:color w:val="auto"/>
        </w:rPr>
        <w:t xml:space="preserve"> outside </w:t>
      </w:r>
      <w:r>
        <w:rPr>
          <w:rFonts w:ascii="Arial" w:cs="Arial" w:eastAsia="Arial" w:hAnsi="Arial"/>
          <w:sz w:val="19"/>
          <w:szCs w:val="19"/>
          <w:color w:val="151515"/>
        </w:rPr>
        <w:t>expiry</w:t>
      </w:r>
      <w:r>
        <w:rPr>
          <w:rFonts w:ascii="Arial" w:cs="Arial" w:eastAsia="Arial" w:hAnsi="Arial"/>
          <w:sz w:val="19"/>
          <w:szCs w:val="19"/>
          <w:color w:val="auto"/>
        </w:rPr>
        <w:t xml:space="preserve"> date </w:t>
      </w:r>
      <w:r>
        <w:rPr>
          <w:rFonts w:ascii="Arial" w:cs="Arial" w:eastAsia="Arial" w:hAnsi="Arial"/>
          <w:sz w:val="19"/>
          <w:szCs w:val="19"/>
          <w:color w:val="151515"/>
        </w:rPr>
        <w:t>required hereunder)</w:t>
      </w:r>
      <w:r>
        <w:rPr>
          <w:rFonts w:ascii="Arial" w:cs="Arial" w:eastAsia="Arial" w:hAnsi="Arial"/>
          <w:sz w:val="19"/>
          <w:szCs w:val="19"/>
          <w:color w:val="auto"/>
        </w:rPr>
        <w:t xml:space="preserve"> Tenant </w:t>
      </w:r>
      <w:r>
        <w:rPr>
          <w:rFonts w:ascii="Arial" w:cs="Arial" w:eastAsia="Arial" w:hAnsi="Arial"/>
          <w:sz w:val="19"/>
          <w:szCs w:val="19"/>
          <w:color w:val="151515"/>
        </w:rPr>
        <w:t>has</w:t>
      </w:r>
      <w:r>
        <w:rPr>
          <w:rFonts w:ascii="Arial" w:cs="Arial" w:eastAsia="Arial" w:hAnsi="Arial"/>
          <w:sz w:val="19"/>
          <w:szCs w:val="19"/>
          <w:color w:val="auto"/>
        </w:rPr>
        <w:t xml:space="preserve"> not </w:t>
      </w:r>
      <w:r>
        <w:rPr>
          <w:rFonts w:ascii="Arial" w:cs="Arial" w:eastAsia="Arial" w:hAnsi="Arial"/>
          <w:sz w:val="19"/>
          <w:szCs w:val="19"/>
          <w:color w:val="151515"/>
        </w:rPr>
        <w:t>delivered to Landlord</w:t>
      </w:r>
      <w:r>
        <w:rPr>
          <w:rFonts w:ascii="Arial" w:cs="Arial" w:eastAsia="Arial" w:hAnsi="Arial"/>
          <w:sz w:val="19"/>
          <w:szCs w:val="19"/>
          <w:color w:val="auto"/>
        </w:rPr>
        <w:t xml:space="preserve"> an amendment or </w:t>
      </w:r>
      <w:r>
        <w:rPr>
          <w:rFonts w:ascii="Arial" w:cs="Arial" w:eastAsia="Arial" w:hAnsi="Arial"/>
          <w:sz w:val="19"/>
          <w:szCs w:val="19"/>
          <w:color w:val="151515"/>
        </w:rPr>
        <w:t>replacement for</w:t>
      </w:r>
      <w:r>
        <w:rPr>
          <w:rFonts w:ascii="Arial" w:cs="Arial" w:eastAsia="Arial" w:hAnsi="Arial"/>
          <w:sz w:val="19"/>
          <w:szCs w:val="19"/>
          <w:color w:val="auto"/>
        </w:rPr>
        <w:t xml:space="preserve"> such L/C Security, reasonably satisfactory </w:t>
      </w:r>
      <w:r>
        <w:rPr>
          <w:rFonts w:ascii="Arial" w:cs="Arial" w:eastAsia="Arial" w:hAnsi="Arial"/>
          <w:sz w:val="19"/>
          <w:szCs w:val="19"/>
          <w:color w:val="151515"/>
        </w:rPr>
        <w:t>to Landlord,</w:t>
      </w:r>
      <w:r>
        <w:rPr>
          <w:rFonts w:ascii="Arial" w:cs="Arial" w:eastAsia="Arial" w:hAnsi="Arial"/>
          <w:sz w:val="19"/>
          <w:szCs w:val="19"/>
          <w:color w:val="auto"/>
        </w:rPr>
        <w:t xml:space="preserve"> extending the expiry date to the </w:t>
      </w:r>
      <w:r>
        <w:rPr>
          <w:rFonts w:ascii="Arial" w:cs="Arial" w:eastAsia="Arial" w:hAnsi="Arial"/>
          <w:sz w:val="19"/>
          <w:szCs w:val="19"/>
          <w:color w:val="151515"/>
        </w:rPr>
        <w:t>earlier</w:t>
      </w:r>
      <w:r>
        <w:rPr>
          <w:rFonts w:ascii="Arial" w:cs="Arial" w:eastAsia="Arial" w:hAnsi="Arial"/>
          <w:sz w:val="19"/>
          <w:szCs w:val="19"/>
          <w:color w:val="auto"/>
        </w:rPr>
        <w:t xml:space="preserve"> of (1)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151515"/>
        </w:rPr>
        <w:t>months</w:t>
      </w:r>
      <w:r>
        <w:rPr>
          <w:rFonts w:ascii="Arial" w:cs="Arial" w:eastAsia="Arial" w:hAnsi="Arial"/>
          <w:sz w:val="19"/>
          <w:szCs w:val="19"/>
          <w:color w:val="auto"/>
        </w:rPr>
        <w:t xml:space="preserve"> after </w:t>
      </w:r>
      <w:r>
        <w:rPr>
          <w:rFonts w:ascii="Arial" w:cs="Arial" w:eastAsia="Arial" w:hAnsi="Arial"/>
          <w:sz w:val="19"/>
          <w:szCs w:val="19"/>
          <w:color w:val="151515"/>
        </w:rPr>
        <w:t>the then-current</w:t>
      </w:r>
      <w:r>
        <w:rPr>
          <w:rFonts w:ascii="Arial" w:cs="Arial" w:eastAsia="Arial" w:hAnsi="Arial"/>
          <w:sz w:val="19"/>
          <w:szCs w:val="19"/>
          <w:color w:val="auto"/>
        </w:rPr>
        <w:t xml:space="preserve"> Term Expiration </w:t>
      </w:r>
      <w:r>
        <w:rPr>
          <w:rFonts w:ascii="Arial" w:cs="Arial" w:eastAsia="Arial" w:hAnsi="Arial"/>
          <w:sz w:val="19"/>
          <w:szCs w:val="19"/>
          <w:color w:val="151515"/>
        </w:rPr>
        <w:t>Da</w:t>
      </w:r>
      <w:r>
        <w:rPr>
          <w:rFonts w:ascii="Arial" w:cs="Arial" w:eastAsia="Arial" w:hAnsi="Arial"/>
          <w:sz w:val="19"/>
          <w:szCs w:val="19"/>
          <w:color w:val="3D3D3D"/>
        </w:rPr>
        <w:t>te</w:t>
      </w:r>
      <w:r>
        <w:rPr>
          <w:rFonts w:ascii="Arial" w:cs="Arial" w:eastAsia="Arial" w:hAnsi="Arial"/>
          <w:sz w:val="19"/>
          <w:szCs w:val="19"/>
          <w:color w:val="auto"/>
        </w:rPr>
        <w:t xml:space="preserve"> or (2) </w:t>
      </w:r>
      <w:r>
        <w:rPr>
          <w:rFonts w:ascii="Arial" w:cs="Arial" w:eastAsia="Arial" w:hAnsi="Arial"/>
          <w:sz w:val="19"/>
          <w:szCs w:val="19"/>
          <w:color w:val="151515"/>
        </w:rPr>
        <w:t>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-3810</wp:posOffset>
            </wp:positionV>
            <wp:extent cx="431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both"/>
        <w:ind w:left="840" w:hanging="8"/>
        <w:spacing w:after="0" w:line="219" w:lineRule="auto"/>
        <w:tabs>
          <w:tab w:leader="none" w:pos="1375" w:val="left"/>
        </w:tabs>
        <w:numPr>
          <w:ilvl w:val="0"/>
          <w:numId w:val="284"/>
        </w:numPr>
        <w:rPr>
          <w:rFonts w:ascii="Arial" w:cs="Arial" w:eastAsia="Arial" w:hAnsi="Arial"/>
          <w:sz w:val="21"/>
          <w:szCs w:val="21"/>
          <w:u w:val="single" w:color="auto"/>
          <w:color w:val="auto"/>
        </w:rPr>
      </w:pPr>
      <w:r>
        <w:rPr>
          <w:rFonts w:ascii="Arial" w:cs="Arial" w:eastAsia="Arial" w:hAnsi="Arial"/>
          <w:sz w:val="21"/>
          <w:szCs w:val="21"/>
          <w:color w:val="auto"/>
        </w:rPr>
        <w:t xml:space="preserve">after </w:t>
      </w:r>
      <w:r>
        <w:rPr>
          <w:rFonts w:ascii="Arial" w:cs="Arial" w:eastAsia="Arial" w:hAnsi="Arial"/>
          <w:sz w:val="21"/>
          <w:szCs w:val="21"/>
          <w:color w:val="151515"/>
        </w:rPr>
        <w:t>the then-current</w:t>
      </w:r>
      <w:r>
        <w:rPr>
          <w:rFonts w:ascii="Arial" w:cs="Arial" w:eastAsia="Arial" w:hAnsi="Arial"/>
          <w:sz w:val="21"/>
          <w:szCs w:val="21"/>
          <w:color w:val="auto"/>
        </w:rPr>
        <w:t xml:space="preserve"> expiry date </w:t>
      </w:r>
      <w:r>
        <w:rPr>
          <w:rFonts w:ascii="Arial" w:cs="Arial" w:eastAsia="Arial" w:hAnsi="Arial"/>
          <w:sz w:val="21"/>
          <w:szCs w:val="21"/>
          <w:color w:val="151515"/>
        </w:rPr>
        <w:t>of the</w:t>
      </w:r>
      <w:r>
        <w:rPr>
          <w:rFonts w:ascii="Arial" w:cs="Arial" w:eastAsia="Arial" w:hAnsi="Arial"/>
          <w:sz w:val="21"/>
          <w:szCs w:val="21"/>
          <w:color w:val="auto"/>
        </w:rPr>
        <w:t xml:space="preserve"> L/C Security; </w:t>
      </w:r>
      <w:r>
        <w:rPr>
          <w:rFonts w:ascii="Arial" w:cs="Arial" w:eastAsia="Arial" w:hAnsi="Arial"/>
          <w:sz w:val="21"/>
          <w:szCs w:val="21"/>
          <w:color w:val="151515"/>
        </w:rPr>
        <w:t>(iii)</w:t>
      </w:r>
      <w:r>
        <w:rPr>
          <w:rFonts w:ascii="Arial" w:cs="Arial" w:eastAsia="Arial" w:hAnsi="Arial"/>
          <w:sz w:val="21"/>
          <w:szCs w:val="21"/>
          <w:color w:val="auto"/>
        </w:rPr>
        <w:t xml:space="preserve"> the L/C Security </w:t>
      </w:r>
      <w:r>
        <w:rPr>
          <w:rFonts w:ascii="Arial" w:cs="Arial" w:eastAsia="Arial" w:hAnsi="Arial"/>
          <w:sz w:val="21"/>
          <w:szCs w:val="21"/>
          <w:color w:val="151515"/>
        </w:rPr>
        <w:t>provides</w:t>
      </w:r>
      <w:r>
        <w:rPr>
          <w:rFonts w:ascii="Arial" w:cs="Arial" w:eastAsia="Arial" w:hAnsi="Arial"/>
          <w:sz w:val="21"/>
          <w:szCs w:val="21"/>
          <w:color w:val="auto"/>
        </w:rPr>
        <w:t xml:space="preserve"> for automatic renewals, </w:t>
      </w:r>
      <w:r>
        <w:rPr>
          <w:rFonts w:ascii="Arial" w:cs="Arial" w:eastAsia="Arial" w:hAnsi="Arial"/>
          <w:sz w:val="21"/>
          <w:szCs w:val="21"/>
          <w:color w:val="3D3D3D"/>
        </w:rPr>
        <w:t>Lan</w:t>
      </w:r>
      <w:r>
        <w:rPr>
          <w:rFonts w:ascii="Arial" w:cs="Arial" w:eastAsia="Arial" w:hAnsi="Arial"/>
          <w:sz w:val="21"/>
          <w:szCs w:val="21"/>
          <w:color w:val="151515"/>
        </w:rPr>
        <w:t>d</w:t>
      </w:r>
      <w:r>
        <w:rPr>
          <w:rFonts w:ascii="Arial" w:cs="Arial" w:eastAsia="Arial" w:hAnsi="Arial"/>
          <w:sz w:val="21"/>
          <w:szCs w:val="21"/>
          <w:color w:val="3D3D3D"/>
        </w:rPr>
        <w:t>lor</w:t>
      </w:r>
      <w:r>
        <w:rPr>
          <w:rFonts w:ascii="Arial" w:cs="Arial" w:eastAsia="Arial" w:hAnsi="Arial"/>
          <w:sz w:val="21"/>
          <w:szCs w:val="21"/>
          <w:color w:val="151515"/>
        </w:rPr>
        <w:t>d</w:t>
      </w:r>
      <w:r>
        <w:rPr>
          <w:rFonts w:ascii="Arial" w:cs="Arial" w:eastAsia="Arial" w:hAnsi="Arial"/>
          <w:sz w:val="21"/>
          <w:szCs w:val="21"/>
          <w:color w:val="auto"/>
        </w:rPr>
        <w:t xml:space="preserve"> asks </w:t>
      </w:r>
      <w:r>
        <w:rPr>
          <w:rFonts w:ascii="Arial" w:cs="Arial" w:eastAsia="Arial" w:hAnsi="Arial"/>
          <w:sz w:val="21"/>
          <w:szCs w:val="21"/>
          <w:color w:val="151515"/>
        </w:rPr>
        <w:t>the issuer</w:t>
      </w:r>
      <w:r>
        <w:rPr>
          <w:rFonts w:ascii="Arial" w:cs="Arial" w:eastAsia="Arial" w:hAnsi="Arial"/>
          <w:sz w:val="21"/>
          <w:szCs w:val="21"/>
          <w:color w:val="auto"/>
        </w:rPr>
        <w:t xml:space="preserve"> </w:t>
      </w:r>
      <w:r>
        <w:rPr>
          <w:rFonts w:ascii="Arial" w:cs="Arial" w:eastAsia="Arial" w:hAnsi="Arial"/>
          <w:sz w:val="21"/>
          <w:szCs w:val="21"/>
          <w:color w:val="3D3D3D"/>
        </w:rPr>
        <w:t>to</w:t>
      </w:r>
      <w:r>
        <w:rPr>
          <w:rFonts w:ascii="Arial" w:cs="Arial" w:eastAsia="Arial" w:hAnsi="Arial"/>
          <w:sz w:val="21"/>
          <w:szCs w:val="21"/>
          <w:color w:val="auto"/>
        </w:rPr>
        <w:t xml:space="preserve"> confirm </w:t>
      </w:r>
      <w:r>
        <w:rPr>
          <w:rFonts w:ascii="Arial" w:cs="Arial" w:eastAsia="Arial" w:hAnsi="Arial"/>
          <w:sz w:val="21"/>
          <w:szCs w:val="21"/>
          <w:color w:val="151515"/>
        </w:rPr>
        <w:t>the</w:t>
      </w:r>
      <w:r>
        <w:rPr>
          <w:rFonts w:ascii="Arial" w:cs="Arial" w:eastAsia="Arial" w:hAnsi="Arial"/>
          <w:sz w:val="21"/>
          <w:szCs w:val="21"/>
          <w:color w:val="auto"/>
        </w:rPr>
        <w:t xml:space="preserve"> current L/C Security </w:t>
      </w:r>
      <w:r>
        <w:rPr>
          <w:rFonts w:ascii="Arial" w:cs="Arial" w:eastAsia="Arial" w:hAnsi="Arial"/>
          <w:sz w:val="21"/>
          <w:szCs w:val="21"/>
          <w:color w:val="151515"/>
        </w:rPr>
        <w:t>expiry</w:t>
      </w:r>
      <w:r>
        <w:rPr>
          <w:rFonts w:ascii="Arial" w:cs="Arial" w:eastAsia="Arial" w:hAnsi="Arial"/>
          <w:sz w:val="21"/>
          <w:szCs w:val="21"/>
          <w:color w:val="auto"/>
        </w:rPr>
        <w:t xml:space="preserve"> date, and the issuer </w:t>
      </w:r>
      <w:r>
        <w:rPr>
          <w:rFonts w:ascii="Arial" w:cs="Arial" w:eastAsia="Arial" w:hAnsi="Arial"/>
          <w:sz w:val="21"/>
          <w:szCs w:val="21"/>
          <w:color w:val="151515"/>
        </w:rPr>
        <w:t>fails</w:t>
      </w:r>
      <w:r>
        <w:rPr>
          <w:rFonts w:ascii="Arial" w:cs="Arial" w:eastAsia="Arial" w:hAnsi="Arial"/>
          <w:sz w:val="21"/>
          <w:szCs w:val="21"/>
          <w:color w:val="auto"/>
        </w:rPr>
        <w:t xml:space="preserve"> </w:t>
      </w:r>
      <w:r>
        <w:rPr>
          <w:rFonts w:ascii="Arial" w:cs="Arial" w:eastAsia="Arial" w:hAnsi="Arial"/>
          <w:sz w:val="21"/>
          <w:szCs w:val="21"/>
          <w:color w:val="030303"/>
        </w:rPr>
        <w:t>to</w:t>
      </w:r>
      <w:r>
        <w:rPr>
          <w:rFonts w:ascii="Arial" w:cs="Arial" w:eastAsia="Arial" w:hAnsi="Arial"/>
          <w:sz w:val="21"/>
          <w:szCs w:val="21"/>
          <w:color w:val="auto"/>
        </w:rPr>
        <w:t xml:space="preserve"> </w:t>
      </w:r>
      <w:r>
        <w:rPr>
          <w:rFonts w:ascii="Arial" w:cs="Arial" w:eastAsia="Arial" w:hAnsi="Arial"/>
          <w:sz w:val="21"/>
          <w:szCs w:val="21"/>
          <w:color w:val="151515"/>
        </w:rPr>
        <w:t xml:space="preserve">do </w:t>
      </w:r>
      <w:r>
        <w:rPr>
          <w:rFonts w:ascii="Arial" w:cs="Arial" w:eastAsia="Arial" w:hAnsi="Arial"/>
          <w:sz w:val="21"/>
          <w:szCs w:val="21"/>
          <w:color w:val="000000"/>
        </w:rPr>
        <w:t>so within</w:t>
      </w:r>
      <w:r>
        <w:rPr>
          <w:rFonts w:ascii="Arial" w:cs="Arial" w:eastAsia="Arial" w:hAnsi="Arial"/>
          <w:sz w:val="21"/>
          <w:szCs w:val="21"/>
          <w:color w:val="151515"/>
        </w:rPr>
        <w:t xml:space="preserve"> </w:t>
      </w:r>
      <w:r>
        <w:rPr>
          <w:rFonts w:ascii="Arial" w:cs="Arial" w:eastAsia="Arial" w:hAnsi="Arial"/>
          <w:sz w:val="21"/>
          <w:szCs w:val="21"/>
          <w:u w:val="single" w:color="auto"/>
          <w:color w:val="000000"/>
        </w:rPr>
        <w:t>[***]</w:t>
      </w:r>
      <w:r>
        <w:rPr>
          <w:rFonts w:ascii="Arial" w:cs="Arial" w:eastAsia="Arial" w:hAnsi="Arial"/>
          <w:sz w:val="21"/>
          <w:szCs w:val="21"/>
          <w:color w:val="151515"/>
        </w:rPr>
        <w:t xml:space="preserve"> business days; </w:t>
      </w:r>
      <w:r>
        <w:rPr>
          <w:rFonts w:ascii="Arial" w:cs="Arial" w:eastAsia="Arial" w:hAnsi="Arial"/>
          <w:sz w:val="21"/>
          <w:szCs w:val="21"/>
          <w:color w:val="000000"/>
        </w:rPr>
        <w:t>or</w:t>
      </w:r>
      <w:r>
        <w:rPr>
          <w:rFonts w:ascii="Arial" w:cs="Arial" w:eastAsia="Arial" w:hAnsi="Arial"/>
          <w:sz w:val="21"/>
          <w:szCs w:val="21"/>
          <w:color w:val="151515"/>
        </w:rPr>
        <w:t xml:space="preserve"> (iv) Tenant </w:t>
      </w:r>
      <w:r>
        <w:rPr>
          <w:rFonts w:ascii="Arial" w:cs="Arial" w:eastAsia="Arial" w:hAnsi="Arial"/>
          <w:sz w:val="21"/>
          <w:szCs w:val="21"/>
          <w:color w:val="000000"/>
        </w:rPr>
        <w:t>fails to</w:t>
      </w:r>
      <w:r>
        <w:rPr>
          <w:rFonts w:ascii="Arial" w:cs="Arial" w:eastAsia="Arial" w:hAnsi="Arial"/>
          <w:sz w:val="21"/>
          <w:szCs w:val="21"/>
          <w:color w:val="151515"/>
        </w:rPr>
        <w:t xml:space="preserve"> </w:t>
      </w:r>
      <w:r>
        <w:rPr>
          <w:rFonts w:ascii="Arial" w:cs="Arial" w:eastAsia="Arial" w:hAnsi="Arial"/>
          <w:sz w:val="21"/>
          <w:szCs w:val="21"/>
          <w:color w:val="030303"/>
        </w:rPr>
        <w:t>pay</w:t>
      </w:r>
      <w:r>
        <w:rPr>
          <w:rFonts w:ascii="Arial" w:cs="Arial" w:eastAsia="Arial" w:hAnsi="Arial"/>
          <w:sz w:val="21"/>
          <w:szCs w:val="21"/>
          <w:color w:val="151515"/>
        </w:rPr>
        <w:t xml:space="preserve"> (when </w:t>
      </w:r>
      <w:r>
        <w:rPr>
          <w:rFonts w:ascii="Arial" w:cs="Arial" w:eastAsia="Arial" w:hAnsi="Arial"/>
          <w:sz w:val="21"/>
          <w:szCs w:val="21"/>
          <w:color w:val="000000"/>
        </w:rPr>
        <w:t>and as</w:t>
      </w:r>
      <w:r>
        <w:rPr>
          <w:rFonts w:ascii="Arial" w:cs="Arial" w:eastAsia="Arial" w:hAnsi="Arial"/>
          <w:sz w:val="21"/>
          <w:szCs w:val="21"/>
          <w:color w:val="151515"/>
        </w:rPr>
        <w:t xml:space="preserve"> Landlord reasonably requires) </w:t>
      </w:r>
      <w:r>
        <w:rPr>
          <w:rFonts w:ascii="Arial" w:cs="Arial" w:eastAsia="Arial" w:hAnsi="Arial"/>
          <w:sz w:val="21"/>
          <w:szCs w:val="21"/>
          <w:color w:val="000000"/>
        </w:rPr>
        <w:t xml:space="preserve">any </w:t>
      </w:r>
      <w:r>
        <w:rPr>
          <w:rFonts w:ascii="Arial" w:cs="Arial" w:eastAsia="Arial" w:hAnsi="Arial"/>
          <w:sz w:val="21"/>
          <w:szCs w:val="21"/>
          <w:color w:val="151515"/>
        </w:rPr>
        <w:t>bank charges</w:t>
      </w:r>
      <w:r>
        <w:rPr>
          <w:rFonts w:ascii="Arial" w:cs="Arial" w:eastAsia="Arial" w:hAnsi="Arial"/>
          <w:sz w:val="21"/>
          <w:szCs w:val="21"/>
          <w:color w:val="000000"/>
        </w:rPr>
        <w:t xml:space="preserve"> for </w:t>
      </w:r>
      <w:r>
        <w:rPr>
          <w:rFonts w:ascii="Arial" w:cs="Arial" w:eastAsia="Arial" w:hAnsi="Arial"/>
          <w:sz w:val="21"/>
          <w:szCs w:val="21"/>
          <w:color w:val="151515"/>
        </w:rPr>
        <w:t>Landlord’s</w:t>
      </w:r>
      <w:r>
        <w:rPr>
          <w:rFonts w:ascii="Arial" w:cs="Arial" w:eastAsia="Arial" w:hAnsi="Arial"/>
          <w:sz w:val="21"/>
          <w:szCs w:val="21"/>
          <w:color w:val="000000"/>
        </w:rPr>
        <w:t xml:space="preserve"> transfer </w:t>
      </w:r>
      <w:r>
        <w:rPr>
          <w:rFonts w:ascii="Arial" w:cs="Arial" w:eastAsia="Arial" w:hAnsi="Arial"/>
          <w:sz w:val="21"/>
          <w:szCs w:val="21"/>
          <w:color w:val="151515"/>
        </w:rPr>
        <w:t>of</w:t>
      </w:r>
      <w:r>
        <w:rPr>
          <w:rFonts w:ascii="Arial" w:cs="Arial" w:eastAsia="Arial" w:hAnsi="Arial"/>
          <w:sz w:val="21"/>
          <w:szCs w:val="21"/>
          <w:color w:val="000000"/>
        </w:rPr>
        <w:t xml:space="preserve"> the L/C Security; </w:t>
      </w:r>
      <w:r>
        <w:rPr>
          <w:rFonts w:ascii="Arial" w:cs="Arial" w:eastAsia="Arial" w:hAnsi="Arial"/>
          <w:sz w:val="21"/>
          <w:szCs w:val="21"/>
          <w:color w:val="151515"/>
        </w:rPr>
        <w:t>or (v) the issuer o</w:t>
      </w:r>
      <w:r>
        <w:rPr>
          <w:rFonts w:ascii="Arial" w:cs="Arial" w:eastAsia="Arial" w:hAnsi="Arial"/>
          <w:sz w:val="21"/>
          <w:szCs w:val="21"/>
          <w:color w:val="3D3D3D"/>
        </w:rPr>
        <w:t>f</w:t>
      </w:r>
      <w:r>
        <w:rPr>
          <w:rFonts w:ascii="Arial" w:cs="Arial" w:eastAsia="Arial" w:hAnsi="Arial"/>
          <w:sz w:val="21"/>
          <w:szCs w:val="21"/>
          <w:color w:val="000000"/>
        </w:rPr>
        <w:t xml:space="preserve"> </w:t>
      </w:r>
      <w:r>
        <w:rPr>
          <w:rFonts w:ascii="Arial" w:cs="Arial" w:eastAsia="Arial" w:hAnsi="Arial"/>
          <w:sz w:val="21"/>
          <w:szCs w:val="21"/>
          <w:color w:val="151515"/>
        </w:rPr>
        <w:t>the</w:t>
      </w:r>
      <w:r>
        <w:rPr>
          <w:rFonts w:ascii="Arial" w:cs="Arial" w:eastAsia="Arial" w:hAnsi="Arial"/>
          <w:sz w:val="21"/>
          <w:szCs w:val="21"/>
          <w:color w:val="000000"/>
        </w:rPr>
        <w:t xml:space="preserve"> L/C Security ceases, or announces that </w:t>
      </w:r>
      <w:r>
        <w:rPr>
          <w:rFonts w:ascii="Arial" w:cs="Arial" w:eastAsia="Arial" w:hAnsi="Arial"/>
          <w:sz w:val="21"/>
          <w:szCs w:val="21"/>
          <w:color w:val="030303"/>
        </w:rPr>
        <w:t>it</w:t>
      </w:r>
      <w:r>
        <w:rPr>
          <w:rFonts w:ascii="Arial" w:cs="Arial" w:eastAsia="Arial" w:hAnsi="Arial"/>
          <w:sz w:val="21"/>
          <w:szCs w:val="21"/>
          <w:color w:val="000000"/>
        </w:rPr>
        <w:t xml:space="preserve"> will cease, </w:t>
      </w:r>
      <w:r>
        <w:rPr>
          <w:rFonts w:ascii="Arial" w:cs="Arial" w:eastAsia="Arial" w:hAnsi="Arial"/>
          <w:sz w:val="21"/>
          <w:szCs w:val="21"/>
          <w:color w:val="151515"/>
        </w:rPr>
        <w:t>to maintain an</w:t>
      </w:r>
      <w:r>
        <w:rPr>
          <w:rFonts w:ascii="Arial" w:cs="Arial" w:eastAsia="Arial" w:hAnsi="Arial"/>
          <w:sz w:val="21"/>
          <w:szCs w:val="21"/>
          <w:color w:val="000000"/>
        </w:rPr>
        <w:t xml:space="preserve"> office </w:t>
      </w:r>
      <w:r>
        <w:rPr>
          <w:rFonts w:ascii="Arial" w:cs="Arial" w:eastAsia="Arial" w:hAnsi="Arial"/>
          <w:sz w:val="21"/>
          <w:szCs w:val="21"/>
          <w:color w:val="151515"/>
        </w:rPr>
        <w:t>in</w:t>
      </w:r>
      <w:r>
        <w:rPr>
          <w:rFonts w:ascii="Arial" w:cs="Arial" w:eastAsia="Arial" w:hAnsi="Arial"/>
          <w:sz w:val="21"/>
          <w:szCs w:val="21"/>
          <w:color w:val="000000"/>
        </w:rPr>
        <w:t xml:space="preserve"> the United States </w:t>
      </w:r>
      <w:r>
        <w:rPr>
          <w:rFonts w:ascii="Arial" w:cs="Arial" w:eastAsia="Arial" w:hAnsi="Arial"/>
          <w:sz w:val="21"/>
          <w:szCs w:val="21"/>
          <w:color w:val="151515"/>
        </w:rPr>
        <w:t>of</w:t>
      </w:r>
      <w:r>
        <w:rPr>
          <w:rFonts w:ascii="Arial" w:cs="Arial" w:eastAsia="Arial" w:hAnsi="Arial"/>
          <w:sz w:val="21"/>
          <w:szCs w:val="21"/>
          <w:color w:val="000000"/>
        </w:rPr>
        <w:t xml:space="preserve"> America </w:t>
      </w:r>
      <w:r>
        <w:rPr>
          <w:rFonts w:ascii="Arial" w:cs="Arial" w:eastAsia="Arial" w:hAnsi="Arial"/>
          <w:sz w:val="21"/>
          <w:szCs w:val="21"/>
          <w:color w:val="1F1F1F"/>
        </w:rPr>
        <w:t>where Landlord may</w:t>
      </w:r>
      <w:r>
        <w:rPr>
          <w:rFonts w:ascii="Arial" w:cs="Arial" w:eastAsia="Arial" w:hAnsi="Arial"/>
          <w:sz w:val="21"/>
          <w:szCs w:val="21"/>
          <w:color w:val="000000"/>
        </w:rPr>
        <w:t xml:space="preserve"> </w:t>
      </w:r>
      <w:r>
        <w:rPr>
          <w:rFonts w:ascii="Arial" w:cs="Arial" w:eastAsia="Arial" w:hAnsi="Arial"/>
          <w:sz w:val="21"/>
          <w:szCs w:val="21"/>
          <w:color w:val="1F1F1F"/>
        </w:rPr>
        <w:t xml:space="preserve">present drafts under the </w:t>
      </w:r>
      <w:r>
        <w:rPr>
          <w:rFonts w:ascii="Arial" w:cs="Arial" w:eastAsia="Arial" w:hAnsi="Arial"/>
          <w:sz w:val="21"/>
          <w:szCs w:val="21"/>
          <w:color w:val="343434"/>
        </w:rPr>
        <w:t>L/C</w:t>
      </w:r>
      <w:r>
        <w:rPr>
          <w:rFonts w:ascii="Arial" w:cs="Arial" w:eastAsia="Arial" w:hAnsi="Arial"/>
          <w:sz w:val="21"/>
          <w:szCs w:val="21"/>
          <w:color w:val="1F1F1F"/>
        </w:rPr>
        <w:t xml:space="preserve"> Security (and fails to permit drawing upon </w:t>
      </w:r>
      <w:r>
        <w:rPr>
          <w:rFonts w:ascii="Arial" w:cs="Arial" w:eastAsia="Arial" w:hAnsi="Arial"/>
          <w:sz w:val="21"/>
          <w:szCs w:val="21"/>
          <w:color w:val="343434"/>
        </w:rPr>
        <w:t>the L/C</w:t>
      </w:r>
      <w:r>
        <w:rPr>
          <w:rFonts w:ascii="Arial" w:cs="Arial" w:eastAsia="Arial" w:hAnsi="Arial"/>
          <w:sz w:val="21"/>
          <w:szCs w:val="21"/>
          <w:color w:val="1F1F1F"/>
        </w:rPr>
        <w:t xml:space="preserve"> Security by overnight courier or facsimile). This Section does not </w:t>
      </w:r>
      <w:r>
        <w:rPr>
          <w:rFonts w:ascii="Arial" w:cs="Arial" w:eastAsia="Arial" w:hAnsi="Arial"/>
          <w:sz w:val="21"/>
          <w:szCs w:val="21"/>
          <w:color w:val="343434"/>
        </w:rPr>
        <w:t>limit any</w:t>
      </w:r>
      <w:r>
        <w:rPr>
          <w:rFonts w:ascii="Arial" w:cs="Arial" w:eastAsia="Arial" w:hAnsi="Arial"/>
          <w:sz w:val="21"/>
          <w:szCs w:val="21"/>
          <w:color w:val="1F1F1F"/>
        </w:rPr>
        <w:t xml:space="preserve"> other </w:t>
      </w:r>
      <w:r>
        <w:rPr>
          <w:rFonts w:ascii="Arial" w:cs="Arial" w:eastAsia="Arial" w:hAnsi="Arial"/>
          <w:sz w:val="21"/>
          <w:szCs w:val="21"/>
          <w:color w:val="0E0E0E"/>
        </w:rPr>
        <w:t>provisions</w:t>
      </w:r>
      <w:r>
        <w:rPr>
          <w:rFonts w:ascii="Arial" w:cs="Arial" w:eastAsia="Arial" w:hAnsi="Arial"/>
          <w:sz w:val="21"/>
          <w:szCs w:val="21"/>
          <w:color w:val="1F1F1F"/>
        </w:rPr>
        <w:t xml:space="preserve"> of this Lease allowing Landlord to draw </w:t>
      </w:r>
      <w:r>
        <w:rPr>
          <w:rFonts w:ascii="Arial" w:cs="Arial" w:eastAsia="Arial" w:hAnsi="Arial"/>
          <w:sz w:val="21"/>
          <w:szCs w:val="21"/>
          <w:color w:val="0E0E0E"/>
        </w:rPr>
        <w:t>the</w:t>
      </w:r>
      <w:r>
        <w:rPr>
          <w:rFonts w:ascii="Arial" w:cs="Arial" w:eastAsia="Arial" w:hAnsi="Arial"/>
          <w:sz w:val="21"/>
          <w:szCs w:val="21"/>
          <w:color w:val="1F1F1F"/>
        </w:rPr>
        <w:t xml:space="preserve"> L/C Security under </w:t>
      </w:r>
      <w:r>
        <w:rPr>
          <w:rFonts w:ascii="Arial" w:cs="Arial" w:eastAsia="Arial" w:hAnsi="Arial"/>
          <w:sz w:val="21"/>
          <w:szCs w:val="21"/>
          <w:color w:val="343434"/>
        </w:rPr>
        <w:t>specified</w:t>
      </w:r>
      <w:r>
        <w:rPr>
          <w:rFonts w:ascii="Arial" w:cs="Arial" w:eastAsia="Arial" w:hAnsi="Arial"/>
          <w:sz w:val="21"/>
          <w:szCs w:val="21"/>
          <w:color w:val="1F1F1F"/>
        </w:rPr>
        <w:t xml:space="preserve"> circumstances.</w:t>
      </w:r>
    </w:p>
    <w:p>
      <w:pPr>
        <w:spacing w:after="0" w:line="163" w:lineRule="exact"/>
        <w:rPr>
          <w:sz w:val="20"/>
          <w:szCs w:val="20"/>
          <w:color w:val="auto"/>
        </w:rPr>
      </w:pPr>
    </w:p>
    <w:p>
      <w:pPr>
        <w:jc w:val="both"/>
        <w:ind w:left="840" w:hanging="647"/>
        <w:spacing w:after="0" w:line="252" w:lineRule="auto"/>
        <w:rPr>
          <w:sz w:val="20"/>
          <w:szCs w:val="20"/>
          <w:color w:val="auto"/>
        </w:rPr>
      </w:pPr>
      <w:r>
        <w:rPr>
          <w:rFonts w:ascii="Arial" w:cs="Arial" w:eastAsia="Arial" w:hAnsi="Arial"/>
          <w:sz w:val="19"/>
          <w:szCs w:val="19"/>
          <w:color w:val="auto"/>
        </w:rPr>
        <w:t xml:space="preserve">11.7.4. Tenant </w:t>
      </w:r>
      <w:r>
        <w:rPr>
          <w:rFonts w:ascii="Arial" w:cs="Arial" w:eastAsia="Arial" w:hAnsi="Arial"/>
          <w:sz w:val="19"/>
          <w:szCs w:val="19"/>
          <w:color w:val="343434"/>
        </w:rPr>
        <w:t>shall</w:t>
      </w:r>
      <w:r>
        <w:rPr>
          <w:rFonts w:ascii="Arial" w:cs="Arial" w:eastAsia="Arial" w:hAnsi="Arial"/>
          <w:sz w:val="19"/>
          <w:szCs w:val="19"/>
          <w:color w:val="auto"/>
        </w:rPr>
        <w:t xml:space="preserve"> </w:t>
      </w:r>
      <w:r>
        <w:rPr>
          <w:rFonts w:ascii="Arial" w:cs="Arial" w:eastAsia="Arial" w:hAnsi="Arial"/>
          <w:sz w:val="19"/>
          <w:szCs w:val="19"/>
          <w:color w:val="0E0E0E"/>
        </w:rPr>
        <w:t>not</w:t>
      </w:r>
      <w:r>
        <w:rPr>
          <w:rFonts w:ascii="Arial" w:cs="Arial" w:eastAsia="Arial" w:hAnsi="Arial"/>
          <w:sz w:val="19"/>
          <w:szCs w:val="19"/>
          <w:color w:val="auto"/>
        </w:rPr>
        <w:t xml:space="preserve"> seek </w:t>
      </w:r>
      <w:r>
        <w:rPr>
          <w:rFonts w:ascii="Arial" w:cs="Arial" w:eastAsia="Arial" w:hAnsi="Arial"/>
          <w:sz w:val="19"/>
          <w:szCs w:val="19"/>
          <w:color w:val="343434"/>
        </w:rPr>
        <w:t>to</w:t>
      </w:r>
      <w:r>
        <w:rPr>
          <w:rFonts w:ascii="Arial" w:cs="Arial" w:eastAsia="Arial" w:hAnsi="Arial"/>
          <w:sz w:val="19"/>
          <w:szCs w:val="19"/>
          <w:color w:val="auto"/>
        </w:rPr>
        <w:t xml:space="preserve"> enjoin, prevent, or otherwise interfere with Landlord’s draw </w:t>
      </w:r>
      <w:r>
        <w:rPr>
          <w:rFonts w:ascii="Arial" w:cs="Arial" w:eastAsia="Arial" w:hAnsi="Arial"/>
          <w:sz w:val="19"/>
          <w:szCs w:val="19"/>
          <w:color w:val="0E0E0E"/>
        </w:rPr>
        <w:t>under</w:t>
      </w:r>
      <w:r>
        <w:rPr>
          <w:rFonts w:ascii="Arial" w:cs="Arial" w:eastAsia="Arial" w:hAnsi="Arial"/>
          <w:sz w:val="19"/>
          <w:szCs w:val="19"/>
          <w:color w:val="auto"/>
        </w:rPr>
        <w:t xml:space="preserve"> L/C Security, </w:t>
      </w:r>
      <w:r>
        <w:rPr>
          <w:rFonts w:ascii="Arial" w:cs="Arial" w:eastAsia="Arial" w:hAnsi="Arial"/>
          <w:sz w:val="19"/>
          <w:szCs w:val="19"/>
          <w:color w:val="343434"/>
        </w:rPr>
        <w:t xml:space="preserve">even </w:t>
      </w:r>
      <w:r>
        <w:rPr>
          <w:rFonts w:ascii="Arial" w:cs="Arial" w:eastAsia="Arial" w:hAnsi="Arial"/>
          <w:sz w:val="19"/>
          <w:szCs w:val="19"/>
          <w:color w:val="000000"/>
        </w:rPr>
        <w:t>if it violates</w:t>
      </w:r>
      <w:r>
        <w:rPr>
          <w:rFonts w:ascii="Arial" w:cs="Arial" w:eastAsia="Arial" w:hAnsi="Arial"/>
          <w:sz w:val="19"/>
          <w:szCs w:val="19"/>
          <w:color w:val="343434"/>
        </w:rPr>
        <w:t xml:space="preserve"> this </w:t>
      </w:r>
      <w:r>
        <w:rPr>
          <w:rFonts w:ascii="Arial" w:cs="Arial" w:eastAsia="Arial" w:hAnsi="Arial"/>
          <w:sz w:val="19"/>
          <w:szCs w:val="19"/>
          <w:color w:val="000000"/>
        </w:rPr>
        <w:t>Lea</w:t>
      </w:r>
      <w:r>
        <w:rPr>
          <w:rFonts w:ascii="Arial" w:cs="Arial" w:eastAsia="Arial" w:hAnsi="Arial"/>
          <w:sz w:val="19"/>
          <w:szCs w:val="19"/>
          <w:color w:val="4F4F4F"/>
        </w:rPr>
        <w:t>s</w:t>
      </w:r>
      <w:r>
        <w:rPr>
          <w:rFonts w:ascii="Arial" w:cs="Arial" w:eastAsia="Arial" w:hAnsi="Arial"/>
          <w:sz w:val="19"/>
          <w:szCs w:val="19"/>
          <w:color w:val="000000"/>
        </w:rPr>
        <w:t>e. Tenant acknowledges</w:t>
      </w:r>
      <w:r>
        <w:rPr>
          <w:rFonts w:ascii="Arial" w:cs="Arial" w:eastAsia="Arial" w:hAnsi="Arial"/>
          <w:sz w:val="19"/>
          <w:szCs w:val="19"/>
          <w:color w:val="343434"/>
        </w:rPr>
        <w:t xml:space="preserve"> </w:t>
      </w:r>
      <w:r>
        <w:rPr>
          <w:rFonts w:ascii="Arial" w:cs="Arial" w:eastAsia="Arial" w:hAnsi="Arial"/>
          <w:sz w:val="19"/>
          <w:szCs w:val="19"/>
          <w:color w:val="0E0E0E"/>
        </w:rPr>
        <w:t>that</w:t>
      </w:r>
      <w:r>
        <w:rPr>
          <w:rFonts w:ascii="Arial" w:cs="Arial" w:eastAsia="Arial" w:hAnsi="Arial"/>
          <w:sz w:val="19"/>
          <w:szCs w:val="19"/>
          <w:color w:val="343434"/>
        </w:rPr>
        <w:t xml:space="preserve"> </w:t>
      </w:r>
      <w:r>
        <w:rPr>
          <w:rFonts w:ascii="Arial" w:cs="Arial" w:eastAsia="Arial" w:hAnsi="Arial"/>
          <w:sz w:val="19"/>
          <w:szCs w:val="19"/>
          <w:color w:val="000000"/>
        </w:rPr>
        <w:t>the only effect of a wrongful draw would be to</w:t>
      </w:r>
      <w:r>
        <w:rPr>
          <w:rFonts w:ascii="Arial" w:cs="Arial" w:eastAsia="Arial" w:hAnsi="Arial"/>
          <w:sz w:val="19"/>
          <w:szCs w:val="19"/>
          <w:color w:val="343434"/>
        </w:rPr>
        <w:t xml:space="preserve"> </w:t>
      </w:r>
      <w:r>
        <w:rPr>
          <w:rFonts w:ascii="Arial" w:cs="Arial" w:eastAsia="Arial" w:hAnsi="Arial"/>
          <w:sz w:val="19"/>
          <w:szCs w:val="19"/>
          <w:color w:val="000000"/>
        </w:rPr>
        <w:t xml:space="preserve">substitute </w:t>
      </w:r>
      <w:r>
        <w:rPr>
          <w:rFonts w:ascii="Arial" w:cs="Arial" w:eastAsia="Arial" w:hAnsi="Arial"/>
          <w:sz w:val="19"/>
          <w:szCs w:val="19"/>
          <w:color w:val="343434"/>
        </w:rPr>
        <w:t>a</w:t>
      </w:r>
      <w:r>
        <w:rPr>
          <w:rFonts w:ascii="Arial" w:cs="Arial" w:eastAsia="Arial" w:hAnsi="Arial"/>
          <w:sz w:val="19"/>
          <w:szCs w:val="19"/>
          <w:color w:val="000000"/>
        </w:rPr>
        <w:t xml:space="preserve"> cash </w:t>
      </w:r>
      <w:r>
        <w:rPr>
          <w:rFonts w:ascii="Arial" w:cs="Arial" w:eastAsia="Arial" w:hAnsi="Arial"/>
          <w:sz w:val="19"/>
          <w:szCs w:val="19"/>
          <w:color w:val="343434"/>
        </w:rPr>
        <w:t>Security</w:t>
      </w:r>
      <w:r>
        <w:rPr>
          <w:rFonts w:ascii="Arial" w:cs="Arial" w:eastAsia="Arial" w:hAnsi="Arial"/>
          <w:sz w:val="19"/>
          <w:szCs w:val="19"/>
          <w:color w:val="000000"/>
        </w:rPr>
        <w:t xml:space="preserve"> Deposit for L/C Security, causing Tenant </w:t>
      </w:r>
      <w:r>
        <w:rPr>
          <w:rFonts w:ascii="Arial" w:cs="Arial" w:eastAsia="Arial" w:hAnsi="Arial"/>
          <w:sz w:val="19"/>
          <w:szCs w:val="19"/>
          <w:color w:val="0E0E0E"/>
        </w:rPr>
        <w:t>no legally</w:t>
      </w:r>
      <w:r>
        <w:rPr>
          <w:rFonts w:ascii="Arial" w:cs="Arial" w:eastAsia="Arial" w:hAnsi="Arial"/>
          <w:sz w:val="19"/>
          <w:szCs w:val="19"/>
          <w:color w:val="000000"/>
        </w:rPr>
        <w:t xml:space="preserve"> recognizable damage. Landlord </w:t>
      </w:r>
      <w:r>
        <w:rPr>
          <w:rFonts w:ascii="Arial" w:cs="Arial" w:eastAsia="Arial" w:hAnsi="Arial"/>
          <w:sz w:val="19"/>
          <w:szCs w:val="19"/>
          <w:color w:val="343434"/>
        </w:rPr>
        <w:t>shall</w:t>
      </w:r>
      <w:r>
        <w:rPr>
          <w:rFonts w:ascii="Arial" w:cs="Arial" w:eastAsia="Arial" w:hAnsi="Arial"/>
          <w:sz w:val="19"/>
          <w:szCs w:val="19"/>
          <w:color w:val="000000"/>
        </w:rPr>
        <w:t xml:space="preserve"> </w:t>
      </w:r>
      <w:r>
        <w:rPr>
          <w:rFonts w:ascii="Arial" w:cs="Arial" w:eastAsia="Arial" w:hAnsi="Arial"/>
          <w:sz w:val="19"/>
          <w:szCs w:val="19"/>
          <w:color w:val="0E0E0E"/>
        </w:rPr>
        <w:t>hold</w:t>
      </w:r>
      <w:r>
        <w:rPr>
          <w:rFonts w:ascii="Arial" w:cs="Arial" w:eastAsia="Arial" w:hAnsi="Arial"/>
          <w:sz w:val="19"/>
          <w:szCs w:val="19"/>
          <w:color w:val="000000"/>
        </w:rPr>
        <w:t xml:space="preserve"> the proceeds of </w:t>
      </w:r>
      <w:r>
        <w:rPr>
          <w:rFonts w:ascii="Arial" w:cs="Arial" w:eastAsia="Arial" w:hAnsi="Arial"/>
          <w:sz w:val="19"/>
          <w:szCs w:val="19"/>
          <w:color w:val="0E0E0E"/>
        </w:rPr>
        <w:t>any</w:t>
      </w:r>
      <w:r>
        <w:rPr>
          <w:rFonts w:ascii="Arial" w:cs="Arial" w:eastAsia="Arial" w:hAnsi="Arial"/>
          <w:sz w:val="19"/>
          <w:szCs w:val="19"/>
          <w:color w:val="000000"/>
        </w:rPr>
        <w:t xml:space="preserve"> draw </w:t>
      </w:r>
      <w:r>
        <w:rPr>
          <w:rFonts w:ascii="Arial" w:cs="Arial" w:eastAsia="Arial" w:hAnsi="Arial"/>
          <w:sz w:val="19"/>
          <w:szCs w:val="19"/>
          <w:color w:val="343434"/>
        </w:rPr>
        <w:t>in</w:t>
      </w:r>
      <w:r>
        <w:rPr>
          <w:rFonts w:ascii="Arial" w:cs="Arial" w:eastAsia="Arial" w:hAnsi="Arial"/>
          <w:sz w:val="19"/>
          <w:szCs w:val="19"/>
          <w:color w:val="000000"/>
        </w:rPr>
        <w:t xml:space="preserve"> the </w:t>
      </w:r>
      <w:r>
        <w:rPr>
          <w:rFonts w:ascii="Arial" w:cs="Arial" w:eastAsia="Arial" w:hAnsi="Arial"/>
          <w:sz w:val="19"/>
          <w:szCs w:val="19"/>
          <w:color w:val="343434"/>
        </w:rPr>
        <w:t>same</w:t>
      </w:r>
      <w:r>
        <w:rPr>
          <w:rFonts w:ascii="Arial" w:cs="Arial" w:eastAsia="Arial" w:hAnsi="Arial"/>
          <w:sz w:val="19"/>
          <w:szCs w:val="19"/>
          <w:color w:val="000000"/>
        </w:rPr>
        <w:t xml:space="preserve"> manner and for </w:t>
      </w:r>
      <w:r>
        <w:rPr>
          <w:rFonts w:ascii="Arial" w:cs="Arial" w:eastAsia="Arial" w:hAnsi="Arial"/>
          <w:sz w:val="19"/>
          <w:szCs w:val="19"/>
          <w:color w:val="0E0E0E"/>
        </w:rPr>
        <w:t>the</w:t>
      </w:r>
      <w:r>
        <w:rPr>
          <w:rFonts w:ascii="Arial" w:cs="Arial" w:eastAsia="Arial" w:hAnsi="Arial"/>
          <w:sz w:val="19"/>
          <w:szCs w:val="19"/>
          <w:color w:val="000000"/>
        </w:rPr>
        <w:t xml:space="preserve"> same purposes as a cash Security Deposit. In </w:t>
      </w:r>
      <w:r>
        <w:rPr>
          <w:rFonts w:ascii="Arial" w:cs="Arial" w:eastAsia="Arial" w:hAnsi="Arial"/>
          <w:sz w:val="19"/>
          <w:szCs w:val="19"/>
          <w:color w:val="0E0E0E"/>
        </w:rPr>
        <w:t>the</w:t>
      </w:r>
      <w:r>
        <w:rPr>
          <w:rFonts w:ascii="Arial" w:cs="Arial" w:eastAsia="Arial" w:hAnsi="Arial"/>
          <w:sz w:val="19"/>
          <w:szCs w:val="19"/>
          <w:color w:val="000000"/>
        </w:rPr>
        <w:t xml:space="preserve"> event of </w:t>
      </w:r>
      <w:r>
        <w:rPr>
          <w:rFonts w:ascii="Arial" w:cs="Arial" w:eastAsia="Arial" w:hAnsi="Arial"/>
          <w:sz w:val="19"/>
          <w:szCs w:val="19"/>
          <w:color w:val="343434"/>
        </w:rPr>
        <w:t>a</w:t>
      </w:r>
      <w:r>
        <w:rPr>
          <w:rFonts w:ascii="Arial" w:cs="Arial" w:eastAsia="Arial" w:hAnsi="Arial"/>
          <w:sz w:val="19"/>
          <w:szCs w:val="19"/>
          <w:color w:val="000000"/>
        </w:rPr>
        <w:t xml:space="preserve"> wrongful draw, the parties </w:t>
      </w:r>
      <w:r>
        <w:rPr>
          <w:rFonts w:ascii="Arial" w:cs="Arial" w:eastAsia="Arial" w:hAnsi="Arial"/>
          <w:sz w:val="19"/>
          <w:szCs w:val="19"/>
          <w:color w:val="343434"/>
        </w:rPr>
        <w:t>shall</w:t>
      </w:r>
      <w:r>
        <w:rPr>
          <w:rFonts w:ascii="Arial" w:cs="Arial" w:eastAsia="Arial" w:hAnsi="Arial"/>
          <w:sz w:val="19"/>
          <w:szCs w:val="19"/>
          <w:color w:val="000000"/>
        </w:rPr>
        <w:t xml:space="preserve"> cooperate </w:t>
      </w:r>
      <w:r>
        <w:rPr>
          <w:rFonts w:ascii="Arial" w:cs="Arial" w:eastAsia="Arial" w:hAnsi="Arial"/>
          <w:sz w:val="19"/>
          <w:szCs w:val="19"/>
          <w:color w:val="0E0E0E"/>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20"/>
          </w:cols>
          <w:pgMar w:left="1440" w:top="1401" w:right="339" w:bottom="1440" w:gutter="0" w:footer="0" w:header="0"/>
        </w:sectPr>
      </w:pPr>
    </w:p>
    <w:bookmarkStart w:id="332" w:name="page333"/>
    <w:bookmarkEnd w:id="332"/>
    <w:p>
      <w:pPr>
        <w:jc w:val="both"/>
        <w:ind w:left="1960"/>
        <w:spacing w:after="0" w:line="223" w:lineRule="auto"/>
        <w:rPr>
          <w:sz w:val="20"/>
          <w:szCs w:val="20"/>
          <w:color w:val="auto"/>
        </w:rPr>
      </w:pPr>
      <w:r>
        <w:rPr>
          <w:rFonts w:ascii="Arial" w:cs="Arial" w:eastAsia="Arial" w:hAnsi="Arial"/>
          <w:sz w:val="22"/>
          <w:szCs w:val="22"/>
          <w:color w:val="auto"/>
        </w:rPr>
        <w:t xml:space="preserve">allow Tenant to </w:t>
      </w:r>
      <w:r>
        <w:rPr>
          <w:rFonts w:ascii="Arial" w:cs="Arial" w:eastAsia="Arial" w:hAnsi="Arial"/>
          <w:sz w:val="22"/>
          <w:szCs w:val="22"/>
          <w:color w:val="0E0E0E"/>
        </w:rPr>
        <w:t>post</w:t>
      </w:r>
      <w:r>
        <w:rPr>
          <w:rFonts w:ascii="Arial" w:cs="Arial" w:eastAsia="Arial" w:hAnsi="Arial"/>
          <w:sz w:val="22"/>
          <w:szCs w:val="22"/>
          <w:color w:val="auto"/>
        </w:rPr>
        <w:t xml:space="preserve"> </w:t>
      </w:r>
      <w:r>
        <w:rPr>
          <w:rFonts w:ascii="Arial" w:cs="Arial" w:eastAsia="Arial" w:hAnsi="Arial"/>
          <w:sz w:val="22"/>
          <w:szCs w:val="22"/>
          <w:color w:val="343434"/>
        </w:rPr>
        <w:t>replacement</w:t>
      </w:r>
      <w:r>
        <w:rPr>
          <w:rFonts w:ascii="Arial" w:cs="Arial" w:eastAsia="Arial" w:hAnsi="Arial"/>
          <w:sz w:val="22"/>
          <w:szCs w:val="22"/>
          <w:color w:val="auto"/>
        </w:rPr>
        <w:t xml:space="preserve"> L/C Security </w:t>
      </w:r>
      <w:r>
        <w:rPr>
          <w:rFonts w:ascii="Arial" w:cs="Arial" w:eastAsia="Arial" w:hAnsi="Arial"/>
          <w:sz w:val="22"/>
          <w:szCs w:val="22"/>
          <w:color w:val="343434"/>
        </w:rPr>
        <w:t>simultaneously</w:t>
      </w:r>
      <w:r>
        <w:rPr>
          <w:rFonts w:ascii="Arial" w:cs="Arial" w:eastAsia="Arial" w:hAnsi="Arial"/>
          <w:sz w:val="22"/>
          <w:szCs w:val="22"/>
          <w:color w:val="auto"/>
        </w:rPr>
        <w:t xml:space="preserve"> with the return to </w:t>
      </w:r>
      <w:r>
        <w:rPr>
          <w:rFonts w:ascii="Arial" w:cs="Arial" w:eastAsia="Arial" w:hAnsi="Arial"/>
          <w:sz w:val="22"/>
          <w:szCs w:val="22"/>
          <w:color w:val="343434"/>
        </w:rPr>
        <w:t>Tenant</w:t>
      </w:r>
      <w:r>
        <w:rPr>
          <w:rFonts w:ascii="Arial" w:cs="Arial" w:eastAsia="Arial" w:hAnsi="Arial"/>
          <w:sz w:val="22"/>
          <w:szCs w:val="22"/>
          <w:color w:val="auto"/>
        </w:rPr>
        <w:t xml:space="preserve"> of </w:t>
      </w:r>
      <w:r>
        <w:rPr>
          <w:rFonts w:ascii="Arial" w:cs="Arial" w:eastAsia="Arial" w:hAnsi="Arial"/>
          <w:sz w:val="22"/>
          <w:szCs w:val="22"/>
          <w:color w:val="0E0E0E"/>
        </w:rPr>
        <w:t>the</w:t>
      </w:r>
      <w:r>
        <w:rPr>
          <w:rFonts w:ascii="Arial" w:cs="Arial" w:eastAsia="Arial" w:hAnsi="Arial"/>
          <w:sz w:val="22"/>
          <w:szCs w:val="22"/>
          <w:color w:val="auto"/>
        </w:rPr>
        <w:t xml:space="preserve"> wrongfully </w:t>
      </w:r>
      <w:r>
        <w:rPr>
          <w:rFonts w:ascii="Arial" w:cs="Arial" w:eastAsia="Arial" w:hAnsi="Arial"/>
          <w:sz w:val="22"/>
          <w:szCs w:val="22"/>
          <w:color w:val="0E0E0E"/>
        </w:rPr>
        <w:t xml:space="preserve">drawn </w:t>
      </w:r>
      <w:r>
        <w:rPr>
          <w:rFonts w:ascii="Arial" w:cs="Arial" w:eastAsia="Arial" w:hAnsi="Arial"/>
          <w:sz w:val="22"/>
          <w:szCs w:val="22"/>
          <w:color w:val="343434"/>
        </w:rPr>
        <w:t>sums,</w:t>
      </w:r>
      <w:r>
        <w:rPr>
          <w:rFonts w:ascii="Arial" w:cs="Arial" w:eastAsia="Arial" w:hAnsi="Arial"/>
          <w:sz w:val="22"/>
          <w:szCs w:val="22"/>
          <w:color w:val="0E0E0E"/>
        </w:rPr>
        <w:t xml:space="preserve"> </w:t>
      </w:r>
      <w:r>
        <w:rPr>
          <w:rFonts w:ascii="Arial" w:cs="Arial" w:eastAsia="Arial" w:hAnsi="Arial"/>
          <w:sz w:val="22"/>
          <w:szCs w:val="22"/>
          <w:color w:val="000000"/>
        </w:rPr>
        <w:t>and</w:t>
      </w:r>
      <w:r>
        <w:rPr>
          <w:rFonts w:ascii="Arial" w:cs="Arial" w:eastAsia="Arial" w:hAnsi="Arial"/>
          <w:sz w:val="22"/>
          <w:szCs w:val="22"/>
          <w:color w:val="0E0E0E"/>
        </w:rPr>
        <w:t xml:space="preserve"> Landlord </w:t>
      </w:r>
      <w:r>
        <w:rPr>
          <w:rFonts w:ascii="Arial" w:cs="Arial" w:eastAsia="Arial" w:hAnsi="Arial"/>
          <w:sz w:val="22"/>
          <w:szCs w:val="22"/>
          <w:color w:val="343434"/>
        </w:rPr>
        <w:t>shall</w:t>
      </w:r>
      <w:r>
        <w:rPr>
          <w:rFonts w:ascii="Arial" w:cs="Arial" w:eastAsia="Arial" w:hAnsi="Arial"/>
          <w:sz w:val="22"/>
          <w:szCs w:val="22"/>
          <w:color w:val="0E0E0E"/>
        </w:rPr>
        <w:t xml:space="preserve"> upon request </w:t>
      </w:r>
      <w:r>
        <w:rPr>
          <w:rFonts w:ascii="Arial" w:cs="Arial" w:eastAsia="Arial" w:hAnsi="Arial"/>
          <w:sz w:val="22"/>
          <w:szCs w:val="22"/>
          <w:color w:val="000000"/>
        </w:rPr>
        <w:t>confirm</w:t>
      </w:r>
      <w:r>
        <w:rPr>
          <w:rFonts w:ascii="Arial" w:cs="Arial" w:eastAsia="Arial" w:hAnsi="Arial"/>
          <w:sz w:val="22"/>
          <w:szCs w:val="22"/>
          <w:color w:val="0E0E0E"/>
        </w:rPr>
        <w:t xml:space="preserve"> </w:t>
      </w:r>
      <w:r>
        <w:rPr>
          <w:rFonts w:ascii="Arial" w:cs="Arial" w:eastAsia="Arial" w:hAnsi="Arial"/>
          <w:sz w:val="22"/>
          <w:szCs w:val="22"/>
          <w:color w:val="343434"/>
        </w:rPr>
        <w:t>in</w:t>
      </w:r>
      <w:r>
        <w:rPr>
          <w:rFonts w:ascii="Arial" w:cs="Arial" w:eastAsia="Arial" w:hAnsi="Arial"/>
          <w:sz w:val="22"/>
          <w:szCs w:val="22"/>
          <w:color w:val="0E0E0E"/>
        </w:rPr>
        <w:t xml:space="preserve"> </w:t>
      </w:r>
      <w:r>
        <w:rPr>
          <w:rFonts w:ascii="Arial" w:cs="Arial" w:eastAsia="Arial" w:hAnsi="Arial"/>
          <w:sz w:val="22"/>
          <w:szCs w:val="22"/>
          <w:color w:val="000000"/>
        </w:rPr>
        <w:t>writing to</w:t>
      </w:r>
      <w:r>
        <w:rPr>
          <w:rFonts w:ascii="Arial" w:cs="Arial" w:eastAsia="Arial" w:hAnsi="Arial"/>
          <w:sz w:val="22"/>
          <w:szCs w:val="22"/>
          <w:color w:val="0E0E0E"/>
        </w:rPr>
        <w:t xml:space="preserve"> </w:t>
      </w:r>
      <w:r>
        <w:rPr>
          <w:rFonts w:ascii="Arial" w:cs="Arial" w:eastAsia="Arial" w:hAnsi="Arial"/>
          <w:sz w:val="22"/>
          <w:szCs w:val="22"/>
          <w:color w:val="343434"/>
        </w:rPr>
        <w:t>the</w:t>
      </w:r>
      <w:r>
        <w:rPr>
          <w:rFonts w:ascii="Arial" w:cs="Arial" w:eastAsia="Arial" w:hAnsi="Arial"/>
          <w:sz w:val="22"/>
          <w:szCs w:val="22"/>
          <w:color w:val="0E0E0E"/>
        </w:rPr>
        <w:t xml:space="preserve"> issuer </w:t>
      </w:r>
      <w:r>
        <w:rPr>
          <w:rFonts w:ascii="Arial" w:cs="Arial" w:eastAsia="Arial" w:hAnsi="Arial"/>
          <w:sz w:val="22"/>
          <w:szCs w:val="22"/>
          <w:color w:val="000000"/>
        </w:rPr>
        <w:t>of</w:t>
      </w:r>
      <w:r>
        <w:rPr>
          <w:rFonts w:ascii="Arial" w:cs="Arial" w:eastAsia="Arial" w:hAnsi="Arial"/>
          <w:sz w:val="22"/>
          <w:szCs w:val="22"/>
          <w:color w:val="0E0E0E"/>
        </w:rPr>
        <w:t xml:space="preserve"> the </w:t>
      </w:r>
      <w:r>
        <w:rPr>
          <w:rFonts w:ascii="Arial" w:cs="Arial" w:eastAsia="Arial" w:hAnsi="Arial"/>
          <w:sz w:val="22"/>
          <w:szCs w:val="22"/>
          <w:color w:val="000000"/>
        </w:rPr>
        <w:t>L/C Security</w:t>
      </w:r>
      <w:r>
        <w:rPr>
          <w:rFonts w:ascii="Arial" w:cs="Arial" w:eastAsia="Arial" w:hAnsi="Arial"/>
          <w:sz w:val="22"/>
          <w:szCs w:val="22"/>
          <w:color w:val="0E0E0E"/>
        </w:rPr>
        <w:t xml:space="preserve"> that </w:t>
      </w:r>
      <w:r>
        <w:rPr>
          <w:rFonts w:ascii="Arial" w:cs="Arial" w:eastAsia="Arial" w:hAnsi="Arial"/>
          <w:sz w:val="22"/>
          <w:szCs w:val="22"/>
          <w:color w:val="000000"/>
        </w:rPr>
        <w:t>Landlord’s draw was erroneous.</w:t>
      </w:r>
    </w:p>
    <w:p>
      <w:pPr>
        <w:spacing w:after="0" w:line="159" w:lineRule="exact"/>
        <w:rPr>
          <w:sz w:val="20"/>
          <w:szCs w:val="20"/>
          <w:color w:val="auto"/>
        </w:rPr>
      </w:pPr>
    </w:p>
    <w:p>
      <w:pPr>
        <w:jc w:val="both"/>
        <w:ind w:left="1960" w:hanging="647"/>
        <w:spacing w:after="0" w:line="252" w:lineRule="auto"/>
        <w:rPr>
          <w:sz w:val="20"/>
          <w:szCs w:val="20"/>
          <w:color w:val="auto"/>
        </w:rPr>
      </w:pPr>
      <w:r>
        <w:rPr>
          <w:rFonts w:ascii="Arial" w:cs="Arial" w:eastAsia="Arial" w:hAnsi="Arial"/>
          <w:sz w:val="19"/>
          <w:szCs w:val="19"/>
          <w:color w:val="auto"/>
        </w:rPr>
        <w:t xml:space="preserve">11.7.5. </w:t>
      </w:r>
      <w:r>
        <w:rPr>
          <w:rFonts w:ascii="Arial" w:cs="Arial" w:eastAsia="Arial" w:hAnsi="Arial"/>
          <w:sz w:val="19"/>
          <w:szCs w:val="19"/>
          <w:color w:val="0E0E0E"/>
        </w:rPr>
        <w:t>If</w:t>
      </w:r>
      <w:r>
        <w:rPr>
          <w:rFonts w:ascii="Arial" w:cs="Arial" w:eastAsia="Arial" w:hAnsi="Arial"/>
          <w:sz w:val="19"/>
          <w:szCs w:val="19"/>
          <w:color w:val="auto"/>
        </w:rPr>
        <w:t xml:space="preserve"> Landlord </w:t>
      </w:r>
      <w:r>
        <w:rPr>
          <w:rFonts w:ascii="Arial" w:cs="Arial" w:eastAsia="Arial" w:hAnsi="Arial"/>
          <w:sz w:val="19"/>
          <w:szCs w:val="19"/>
          <w:color w:val="0E0E0E"/>
        </w:rPr>
        <w:t>transfers</w:t>
      </w:r>
      <w:r>
        <w:rPr>
          <w:rFonts w:ascii="Arial" w:cs="Arial" w:eastAsia="Arial" w:hAnsi="Arial"/>
          <w:sz w:val="19"/>
          <w:szCs w:val="19"/>
          <w:color w:val="auto"/>
        </w:rPr>
        <w:t xml:space="preserve"> its </w:t>
      </w:r>
      <w:r>
        <w:rPr>
          <w:rFonts w:ascii="Arial" w:cs="Arial" w:eastAsia="Arial" w:hAnsi="Arial"/>
          <w:sz w:val="19"/>
          <w:szCs w:val="19"/>
          <w:color w:val="0E0E0E"/>
        </w:rPr>
        <w:t>interest</w:t>
      </w:r>
      <w:r>
        <w:rPr>
          <w:rFonts w:ascii="Arial" w:cs="Arial" w:eastAsia="Arial" w:hAnsi="Arial"/>
          <w:sz w:val="19"/>
          <w:szCs w:val="19"/>
          <w:color w:val="auto"/>
        </w:rPr>
        <w:t xml:space="preserve"> in </w:t>
      </w:r>
      <w:r>
        <w:rPr>
          <w:rFonts w:ascii="Arial" w:cs="Arial" w:eastAsia="Arial" w:hAnsi="Arial"/>
          <w:sz w:val="19"/>
          <w:szCs w:val="19"/>
          <w:color w:val="0E0E0E"/>
        </w:rPr>
        <w:t>the</w:t>
      </w:r>
      <w:r>
        <w:rPr>
          <w:rFonts w:ascii="Arial" w:cs="Arial" w:eastAsia="Arial" w:hAnsi="Arial"/>
          <w:sz w:val="19"/>
          <w:szCs w:val="19"/>
          <w:color w:val="auto"/>
        </w:rPr>
        <w:t xml:space="preserve"> Premises, then Tenant </w:t>
      </w:r>
      <w:r>
        <w:rPr>
          <w:rFonts w:ascii="Arial" w:cs="Arial" w:eastAsia="Arial" w:hAnsi="Arial"/>
          <w:sz w:val="19"/>
          <w:szCs w:val="19"/>
          <w:color w:val="343434"/>
        </w:rPr>
        <w:t>shall</w:t>
      </w:r>
      <w:r>
        <w:rPr>
          <w:rFonts w:ascii="Arial" w:cs="Arial" w:eastAsia="Arial" w:hAnsi="Arial"/>
          <w:sz w:val="19"/>
          <w:szCs w:val="19"/>
          <w:color w:val="auto"/>
        </w:rPr>
        <w:t xml:space="preserve"> at Tenant’s expense, within </w:t>
      </w:r>
      <w:r>
        <w:rPr>
          <w:rFonts w:ascii="Arial" w:cs="Arial" w:eastAsia="Arial" w:hAnsi="Arial"/>
          <w:sz w:val="19"/>
          <w:szCs w:val="19"/>
          <w:u w:val="single" w:color="auto"/>
          <w:color w:val="auto"/>
        </w:rPr>
        <w:t>[***]</w:t>
      </w:r>
      <w:r>
        <w:rPr>
          <w:rFonts w:ascii="Arial" w:cs="Arial" w:eastAsia="Arial" w:hAnsi="Arial"/>
          <w:sz w:val="19"/>
          <w:szCs w:val="19"/>
          <w:color w:val="auto"/>
        </w:rPr>
        <w:t xml:space="preserve"> business </w:t>
      </w:r>
      <w:r>
        <w:rPr>
          <w:rFonts w:ascii="Arial" w:cs="Arial" w:eastAsia="Arial" w:hAnsi="Arial"/>
          <w:sz w:val="19"/>
          <w:szCs w:val="19"/>
          <w:color w:val="0E0E0E"/>
        </w:rPr>
        <w:t>days</w:t>
      </w:r>
      <w:r>
        <w:rPr>
          <w:rFonts w:ascii="Arial" w:cs="Arial" w:eastAsia="Arial" w:hAnsi="Arial"/>
          <w:sz w:val="19"/>
          <w:szCs w:val="19"/>
          <w:color w:val="auto"/>
        </w:rPr>
        <w:t xml:space="preserve"> after receiving a request from Landlord</w:t>
      </w:r>
      <w:r>
        <w:rPr>
          <w:rFonts w:ascii="Arial" w:cs="Arial" w:eastAsia="Arial" w:hAnsi="Arial"/>
          <w:sz w:val="19"/>
          <w:szCs w:val="19"/>
          <w:color w:val="4F4F4F"/>
        </w:rPr>
        <w:t>,</w:t>
      </w:r>
      <w:r>
        <w:rPr>
          <w:rFonts w:ascii="Arial" w:cs="Arial" w:eastAsia="Arial" w:hAnsi="Arial"/>
          <w:sz w:val="19"/>
          <w:szCs w:val="19"/>
          <w:color w:val="auto"/>
        </w:rPr>
        <w:t xml:space="preserve"> deliver (and, if </w:t>
      </w:r>
      <w:r>
        <w:rPr>
          <w:rFonts w:ascii="Arial" w:cs="Arial" w:eastAsia="Arial" w:hAnsi="Arial"/>
          <w:sz w:val="19"/>
          <w:szCs w:val="19"/>
          <w:color w:val="0E0E0E"/>
        </w:rPr>
        <w:t>the</w:t>
      </w:r>
      <w:r>
        <w:rPr>
          <w:rFonts w:ascii="Arial" w:cs="Arial" w:eastAsia="Arial" w:hAnsi="Arial"/>
          <w:sz w:val="19"/>
          <w:szCs w:val="19"/>
          <w:color w:val="auto"/>
        </w:rPr>
        <w:t xml:space="preserve"> issuer requires, Landlord shall consent to) an amendment </w:t>
      </w:r>
      <w:r>
        <w:rPr>
          <w:rFonts w:ascii="Arial" w:cs="Arial" w:eastAsia="Arial" w:hAnsi="Arial"/>
          <w:sz w:val="19"/>
          <w:szCs w:val="19"/>
          <w:color w:val="0E0E0E"/>
        </w:rPr>
        <w:t>to</w:t>
      </w:r>
      <w:r>
        <w:rPr>
          <w:rFonts w:ascii="Arial" w:cs="Arial" w:eastAsia="Arial" w:hAnsi="Arial"/>
          <w:sz w:val="19"/>
          <w:szCs w:val="19"/>
          <w:color w:val="auto"/>
        </w:rPr>
        <w:t xml:space="preserve"> </w:t>
      </w:r>
      <w:r>
        <w:rPr>
          <w:rFonts w:ascii="Arial" w:cs="Arial" w:eastAsia="Arial" w:hAnsi="Arial"/>
          <w:sz w:val="19"/>
          <w:szCs w:val="19"/>
          <w:color w:val="343434"/>
        </w:rPr>
        <w:t>the</w:t>
      </w:r>
      <w:r>
        <w:rPr>
          <w:rFonts w:ascii="Arial" w:cs="Arial" w:eastAsia="Arial" w:hAnsi="Arial"/>
          <w:sz w:val="19"/>
          <w:szCs w:val="19"/>
          <w:color w:val="auto"/>
        </w:rPr>
        <w:t xml:space="preserve"> L/C Security </w:t>
      </w:r>
      <w:r>
        <w:rPr>
          <w:rFonts w:ascii="Arial" w:cs="Arial" w:eastAsia="Arial" w:hAnsi="Arial"/>
          <w:sz w:val="19"/>
          <w:szCs w:val="19"/>
          <w:color w:val="0E0E0E"/>
        </w:rPr>
        <w:t>naming</w:t>
      </w:r>
      <w:r>
        <w:rPr>
          <w:rFonts w:ascii="Arial" w:cs="Arial" w:eastAsia="Arial" w:hAnsi="Arial"/>
          <w:sz w:val="19"/>
          <w:szCs w:val="19"/>
          <w:color w:val="auto"/>
        </w:rPr>
        <w:t xml:space="preserve"> Landlord’s grantee as </w:t>
      </w:r>
      <w:r>
        <w:rPr>
          <w:rFonts w:ascii="Arial" w:cs="Arial" w:eastAsia="Arial" w:hAnsi="Arial"/>
          <w:sz w:val="19"/>
          <w:szCs w:val="19"/>
          <w:color w:val="343434"/>
        </w:rPr>
        <w:t>substitute</w:t>
      </w:r>
      <w:r>
        <w:rPr>
          <w:rFonts w:ascii="Arial" w:cs="Arial" w:eastAsia="Arial" w:hAnsi="Arial"/>
          <w:sz w:val="19"/>
          <w:szCs w:val="19"/>
          <w:color w:val="auto"/>
        </w:rPr>
        <w:t xml:space="preserve"> </w:t>
      </w:r>
      <w:r>
        <w:rPr>
          <w:rFonts w:ascii="Arial" w:cs="Arial" w:eastAsia="Arial" w:hAnsi="Arial"/>
          <w:sz w:val="19"/>
          <w:szCs w:val="19"/>
          <w:color w:val="0E0E0E"/>
        </w:rPr>
        <w:t>beneficiary.</w:t>
      </w:r>
      <w:r>
        <w:rPr>
          <w:rFonts w:ascii="Arial" w:cs="Arial" w:eastAsia="Arial" w:hAnsi="Arial"/>
          <w:sz w:val="19"/>
          <w:szCs w:val="19"/>
          <w:color w:val="auto"/>
        </w:rPr>
        <w:t xml:space="preserve"> If the </w:t>
      </w:r>
      <w:r>
        <w:rPr>
          <w:rFonts w:ascii="Arial" w:cs="Arial" w:eastAsia="Arial" w:hAnsi="Arial"/>
          <w:sz w:val="19"/>
          <w:szCs w:val="19"/>
          <w:color w:val="0E0E0E"/>
        </w:rPr>
        <w:t xml:space="preserve">required </w:t>
      </w:r>
      <w:r>
        <w:rPr>
          <w:rFonts w:ascii="Arial" w:cs="Arial" w:eastAsia="Arial" w:hAnsi="Arial"/>
          <w:sz w:val="19"/>
          <w:szCs w:val="19"/>
          <w:color w:val="000000"/>
        </w:rPr>
        <w:t>Security Deposit changes while L/C Security</w:t>
      </w:r>
      <w:r>
        <w:rPr>
          <w:rFonts w:ascii="Arial" w:cs="Arial" w:eastAsia="Arial" w:hAnsi="Arial"/>
          <w:sz w:val="19"/>
          <w:szCs w:val="19"/>
          <w:color w:val="0E0E0E"/>
        </w:rPr>
        <w:t xml:space="preserve"> is in </w:t>
      </w:r>
      <w:r>
        <w:rPr>
          <w:rFonts w:ascii="Arial" w:cs="Arial" w:eastAsia="Arial" w:hAnsi="Arial"/>
          <w:sz w:val="19"/>
          <w:szCs w:val="19"/>
          <w:color w:val="000000"/>
        </w:rPr>
        <w:t>force,</w:t>
      </w:r>
      <w:r>
        <w:rPr>
          <w:rFonts w:ascii="Arial" w:cs="Arial" w:eastAsia="Arial" w:hAnsi="Arial"/>
          <w:sz w:val="19"/>
          <w:szCs w:val="19"/>
          <w:color w:val="0E0E0E"/>
        </w:rPr>
        <w:t xml:space="preserve"> </w:t>
      </w:r>
      <w:r>
        <w:rPr>
          <w:rFonts w:ascii="Arial" w:cs="Arial" w:eastAsia="Arial" w:hAnsi="Arial"/>
          <w:sz w:val="19"/>
          <w:szCs w:val="19"/>
          <w:color w:val="343434"/>
        </w:rPr>
        <w:t>then Tenant shall</w:t>
      </w:r>
      <w:r>
        <w:rPr>
          <w:rFonts w:ascii="Arial" w:cs="Arial" w:eastAsia="Arial" w:hAnsi="Arial"/>
          <w:sz w:val="19"/>
          <w:szCs w:val="19"/>
          <w:color w:val="0E0E0E"/>
        </w:rPr>
        <w:t xml:space="preserve"> </w:t>
      </w:r>
      <w:r>
        <w:rPr>
          <w:rFonts w:ascii="Arial" w:cs="Arial" w:eastAsia="Arial" w:hAnsi="Arial"/>
          <w:sz w:val="19"/>
          <w:szCs w:val="19"/>
          <w:color w:val="000000"/>
        </w:rPr>
        <w:t>deliver</w:t>
      </w:r>
      <w:r>
        <w:rPr>
          <w:rFonts w:ascii="Arial" w:cs="Arial" w:eastAsia="Arial" w:hAnsi="Arial"/>
          <w:sz w:val="19"/>
          <w:szCs w:val="19"/>
          <w:color w:val="0E0E0E"/>
        </w:rPr>
        <w:t xml:space="preserve"> (and, if </w:t>
      </w:r>
      <w:r>
        <w:rPr>
          <w:rFonts w:ascii="Arial" w:cs="Arial" w:eastAsia="Arial" w:hAnsi="Arial"/>
          <w:sz w:val="19"/>
          <w:szCs w:val="19"/>
          <w:color w:val="000000"/>
        </w:rPr>
        <w:t>the</w:t>
      </w:r>
      <w:r>
        <w:rPr>
          <w:rFonts w:ascii="Arial" w:cs="Arial" w:eastAsia="Arial" w:hAnsi="Arial"/>
          <w:sz w:val="19"/>
          <w:szCs w:val="19"/>
          <w:color w:val="0E0E0E"/>
        </w:rPr>
        <w:t xml:space="preserve"> issuer </w:t>
      </w:r>
      <w:r>
        <w:rPr>
          <w:rFonts w:ascii="Arial" w:cs="Arial" w:eastAsia="Arial" w:hAnsi="Arial"/>
          <w:sz w:val="19"/>
          <w:szCs w:val="19"/>
          <w:color w:val="000000"/>
        </w:rPr>
        <w:t>requires, Landlord shall consent</w:t>
      </w:r>
      <w:r>
        <w:rPr>
          <w:rFonts w:ascii="Arial" w:cs="Arial" w:eastAsia="Arial" w:hAnsi="Arial"/>
          <w:sz w:val="19"/>
          <w:szCs w:val="19"/>
          <w:color w:val="0E0E0E"/>
        </w:rPr>
        <w:t xml:space="preserve"> to) </w:t>
      </w:r>
      <w:r>
        <w:rPr>
          <w:rFonts w:ascii="Arial" w:cs="Arial" w:eastAsia="Arial" w:hAnsi="Arial"/>
          <w:sz w:val="19"/>
          <w:szCs w:val="19"/>
          <w:color w:val="343434"/>
        </w:rPr>
        <w:t>a</w:t>
      </w:r>
      <w:r>
        <w:rPr>
          <w:rFonts w:ascii="Arial" w:cs="Arial" w:eastAsia="Arial" w:hAnsi="Arial"/>
          <w:sz w:val="19"/>
          <w:szCs w:val="19"/>
          <w:color w:val="0E0E0E"/>
        </w:rPr>
        <w:t xml:space="preserve"> </w:t>
      </w:r>
      <w:r>
        <w:rPr>
          <w:rFonts w:ascii="Arial" w:cs="Arial" w:eastAsia="Arial" w:hAnsi="Arial"/>
          <w:sz w:val="19"/>
          <w:szCs w:val="19"/>
          <w:color w:val="000000"/>
        </w:rPr>
        <w:t>corresponding amendment to the L/C Security.</w:t>
      </w:r>
    </w:p>
    <w:p>
      <w:pPr>
        <w:spacing w:after="0" w:line="149" w:lineRule="exact"/>
        <w:rPr>
          <w:sz w:val="20"/>
          <w:szCs w:val="20"/>
          <w:color w:val="auto"/>
        </w:rPr>
      </w:pPr>
    </w:p>
    <w:p>
      <w:pPr>
        <w:ind w:left="660" w:hanging="652"/>
        <w:spacing w:after="0"/>
        <w:tabs>
          <w:tab w:leader="none" w:pos="660"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Use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 xml:space="preserve">12.1 </w:t>
      </w:r>
      <w:r>
        <w:rPr>
          <w:rFonts w:ascii="Arial" w:cs="Arial" w:eastAsia="Arial" w:hAnsi="Arial"/>
          <w:sz w:val="22"/>
          <w:szCs w:val="22"/>
          <w:color w:val="343434"/>
        </w:rPr>
        <w:t>Tenant shall</w:t>
      </w:r>
      <w:r>
        <w:rPr>
          <w:rFonts w:ascii="Arial" w:cs="Arial" w:eastAsia="Arial" w:hAnsi="Arial"/>
          <w:sz w:val="22"/>
          <w:szCs w:val="22"/>
          <w:color w:val="auto"/>
        </w:rPr>
        <w:t xml:space="preserve"> use the </w:t>
      </w:r>
      <w:r>
        <w:rPr>
          <w:rFonts w:ascii="Arial" w:cs="Arial" w:eastAsia="Arial" w:hAnsi="Arial"/>
          <w:sz w:val="22"/>
          <w:szCs w:val="22"/>
          <w:color w:val="343434"/>
        </w:rPr>
        <w:t>Premises for</w:t>
      </w:r>
      <w:r>
        <w:rPr>
          <w:rFonts w:ascii="Arial" w:cs="Arial" w:eastAsia="Arial" w:hAnsi="Arial"/>
          <w:sz w:val="22"/>
          <w:szCs w:val="22"/>
          <w:color w:val="auto"/>
        </w:rPr>
        <w:t xml:space="preserve"> the purpose </w:t>
      </w:r>
      <w:r>
        <w:rPr>
          <w:rFonts w:ascii="Arial" w:cs="Arial" w:eastAsia="Arial" w:hAnsi="Arial"/>
          <w:sz w:val="22"/>
          <w:szCs w:val="22"/>
          <w:color w:val="343434"/>
        </w:rPr>
        <w:t>set</w:t>
      </w:r>
      <w:r>
        <w:rPr>
          <w:rFonts w:ascii="Arial" w:cs="Arial" w:eastAsia="Arial" w:hAnsi="Arial"/>
          <w:sz w:val="22"/>
          <w:szCs w:val="22"/>
          <w:color w:val="auto"/>
        </w:rPr>
        <w:t xml:space="preserve"> forth in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and </w:t>
      </w:r>
      <w:r>
        <w:rPr>
          <w:rFonts w:ascii="Arial" w:cs="Arial" w:eastAsia="Arial" w:hAnsi="Arial"/>
          <w:sz w:val="22"/>
          <w:szCs w:val="22"/>
          <w:color w:val="343434"/>
        </w:rPr>
        <w:t>shall</w:t>
      </w:r>
      <w:r>
        <w:rPr>
          <w:rFonts w:ascii="Arial" w:cs="Arial" w:eastAsia="Arial" w:hAnsi="Arial"/>
          <w:sz w:val="22"/>
          <w:szCs w:val="22"/>
          <w:color w:val="auto"/>
        </w:rPr>
        <w:t xml:space="preserve"> not use </w:t>
      </w:r>
      <w:r>
        <w:rPr>
          <w:rFonts w:ascii="Arial" w:cs="Arial" w:eastAsia="Arial" w:hAnsi="Arial"/>
          <w:sz w:val="22"/>
          <w:szCs w:val="22"/>
          <w:color w:val="0E0E0E"/>
        </w:rPr>
        <w:t>the</w:t>
      </w:r>
      <w:r>
        <w:rPr>
          <w:rFonts w:ascii="Arial" w:cs="Arial" w:eastAsia="Arial" w:hAnsi="Arial"/>
          <w:sz w:val="22"/>
          <w:szCs w:val="22"/>
          <w:color w:val="auto"/>
        </w:rPr>
        <w:t xml:space="preserve"> Premises, or permit or </w:t>
      </w:r>
      <w:r>
        <w:rPr>
          <w:rFonts w:ascii="Arial" w:cs="Arial" w:eastAsia="Arial" w:hAnsi="Arial"/>
          <w:sz w:val="22"/>
          <w:szCs w:val="22"/>
          <w:color w:val="343434"/>
        </w:rPr>
        <w:t xml:space="preserve">suffer </w:t>
      </w:r>
      <w:r>
        <w:rPr>
          <w:rFonts w:ascii="Arial" w:cs="Arial" w:eastAsia="Arial" w:hAnsi="Arial"/>
          <w:sz w:val="22"/>
          <w:szCs w:val="22"/>
          <w:color w:val="000000"/>
        </w:rPr>
        <w:t>the</w:t>
      </w:r>
      <w:r>
        <w:rPr>
          <w:rFonts w:ascii="Arial" w:cs="Arial" w:eastAsia="Arial" w:hAnsi="Arial"/>
          <w:sz w:val="22"/>
          <w:szCs w:val="22"/>
          <w:color w:val="343434"/>
        </w:rPr>
        <w:t xml:space="preserve"> Premises </w:t>
      </w:r>
      <w:r>
        <w:rPr>
          <w:rFonts w:ascii="Arial" w:cs="Arial" w:eastAsia="Arial" w:hAnsi="Arial"/>
          <w:sz w:val="22"/>
          <w:szCs w:val="22"/>
          <w:color w:val="000000"/>
        </w:rPr>
        <w:t>to</w:t>
      </w:r>
      <w:r>
        <w:rPr>
          <w:rFonts w:ascii="Arial" w:cs="Arial" w:eastAsia="Arial" w:hAnsi="Arial"/>
          <w:sz w:val="22"/>
          <w:szCs w:val="22"/>
          <w:color w:val="343434"/>
        </w:rPr>
        <w:t xml:space="preserve"> </w:t>
      </w:r>
      <w:r>
        <w:rPr>
          <w:rFonts w:ascii="Arial" w:cs="Arial" w:eastAsia="Arial" w:hAnsi="Arial"/>
          <w:sz w:val="22"/>
          <w:szCs w:val="22"/>
          <w:color w:val="0E0E0E"/>
        </w:rPr>
        <w:t>be</w:t>
      </w:r>
      <w:r>
        <w:rPr>
          <w:rFonts w:ascii="Arial" w:cs="Arial" w:eastAsia="Arial" w:hAnsi="Arial"/>
          <w:sz w:val="22"/>
          <w:szCs w:val="22"/>
          <w:color w:val="343434"/>
        </w:rPr>
        <w:t xml:space="preserve"> used, </w:t>
      </w:r>
      <w:r>
        <w:rPr>
          <w:rFonts w:ascii="Arial" w:cs="Arial" w:eastAsia="Arial" w:hAnsi="Arial"/>
          <w:sz w:val="22"/>
          <w:szCs w:val="22"/>
          <w:color w:val="000000"/>
        </w:rPr>
        <w:t>for any other purpose without Landlord’s</w:t>
      </w:r>
      <w:r>
        <w:rPr>
          <w:rFonts w:ascii="Arial" w:cs="Arial" w:eastAsia="Arial" w:hAnsi="Arial"/>
          <w:sz w:val="22"/>
          <w:szCs w:val="22"/>
          <w:color w:val="343434"/>
        </w:rPr>
        <w:t xml:space="preserve"> </w:t>
      </w:r>
      <w:r>
        <w:rPr>
          <w:rFonts w:ascii="Arial" w:cs="Arial" w:eastAsia="Arial" w:hAnsi="Arial"/>
          <w:sz w:val="22"/>
          <w:szCs w:val="22"/>
          <w:color w:val="0E0E0E"/>
        </w:rPr>
        <w:t>prior</w:t>
      </w:r>
      <w:r>
        <w:rPr>
          <w:rFonts w:ascii="Arial" w:cs="Arial" w:eastAsia="Arial" w:hAnsi="Arial"/>
          <w:sz w:val="22"/>
          <w:szCs w:val="22"/>
          <w:color w:val="343434"/>
        </w:rPr>
        <w:t xml:space="preserve"> </w:t>
      </w:r>
      <w:r>
        <w:rPr>
          <w:rFonts w:ascii="Arial" w:cs="Arial" w:eastAsia="Arial" w:hAnsi="Arial"/>
          <w:sz w:val="22"/>
          <w:szCs w:val="22"/>
          <w:color w:val="000000"/>
        </w:rPr>
        <w:t>written consent, which consent</w:t>
      </w:r>
      <w:r>
        <w:rPr>
          <w:rFonts w:ascii="Arial" w:cs="Arial" w:eastAsia="Arial" w:hAnsi="Arial"/>
          <w:sz w:val="22"/>
          <w:szCs w:val="22"/>
          <w:color w:val="343434"/>
        </w:rPr>
        <w:t xml:space="preserve"> </w:t>
      </w:r>
      <w:r>
        <w:rPr>
          <w:rFonts w:ascii="Arial" w:cs="Arial" w:eastAsia="Arial" w:hAnsi="Arial"/>
          <w:sz w:val="22"/>
          <w:szCs w:val="22"/>
          <w:color w:val="000000"/>
        </w:rPr>
        <w:t xml:space="preserve">Landlord may withhold </w:t>
      </w:r>
      <w:r>
        <w:rPr>
          <w:rFonts w:ascii="Arial" w:cs="Arial" w:eastAsia="Arial" w:hAnsi="Arial"/>
          <w:sz w:val="22"/>
          <w:szCs w:val="22"/>
          <w:color w:val="0E0E0E"/>
        </w:rPr>
        <w:t>in its</w:t>
      </w:r>
      <w:r>
        <w:rPr>
          <w:rFonts w:ascii="Arial" w:cs="Arial" w:eastAsia="Arial" w:hAnsi="Arial"/>
          <w:sz w:val="22"/>
          <w:szCs w:val="22"/>
          <w:color w:val="000000"/>
        </w:rPr>
        <w:t xml:space="preserve"> </w:t>
      </w:r>
      <w:r>
        <w:rPr>
          <w:rFonts w:ascii="Arial" w:cs="Arial" w:eastAsia="Arial" w:hAnsi="Arial"/>
          <w:sz w:val="22"/>
          <w:szCs w:val="22"/>
          <w:color w:val="343434"/>
        </w:rPr>
        <w:t>sole</w:t>
      </w:r>
      <w:r>
        <w:rPr>
          <w:rFonts w:ascii="Arial" w:cs="Arial" w:eastAsia="Arial" w:hAnsi="Arial"/>
          <w:sz w:val="22"/>
          <w:szCs w:val="22"/>
          <w:color w:val="000000"/>
        </w:rPr>
        <w:t xml:space="preserve"> and absolute discretion.</w:t>
      </w:r>
    </w:p>
    <w:p>
      <w:pPr>
        <w:spacing w:after="0" w:line="158" w:lineRule="exact"/>
        <w:rPr>
          <w:rFonts w:ascii="Arial" w:cs="Arial" w:eastAsia="Arial" w:hAnsi="Arial"/>
          <w:sz w:val="22"/>
          <w:szCs w:val="22"/>
          <w:color w:val="auto"/>
        </w:rPr>
      </w:pPr>
    </w:p>
    <w:p>
      <w:pPr>
        <w:ind w:left="1300" w:hanging="648"/>
        <w:spacing w:after="0" w:line="249" w:lineRule="auto"/>
        <w:rPr>
          <w:rFonts w:ascii="Arial" w:cs="Arial" w:eastAsia="Arial" w:hAnsi="Arial"/>
          <w:sz w:val="22"/>
          <w:szCs w:val="22"/>
          <w:color w:val="auto"/>
        </w:rPr>
      </w:pPr>
      <w:r>
        <w:rPr>
          <w:rFonts w:ascii="Arial" w:cs="Arial" w:eastAsia="Arial" w:hAnsi="Arial"/>
          <w:sz w:val="19"/>
          <w:szCs w:val="19"/>
          <w:color w:val="auto"/>
        </w:rPr>
        <w:t xml:space="preserve">12.2 Tenant shall </w:t>
      </w:r>
      <w:r>
        <w:rPr>
          <w:rFonts w:ascii="Arial" w:cs="Arial" w:eastAsia="Arial" w:hAnsi="Arial"/>
          <w:sz w:val="19"/>
          <w:szCs w:val="19"/>
          <w:color w:val="0E0E0E"/>
        </w:rPr>
        <w:t>not use</w:t>
      </w:r>
      <w:r>
        <w:rPr>
          <w:rFonts w:ascii="Arial" w:cs="Arial" w:eastAsia="Arial" w:hAnsi="Arial"/>
          <w:sz w:val="19"/>
          <w:szCs w:val="19"/>
          <w:color w:val="auto"/>
        </w:rPr>
        <w:t xml:space="preserve"> or occupy the </w:t>
      </w:r>
      <w:r>
        <w:rPr>
          <w:rFonts w:ascii="Arial" w:cs="Arial" w:eastAsia="Arial" w:hAnsi="Arial"/>
          <w:sz w:val="19"/>
          <w:szCs w:val="19"/>
          <w:color w:val="0E0E0E"/>
        </w:rPr>
        <w:t>Premises in</w:t>
      </w:r>
      <w:r>
        <w:rPr>
          <w:rFonts w:ascii="Arial" w:cs="Arial" w:eastAsia="Arial" w:hAnsi="Arial"/>
          <w:sz w:val="19"/>
          <w:szCs w:val="19"/>
          <w:color w:val="auto"/>
        </w:rPr>
        <w:t xml:space="preserve"> violation of Applicable </w:t>
      </w:r>
      <w:r>
        <w:rPr>
          <w:rFonts w:ascii="Arial" w:cs="Arial" w:eastAsia="Arial" w:hAnsi="Arial"/>
          <w:sz w:val="19"/>
          <w:szCs w:val="19"/>
          <w:color w:val="0E0E0E"/>
        </w:rPr>
        <w:t>Laws;</w:t>
      </w:r>
      <w:r>
        <w:rPr>
          <w:rFonts w:ascii="Arial" w:cs="Arial" w:eastAsia="Arial" w:hAnsi="Arial"/>
          <w:sz w:val="19"/>
          <w:szCs w:val="19"/>
          <w:color w:val="auto"/>
        </w:rPr>
        <w:t xml:space="preserve"> </w:t>
      </w:r>
      <w:r>
        <w:rPr>
          <w:rFonts w:ascii="Arial" w:cs="Arial" w:eastAsia="Arial" w:hAnsi="Arial"/>
          <w:sz w:val="19"/>
          <w:szCs w:val="19"/>
          <w:color w:val="343434"/>
        </w:rPr>
        <w:t>zoning</w:t>
      </w:r>
      <w:r>
        <w:rPr>
          <w:rFonts w:ascii="Arial" w:cs="Arial" w:eastAsia="Arial" w:hAnsi="Arial"/>
          <w:sz w:val="19"/>
          <w:szCs w:val="19"/>
          <w:color w:val="auto"/>
        </w:rPr>
        <w:t xml:space="preserve"> ordinances; or </w:t>
      </w:r>
      <w:r>
        <w:rPr>
          <w:rFonts w:ascii="Arial" w:cs="Arial" w:eastAsia="Arial" w:hAnsi="Arial"/>
          <w:sz w:val="19"/>
          <w:szCs w:val="19"/>
          <w:color w:val="0E0E0E"/>
        </w:rPr>
        <w:t>the</w:t>
      </w:r>
      <w:r>
        <w:rPr>
          <w:rFonts w:ascii="Arial" w:cs="Arial" w:eastAsia="Arial" w:hAnsi="Arial"/>
          <w:sz w:val="19"/>
          <w:szCs w:val="19"/>
          <w:color w:val="auto"/>
        </w:rPr>
        <w:t xml:space="preserve"> certificate of occupancy issued for </w:t>
      </w:r>
      <w:r>
        <w:rPr>
          <w:rFonts w:ascii="Arial" w:cs="Arial" w:eastAsia="Arial" w:hAnsi="Arial"/>
          <w:sz w:val="19"/>
          <w:szCs w:val="19"/>
          <w:color w:val="0E0E0E"/>
        </w:rPr>
        <w:t>the Building</w:t>
      </w:r>
      <w:r>
        <w:rPr>
          <w:rFonts w:ascii="Arial" w:cs="Arial" w:eastAsia="Arial" w:hAnsi="Arial"/>
          <w:sz w:val="19"/>
          <w:szCs w:val="19"/>
          <w:color w:val="auto"/>
        </w:rPr>
        <w:t xml:space="preserve"> or the </w:t>
      </w:r>
      <w:r>
        <w:rPr>
          <w:rFonts w:ascii="Arial" w:cs="Arial" w:eastAsia="Arial" w:hAnsi="Arial"/>
          <w:sz w:val="19"/>
          <w:szCs w:val="19"/>
          <w:color w:val="0E0E0E"/>
        </w:rPr>
        <w:t>Project,</w:t>
      </w:r>
      <w:r>
        <w:rPr>
          <w:rFonts w:ascii="Arial" w:cs="Arial" w:eastAsia="Arial" w:hAnsi="Arial"/>
          <w:sz w:val="19"/>
          <w:szCs w:val="19"/>
          <w:color w:val="auto"/>
        </w:rPr>
        <w:t xml:space="preserve"> and </w:t>
      </w:r>
      <w:r>
        <w:rPr>
          <w:rFonts w:ascii="Arial" w:cs="Arial" w:eastAsia="Arial" w:hAnsi="Arial"/>
          <w:sz w:val="19"/>
          <w:szCs w:val="19"/>
          <w:color w:val="343434"/>
        </w:rPr>
        <w:t>shall,</w:t>
      </w:r>
      <w:r>
        <w:rPr>
          <w:rFonts w:ascii="Arial" w:cs="Arial" w:eastAsia="Arial" w:hAnsi="Arial"/>
          <w:sz w:val="19"/>
          <w:szCs w:val="19"/>
          <w:color w:val="auto"/>
        </w:rPr>
        <w:t xml:space="preserve"> </w:t>
      </w:r>
      <w:r>
        <w:rPr>
          <w:rFonts w:ascii="Arial" w:cs="Arial" w:eastAsia="Arial" w:hAnsi="Arial"/>
          <w:sz w:val="19"/>
          <w:szCs w:val="19"/>
          <w:color w:val="0E0E0E"/>
        </w:rPr>
        <w:t>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days’ written notice from Landlord, discontinue any </w:t>
      </w:r>
      <w:r>
        <w:rPr>
          <w:rFonts w:ascii="Arial" w:cs="Arial" w:eastAsia="Arial" w:hAnsi="Arial"/>
          <w:sz w:val="19"/>
          <w:szCs w:val="19"/>
          <w:color w:val="343434"/>
        </w:rPr>
        <w:t>use</w:t>
      </w:r>
      <w:r>
        <w:rPr>
          <w:rFonts w:ascii="Arial" w:cs="Arial" w:eastAsia="Arial" w:hAnsi="Arial"/>
          <w:sz w:val="19"/>
          <w:szCs w:val="19"/>
          <w:color w:val="auto"/>
        </w:rPr>
        <w:t xml:space="preserve"> of the Premises </w:t>
      </w:r>
      <w:r>
        <w:rPr>
          <w:rFonts w:ascii="Arial" w:cs="Arial" w:eastAsia="Arial" w:hAnsi="Arial"/>
          <w:sz w:val="19"/>
          <w:szCs w:val="19"/>
          <w:color w:val="343434"/>
        </w:rPr>
        <w:t>that</w:t>
      </w:r>
      <w:r>
        <w:rPr>
          <w:rFonts w:ascii="Arial" w:cs="Arial" w:eastAsia="Arial" w:hAnsi="Arial"/>
          <w:sz w:val="19"/>
          <w:szCs w:val="19"/>
          <w:color w:val="auto"/>
        </w:rPr>
        <w:t xml:space="preserve"> is declared or claimed </w:t>
      </w:r>
      <w:r>
        <w:rPr>
          <w:rFonts w:ascii="Arial" w:cs="Arial" w:eastAsia="Arial" w:hAnsi="Arial"/>
          <w:sz w:val="19"/>
          <w:szCs w:val="19"/>
          <w:color w:val="0E0E0E"/>
        </w:rPr>
        <w:t>by</w:t>
      </w:r>
      <w:r>
        <w:rPr>
          <w:rFonts w:ascii="Arial" w:cs="Arial" w:eastAsia="Arial" w:hAnsi="Arial"/>
          <w:sz w:val="19"/>
          <w:szCs w:val="19"/>
          <w:color w:val="auto"/>
        </w:rPr>
        <w:t xml:space="preserve"> any Governmental </w:t>
      </w:r>
      <w:r>
        <w:rPr>
          <w:rFonts w:ascii="Arial" w:cs="Arial" w:eastAsia="Arial" w:hAnsi="Arial"/>
          <w:sz w:val="19"/>
          <w:szCs w:val="19"/>
          <w:color w:val="343434"/>
        </w:rPr>
        <w:t>Authority</w:t>
      </w:r>
      <w:r>
        <w:rPr>
          <w:rFonts w:ascii="Arial" w:cs="Arial" w:eastAsia="Arial" w:hAnsi="Arial"/>
          <w:sz w:val="19"/>
          <w:szCs w:val="19"/>
          <w:color w:val="auto"/>
        </w:rPr>
        <w:t xml:space="preserve"> </w:t>
      </w:r>
      <w:r>
        <w:rPr>
          <w:rFonts w:ascii="Arial" w:cs="Arial" w:eastAsia="Arial" w:hAnsi="Arial"/>
          <w:sz w:val="19"/>
          <w:szCs w:val="19"/>
          <w:color w:val="0E0E0E"/>
        </w:rPr>
        <w:t>having jurisdiction</w:t>
      </w:r>
      <w:r>
        <w:rPr>
          <w:rFonts w:ascii="Arial" w:cs="Arial" w:eastAsia="Arial" w:hAnsi="Arial"/>
          <w:sz w:val="19"/>
          <w:szCs w:val="19"/>
          <w:color w:val="auto"/>
        </w:rPr>
        <w:t xml:space="preserve"> </w:t>
      </w:r>
      <w:r>
        <w:rPr>
          <w:rFonts w:ascii="Arial" w:cs="Arial" w:eastAsia="Arial" w:hAnsi="Arial"/>
          <w:sz w:val="19"/>
          <w:szCs w:val="19"/>
          <w:color w:val="0E0E0E"/>
        </w:rPr>
        <w:t xml:space="preserve">to be </w:t>
      </w:r>
      <w:r>
        <w:rPr>
          <w:rFonts w:ascii="Arial" w:cs="Arial" w:eastAsia="Arial" w:hAnsi="Arial"/>
          <w:sz w:val="19"/>
          <w:szCs w:val="19"/>
          <w:color w:val="000000"/>
        </w:rPr>
        <w:t>a violation of any</w:t>
      </w:r>
      <w:r>
        <w:rPr>
          <w:rFonts w:ascii="Arial" w:cs="Arial" w:eastAsia="Arial" w:hAnsi="Arial"/>
          <w:sz w:val="19"/>
          <w:szCs w:val="19"/>
          <w:color w:val="0E0E0E"/>
        </w:rPr>
        <w:t xml:space="preserve"> of the </w:t>
      </w:r>
      <w:r>
        <w:rPr>
          <w:rFonts w:ascii="Arial" w:cs="Arial" w:eastAsia="Arial" w:hAnsi="Arial"/>
          <w:sz w:val="19"/>
          <w:szCs w:val="19"/>
          <w:color w:val="343434"/>
        </w:rPr>
        <w:t>above.</w:t>
      </w:r>
      <w:r>
        <w:rPr>
          <w:rFonts w:ascii="Arial" w:cs="Arial" w:eastAsia="Arial" w:hAnsi="Arial"/>
          <w:sz w:val="19"/>
          <w:szCs w:val="19"/>
          <w:color w:val="0E0E0E"/>
        </w:rPr>
        <w:t xml:space="preserve"> </w:t>
      </w:r>
      <w:r>
        <w:rPr>
          <w:rFonts w:ascii="Arial" w:cs="Arial" w:eastAsia="Arial" w:hAnsi="Arial"/>
          <w:sz w:val="19"/>
          <w:szCs w:val="19"/>
          <w:color w:val="000000"/>
        </w:rPr>
        <w:t>Tenant shall comply with any direction of</w:t>
      </w:r>
      <w:r>
        <w:rPr>
          <w:rFonts w:ascii="Arial" w:cs="Arial" w:eastAsia="Arial" w:hAnsi="Arial"/>
          <w:sz w:val="19"/>
          <w:szCs w:val="19"/>
          <w:color w:val="0E0E0E"/>
        </w:rPr>
        <w:t xml:space="preserve"> any Governmental </w:t>
      </w:r>
      <w:r>
        <w:rPr>
          <w:rFonts w:ascii="Arial" w:cs="Arial" w:eastAsia="Arial" w:hAnsi="Arial"/>
          <w:sz w:val="19"/>
          <w:szCs w:val="19"/>
          <w:color w:val="000000"/>
        </w:rPr>
        <w:t>Authority</w:t>
      </w:r>
      <w:r>
        <w:rPr>
          <w:rFonts w:ascii="Arial" w:cs="Arial" w:eastAsia="Arial" w:hAnsi="Arial"/>
          <w:sz w:val="19"/>
          <w:szCs w:val="19"/>
          <w:color w:val="0E0E0E"/>
        </w:rPr>
        <w:t xml:space="preserve"> </w:t>
      </w:r>
      <w:r>
        <w:rPr>
          <w:rFonts w:ascii="Arial" w:cs="Arial" w:eastAsia="Arial" w:hAnsi="Arial"/>
          <w:sz w:val="19"/>
          <w:szCs w:val="19"/>
          <w:color w:val="000000"/>
        </w:rPr>
        <w:t xml:space="preserve">having jurisdiction </w:t>
      </w:r>
      <w:r>
        <w:rPr>
          <w:rFonts w:ascii="Arial" w:cs="Arial" w:eastAsia="Arial" w:hAnsi="Arial"/>
          <w:sz w:val="19"/>
          <w:szCs w:val="19"/>
          <w:color w:val="0E0E0E"/>
        </w:rPr>
        <w:t>that</w:t>
      </w:r>
      <w:r>
        <w:rPr>
          <w:rFonts w:ascii="Arial" w:cs="Arial" w:eastAsia="Arial" w:hAnsi="Arial"/>
          <w:sz w:val="19"/>
          <w:szCs w:val="19"/>
          <w:color w:val="000000"/>
        </w:rPr>
        <w:t xml:space="preserve"> </w:t>
      </w:r>
      <w:r>
        <w:rPr>
          <w:rFonts w:ascii="Arial" w:cs="Arial" w:eastAsia="Arial" w:hAnsi="Arial"/>
          <w:sz w:val="19"/>
          <w:szCs w:val="19"/>
          <w:color w:val="343434"/>
        </w:rPr>
        <w:t>shall,</w:t>
      </w:r>
      <w:r>
        <w:rPr>
          <w:rFonts w:ascii="Arial" w:cs="Arial" w:eastAsia="Arial" w:hAnsi="Arial"/>
          <w:sz w:val="19"/>
          <w:szCs w:val="19"/>
          <w:color w:val="000000"/>
        </w:rPr>
        <w:t xml:space="preserve"> by reason of the </w:t>
      </w:r>
      <w:r>
        <w:rPr>
          <w:rFonts w:ascii="Arial" w:cs="Arial" w:eastAsia="Arial" w:hAnsi="Arial"/>
          <w:sz w:val="19"/>
          <w:szCs w:val="19"/>
          <w:color w:val="0E0E0E"/>
        </w:rPr>
        <w:t>nature</w:t>
      </w:r>
      <w:r>
        <w:rPr>
          <w:rFonts w:ascii="Arial" w:cs="Arial" w:eastAsia="Arial" w:hAnsi="Arial"/>
          <w:sz w:val="19"/>
          <w:szCs w:val="19"/>
          <w:color w:val="000000"/>
        </w:rPr>
        <w:t xml:space="preserve"> of Tenant’s use or occupancy of the Premises, </w:t>
      </w:r>
      <w:r>
        <w:rPr>
          <w:rFonts w:ascii="Arial" w:cs="Arial" w:eastAsia="Arial" w:hAnsi="Arial"/>
          <w:sz w:val="19"/>
          <w:szCs w:val="19"/>
          <w:color w:val="343434"/>
        </w:rPr>
        <w:t>impose</w:t>
      </w:r>
      <w:r>
        <w:rPr>
          <w:rFonts w:ascii="Arial" w:cs="Arial" w:eastAsia="Arial" w:hAnsi="Arial"/>
          <w:sz w:val="19"/>
          <w:szCs w:val="19"/>
          <w:color w:val="000000"/>
        </w:rPr>
        <w:t xml:space="preserve"> any duty upon Tenant or Landlord with respect </w:t>
      </w:r>
      <w:r>
        <w:rPr>
          <w:rFonts w:ascii="Arial" w:cs="Arial" w:eastAsia="Arial" w:hAnsi="Arial"/>
          <w:sz w:val="19"/>
          <w:szCs w:val="19"/>
          <w:color w:val="0E0E0E"/>
        </w:rPr>
        <w:t>to</w:t>
      </w:r>
      <w:r>
        <w:rPr>
          <w:rFonts w:ascii="Arial" w:cs="Arial" w:eastAsia="Arial" w:hAnsi="Arial"/>
          <w:sz w:val="19"/>
          <w:szCs w:val="19"/>
          <w:color w:val="000000"/>
        </w:rPr>
        <w:t xml:space="preserve"> the Premises or </w:t>
      </w:r>
      <w:r>
        <w:rPr>
          <w:rFonts w:ascii="Arial" w:cs="Arial" w:eastAsia="Arial" w:hAnsi="Arial"/>
          <w:sz w:val="19"/>
          <w:szCs w:val="19"/>
          <w:color w:val="343434"/>
        </w:rPr>
        <w:t>with</w:t>
      </w:r>
      <w:r>
        <w:rPr>
          <w:rFonts w:ascii="Arial" w:cs="Arial" w:eastAsia="Arial" w:hAnsi="Arial"/>
          <w:sz w:val="19"/>
          <w:szCs w:val="19"/>
          <w:color w:val="000000"/>
        </w:rPr>
        <w:t xml:space="preserve"> </w:t>
      </w:r>
      <w:r>
        <w:rPr>
          <w:rFonts w:ascii="Arial" w:cs="Arial" w:eastAsia="Arial" w:hAnsi="Arial"/>
          <w:sz w:val="19"/>
          <w:szCs w:val="19"/>
          <w:color w:val="0E0E0E"/>
        </w:rPr>
        <w:t>respect to</w:t>
      </w:r>
      <w:r>
        <w:rPr>
          <w:rFonts w:ascii="Arial" w:cs="Arial" w:eastAsia="Arial" w:hAnsi="Arial"/>
          <w:sz w:val="19"/>
          <w:szCs w:val="19"/>
          <w:color w:val="000000"/>
        </w:rPr>
        <w:t xml:space="preserve"> the use or </w:t>
      </w:r>
      <w:r>
        <w:rPr>
          <w:rFonts w:ascii="Arial" w:cs="Arial" w:eastAsia="Arial" w:hAnsi="Arial"/>
          <w:sz w:val="19"/>
          <w:szCs w:val="19"/>
          <w:color w:val="0E0E0E"/>
        </w:rPr>
        <w:t>occupation thereof.</w:t>
      </w:r>
    </w:p>
    <w:p>
      <w:pPr>
        <w:spacing w:after="0" w:line="151" w:lineRule="exact"/>
        <w:rPr>
          <w:rFonts w:ascii="Arial" w:cs="Arial" w:eastAsia="Arial" w:hAnsi="Arial"/>
          <w:sz w:val="22"/>
          <w:szCs w:val="22"/>
          <w:color w:val="auto"/>
        </w:rPr>
      </w:pPr>
    </w:p>
    <w:p>
      <w:pPr>
        <w:ind w:left="1300" w:right="20" w:hanging="648"/>
        <w:spacing w:after="0" w:line="252" w:lineRule="auto"/>
        <w:rPr>
          <w:rFonts w:ascii="Arial" w:cs="Arial" w:eastAsia="Arial" w:hAnsi="Arial"/>
          <w:sz w:val="22"/>
          <w:szCs w:val="22"/>
          <w:color w:val="auto"/>
        </w:rPr>
      </w:pPr>
      <w:r>
        <w:rPr>
          <w:rFonts w:ascii="Arial" w:cs="Arial" w:eastAsia="Arial" w:hAnsi="Arial"/>
          <w:sz w:val="19"/>
          <w:szCs w:val="19"/>
          <w:color w:val="auto"/>
        </w:rPr>
        <w:t xml:space="preserve">12.3 </w:t>
      </w:r>
      <w:r>
        <w:rPr>
          <w:rFonts w:ascii="Arial" w:cs="Arial" w:eastAsia="Arial" w:hAnsi="Arial"/>
          <w:sz w:val="19"/>
          <w:szCs w:val="19"/>
          <w:color w:val="0E0E0E"/>
        </w:rPr>
        <w:t>Tenant</w:t>
      </w:r>
      <w:r>
        <w:rPr>
          <w:rFonts w:ascii="Arial" w:cs="Arial" w:eastAsia="Arial" w:hAnsi="Arial"/>
          <w:sz w:val="19"/>
          <w:szCs w:val="19"/>
          <w:color w:val="auto"/>
        </w:rPr>
        <w:t xml:space="preserve"> shall not </w:t>
      </w:r>
      <w:r>
        <w:rPr>
          <w:rFonts w:ascii="Arial" w:cs="Arial" w:eastAsia="Arial" w:hAnsi="Arial"/>
          <w:sz w:val="19"/>
          <w:szCs w:val="19"/>
          <w:color w:val="343434"/>
        </w:rPr>
        <w:t>do</w:t>
      </w:r>
      <w:r>
        <w:rPr>
          <w:rFonts w:ascii="Arial" w:cs="Arial" w:eastAsia="Arial" w:hAnsi="Arial"/>
          <w:sz w:val="19"/>
          <w:szCs w:val="19"/>
          <w:color w:val="auto"/>
        </w:rPr>
        <w:t xml:space="preserve"> or </w:t>
      </w:r>
      <w:r>
        <w:rPr>
          <w:rFonts w:ascii="Arial" w:cs="Arial" w:eastAsia="Arial" w:hAnsi="Arial"/>
          <w:sz w:val="19"/>
          <w:szCs w:val="19"/>
          <w:color w:val="343434"/>
        </w:rPr>
        <w:t>permit</w:t>
      </w:r>
      <w:r>
        <w:rPr>
          <w:rFonts w:ascii="Arial" w:cs="Arial" w:eastAsia="Arial" w:hAnsi="Arial"/>
          <w:sz w:val="19"/>
          <w:szCs w:val="19"/>
          <w:color w:val="auto"/>
        </w:rPr>
        <w:t xml:space="preserve"> </w:t>
      </w:r>
      <w:r>
        <w:rPr>
          <w:rFonts w:ascii="Arial" w:cs="Arial" w:eastAsia="Arial" w:hAnsi="Arial"/>
          <w:sz w:val="19"/>
          <w:szCs w:val="19"/>
          <w:color w:val="0E0E0E"/>
        </w:rPr>
        <w:t>to be</w:t>
      </w:r>
      <w:r>
        <w:rPr>
          <w:rFonts w:ascii="Arial" w:cs="Arial" w:eastAsia="Arial" w:hAnsi="Arial"/>
          <w:sz w:val="19"/>
          <w:szCs w:val="19"/>
          <w:color w:val="auto"/>
        </w:rPr>
        <w:t xml:space="preserve"> done anything that will (a) invalidate or (b) increase </w:t>
      </w:r>
      <w:r>
        <w:rPr>
          <w:rFonts w:ascii="Arial" w:cs="Arial" w:eastAsia="Arial" w:hAnsi="Arial"/>
          <w:sz w:val="19"/>
          <w:szCs w:val="19"/>
          <w:color w:val="343434"/>
        </w:rPr>
        <w:t>the</w:t>
      </w:r>
      <w:r>
        <w:rPr>
          <w:rFonts w:ascii="Arial" w:cs="Arial" w:eastAsia="Arial" w:hAnsi="Arial"/>
          <w:sz w:val="19"/>
          <w:szCs w:val="19"/>
          <w:color w:val="auto"/>
        </w:rPr>
        <w:t xml:space="preserve"> cost of (unless </w:t>
      </w:r>
      <w:r>
        <w:rPr>
          <w:rFonts w:ascii="Arial" w:cs="Arial" w:eastAsia="Arial" w:hAnsi="Arial"/>
          <w:sz w:val="19"/>
          <w:szCs w:val="19"/>
          <w:color w:val="343434"/>
        </w:rPr>
        <w:t>Tenant</w:t>
      </w:r>
      <w:r>
        <w:rPr>
          <w:rFonts w:ascii="Arial" w:cs="Arial" w:eastAsia="Arial" w:hAnsi="Arial"/>
          <w:sz w:val="19"/>
          <w:szCs w:val="19"/>
          <w:color w:val="auto"/>
        </w:rPr>
        <w:t xml:space="preserve"> </w:t>
      </w:r>
      <w:r>
        <w:rPr>
          <w:rFonts w:ascii="Arial" w:cs="Arial" w:eastAsia="Arial" w:hAnsi="Arial"/>
          <w:sz w:val="19"/>
          <w:szCs w:val="19"/>
          <w:color w:val="343434"/>
        </w:rPr>
        <w:t xml:space="preserve">agrees </w:t>
      </w:r>
      <w:r>
        <w:rPr>
          <w:rFonts w:ascii="Arial" w:cs="Arial" w:eastAsia="Arial" w:hAnsi="Arial"/>
          <w:sz w:val="19"/>
          <w:szCs w:val="19"/>
          <w:color w:val="0E0E0E"/>
        </w:rPr>
        <w:t>to</w:t>
      </w:r>
      <w:r>
        <w:rPr>
          <w:rFonts w:ascii="Arial" w:cs="Arial" w:eastAsia="Arial" w:hAnsi="Arial"/>
          <w:sz w:val="19"/>
          <w:szCs w:val="19"/>
          <w:color w:val="343434"/>
        </w:rPr>
        <w:t xml:space="preserve"> </w:t>
      </w:r>
      <w:r>
        <w:rPr>
          <w:rFonts w:ascii="Arial" w:cs="Arial" w:eastAsia="Arial" w:hAnsi="Arial"/>
          <w:sz w:val="19"/>
          <w:szCs w:val="19"/>
          <w:color w:val="000000"/>
        </w:rPr>
        <w:t>pay for</w:t>
      </w:r>
      <w:r>
        <w:rPr>
          <w:rFonts w:ascii="Arial" w:cs="Arial" w:eastAsia="Arial" w:hAnsi="Arial"/>
          <w:sz w:val="19"/>
          <w:szCs w:val="19"/>
          <w:color w:val="343434"/>
        </w:rPr>
        <w:t xml:space="preserve"> </w:t>
      </w:r>
      <w:r>
        <w:rPr>
          <w:rFonts w:ascii="Arial" w:cs="Arial" w:eastAsia="Arial" w:hAnsi="Arial"/>
          <w:sz w:val="19"/>
          <w:szCs w:val="19"/>
          <w:color w:val="0E0E0E"/>
        </w:rPr>
        <w:t>the</w:t>
      </w:r>
      <w:r>
        <w:rPr>
          <w:rFonts w:ascii="Arial" w:cs="Arial" w:eastAsia="Arial" w:hAnsi="Arial"/>
          <w:sz w:val="19"/>
          <w:szCs w:val="19"/>
          <w:color w:val="343434"/>
        </w:rPr>
        <w:t xml:space="preserve"> same), </w:t>
      </w:r>
      <w:r>
        <w:rPr>
          <w:rFonts w:ascii="Arial" w:cs="Arial" w:eastAsia="Arial" w:hAnsi="Arial"/>
          <w:sz w:val="19"/>
          <w:szCs w:val="19"/>
          <w:color w:val="000000"/>
        </w:rPr>
        <w:t>any fire,</w:t>
      </w:r>
      <w:r>
        <w:rPr>
          <w:rFonts w:ascii="Arial" w:cs="Arial" w:eastAsia="Arial" w:hAnsi="Arial"/>
          <w:sz w:val="19"/>
          <w:szCs w:val="19"/>
          <w:color w:val="343434"/>
        </w:rPr>
        <w:t xml:space="preserve"> </w:t>
      </w:r>
      <w:r>
        <w:rPr>
          <w:rFonts w:ascii="Arial" w:cs="Arial" w:eastAsia="Arial" w:hAnsi="Arial"/>
          <w:sz w:val="19"/>
          <w:szCs w:val="19"/>
          <w:color w:val="0E0E0E"/>
        </w:rPr>
        <w:t>environmental,</w:t>
      </w:r>
      <w:r>
        <w:rPr>
          <w:rFonts w:ascii="Arial" w:cs="Arial" w:eastAsia="Arial" w:hAnsi="Arial"/>
          <w:sz w:val="19"/>
          <w:szCs w:val="19"/>
          <w:color w:val="343434"/>
        </w:rPr>
        <w:t xml:space="preserve"> </w:t>
      </w:r>
      <w:r>
        <w:rPr>
          <w:rFonts w:ascii="Arial" w:cs="Arial" w:eastAsia="Arial" w:hAnsi="Arial"/>
          <w:sz w:val="19"/>
          <w:szCs w:val="19"/>
          <w:color w:val="000000"/>
        </w:rPr>
        <w:t>extended coverage or</w:t>
      </w:r>
      <w:r>
        <w:rPr>
          <w:rFonts w:ascii="Arial" w:cs="Arial" w:eastAsia="Arial" w:hAnsi="Arial"/>
          <w:sz w:val="19"/>
          <w:szCs w:val="19"/>
          <w:color w:val="343434"/>
        </w:rPr>
        <w:t xml:space="preserve"> any </w:t>
      </w:r>
      <w:r>
        <w:rPr>
          <w:rFonts w:ascii="Arial" w:cs="Arial" w:eastAsia="Arial" w:hAnsi="Arial"/>
          <w:sz w:val="19"/>
          <w:szCs w:val="19"/>
          <w:color w:val="000000"/>
        </w:rPr>
        <w:t>other insurance policy covering</w:t>
      </w:r>
      <w:r>
        <w:rPr>
          <w:rFonts w:ascii="Arial" w:cs="Arial" w:eastAsia="Arial" w:hAnsi="Arial"/>
          <w:sz w:val="19"/>
          <w:szCs w:val="19"/>
          <w:color w:val="343434"/>
        </w:rPr>
        <w:t xml:space="preserve"> </w:t>
      </w:r>
      <w:r>
        <w:rPr>
          <w:rFonts w:ascii="Arial" w:cs="Arial" w:eastAsia="Arial" w:hAnsi="Arial"/>
          <w:sz w:val="19"/>
          <w:szCs w:val="19"/>
          <w:color w:val="0E0E0E"/>
        </w:rPr>
        <w:t>the</w:t>
      </w:r>
      <w:r>
        <w:rPr>
          <w:rFonts w:ascii="Arial" w:cs="Arial" w:eastAsia="Arial" w:hAnsi="Arial"/>
          <w:sz w:val="19"/>
          <w:szCs w:val="19"/>
          <w:color w:val="343434"/>
        </w:rPr>
        <w:t xml:space="preserve"> </w:t>
      </w:r>
      <w:r>
        <w:rPr>
          <w:rFonts w:ascii="Arial" w:cs="Arial" w:eastAsia="Arial" w:hAnsi="Arial"/>
          <w:sz w:val="19"/>
          <w:szCs w:val="19"/>
          <w:color w:val="0E0E0E"/>
        </w:rPr>
        <w:t xml:space="preserve">Building </w:t>
      </w:r>
      <w:r>
        <w:rPr>
          <w:rFonts w:ascii="Arial" w:cs="Arial" w:eastAsia="Arial" w:hAnsi="Arial"/>
          <w:sz w:val="19"/>
          <w:szCs w:val="19"/>
          <w:color w:val="000000"/>
        </w:rPr>
        <w:t>or the</w:t>
      </w:r>
      <w:r>
        <w:rPr>
          <w:rFonts w:ascii="Arial" w:cs="Arial" w:eastAsia="Arial" w:hAnsi="Arial"/>
          <w:sz w:val="19"/>
          <w:szCs w:val="19"/>
          <w:color w:val="0E0E0E"/>
        </w:rPr>
        <w:t xml:space="preserve"> Project, </w:t>
      </w:r>
      <w:r>
        <w:rPr>
          <w:rFonts w:ascii="Arial" w:cs="Arial" w:eastAsia="Arial" w:hAnsi="Arial"/>
          <w:sz w:val="19"/>
          <w:szCs w:val="19"/>
          <w:color w:val="000000"/>
        </w:rPr>
        <w:t>and shall comply with all rules, orders,</w:t>
      </w:r>
      <w:r>
        <w:rPr>
          <w:rFonts w:ascii="Arial" w:cs="Arial" w:eastAsia="Arial" w:hAnsi="Arial"/>
          <w:sz w:val="19"/>
          <w:szCs w:val="19"/>
          <w:color w:val="0E0E0E"/>
        </w:rPr>
        <w:t xml:space="preserve"> regulations </w:t>
      </w:r>
      <w:r>
        <w:rPr>
          <w:rFonts w:ascii="Arial" w:cs="Arial" w:eastAsia="Arial" w:hAnsi="Arial"/>
          <w:sz w:val="19"/>
          <w:szCs w:val="19"/>
          <w:color w:val="000000"/>
        </w:rPr>
        <w:t>and</w:t>
      </w:r>
      <w:r>
        <w:rPr>
          <w:rFonts w:ascii="Arial" w:cs="Arial" w:eastAsia="Arial" w:hAnsi="Arial"/>
          <w:sz w:val="19"/>
          <w:szCs w:val="19"/>
          <w:color w:val="0E0E0E"/>
        </w:rPr>
        <w:t xml:space="preserve"> </w:t>
      </w:r>
      <w:r>
        <w:rPr>
          <w:rFonts w:ascii="Arial" w:cs="Arial" w:eastAsia="Arial" w:hAnsi="Arial"/>
          <w:sz w:val="19"/>
          <w:szCs w:val="19"/>
          <w:color w:val="343434"/>
        </w:rPr>
        <w:t>requirements</w:t>
      </w:r>
      <w:r>
        <w:rPr>
          <w:rFonts w:ascii="Arial" w:cs="Arial" w:eastAsia="Arial" w:hAnsi="Arial"/>
          <w:sz w:val="19"/>
          <w:szCs w:val="19"/>
          <w:color w:val="0E0E0E"/>
        </w:rPr>
        <w:t xml:space="preserve"> </w:t>
      </w:r>
      <w:r>
        <w:rPr>
          <w:rFonts w:ascii="Arial" w:cs="Arial" w:eastAsia="Arial" w:hAnsi="Arial"/>
          <w:sz w:val="19"/>
          <w:szCs w:val="19"/>
          <w:color w:val="000000"/>
        </w:rPr>
        <w:t>of the</w:t>
      </w:r>
      <w:r>
        <w:rPr>
          <w:rFonts w:ascii="Arial" w:cs="Arial" w:eastAsia="Arial" w:hAnsi="Arial"/>
          <w:sz w:val="19"/>
          <w:szCs w:val="19"/>
          <w:color w:val="0E0E0E"/>
        </w:rPr>
        <w:t xml:space="preserve"> insurers </w:t>
      </w:r>
      <w:r>
        <w:rPr>
          <w:rFonts w:ascii="Arial" w:cs="Arial" w:eastAsia="Arial" w:hAnsi="Arial"/>
          <w:sz w:val="19"/>
          <w:szCs w:val="19"/>
          <w:color w:val="000000"/>
        </w:rPr>
        <w:t>of</w:t>
      </w:r>
      <w:r>
        <w:rPr>
          <w:rFonts w:ascii="Arial" w:cs="Arial" w:eastAsia="Arial" w:hAnsi="Arial"/>
          <w:sz w:val="19"/>
          <w:szCs w:val="19"/>
          <w:color w:val="0E0E0E"/>
        </w:rPr>
        <w:t xml:space="preserve"> the Building </w:t>
      </w:r>
      <w:r>
        <w:rPr>
          <w:rFonts w:ascii="Arial" w:cs="Arial" w:eastAsia="Arial" w:hAnsi="Arial"/>
          <w:sz w:val="19"/>
          <w:szCs w:val="19"/>
          <w:color w:val="000000"/>
        </w:rPr>
        <w:t>and</w:t>
      </w:r>
      <w:r>
        <w:rPr>
          <w:rFonts w:ascii="Arial" w:cs="Arial" w:eastAsia="Arial" w:hAnsi="Arial"/>
          <w:sz w:val="19"/>
          <w:szCs w:val="19"/>
          <w:color w:val="0E0E0E"/>
        </w:rPr>
        <w:t xml:space="preserve"> the Project, </w:t>
      </w:r>
      <w:r>
        <w:rPr>
          <w:rFonts w:ascii="Arial" w:cs="Arial" w:eastAsia="Arial" w:hAnsi="Arial"/>
          <w:sz w:val="19"/>
          <w:szCs w:val="19"/>
          <w:color w:val="000000"/>
        </w:rPr>
        <w:t>and Tenant</w:t>
      </w:r>
      <w:r>
        <w:rPr>
          <w:rFonts w:ascii="Arial" w:cs="Arial" w:eastAsia="Arial" w:hAnsi="Arial"/>
          <w:sz w:val="19"/>
          <w:szCs w:val="19"/>
          <w:color w:val="0E0E0E"/>
        </w:rPr>
        <w:t xml:space="preserve"> </w:t>
      </w:r>
      <w:r>
        <w:rPr>
          <w:rFonts w:ascii="Arial" w:cs="Arial" w:eastAsia="Arial" w:hAnsi="Arial"/>
          <w:sz w:val="19"/>
          <w:szCs w:val="19"/>
          <w:color w:val="343434"/>
        </w:rPr>
        <w:t>shall</w:t>
      </w:r>
      <w:r>
        <w:rPr>
          <w:rFonts w:ascii="Arial" w:cs="Arial" w:eastAsia="Arial" w:hAnsi="Arial"/>
          <w:sz w:val="19"/>
          <w:szCs w:val="19"/>
          <w:color w:val="0E0E0E"/>
        </w:rPr>
        <w:t xml:space="preserve"> </w:t>
      </w:r>
      <w:r>
        <w:rPr>
          <w:rFonts w:ascii="Arial" w:cs="Arial" w:eastAsia="Arial" w:hAnsi="Arial"/>
          <w:sz w:val="19"/>
          <w:szCs w:val="19"/>
          <w:color w:val="000000"/>
        </w:rPr>
        <w:t>promptly, upon</w:t>
      </w:r>
      <w:r>
        <w:rPr>
          <w:rFonts w:ascii="Arial" w:cs="Arial" w:eastAsia="Arial" w:hAnsi="Arial"/>
          <w:sz w:val="19"/>
          <w:szCs w:val="19"/>
          <w:color w:val="0E0E0E"/>
        </w:rPr>
        <w:t xml:space="preserve"> demand, </w:t>
      </w:r>
      <w:r>
        <w:rPr>
          <w:rFonts w:ascii="Arial" w:cs="Arial" w:eastAsia="Arial" w:hAnsi="Arial"/>
          <w:sz w:val="19"/>
          <w:szCs w:val="19"/>
          <w:color w:val="000000"/>
        </w:rPr>
        <w:t>reimburse Landlord</w:t>
      </w:r>
      <w:r>
        <w:rPr>
          <w:rFonts w:ascii="Arial" w:cs="Arial" w:eastAsia="Arial" w:hAnsi="Arial"/>
          <w:sz w:val="19"/>
          <w:szCs w:val="19"/>
          <w:color w:val="0E0E0E"/>
        </w:rPr>
        <w:t xml:space="preserve"> for </w:t>
      </w:r>
      <w:r>
        <w:rPr>
          <w:rFonts w:ascii="Arial" w:cs="Arial" w:eastAsia="Arial" w:hAnsi="Arial"/>
          <w:sz w:val="19"/>
          <w:szCs w:val="19"/>
          <w:color w:val="000000"/>
        </w:rPr>
        <w:t>any additional</w:t>
      </w:r>
      <w:r>
        <w:rPr>
          <w:rFonts w:ascii="Arial" w:cs="Arial" w:eastAsia="Arial" w:hAnsi="Arial"/>
          <w:sz w:val="19"/>
          <w:szCs w:val="19"/>
          <w:color w:val="0E0E0E"/>
        </w:rPr>
        <w:t xml:space="preserve"> </w:t>
      </w:r>
      <w:r>
        <w:rPr>
          <w:rFonts w:ascii="Arial" w:cs="Arial" w:eastAsia="Arial" w:hAnsi="Arial"/>
          <w:sz w:val="19"/>
          <w:szCs w:val="19"/>
          <w:color w:val="000000"/>
        </w:rPr>
        <w:t xml:space="preserve">premium charged for such </w:t>
      </w:r>
      <w:r>
        <w:rPr>
          <w:rFonts w:ascii="Arial" w:cs="Arial" w:eastAsia="Arial" w:hAnsi="Arial"/>
          <w:sz w:val="19"/>
          <w:szCs w:val="19"/>
          <w:color w:val="0E0E0E"/>
        </w:rPr>
        <w:t>policy</w:t>
      </w:r>
      <w:r>
        <w:rPr>
          <w:rFonts w:ascii="Arial" w:cs="Arial" w:eastAsia="Arial" w:hAnsi="Arial"/>
          <w:sz w:val="19"/>
          <w:szCs w:val="19"/>
          <w:color w:val="000000"/>
        </w:rPr>
        <w:t xml:space="preserve"> by reason of </w:t>
      </w:r>
      <w:r>
        <w:rPr>
          <w:rFonts w:ascii="Arial" w:cs="Arial" w:eastAsia="Arial" w:hAnsi="Arial"/>
          <w:sz w:val="19"/>
          <w:szCs w:val="19"/>
          <w:color w:val="0E0E0E"/>
        </w:rPr>
        <w:t>Tenant’s</w:t>
      </w:r>
      <w:r>
        <w:rPr>
          <w:rFonts w:ascii="Arial" w:cs="Arial" w:eastAsia="Arial" w:hAnsi="Arial"/>
          <w:sz w:val="19"/>
          <w:szCs w:val="19"/>
          <w:color w:val="000000"/>
        </w:rPr>
        <w:t xml:space="preserve"> failure </w:t>
      </w:r>
      <w:r>
        <w:rPr>
          <w:rFonts w:ascii="Arial" w:cs="Arial" w:eastAsia="Arial" w:hAnsi="Arial"/>
          <w:sz w:val="19"/>
          <w:szCs w:val="19"/>
          <w:color w:val="0E0E0E"/>
        </w:rPr>
        <w:t>to</w:t>
      </w:r>
      <w:r>
        <w:rPr>
          <w:rFonts w:ascii="Arial" w:cs="Arial" w:eastAsia="Arial" w:hAnsi="Arial"/>
          <w:sz w:val="19"/>
          <w:szCs w:val="19"/>
          <w:color w:val="000000"/>
        </w:rPr>
        <w:t xml:space="preserve"> comply with </w:t>
      </w:r>
      <w:r>
        <w:rPr>
          <w:rFonts w:ascii="Arial" w:cs="Arial" w:eastAsia="Arial" w:hAnsi="Arial"/>
          <w:sz w:val="19"/>
          <w:szCs w:val="19"/>
          <w:color w:val="0E0E0E"/>
        </w:rPr>
        <w:t>the</w:t>
      </w:r>
      <w:r>
        <w:rPr>
          <w:rFonts w:ascii="Arial" w:cs="Arial" w:eastAsia="Arial" w:hAnsi="Arial"/>
          <w:sz w:val="19"/>
          <w:szCs w:val="19"/>
          <w:color w:val="000000"/>
        </w:rPr>
        <w:t xml:space="preserve"> provisions </w:t>
      </w:r>
      <w:r>
        <w:rPr>
          <w:rFonts w:ascii="Arial" w:cs="Arial" w:eastAsia="Arial" w:hAnsi="Arial"/>
          <w:sz w:val="19"/>
          <w:szCs w:val="19"/>
          <w:color w:val="0E0E0E"/>
        </w:rPr>
        <w:t>of</w:t>
      </w:r>
      <w:r>
        <w:rPr>
          <w:rFonts w:ascii="Arial" w:cs="Arial" w:eastAsia="Arial" w:hAnsi="Arial"/>
          <w:sz w:val="19"/>
          <w:szCs w:val="19"/>
          <w:color w:val="000000"/>
        </w:rPr>
        <w:t xml:space="preserve"> this </w:t>
      </w:r>
      <w:r>
        <w:rPr>
          <w:rFonts w:ascii="Arial" w:cs="Arial" w:eastAsia="Arial" w:hAnsi="Arial"/>
          <w:sz w:val="19"/>
          <w:szCs w:val="19"/>
          <w:color w:val="343434"/>
        </w:rPr>
        <w:t>Article.</w:t>
      </w:r>
    </w:p>
    <w:p>
      <w:pPr>
        <w:spacing w:after="0" w:line="148" w:lineRule="exact"/>
        <w:rPr>
          <w:rFonts w:ascii="Arial" w:cs="Arial" w:eastAsia="Arial" w:hAnsi="Arial"/>
          <w:sz w:val="22"/>
          <w:szCs w:val="22"/>
          <w:color w:val="auto"/>
        </w:rPr>
      </w:pPr>
    </w:p>
    <w:p>
      <w:pPr>
        <w:ind w:left="1300" w:hanging="648"/>
        <w:spacing w:after="0" w:line="218" w:lineRule="auto"/>
        <w:rPr>
          <w:rFonts w:ascii="Arial" w:cs="Arial" w:eastAsia="Arial" w:hAnsi="Arial"/>
          <w:sz w:val="22"/>
          <w:szCs w:val="22"/>
          <w:color w:val="auto"/>
        </w:rPr>
      </w:pPr>
      <w:r>
        <w:rPr>
          <w:rFonts w:ascii="Arial" w:cs="Arial" w:eastAsia="Arial" w:hAnsi="Arial"/>
          <w:sz w:val="22"/>
          <w:szCs w:val="22"/>
          <w:color w:val="auto"/>
        </w:rPr>
        <w:t>12.4 Tenant shall, upon termination of this Lease, return to Landlord all keys to offices and restrooms either furnished to or otherwise procured by Tenant. In the event any key so furnished to Tenant is lost, Tenant shall pay to Landlord the cost of replacing the same or of changing the lock or locks opened by such lost key if Landlord shall deem it necessary to make such change.</w:t>
      </w:r>
    </w:p>
    <w:p>
      <w:pPr>
        <w:spacing w:after="0" w:line="160" w:lineRule="exact"/>
        <w:rPr>
          <w:rFonts w:ascii="Arial" w:cs="Arial" w:eastAsia="Arial" w:hAnsi="Arial"/>
          <w:sz w:val="22"/>
          <w:szCs w:val="22"/>
          <w:color w:val="auto"/>
        </w:rPr>
      </w:pPr>
    </w:p>
    <w:p>
      <w:pPr>
        <w:ind w:left="1300" w:hanging="648"/>
        <w:spacing w:after="0" w:line="226" w:lineRule="auto"/>
        <w:rPr>
          <w:rFonts w:ascii="Arial" w:cs="Arial" w:eastAsia="Arial" w:hAnsi="Arial"/>
          <w:sz w:val="22"/>
          <w:szCs w:val="22"/>
          <w:color w:val="auto"/>
        </w:rPr>
      </w:pPr>
      <w:r>
        <w:rPr>
          <w:rFonts w:ascii="Arial" w:cs="Arial" w:eastAsia="Arial" w:hAnsi="Arial"/>
          <w:sz w:val="21"/>
          <w:szCs w:val="21"/>
          <w:color w:val="auto"/>
        </w:rPr>
        <w:t>12.5 No awnings or other projections shall be attached to any outside wall of the Building other than those existing as of the date hereof. Neither the interior nor exterior of any windows shall be coated or otherwise sunscreened without Landlord’s prior written consent. No equipment, furniture or other items of personal property other than those in existence as of the date hereof shall be placed on any exterior balcony without Landlord’s prior written consent, which consent shall not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333" w:name="page334"/>
    <w:bookmarkEnd w:id="333"/>
    <w:p>
      <w:pPr>
        <w:jc w:val="both"/>
        <w:ind w:left="1300" w:hanging="647"/>
        <w:spacing w:after="0" w:line="214" w:lineRule="auto"/>
        <w:tabs>
          <w:tab w:leader="none" w:pos="1280" w:val="left"/>
        </w:tabs>
        <w:rPr>
          <w:sz w:val="20"/>
          <w:szCs w:val="20"/>
          <w:color w:val="auto"/>
        </w:rPr>
      </w:pPr>
      <w:r>
        <w:rPr>
          <w:rFonts w:ascii="Arial" w:cs="Arial" w:eastAsia="Arial" w:hAnsi="Arial"/>
          <w:sz w:val="22"/>
          <w:szCs w:val="22"/>
          <w:color w:val="auto"/>
        </w:rPr>
        <w:t>12.6</w:t>
        <w:tab/>
        <w:t>Tenant shall be entitled to building signage for the Premises, inside and outside the Building and on the Property (“</w:t>
      </w:r>
      <w:r>
        <w:rPr>
          <w:rFonts w:ascii="Arial" w:cs="Arial" w:eastAsia="Arial" w:hAnsi="Arial"/>
          <w:sz w:val="22"/>
          <w:szCs w:val="22"/>
          <w:u w:val="single" w:color="auto"/>
          <w:color w:val="auto"/>
        </w:rPr>
        <w:t>Signage</w:t>
      </w:r>
      <w:r>
        <w:rPr>
          <w:rFonts w:ascii="Arial" w:cs="Arial" w:eastAsia="Arial" w:hAnsi="Arial"/>
          <w:sz w:val="22"/>
          <w:szCs w:val="22"/>
          <w:color w:val="auto"/>
        </w:rPr>
        <w:t>”), at Tenant’s sole discretion and expense, subject to all Applicable Laws. AJ] existing Signage is hereby approved by Landlord. For any Signage, Tenant shall, at Tenant’s own cost and expense, (a) acquire all permits for such Signage in compliance with Applicable Laws and (b) design, fabricate, install and maintain such Signage in a first-class condition. The existing directory tablet shall be provided exclusively for the display of the name and location of tenants only.</w:t>
      </w:r>
    </w:p>
    <w:p>
      <w:pPr>
        <w:spacing w:after="0" w:line="159"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12.7</w:t>
        <w:tab/>
        <w:t>Tenant shall only place equipment within the Premises with floor loading consistent with the Building’s structural design without Landlord’s prior written approval, and such equipment shall be placed in a location designed to carry the weight of such equipment.</w:t>
      </w:r>
    </w:p>
    <w:p>
      <w:pPr>
        <w:spacing w:after="0" w:line="159"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12.8</w:t>
        <w:tab/>
        <w:t>Subject to Section 22, Tenant shall cause any equipment or machinery to be installed in the Premises so as to reasonably prevent sounds or vibrations therefrom from extending into the Common Areas or other buildings in the Project.</w:t>
      </w:r>
    </w:p>
    <w:p>
      <w:pPr>
        <w:spacing w:after="0" w:line="159"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Tenant shall not (a) do or permit anything to be done in or about the Premises that shall in any way unreasonably interfere with the rights of other tenants or occupants of the Project, (b) use or allow the Premises to be used for unlawful purposes, (c) cause, maintain or permit any nuisance or waste in, on or about the Project or (d) take any other action that would in Landlord’s reasonable determination in any manner adversely affect other tenants’ quiet use and enjoyment of their space or adversely impact their ability to conduct business in a professional and suitable work environment. Landlord shall use commercially reasonable efforts to apply similar standards on other tenants in the Project for the benefit of the Tenant.</w:t>
      </w:r>
    </w:p>
    <w:p>
      <w:pPr>
        <w:spacing w:after="0" w:line="154" w:lineRule="exact"/>
        <w:rPr>
          <w:sz w:val="20"/>
          <w:szCs w:val="20"/>
          <w:color w:val="auto"/>
        </w:rPr>
      </w:pPr>
    </w:p>
    <w:p>
      <w:pPr>
        <w:jc w:val="both"/>
        <w:ind w:left="1300" w:hanging="647"/>
        <w:spacing w:after="0" w:line="243" w:lineRule="auto"/>
        <w:rPr>
          <w:sz w:val="20"/>
          <w:szCs w:val="20"/>
          <w:color w:val="auto"/>
        </w:rPr>
      </w:pPr>
      <w:r>
        <w:rPr>
          <w:rFonts w:ascii="Arial" w:cs="Arial" w:eastAsia="Arial" w:hAnsi="Arial"/>
          <w:sz w:val="19"/>
          <w:szCs w:val="19"/>
          <w:color w:val="auto"/>
        </w:rPr>
        <w:t>12.10 Notwithstanding any other provision herein to the contrary, Tenant shall be responsible for all liabilities, costs and expenses arising out of or in connection with the compliance of the Premises with the Americans with Disabilities Act, 42 U.S.C. § 12101, et seq., and any state and local accessibility laws, codes, ordinances and rules (collectively, and together with regulations promulgated pursuant thereto, the “</w:t>
      </w:r>
      <w:r>
        <w:rPr>
          <w:rFonts w:ascii="Arial" w:cs="Arial" w:eastAsia="Arial" w:hAnsi="Arial"/>
          <w:sz w:val="19"/>
          <w:szCs w:val="19"/>
          <w:u w:val="single" w:color="auto"/>
          <w:color w:val="auto"/>
        </w:rPr>
        <w:t>ADA</w:t>
      </w:r>
      <w:r>
        <w:rPr>
          <w:rFonts w:ascii="Arial" w:cs="Arial" w:eastAsia="Arial" w:hAnsi="Arial"/>
          <w:sz w:val="19"/>
          <w:szCs w:val="19"/>
          <w:color w:val="auto"/>
        </w:rPr>
        <w:t xml:space="preserve">”), </w:t>
      </w:r>
      <w:r>
        <w:rPr>
          <w:rFonts w:ascii="Arial" w:cs="Arial" w:eastAsia="Arial" w:hAnsi="Arial"/>
          <w:sz w:val="19"/>
          <w:szCs w:val="19"/>
          <w:color w:val="1C1C1C"/>
        </w:rPr>
        <w:t>provided that: (a) if</w:t>
      </w:r>
      <w:r>
        <w:rPr>
          <w:rFonts w:ascii="Arial" w:cs="Arial" w:eastAsia="Arial" w:hAnsi="Arial"/>
          <w:sz w:val="19"/>
          <w:szCs w:val="19"/>
          <w:color w:val="auto"/>
        </w:rPr>
        <w:t xml:space="preserve"> </w:t>
      </w:r>
      <w:r>
        <w:rPr>
          <w:rFonts w:ascii="Arial" w:cs="Arial" w:eastAsia="Arial" w:hAnsi="Arial"/>
          <w:sz w:val="19"/>
          <w:szCs w:val="19"/>
          <w:color w:val="2F2F2F"/>
        </w:rPr>
        <w:t>ADA</w:t>
      </w:r>
      <w:r>
        <w:rPr>
          <w:rFonts w:ascii="Arial" w:cs="Arial" w:eastAsia="Arial" w:hAnsi="Arial"/>
          <w:sz w:val="19"/>
          <w:szCs w:val="19"/>
          <w:color w:val="auto"/>
        </w:rPr>
        <w:t xml:space="preserve"> </w:t>
      </w:r>
      <w:r>
        <w:rPr>
          <w:rFonts w:ascii="Arial" w:cs="Arial" w:eastAsia="Arial" w:hAnsi="Arial"/>
          <w:sz w:val="19"/>
          <w:szCs w:val="19"/>
          <w:color w:val="1C1C1C"/>
        </w:rPr>
        <w:t xml:space="preserve">compliance requires alteration of the Premises from </w:t>
      </w:r>
      <w:r>
        <w:rPr>
          <w:rFonts w:ascii="Arial" w:cs="Arial" w:eastAsia="Arial" w:hAnsi="Arial"/>
          <w:sz w:val="19"/>
          <w:szCs w:val="19"/>
          <w:color w:val="2F2F2F"/>
        </w:rPr>
        <w:t>its condition</w:t>
      </w:r>
      <w:r>
        <w:rPr>
          <w:rFonts w:ascii="Arial" w:cs="Arial" w:eastAsia="Arial" w:hAnsi="Arial"/>
          <w:sz w:val="19"/>
          <w:szCs w:val="19"/>
          <w:color w:val="1C1C1C"/>
        </w:rPr>
        <w:t xml:space="preserve"> as of the </w:t>
      </w:r>
      <w:r>
        <w:rPr>
          <w:rFonts w:ascii="Arial" w:cs="Arial" w:eastAsia="Arial" w:hAnsi="Arial"/>
          <w:sz w:val="19"/>
          <w:szCs w:val="19"/>
          <w:color w:val="2F2F2F"/>
        </w:rPr>
        <w:t>Term</w:t>
      </w:r>
      <w:r>
        <w:rPr>
          <w:rFonts w:ascii="Arial" w:cs="Arial" w:eastAsia="Arial" w:hAnsi="Arial"/>
          <w:sz w:val="19"/>
          <w:szCs w:val="19"/>
          <w:color w:val="1C1C1C"/>
        </w:rPr>
        <w:t xml:space="preserve"> Commencement </w:t>
      </w:r>
      <w:r>
        <w:rPr>
          <w:rFonts w:ascii="Arial" w:cs="Arial" w:eastAsia="Arial" w:hAnsi="Arial"/>
          <w:sz w:val="19"/>
          <w:szCs w:val="19"/>
          <w:color w:val="2F2F2F"/>
        </w:rPr>
        <w:t>Date due</w:t>
      </w:r>
      <w:r>
        <w:rPr>
          <w:rFonts w:ascii="Arial" w:cs="Arial" w:eastAsia="Arial" w:hAnsi="Arial"/>
          <w:sz w:val="19"/>
          <w:szCs w:val="19"/>
          <w:color w:val="1C1C1C"/>
        </w:rPr>
        <w:t xml:space="preserve"> to a change </w:t>
      </w:r>
      <w:r>
        <w:rPr>
          <w:rFonts w:ascii="Arial" w:cs="Arial" w:eastAsia="Arial" w:hAnsi="Arial"/>
          <w:sz w:val="19"/>
          <w:szCs w:val="19"/>
          <w:color w:val="2F2F2F"/>
        </w:rPr>
        <w:t>in</w:t>
      </w:r>
      <w:r>
        <w:rPr>
          <w:rFonts w:ascii="Arial" w:cs="Arial" w:eastAsia="Arial" w:hAnsi="Arial"/>
          <w:sz w:val="19"/>
          <w:szCs w:val="19"/>
          <w:color w:val="1C1C1C"/>
        </w:rPr>
        <w:t xml:space="preserve"> the </w:t>
      </w:r>
      <w:r>
        <w:rPr>
          <w:rFonts w:ascii="Arial" w:cs="Arial" w:eastAsia="Arial" w:hAnsi="Arial"/>
          <w:sz w:val="19"/>
          <w:szCs w:val="19"/>
          <w:color w:val="2F2F2F"/>
        </w:rPr>
        <w:t>ADA</w:t>
      </w:r>
      <w:r>
        <w:rPr>
          <w:rFonts w:ascii="Arial" w:cs="Arial" w:eastAsia="Arial" w:hAnsi="Arial"/>
          <w:sz w:val="19"/>
          <w:szCs w:val="19"/>
          <w:color w:val="1C1C1C"/>
        </w:rPr>
        <w:t xml:space="preserve"> or the </w:t>
      </w:r>
      <w:r>
        <w:rPr>
          <w:rFonts w:ascii="Arial" w:cs="Arial" w:eastAsia="Arial" w:hAnsi="Arial"/>
          <w:sz w:val="19"/>
          <w:szCs w:val="19"/>
          <w:color w:val="2F2F2F"/>
        </w:rPr>
        <w:t>enforcement</w:t>
      </w:r>
      <w:r>
        <w:rPr>
          <w:rFonts w:ascii="Arial" w:cs="Arial" w:eastAsia="Arial" w:hAnsi="Arial"/>
          <w:sz w:val="19"/>
          <w:szCs w:val="19"/>
          <w:color w:val="1C1C1C"/>
        </w:rPr>
        <w:t xml:space="preserve"> thereof </w:t>
      </w:r>
      <w:r>
        <w:rPr>
          <w:rFonts w:ascii="Arial" w:cs="Arial" w:eastAsia="Arial" w:hAnsi="Arial"/>
          <w:sz w:val="19"/>
          <w:szCs w:val="19"/>
          <w:color w:val="2F2F2F"/>
        </w:rPr>
        <w:t>which</w:t>
      </w:r>
      <w:r>
        <w:rPr>
          <w:rFonts w:ascii="Arial" w:cs="Arial" w:eastAsia="Arial" w:hAnsi="Arial"/>
          <w:sz w:val="19"/>
          <w:szCs w:val="19"/>
          <w:color w:val="1C1C1C"/>
        </w:rPr>
        <w:t xml:space="preserve"> takes effect after the </w:t>
      </w:r>
      <w:r>
        <w:rPr>
          <w:rFonts w:ascii="Arial" w:cs="Arial" w:eastAsia="Arial" w:hAnsi="Arial"/>
          <w:sz w:val="19"/>
          <w:szCs w:val="19"/>
          <w:color w:val="2F2F2F"/>
        </w:rPr>
        <w:t>Term</w:t>
      </w:r>
      <w:r>
        <w:rPr>
          <w:rFonts w:ascii="Arial" w:cs="Arial" w:eastAsia="Arial" w:hAnsi="Arial"/>
          <w:sz w:val="19"/>
          <w:szCs w:val="19"/>
          <w:color w:val="1C1C1C"/>
        </w:rPr>
        <w:t xml:space="preserve"> Commencement Date; (b) </w:t>
      </w:r>
      <w:r>
        <w:rPr>
          <w:rFonts w:ascii="Arial" w:cs="Arial" w:eastAsia="Arial" w:hAnsi="Arial"/>
          <w:sz w:val="19"/>
          <w:szCs w:val="19"/>
          <w:color w:val="2F2F2F"/>
        </w:rPr>
        <w:t>such</w:t>
      </w:r>
      <w:r>
        <w:rPr>
          <w:rFonts w:ascii="Arial" w:cs="Arial" w:eastAsia="Arial" w:hAnsi="Arial"/>
          <w:sz w:val="19"/>
          <w:szCs w:val="19"/>
          <w:color w:val="1C1C1C"/>
        </w:rPr>
        <w:t xml:space="preserve"> ADA compliance </w:t>
      </w:r>
      <w:r>
        <w:rPr>
          <w:rFonts w:ascii="Arial" w:cs="Arial" w:eastAsia="Arial" w:hAnsi="Arial"/>
          <w:sz w:val="19"/>
          <w:szCs w:val="19"/>
          <w:color w:val="0A0A0A"/>
        </w:rPr>
        <w:t>is</w:t>
      </w:r>
      <w:r>
        <w:rPr>
          <w:rFonts w:ascii="Arial" w:cs="Arial" w:eastAsia="Arial" w:hAnsi="Arial"/>
          <w:sz w:val="19"/>
          <w:szCs w:val="19"/>
          <w:color w:val="1C1C1C"/>
        </w:rPr>
        <w:t xml:space="preserve"> not required as the result of </w:t>
      </w:r>
      <w:r>
        <w:rPr>
          <w:rFonts w:ascii="Arial" w:cs="Arial" w:eastAsia="Arial" w:hAnsi="Arial"/>
          <w:sz w:val="19"/>
          <w:szCs w:val="19"/>
          <w:color w:val="2F2F2F"/>
        </w:rPr>
        <w:t>any</w:t>
      </w:r>
      <w:r>
        <w:rPr>
          <w:rFonts w:ascii="Arial" w:cs="Arial" w:eastAsia="Arial" w:hAnsi="Arial"/>
          <w:sz w:val="19"/>
          <w:szCs w:val="19"/>
          <w:color w:val="1C1C1C"/>
        </w:rPr>
        <w:t xml:space="preserve"> Alterations made by Tenant after the Term Commencement Date; and </w:t>
      </w:r>
      <w:r>
        <w:rPr>
          <w:rFonts w:ascii="Arial" w:cs="Arial" w:eastAsia="Arial" w:hAnsi="Arial"/>
          <w:sz w:val="19"/>
          <w:szCs w:val="19"/>
          <w:color w:val="2F2F2F"/>
        </w:rPr>
        <w:t>(c)</w:t>
      </w:r>
      <w:r>
        <w:rPr>
          <w:rFonts w:ascii="Arial" w:cs="Arial" w:eastAsia="Arial" w:hAnsi="Arial"/>
          <w:sz w:val="19"/>
          <w:szCs w:val="19"/>
          <w:color w:val="1C1C1C"/>
        </w:rPr>
        <w:t xml:space="preserve"> </w:t>
      </w:r>
      <w:r>
        <w:rPr>
          <w:rFonts w:ascii="Arial" w:cs="Arial" w:eastAsia="Arial" w:hAnsi="Arial"/>
          <w:sz w:val="19"/>
          <w:szCs w:val="19"/>
          <w:color w:val="424242"/>
        </w:rPr>
        <w:t>s</w:t>
      </w:r>
      <w:r>
        <w:rPr>
          <w:rFonts w:ascii="Arial" w:cs="Arial" w:eastAsia="Arial" w:hAnsi="Arial"/>
          <w:sz w:val="19"/>
          <w:szCs w:val="19"/>
          <w:color w:val="0A0A0A"/>
        </w:rPr>
        <w:t>uch</w:t>
      </w:r>
      <w:r>
        <w:rPr>
          <w:rFonts w:ascii="Arial" w:cs="Arial" w:eastAsia="Arial" w:hAnsi="Arial"/>
          <w:sz w:val="19"/>
          <w:szCs w:val="19"/>
          <w:color w:val="1C1C1C"/>
        </w:rPr>
        <w:t xml:space="preserve"> alteration of </w:t>
      </w:r>
      <w:r>
        <w:rPr>
          <w:rFonts w:ascii="Arial" w:cs="Arial" w:eastAsia="Arial" w:hAnsi="Arial"/>
          <w:sz w:val="19"/>
          <w:szCs w:val="19"/>
          <w:color w:val="2F2F2F"/>
        </w:rPr>
        <w:t>the</w:t>
      </w:r>
      <w:r>
        <w:rPr>
          <w:rFonts w:ascii="Arial" w:cs="Arial" w:eastAsia="Arial" w:hAnsi="Arial"/>
          <w:sz w:val="19"/>
          <w:szCs w:val="19"/>
          <w:color w:val="1C1C1C"/>
        </w:rPr>
        <w:t xml:space="preserve"> Premises </w:t>
      </w:r>
      <w:r>
        <w:rPr>
          <w:rFonts w:ascii="Arial" w:cs="Arial" w:eastAsia="Arial" w:hAnsi="Arial"/>
          <w:sz w:val="19"/>
          <w:szCs w:val="19"/>
          <w:color w:val="0A0A0A"/>
        </w:rPr>
        <w:t>is</w:t>
      </w:r>
      <w:r>
        <w:rPr>
          <w:rFonts w:ascii="Arial" w:cs="Arial" w:eastAsia="Arial" w:hAnsi="Arial"/>
          <w:sz w:val="19"/>
          <w:szCs w:val="19"/>
          <w:color w:val="1C1C1C"/>
        </w:rPr>
        <w:t xml:space="preserve"> considered capital </w:t>
      </w:r>
      <w:r>
        <w:rPr>
          <w:rFonts w:ascii="Arial" w:cs="Arial" w:eastAsia="Arial" w:hAnsi="Arial"/>
          <w:sz w:val="19"/>
          <w:szCs w:val="19"/>
          <w:color w:val="0A0A0A"/>
        </w:rPr>
        <w:t>in</w:t>
      </w:r>
      <w:r>
        <w:rPr>
          <w:rFonts w:ascii="Arial" w:cs="Arial" w:eastAsia="Arial" w:hAnsi="Arial"/>
          <w:sz w:val="19"/>
          <w:szCs w:val="19"/>
          <w:color w:val="1C1C1C"/>
        </w:rPr>
        <w:t xml:space="preserve"> nature in </w:t>
      </w:r>
      <w:r>
        <w:rPr>
          <w:rFonts w:ascii="Arial" w:cs="Arial" w:eastAsia="Arial" w:hAnsi="Arial"/>
          <w:sz w:val="19"/>
          <w:szCs w:val="19"/>
          <w:color w:val="2F2F2F"/>
        </w:rPr>
        <w:t>accordance</w:t>
      </w:r>
      <w:r>
        <w:rPr>
          <w:rFonts w:ascii="Arial" w:cs="Arial" w:eastAsia="Arial" w:hAnsi="Arial"/>
          <w:sz w:val="19"/>
          <w:szCs w:val="19"/>
          <w:color w:val="1C1C1C"/>
        </w:rPr>
        <w:t xml:space="preserve"> with generally accepted accounting principles, then Landlord shall be </w:t>
      </w:r>
      <w:r>
        <w:rPr>
          <w:rFonts w:ascii="Arial" w:cs="Arial" w:eastAsia="Arial" w:hAnsi="Arial"/>
          <w:sz w:val="19"/>
          <w:szCs w:val="19"/>
          <w:color w:val="2F2F2F"/>
        </w:rPr>
        <w:t>responsible</w:t>
      </w:r>
      <w:r>
        <w:rPr>
          <w:rFonts w:ascii="Arial" w:cs="Arial" w:eastAsia="Arial" w:hAnsi="Arial"/>
          <w:sz w:val="19"/>
          <w:szCs w:val="19"/>
          <w:color w:val="1C1C1C"/>
        </w:rPr>
        <w:t xml:space="preserve"> for performing such </w:t>
      </w:r>
      <w:r>
        <w:rPr>
          <w:rFonts w:ascii="Arial" w:cs="Arial" w:eastAsia="Arial" w:hAnsi="Arial"/>
          <w:sz w:val="19"/>
          <w:szCs w:val="19"/>
          <w:color w:val="2F2F2F"/>
        </w:rPr>
        <w:t>alterations,</w:t>
      </w:r>
      <w:r>
        <w:rPr>
          <w:rFonts w:ascii="Arial" w:cs="Arial" w:eastAsia="Arial" w:hAnsi="Arial"/>
          <w:sz w:val="19"/>
          <w:szCs w:val="19"/>
          <w:color w:val="1C1C1C"/>
        </w:rPr>
        <w:t xml:space="preserve"> </w:t>
      </w:r>
      <w:r>
        <w:rPr>
          <w:rFonts w:ascii="Arial" w:cs="Arial" w:eastAsia="Arial" w:hAnsi="Arial"/>
          <w:sz w:val="19"/>
          <w:szCs w:val="19"/>
          <w:color w:val="424242"/>
        </w:rPr>
        <w:t>t</w:t>
      </w:r>
      <w:r>
        <w:rPr>
          <w:rFonts w:ascii="Arial" w:cs="Arial" w:eastAsia="Arial" w:hAnsi="Arial"/>
          <w:sz w:val="19"/>
          <w:szCs w:val="19"/>
          <w:color w:val="0A0A0A"/>
        </w:rPr>
        <w:t>he</w:t>
      </w:r>
      <w:r>
        <w:rPr>
          <w:rFonts w:ascii="Arial" w:cs="Arial" w:eastAsia="Arial" w:hAnsi="Arial"/>
          <w:sz w:val="19"/>
          <w:szCs w:val="19"/>
          <w:color w:val="1C1C1C"/>
        </w:rPr>
        <w:t xml:space="preserve"> cost for which shall be considered an Operating </w:t>
      </w:r>
      <w:r>
        <w:rPr>
          <w:rFonts w:ascii="Arial" w:cs="Arial" w:eastAsia="Arial" w:hAnsi="Arial"/>
          <w:sz w:val="19"/>
          <w:szCs w:val="19"/>
          <w:color w:val="2F2F2F"/>
        </w:rPr>
        <w:t>Expense</w:t>
      </w:r>
      <w:r>
        <w:rPr>
          <w:rFonts w:ascii="Arial" w:cs="Arial" w:eastAsia="Arial" w:hAnsi="Arial"/>
          <w:sz w:val="19"/>
          <w:szCs w:val="19"/>
          <w:color w:val="1C1C1C"/>
        </w:rPr>
        <w:t xml:space="preserve"> and </w:t>
      </w:r>
      <w:r>
        <w:rPr>
          <w:rFonts w:ascii="Arial" w:cs="Arial" w:eastAsia="Arial" w:hAnsi="Arial"/>
          <w:sz w:val="19"/>
          <w:szCs w:val="19"/>
          <w:color w:val="2F2F2F"/>
        </w:rPr>
        <w:t>shall</w:t>
      </w:r>
      <w:r>
        <w:rPr>
          <w:rFonts w:ascii="Arial" w:cs="Arial" w:eastAsia="Arial" w:hAnsi="Arial"/>
          <w:sz w:val="19"/>
          <w:szCs w:val="19"/>
          <w:color w:val="1C1C1C"/>
        </w:rPr>
        <w:t xml:space="preserve"> be amortized in accordance with </w:t>
      </w:r>
      <w:r>
        <w:rPr>
          <w:rFonts w:ascii="Arial" w:cs="Arial" w:eastAsia="Arial" w:hAnsi="Arial"/>
          <w:sz w:val="19"/>
          <w:szCs w:val="19"/>
          <w:u w:val="single" w:color="auto"/>
          <w:color w:val="2F2F2F"/>
        </w:rPr>
        <w:t>Article</w:t>
      </w:r>
      <w:r>
        <w:rPr>
          <w:rFonts w:ascii="Arial" w:cs="Arial" w:eastAsia="Arial" w:hAnsi="Arial"/>
          <w:sz w:val="19"/>
          <w:szCs w:val="19"/>
          <w:color w:val="1C1C1C"/>
        </w:rPr>
        <w:t xml:space="preserve"> </w:t>
      </w:r>
      <w:r>
        <w:rPr>
          <w:rFonts w:ascii="Arial" w:cs="Arial" w:eastAsia="Arial" w:hAnsi="Arial"/>
          <w:sz w:val="19"/>
          <w:szCs w:val="19"/>
          <w:u w:val="single" w:color="auto"/>
          <w:color w:val="1C1C1C"/>
        </w:rPr>
        <w:t>9</w:t>
      </w:r>
      <w:r>
        <w:rPr>
          <w:rFonts w:ascii="Arial" w:cs="Arial" w:eastAsia="Arial" w:hAnsi="Arial"/>
          <w:sz w:val="19"/>
          <w:szCs w:val="19"/>
          <w:color w:val="1C1C1C"/>
        </w:rPr>
        <w:t xml:space="preserve">. The provisions of </w:t>
      </w:r>
      <w:r>
        <w:rPr>
          <w:rFonts w:ascii="Arial" w:cs="Arial" w:eastAsia="Arial" w:hAnsi="Arial"/>
          <w:sz w:val="19"/>
          <w:szCs w:val="19"/>
          <w:color w:val="2F2F2F"/>
        </w:rPr>
        <w:t>this</w:t>
      </w:r>
      <w:r>
        <w:rPr>
          <w:rFonts w:ascii="Arial" w:cs="Arial" w:eastAsia="Arial" w:hAnsi="Arial"/>
          <w:sz w:val="19"/>
          <w:szCs w:val="19"/>
          <w:color w:val="1C1C1C"/>
        </w:rPr>
        <w:t xml:space="preserve"> </w:t>
      </w:r>
      <w:r>
        <w:rPr>
          <w:rFonts w:ascii="Arial" w:cs="Arial" w:eastAsia="Arial" w:hAnsi="Arial"/>
          <w:sz w:val="19"/>
          <w:szCs w:val="19"/>
          <w:color w:val="2F2F2F"/>
        </w:rPr>
        <w:t xml:space="preserve">Section shall survive </w:t>
      </w:r>
      <w:r>
        <w:rPr>
          <w:rFonts w:ascii="Arial" w:cs="Arial" w:eastAsia="Arial" w:hAnsi="Arial"/>
          <w:sz w:val="19"/>
          <w:szCs w:val="19"/>
          <w:color w:val="1C1C1C"/>
        </w:rPr>
        <w:t>the expiration or earlier</w:t>
      </w:r>
      <w:r>
        <w:rPr>
          <w:rFonts w:ascii="Arial" w:cs="Arial" w:eastAsia="Arial" w:hAnsi="Arial"/>
          <w:sz w:val="19"/>
          <w:szCs w:val="19"/>
          <w:color w:val="2F2F2F"/>
        </w:rPr>
        <w:t xml:space="preserve"> termination </w:t>
      </w:r>
      <w:r>
        <w:rPr>
          <w:rFonts w:ascii="Arial" w:cs="Arial" w:eastAsia="Arial" w:hAnsi="Arial"/>
          <w:sz w:val="19"/>
          <w:szCs w:val="19"/>
          <w:color w:val="1C1C1C"/>
        </w:rPr>
        <w:t>of this Lease.</w:t>
      </w:r>
    </w:p>
    <w:p>
      <w:pPr>
        <w:spacing w:after="0" w:line="159" w:lineRule="exact"/>
        <w:rPr>
          <w:sz w:val="20"/>
          <w:szCs w:val="20"/>
          <w:color w:val="auto"/>
        </w:rPr>
      </w:pPr>
    </w:p>
    <w:p>
      <w:pPr>
        <w:ind w:left="660" w:hanging="652"/>
        <w:spacing w:after="0"/>
        <w:tabs>
          <w:tab w:leader="none" w:pos="660" w:val="left"/>
        </w:tabs>
        <w:numPr>
          <w:ilvl w:val="0"/>
          <w:numId w:val="286"/>
        </w:numPr>
        <w:rPr>
          <w:rFonts w:ascii="Arial" w:cs="Arial" w:eastAsia="Arial" w:hAnsi="Arial"/>
          <w:sz w:val="22"/>
          <w:szCs w:val="22"/>
          <w:color w:val="auto"/>
        </w:rPr>
      </w:pPr>
      <w:r>
        <w:rPr>
          <w:rFonts w:ascii="Arial" w:cs="Arial" w:eastAsia="Arial" w:hAnsi="Arial"/>
          <w:sz w:val="22"/>
          <w:szCs w:val="22"/>
          <w:u w:val="single" w:color="auto"/>
          <w:color w:val="auto"/>
        </w:rPr>
        <w:t>Rules and Regulations, CC&amp;Rs, Parking Facilities and Common Areas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29" w:lineRule="auto"/>
        <w:rPr>
          <w:rFonts w:ascii="Arial" w:cs="Arial" w:eastAsia="Arial" w:hAnsi="Arial"/>
          <w:sz w:val="22"/>
          <w:szCs w:val="22"/>
          <w:color w:val="auto"/>
        </w:rPr>
      </w:pPr>
      <w:r>
        <w:rPr>
          <w:rFonts w:ascii="Arial" w:cs="Arial" w:eastAsia="Arial" w:hAnsi="Arial"/>
          <w:sz w:val="21"/>
          <w:szCs w:val="21"/>
          <w:color w:val="auto"/>
        </w:rPr>
        <w:t xml:space="preserve">13.1 Tenant </w:t>
      </w:r>
      <w:r>
        <w:rPr>
          <w:rFonts w:ascii="Arial" w:cs="Arial" w:eastAsia="Arial" w:hAnsi="Arial"/>
          <w:sz w:val="21"/>
          <w:szCs w:val="21"/>
          <w:color w:val="2F2F2F"/>
        </w:rPr>
        <w:t>shall</w:t>
      </w:r>
      <w:r>
        <w:rPr>
          <w:rFonts w:ascii="Arial" w:cs="Arial" w:eastAsia="Arial" w:hAnsi="Arial"/>
          <w:sz w:val="21"/>
          <w:szCs w:val="21"/>
          <w:color w:val="auto"/>
        </w:rPr>
        <w:t xml:space="preserve"> have the non-exclusive right, </w:t>
      </w:r>
      <w:r>
        <w:rPr>
          <w:rFonts w:ascii="Arial" w:cs="Arial" w:eastAsia="Arial" w:hAnsi="Arial"/>
          <w:sz w:val="21"/>
          <w:szCs w:val="21"/>
          <w:color w:val="0A0A0A"/>
        </w:rPr>
        <w:t>in</w:t>
      </w:r>
      <w:r>
        <w:rPr>
          <w:rFonts w:ascii="Arial" w:cs="Arial" w:eastAsia="Arial" w:hAnsi="Arial"/>
          <w:sz w:val="21"/>
          <w:szCs w:val="21"/>
          <w:color w:val="auto"/>
        </w:rPr>
        <w:t xml:space="preserve"> </w:t>
      </w:r>
      <w:r>
        <w:rPr>
          <w:rFonts w:ascii="Arial" w:cs="Arial" w:eastAsia="Arial" w:hAnsi="Arial"/>
          <w:sz w:val="21"/>
          <w:szCs w:val="21"/>
          <w:color w:val="2F2F2F"/>
        </w:rPr>
        <w:t>common</w:t>
      </w:r>
      <w:r>
        <w:rPr>
          <w:rFonts w:ascii="Arial" w:cs="Arial" w:eastAsia="Arial" w:hAnsi="Arial"/>
          <w:sz w:val="21"/>
          <w:szCs w:val="21"/>
          <w:color w:val="auto"/>
        </w:rPr>
        <w:t xml:space="preserve"> with other </w:t>
      </w:r>
      <w:r>
        <w:rPr>
          <w:rFonts w:ascii="Arial" w:cs="Arial" w:eastAsia="Arial" w:hAnsi="Arial"/>
          <w:sz w:val="21"/>
          <w:szCs w:val="21"/>
          <w:color w:val="2F2F2F"/>
        </w:rPr>
        <w:t>tenants</w:t>
      </w:r>
      <w:r>
        <w:rPr>
          <w:rFonts w:ascii="Arial" w:cs="Arial" w:eastAsia="Arial" w:hAnsi="Arial"/>
          <w:sz w:val="21"/>
          <w:szCs w:val="21"/>
          <w:color w:val="auto"/>
        </w:rPr>
        <w:t xml:space="preserve"> of the Project, to use the Common Areas, </w:t>
      </w:r>
      <w:r>
        <w:rPr>
          <w:rFonts w:ascii="Arial" w:cs="Arial" w:eastAsia="Arial" w:hAnsi="Arial"/>
          <w:sz w:val="21"/>
          <w:szCs w:val="21"/>
          <w:color w:val="2F2F2F"/>
        </w:rPr>
        <w:t xml:space="preserve">subject </w:t>
      </w:r>
      <w:r>
        <w:rPr>
          <w:rFonts w:ascii="Arial" w:cs="Arial" w:eastAsia="Arial" w:hAnsi="Arial"/>
          <w:sz w:val="21"/>
          <w:szCs w:val="21"/>
          <w:color w:val="000000"/>
        </w:rPr>
        <w:t>to the rules and regulations</w:t>
      </w:r>
      <w:r>
        <w:rPr>
          <w:rFonts w:ascii="Arial" w:cs="Arial" w:eastAsia="Arial" w:hAnsi="Arial"/>
          <w:sz w:val="21"/>
          <w:szCs w:val="21"/>
          <w:color w:val="2F2F2F"/>
        </w:rPr>
        <w:t xml:space="preserve"> adopted </w:t>
      </w:r>
      <w:r>
        <w:rPr>
          <w:rFonts w:ascii="Arial" w:cs="Arial" w:eastAsia="Arial" w:hAnsi="Arial"/>
          <w:sz w:val="21"/>
          <w:szCs w:val="21"/>
          <w:color w:val="000000"/>
        </w:rPr>
        <w:t>by</w:t>
      </w:r>
      <w:r>
        <w:rPr>
          <w:rFonts w:ascii="Arial" w:cs="Arial" w:eastAsia="Arial" w:hAnsi="Arial"/>
          <w:sz w:val="21"/>
          <w:szCs w:val="21"/>
          <w:color w:val="2F2F2F"/>
        </w:rPr>
        <w:t xml:space="preserve"> Landlord and attached </w:t>
      </w:r>
      <w:r>
        <w:rPr>
          <w:rFonts w:ascii="Arial" w:cs="Arial" w:eastAsia="Arial" w:hAnsi="Arial"/>
          <w:sz w:val="21"/>
          <w:szCs w:val="21"/>
          <w:color w:val="000000"/>
        </w:rPr>
        <w:t>hereto as</w:t>
      </w:r>
      <w:r>
        <w:rPr>
          <w:rFonts w:ascii="Arial" w:cs="Arial" w:eastAsia="Arial" w:hAnsi="Arial"/>
          <w:sz w:val="21"/>
          <w:szCs w:val="21"/>
          <w:color w:val="2F2F2F"/>
        </w:rPr>
        <w:t xml:space="preserve"> </w:t>
      </w:r>
      <w:r>
        <w:rPr>
          <w:rFonts w:ascii="Arial" w:cs="Arial" w:eastAsia="Arial" w:hAnsi="Arial"/>
          <w:sz w:val="21"/>
          <w:szCs w:val="21"/>
          <w:u w:val="single" w:color="auto"/>
          <w:color w:val="2F2F2F"/>
        </w:rPr>
        <w:t>Exhibit</w:t>
      </w:r>
      <w:r>
        <w:rPr>
          <w:rFonts w:ascii="Arial" w:cs="Arial" w:eastAsia="Arial" w:hAnsi="Arial"/>
          <w:sz w:val="21"/>
          <w:szCs w:val="21"/>
          <w:color w:val="2F2F2F"/>
        </w:rPr>
        <w:t xml:space="preserve"> </w:t>
      </w:r>
      <w:r>
        <w:rPr>
          <w:rFonts w:ascii="Arial" w:cs="Arial" w:eastAsia="Arial" w:hAnsi="Arial"/>
          <w:sz w:val="21"/>
          <w:szCs w:val="21"/>
          <w:u w:val="single" w:color="auto"/>
          <w:color w:val="000000"/>
        </w:rPr>
        <w:t>F</w:t>
      </w:r>
      <w:r>
        <w:rPr>
          <w:rFonts w:ascii="Arial" w:cs="Arial" w:eastAsia="Arial" w:hAnsi="Arial"/>
          <w:sz w:val="21"/>
          <w:szCs w:val="21"/>
          <w:color w:val="000000"/>
        </w:rPr>
        <w:t>, together with</w:t>
      </w:r>
      <w:r>
        <w:rPr>
          <w:rFonts w:ascii="Arial" w:cs="Arial" w:eastAsia="Arial" w:hAnsi="Arial"/>
          <w:sz w:val="21"/>
          <w:szCs w:val="21"/>
          <w:color w:val="2F2F2F"/>
        </w:rPr>
        <w:t xml:space="preserve"> such </w:t>
      </w:r>
      <w:r>
        <w:rPr>
          <w:rFonts w:ascii="Arial" w:cs="Arial" w:eastAsia="Arial" w:hAnsi="Arial"/>
          <w:sz w:val="21"/>
          <w:szCs w:val="21"/>
          <w:color w:val="000000"/>
        </w:rPr>
        <w:t>other</w:t>
      </w:r>
      <w:r>
        <w:rPr>
          <w:rFonts w:ascii="Arial" w:cs="Arial" w:eastAsia="Arial" w:hAnsi="Arial"/>
          <w:sz w:val="21"/>
          <w:szCs w:val="21"/>
          <w:color w:val="2F2F2F"/>
        </w:rPr>
        <w:t xml:space="preserve"> </w:t>
      </w:r>
      <w:r>
        <w:rPr>
          <w:rFonts w:ascii="Arial" w:cs="Arial" w:eastAsia="Arial" w:hAnsi="Arial"/>
          <w:sz w:val="21"/>
          <w:szCs w:val="21"/>
          <w:color w:val="000000"/>
        </w:rPr>
        <w:t xml:space="preserve">reasonable and </w:t>
      </w:r>
      <w:r>
        <w:rPr>
          <w:rFonts w:ascii="Arial" w:cs="Arial" w:eastAsia="Arial" w:hAnsi="Arial"/>
          <w:sz w:val="21"/>
          <w:szCs w:val="21"/>
          <w:color w:val="0A0A0A"/>
        </w:rPr>
        <w:t>nondiscriminatory</w:t>
      </w:r>
      <w:r>
        <w:rPr>
          <w:rFonts w:ascii="Arial" w:cs="Arial" w:eastAsia="Arial" w:hAnsi="Arial"/>
          <w:sz w:val="21"/>
          <w:szCs w:val="21"/>
          <w:color w:val="000000"/>
        </w:rPr>
        <w:t xml:space="preserve"> rules and regulations as </w:t>
      </w:r>
      <w:r>
        <w:rPr>
          <w:rFonts w:ascii="Arial" w:cs="Arial" w:eastAsia="Arial" w:hAnsi="Arial"/>
          <w:sz w:val="21"/>
          <w:szCs w:val="21"/>
          <w:color w:val="2F2F2F"/>
        </w:rPr>
        <w:t>are</w:t>
      </w:r>
      <w:r>
        <w:rPr>
          <w:rFonts w:ascii="Arial" w:cs="Arial" w:eastAsia="Arial" w:hAnsi="Arial"/>
          <w:sz w:val="21"/>
          <w:szCs w:val="21"/>
          <w:color w:val="000000"/>
        </w:rPr>
        <w:t xml:space="preserve"> </w:t>
      </w:r>
      <w:r>
        <w:rPr>
          <w:rFonts w:ascii="Arial" w:cs="Arial" w:eastAsia="Arial" w:hAnsi="Arial"/>
          <w:sz w:val="21"/>
          <w:szCs w:val="21"/>
          <w:color w:val="0A0A0A"/>
        </w:rPr>
        <w:t>hereafter promulgated by</w:t>
      </w:r>
      <w:r>
        <w:rPr>
          <w:rFonts w:ascii="Arial" w:cs="Arial" w:eastAsia="Arial" w:hAnsi="Arial"/>
          <w:sz w:val="21"/>
          <w:szCs w:val="21"/>
          <w:color w:val="000000"/>
        </w:rPr>
        <w:t xml:space="preserve"> Landlord in its reasonable discretion </w:t>
      </w:r>
      <w:r>
        <w:rPr>
          <w:rFonts w:ascii="Arial" w:cs="Arial" w:eastAsia="Arial" w:hAnsi="Arial"/>
          <w:sz w:val="21"/>
          <w:szCs w:val="21"/>
          <w:color w:val="0A0A0A"/>
        </w:rPr>
        <w:t>(the</w:t>
      </w:r>
      <w:r>
        <w:rPr>
          <w:rFonts w:ascii="Arial" w:cs="Arial" w:eastAsia="Arial" w:hAnsi="Arial"/>
          <w:sz w:val="21"/>
          <w:szCs w:val="21"/>
          <w:color w:val="000000"/>
        </w:rPr>
        <w:t xml:space="preserve"> </w:t>
      </w:r>
      <w:r>
        <w:rPr>
          <w:rFonts w:ascii="Arial" w:cs="Arial" w:eastAsia="Arial" w:hAnsi="Arial"/>
          <w:sz w:val="21"/>
          <w:szCs w:val="21"/>
          <w:color w:val="2F2F2F"/>
        </w:rPr>
        <w:t>“</w:t>
      </w:r>
      <w:r>
        <w:rPr>
          <w:rFonts w:ascii="Arial" w:cs="Arial" w:eastAsia="Arial" w:hAnsi="Arial"/>
          <w:sz w:val="21"/>
          <w:szCs w:val="21"/>
          <w:u w:val="single" w:color="auto"/>
          <w:color w:val="2F2F2F"/>
        </w:rPr>
        <w:t>Rules</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and Regulations</w:t>
      </w:r>
      <w:r>
        <w:rPr>
          <w:rFonts w:ascii="Arial" w:cs="Arial" w:eastAsia="Arial" w:hAnsi="Arial"/>
          <w:sz w:val="21"/>
          <w:szCs w:val="21"/>
          <w:color w:val="000000"/>
        </w:rPr>
        <w:t xml:space="preserve">”). Tenant </w:t>
      </w:r>
      <w:r>
        <w:rPr>
          <w:rFonts w:ascii="Arial" w:cs="Arial" w:eastAsia="Arial" w:hAnsi="Arial"/>
          <w:sz w:val="21"/>
          <w:szCs w:val="21"/>
          <w:color w:val="2F2F2F"/>
        </w:rPr>
        <w:t>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334" w:name="page335"/>
    <w:bookmarkEnd w:id="334"/>
    <w:p>
      <w:pPr>
        <w:jc w:val="both"/>
        <w:ind w:left="1300"/>
        <w:spacing w:after="0" w:line="218" w:lineRule="auto"/>
        <w:rPr>
          <w:sz w:val="20"/>
          <w:szCs w:val="20"/>
          <w:color w:val="auto"/>
        </w:rPr>
      </w:pPr>
      <w:r>
        <w:rPr>
          <w:rFonts w:ascii="Arial" w:cs="Arial" w:eastAsia="Arial" w:hAnsi="Arial"/>
          <w:sz w:val="22"/>
          <w:szCs w:val="22"/>
          <w:color w:val="auto"/>
        </w:rPr>
        <w:t xml:space="preserve">faithfully observe and comply with the Rules and </w:t>
      </w:r>
      <w:r>
        <w:rPr>
          <w:rFonts w:ascii="Arial" w:cs="Arial" w:eastAsia="Arial" w:hAnsi="Arial"/>
          <w:sz w:val="22"/>
          <w:szCs w:val="22"/>
          <w:color w:val="2F2F2F"/>
        </w:rPr>
        <w:t>Regulations.</w:t>
      </w:r>
      <w:r>
        <w:rPr>
          <w:rFonts w:ascii="Arial" w:cs="Arial" w:eastAsia="Arial" w:hAnsi="Arial"/>
          <w:sz w:val="22"/>
          <w:szCs w:val="22"/>
          <w:color w:val="auto"/>
        </w:rPr>
        <w:t xml:space="preserve"> To the extent the Rules and Regulations </w:t>
      </w:r>
      <w:r>
        <w:rPr>
          <w:rFonts w:ascii="Arial" w:cs="Arial" w:eastAsia="Arial" w:hAnsi="Arial"/>
          <w:sz w:val="22"/>
          <w:szCs w:val="22"/>
          <w:color w:val="2F2F2F"/>
        </w:rPr>
        <w:t>conflict</w:t>
      </w:r>
      <w:r>
        <w:rPr>
          <w:rFonts w:ascii="Arial" w:cs="Arial" w:eastAsia="Arial" w:hAnsi="Arial"/>
          <w:sz w:val="22"/>
          <w:szCs w:val="22"/>
          <w:color w:val="auto"/>
        </w:rPr>
        <w:t xml:space="preserve"> </w:t>
      </w:r>
      <w:r>
        <w:rPr>
          <w:rFonts w:ascii="Arial" w:cs="Arial" w:eastAsia="Arial" w:hAnsi="Arial"/>
          <w:sz w:val="22"/>
          <w:szCs w:val="22"/>
          <w:color w:val="2F2F2F"/>
        </w:rPr>
        <w:t xml:space="preserve">with </w:t>
      </w:r>
      <w:r>
        <w:rPr>
          <w:rFonts w:ascii="Arial" w:cs="Arial" w:eastAsia="Arial" w:hAnsi="Arial"/>
          <w:sz w:val="22"/>
          <w:szCs w:val="22"/>
          <w:color w:val="000000"/>
        </w:rPr>
        <w:t>the terms of this Lease,</w:t>
      </w:r>
      <w:r>
        <w:rPr>
          <w:rFonts w:ascii="Arial" w:cs="Arial" w:eastAsia="Arial" w:hAnsi="Arial"/>
          <w:sz w:val="22"/>
          <w:szCs w:val="22"/>
          <w:color w:val="2F2F2F"/>
        </w:rPr>
        <w:t xml:space="preserve"> then </w:t>
      </w:r>
      <w:r>
        <w:rPr>
          <w:rFonts w:ascii="Arial" w:cs="Arial" w:eastAsia="Arial" w:hAnsi="Arial"/>
          <w:sz w:val="22"/>
          <w:szCs w:val="22"/>
          <w:color w:val="000000"/>
        </w:rPr>
        <w:t>the terms of this Lease</w:t>
      </w:r>
      <w:r>
        <w:rPr>
          <w:rFonts w:ascii="Arial" w:cs="Arial" w:eastAsia="Arial" w:hAnsi="Arial"/>
          <w:sz w:val="22"/>
          <w:szCs w:val="22"/>
          <w:color w:val="2F2F2F"/>
        </w:rPr>
        <w:t xml:space="preserve"> shall </w:t>
      </w:r>
      <w:r>
        <w:rPr>
          <w:rFonts w:ascii="Arial" w:cs="Arial" w:eastAsia="Arial" w:hAnsi="Arial"/>
          <w:sz w:val="22"/>
          <w:szCs w:val="22"/>
          <w:color w:val="000000"/>
        </w:rPr>
        <w:t>prevail. Landlord</w:t>
      </w:r>
      <w:r>
        <w:rPr>
          <w:rFonts w:ascii="Arial" w:cs="Arial" w:eastAsia="Arial" w:hAnsi="Arial"/>
          <w:sz w:val="22"/>
          <w:szCs w:val="22"/>
          <w:color w:val="2F2F2F"/>
        </w:rPr>
        <w:t xml:space="preserve"> shall </w:t>
      </w:r>
      <w:r>
        <w:rPr>
          <w:rFonts w:ascii="Arial" w:cs="Arial" w:eastAsia="Arial" w:hAnsi="Arial"/>
          <w:sz w:val="22"/>
          <w:szCs w:val="22"/>
          <w:color w:val="000000"/>
        </w:rPr>
        <w:t>not be responsible to Tenant</w:t>
      </w:r>
      <w:r>
        <w:rPr>
          <w:rFonts w:ascii="Arial" w:cs="Arial" w:eastAsia="Arial" w:hAnsi="Arial"/>
          <w:sz w:val="22"/>
          <w:szCs w:val="22"/>
          <w:color w:val="2F2F2F"/>
        </w:rPr>
        <w:t xml:space="preserve"> </w:t>
      </w:r>
      <w:r>
        <w:rPr>
          <w:rFonts w:ascii="Arial" w:cs="Arial" w:eastAsia="Arial" w:hAnsi="Arial"/>
          <w:sz w:val="22"/>
          <w:szCs w:val="22"/>
          <w:color w:val="000000"/>
        </w:rPr>
        <w:t xml:space="preserve">for the </w:t>
      </w:r>
      <w:r>
        <w:rPr>
          <w:rFonts w:ascii="Arial" w:cs="Arial" w:eastAsia="Arial" w:hAnsi="Arial"/>
          <w:sz w:val="22"/>
          <w:szCs w:val="22"/>
          <w:color w:val="2F2F2F"/>
        </w:rPr>
        <w:t>violation</w:t>
      </w:r>
      <w:r>
        <w:rPr>
          <w:rFonts w:ascii="Arial" w:cs="Arial" w:eastAsia="Arial" w:hAnsi="Arial"/>
          <w:sz w:val="22"/>
          <w:szCs w:val="22"/>
          <w:color w:val="000000"/>
        </w:rPr>
        <w:t xml:space="preserve"> or non-performance by any other </w:t>
      </w:r>
      <w:r>
        <w:rPr>
          <w:rFonts w:ascii="Arial" w:cs="Arial" w:eastAsia="Arial" w:hAnsi="Arial"/>
          <w:sz w:val="22"/>
          <w:szCs w:val="22"/>
          <w:color w:val="2F2F2F"/>
        </w:rPr>
        <w:t>tenant or</w:t>
      </w:r>
      <w:r>
        <w:rPr>
          <w:rFonts w:ascii="Arial" w:cs="Arial" w:eastAsia="Arial" w:hAnsi="Arial"/>
          <w:sz w:val="22"/>
          <w:szCs w:val="22"/>
          <w:color w:val="000000"/>
        </w:rPr>
        <w:t xml:space="preserve"> any agent, employee or </w:t>
      </w:r>
      <w:r>
        <w:rPr>
          <w:rFonts w:ascii="Arial" w:cs="Arial" w:eastAsia="Arial" w:hAnsi="Arial"/>
          <w:sz w:val="22"/>
          <w:szCs w:val="22"/>
          <w:color w:val="2F2F2F"/>
        </w:rPr>
        <w:t>invitee</w:t>
      </w:r>
      <w:r>
        <w:rPr>
          <w:rFonts w:ascii="Arial" w:cs="Arial" w:eastAsia="Arial" w:hAnsi="Arial"/>
          <w:sz w:val="22"/>
          <w:szCs w:val="22"/>
          <w:color w:val="000000"/>
        </w:rPr>
        <w:t xml:space="preserve"> thereof of any of </w:t>
      </w:r>
      <w:r>
        <w:rPr>
          <w:rFonts w:ascii="Arial" w:cs="Arial" w:eastAsia="Arial" w:hAnsi="Arial"/>
          <w:sz w:val="22"/>
          <w:szCs w:val="22"/>
          <w:color w:val="0A0A0A"/>
        </w:rPr>
        <w:t>the</w:t>
      </w:r>
      <w:r>
        <w:rPr>
          <w:rFonts w:ascii="Arial" w:cs="Arial" w:eastAsia="Arial" w:hAnsi="Arial"/>
          <w:sz w:val="22"/>
          <w:szCs w:val="22"/>
          <w:color w:val="000000"/>
        </w:rPr>
        <w:t xml:space="preserve"> Rules </w:t>
      </w:r>
      <w:r>
        <w:rPr>
          <w:rFonts w:ascii="Arial" w:cs="Arial" w:eastAsia="Arial" w:hAnsi="Arial"/>
          <w:sz w:val="22"/>
          <w:szCs w:val="22"/>
          <w:color w:val="2F2F2F"/>
        </w:rPr>
        <w:t>and</w:t>
      </w:r>
      <w:r>
        <w:rPr>
          <w:rFonts w:ascii="Arial" w:cs="Arial" w:eastAsia="Arial" w:hAnsi="Arial"/>
          <w:sz w:val="22"/>
          <w:szCs w:val="22"/>
          <w:color w:val="000000"/>
        </w:rPr>
        <w:t xml:space="preserve"> Regulations.</w:t>
      </w:r>
    </w:p>
    <w:p>
      <w:pPr>
        <w:spacing w:after="0" w:line="161" w:lineRule="exact"/>
        <w:rPr>
          <w:sz w:val="20"/>
          <w:szCs w:val="20"/>
          <w:color w:val="auto"/>
        </w:rPr>
      </w:pPr>
    </w:p>
    <w:p>
      <w:pPr>
        <w:jc w:val="both"/>
        <w:ind w:left="1300" w:hanging="647"/>
        <w:spacing w:after="0" w:line="229" w:lineRule="auto"/>
        <w:tabs>
          <w:tab w:leader="none" w:pos="12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1"/>
          <w:szCs w:val="21"/>
          <w:color w:val="auto"/>
        </w:rPr>
        <w:t xml:space="preserve">This Lease is subject </w:t>
      </w:r>
      <w:r>
        <w:rPr>
          <w:rFonts w:ascii="Arial" w:cs="Arial" w:eastAsia="Arial" w:hAnsi="Arial"/>
          <w:sz w:val="21"/>
          <w:szCs w:val="21"/>
          <w:color w:val="2F2F2F"/>
        </w:rPr>
        <w:t>to</w:t>
      </w:r>
      <w:r>
        <w:rPr>
          <w:rFonts w:ascii="Arial" w:cs="Arial" w:eastAsia="Arial" w:hAnsi="Arial"/>
          <w:sz w:val="21"/>
          <w:szCs w:val="21"/>
          <w:color w:val="auto"/>
        </w:rPr>
        <w:t xml:space="preserve"> any </w:t>
      </w:r>
      <w:r>
        <w:rPr>
          <w:rFonts w:ascii="Arial" w:cs="Arial" w:eastAsia="Arial" w:hAnsi="Arial"/>
          <w:sz w:val="21"/>
          <w:szCs w:val="21"/>
          <w:color w:val="0A0A0A"/>
        </w:rPr>
        <w:t>recorded</w:t>
      </w:r>
      <w:r>
        <w:rPr>
          <w:rFonts w:ascii="Arial" w:cs="Arial" w:eastAsia="Arial" w:hAnsi="Arial"/>
          <w:sz w:val="21"/>
          <w:szCs w:val="21"/>
          <w:color w:val="auto"/>
        </w:rPr>
        <w:t xml:space="preserve"> covenants, conditions </w:t>
      </w:r>
      <w:r>
        <w:rPr>
          <w:rFonts w:ascii="Arial" w:cs="Arial" w:eastAsia="Arial" w:hAnsi="Arial"/>
          <w:sz w:val="21"/>
          <w:szCs w:val="21"/>
          <w:color w:val="2F2F2F"/>
        </w:rPr>
        <w:t>or</w:t>
      </w:r>
      <w:r>
        <w:rPr>
          <w:rFonts w:ascii="Arial" w:cs="Arial" w:eastAsia="Arial" w:hAnsi="Arial"/>
          <w:sz w:val="21"/>
          <w:szCs w:val="21"/>
          <w:color w:val="auto"/>
        </w:rPr>
        <w:t xml:space="preserve"> restrictions on </w:t>
      </w:r>
      <w:r>
        <w:rPr>
          <w:rFonts w:ascii="Arial" w:cs="Arial" w:eastAsia="Arial" w:hAnsi="Arial"/>
          <w:sz w:val="21"/>
          <w:szCs w:val="21"/>
          <w:color w:val="0A0A0A"/>
        </w:rPr>
        <w:t>the</w:t>
      </w:r>
      <w:r>
        <w:rPr>
          <w:rFonts w:ascii="Arial" w:cs="Arial" w:eastAsia="Arial" w:hAnsi="Arial"/>
          <w:sz w:val="21"/>
          <w:szCs w:val="21"/>
          <w:color w:val="auto"/>
        </w:rPr>
        <w:t xml:space="preserve"> Project or Property (the </w:t>
      </w:r>
      <w:r>
        <w:rPr>
          <w:rFonts w:ascii="Arial" w:cs="Arial" w:eastAsia="Arial" w:hAnsi="Arial"/>
          <w:sz w:val="21"/>
          <w:szCs w:val="21"/>
          <w:color w:val="2F2F2F"/>
        </w:rPr>
        <w:t>“</w:t>
      </w:r>
      <w:r>
        <w:rPr>
          <w:rFonts w:ascii="Arial" w:cs="Arial" w:eastAsia="Arial" w:hAnsi="Arial"/>
          <w:sz w:val="21"/>
          <w:szCs w:val="21"/>
          <w:u w:val="single" w:color="auto"/>
          <w:color w:val="2F2F2F"/>
        </w:rPr>
        <w:t>CC&amp;Rs</w:t>
      </w:r>
      <w:r>
        <w:rPr>
          <w:rFonts w:ascii="Arial" w:cs="Arial" w:eastAsia="Arial" w:hAnsi="Arial"/>
          <w:sz w:val="21"/>
          <w:szCs w:val="21"/>
          <w:color w:val="2F2F2F"/>
        </w:rPr>
        <w:t xml:space="preserve">”), as </w:t>
      </w:r>
      <w:r>
        <w:rPr>
          <w:rFonts w:ascii="Arial" w:cs="Arial" w:eastAsia="Arial" w:hAnsi="Arial"/>
          <w:sz w:val="21"/>
          <w:szCs w:val="21"/>
          <w:color w:val="000000"/>
        </w:rPr>
        <w:t>the</w:t>
      </w:r>
      <w:r>
        <w:rPr>
          <w:rFonts w:ascii="Arial" w:cs="Arial" w:eastAsia="Arial" w:hAnsi="Arial"/>
          <w:sz w:val="21"/>
          <w:szCs w:val="21"/>
          <w:color w:val="2F2F2F"/>
        </w:rPr>
        <w:t xml:space="preserve"> same </w:t>
      </w:r>
      <w:r>
        <w:rPr>
          <w:rFonts w:ascii="Arial" w:cs="Arial" w:eastAsia="Arial" w:hAnsi="Arial"/>
          <w:sz w:val="21"/>
          <w:szCs w:val="21"/>
          <w:color w:val="000000"/>
        </w:rPr>
        <w:t>may be amended, amended and</w:t>
      </w:r>
      <w:r>
        <w:rPr>
          <w:rFonts w:ascii="Arial" w:cs="Arial" w:eastAsia="Arial" w:hAnsi="Arial"/>
          <w:sz w:val="21"/>
          <w:szCs w:val="21"/>
          <w:color w:val="2F2F2F"/>
        </w:rPr>
        <w:t xml:space="preserve"> </w:t>
      </w:r>
      <w:r>
        <w:rPr>
          <w:rFonts w:ascii="Arial" w:cs="Arial" w:eastAsia="Arial" w:hAnsi="Arial"/>
          <w:sz w:val="21"/>
          <w:szCs w:val="21"/>
          <w:color w:val="0A0A0A"/>
        </w:rPr>
        <w:t>r</w:t>
      </w:r>
      <w:r>
        <w:rPr>
          <w:rFonts w:ascii="Arial" w:cs="Arial" w:eastAsia="Arial" w:hAnsi="Arial"/>
          <w:sz w:val="21"/>
          <w:szCs w:val="21"/>
          <w:color w:val="2F2F2F"/>
        </w:rPr>
        <w:t>es</w:t>
      </w:r>
      <w:r>
        <w:rPr>
          <w:rFonts w:ascii="Arial" w:cs="Arial" w:eastAsia="Arial" w:hAnsi="Arial"/>
          <w:sz w:val="21"/>
          <w:szCs w:val="21"/>
          <w:color w:val="0A0A0A"/>
        </w:rPr>
        <w:t>tated,</w:t>
      </w:r>
      <w:r>
        <w:rPr>
          <w:rFonts w:ascii="Arial" w:cs="Arial" w:eastAsia="Arial" w:hAnsi="Arial"/>
          <w:sz w:val="21"/>
          <w:szCs w:val="21"/>
          <w:color w:val="2F2F2F"/>
        </w:rPr>
        <w:t xml:space="preserve"> supplemented </w:t>
      </w:r>
      <w:r>
        <w:rPr>
          <w:rFonts w:ascii="Arial" w:cs="Arial" w:eastAsia="Arial" w:hAnsi="Arial"/>
          <w:sz w:val="21"/>
          <w:szCs w:val="21"/>
          <w:color w:val="000000"/>
        </w:rPr>
        <w:t>or otherwise modified</w:t>
      </w:r>
      <w:r>
        <w:rPr>
          <w:rFonts w:ascii="Arial" w:cs="Arial" w:eastAsia="Arial" w:hAnsi="Arial"/>
          <w:sz w:val="21"/>
          <w:szCs w:val="21"/>
          <w:color w:val="2F2F2F"/>
        </w:rPr>
        <w:t xml:space="preserve"> from </w:t>
      </w:r>
      <w:r>
        <w:rPr>
          <w:rFonts w:ascii="Arial" w:cs="Arial" w:eastAsia="Arial" w:hAnsi="Arial"/>
          <w:sz w:val="21"/>
          <w:szCs w:val="21"/>
          <w:color w:val="000000"/>
        </w:rPr>
        <w:t>time</w:t>
      </w:r>
      <w:r>
        <w:rPr>
          <w:rFonts w:ascii="Arial" w:cs="Arial" w:eastAsia="Arial" w:hAnsi="Arial"/>
          <w:sz w:val="21"/>
          <w:szCs w:val="21"/>
          <w:color w:val="2F2F2F"/>
        </w:rPr>
        <w:t xml:space="preserve"> </w:t>
      </w:r>
      <w:r>
        <w:rPr>
          <w:rFonts w:ascii="Arial" w:cs="Arial" w:eastAsia="Arial" w:hAnsi="Arial"/>
          <w:sz w:val="21"/>
          <w:szCs w:val="21"/>
          <w:color w:val="000000"/>
        </w:rPr>
        <w:t xml:space="preserve">to time;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any </w:t>
      </w:r>
      <w:r>
        <w:rPr>
          <w:rFonts w:ascii="Arial" w:cs="Arial" w:eastAsia="Arial" w:hAnsi="Arial"/>
          <w:sz w:val="21"/>
          <w:szCs w:val="21"/>
          <w:color w:val="2F2F2F"/>
        </w:rPr>
        <w:t>such</w:t>
      </w:r>
      <w:r>
        <w:rPr>
          <w:rFonts w:ascii="Arial" w:cs="Arial" w:eastAsia="Arial" w:hAnsi="Arial"/>
          <w:sz w:val="21"/>
          <w:szCs w:val="21"/>
          <w:color w:val="000000"/>
        </w:rPr>
        <w:t xml:space="preserve"> amendments, </w:t>
      </w:r>
      <w:r>
        <w:rPr>
          <w:rFonts w:ascii="Arial" w:cs="Arial" w:eastAsia="Arial" w:hAnsi="Arial"/>
          <w:sz w:val="21"/>
          <w:szCs w:val="21"/>
          <w:color w:val="0A0A0A"/>
        </w:rPr>
        <w:t>restatements,</w:t>
      </w:r>
      <w:r>
        <w:rPr>
          <w:rFonts w:ascii="Arial" w:cs="Arial" w:eastAsia="Arial" w:hAnsi="Arial"/>
          <w:sz w:val="21"/>
          <w:szCs w:val="21"/>
          <w:color w:val="000000"/>
        </w:rPr>
        <w:t xml:space="preserve"> </w:t>
      </w:r>
      <w:r>
        <w:rPr>
          <w:rFonts w:ascii="Arial" w:cs="Arial" w:eastAsia="Arial" w:hAnsi="Arial"/>
          <w:sz w:val="21"/>
          <w:szCs w:val="21"/>
          <w:color w:val="2F2F2F"/>
        </w:rPr>
        <w:t>supplements</w:t>
      </w:r>
      <w:r>
        <w:rPr>
          <w:rFonts w:ascii="Arial" w:cs="Arial" w:eastAsia="Arial" w:hAnsi="Arial"/>
          <w:sz w:val="21"/>
          <w:szCs w:val="21"/>
          <w:color w:val="000000"/>
        </w:rPr>
        <w:t xml:space="preserve"> or modifications do not materially modify </w:t>
      </w:r>
      <w:r>
        <w:rPr>
          <w:rFonts w:ascii="Arial" w:cs="Arial" w:eastAsia="Arial" w:hAnsi="Arial"/>
          <w:sz w:val="21"/>
          <w:szCs w:val="21"/>
          <w:color w:val="0A0A0A"/>
        </w:rPr>
        <w:t xml:space="preserve">Tenant’s </w:t>
      </w:r>
      <w:r>
        <w:rPr>
          <w:rFonts w:ascii="Arial" w:cs="Arial" w:eastAsia="Arial" w:hAnsi="Arial"/>
          <w:sz w:val="21"/>
          <w:szCs w:val="21"/>
          <w:color w:val="000000"/>
        </w:rPr>
        <w:t>rights</w:t>
      </w:r>
      <w:r>
        <w:rPr>
          <w:rFonts w:ascii="Arial" w:cs="Arial" w:eastAsia="Arial" w:hAnsi="Arial"/>
          <w:sz w:val="21"/>
          <w:szCs w:val="21"/>
          <w:color w:val="0A0A0A"/>
        </w:rPr>
        <w:t xml:space="preserve"> </w:t>
      </w:r>
      <w:r>
        <w:rPr>
          <w:rFonts w:ascii="Arial" w:cs="Arial" w:eastAsia="Arial" w:hAnsi="Arial"/>
          <w:sz w:val="21"/>
          <w:szCs w:val="21"/>
          <w:color w:val="2F2F2F"/>
        </w:rPr>
        <w:t>or</w:t>
      </w:r>
      <w:r>
        <w:rPr>
          <w:rFonts w:ascii="Arial" w:cs="Arial" w:eastAsia="Arial" w:hAnsi="Arial"/>
          <w:sz w:val="21"/>
          <w:szCs w:val="21"/>
          <w:color w:val="0A0A0A"/>
        </w:rPr>
        <w:t xml:space="preserve"> </w:t>
      </w:r>
      <w:r>
        <w:rPr>
          <w:rFonts w:ascii="Arial" w:cs="Arial" w:eastAsia="Arial" w:hAnsi="Arial"/>
          <w:sz w:val="21"/>
          <w:szCs w:val="21"/>
          <w:color w:val="000000"/>
        </w:rPr>
        <w:t>obligations</w:t>
      </w:r>
      <w:r>
        <w:rPr>
          <w:rFonts w:ascii="Arial" w:cs="Arial" w:eastAsia="Arial" w:hAnsi="Arial"/>
          <w:sz w:val="21"/>
          <w:szCs w:val="21"/>
          <w:color w:val="0A0A0A"/>
        </w:rPr>
        <w:t xml:space="preserve"> </w:t>
      </w:r>
      <w:r>
        <w:rPr>
          <w:rFonts w:ascii="Arial" w:cs="Arial" w:eastAsia="Arial" w:hAnsi="Arial"/>
          <w:sz w:val="21"/>
          <w:szCs w:val="21"/>
          <w:color w:val="2F2F2F"/>
        </w:rPr>
        <w:t>hereunder. Tenant shall</w:t>
      </w:r>
      <w:r>
        <w:rPr>
          <w:rFonts w:ascii="Arial" w:cs="Arial" w:eastAsia="Arial" w:hAnsi="Arial"/>
          <w:sz w:val="21"/>
          <w:szCs w:val="21"/>
          <w:color w:val="0A0A0A"/>
        </w:rPr>
        <w:t xml:space="preserve"> </w:t>
      </w:r>
      <w:r>
        <w:rPr>
          <w:rFonts w:ascii="Arial" w:cs="Arial" w:eastAsia="Arial" w:hAnsi="Arial"/>
          <w:sz w:val="21"/>
          <w:szCs w:val="21"/>
          <w:color w:val="000000"/>
        </w:rPr>
        <w:t>comply</w:t>
      </w:r>
      <w:r>
        <w:rPr>
          <w:rFonts w:ascii="Arial" w:cs="Arial" w:eastAsia="Arial" w:hAnsi="Arial"/>
          <w:sz w:val="21"/>
          <w:szCs w:val="21"/>
          <w:color w:val="0A0A0A"/>
        </w:rPr>
        <w:t xml:space="preserve"> </w:t>
      </w:r>
      <w:r>
        <w:rPr>
          <w:rFonts w:ascii="Arial" w:cs="Arial" w:eastAsia="Arial" w:hAnsi="Arial"/>
          <w:sz w:val="21"/>
          <w:szCs w:val="21"/>
          <w:color w:val="2F2F2F"/>
        </w:rPr>
        <w:t>with</w:t>
      </w:r>
      <w:r>
        <w:rPr>
          <w:rFonts w:ascii="Arial" w:cs="Arial" w:eastAsia="Arial" w:hAnsi="Arial"/>
          <w:sz w:val="21"/>
          <w:szCs w:val="21"/>
          <w:color w:val="0A0A0A"/>
        </w:rPr>
        <w:t xml:space="preserve"> </w:t>
      </w:r>
      <w:r>
        <w:rPr>
          <w:rFonts w:ascii="Arial" w:cs="Arial" w:eastAsia="Arial" w:hAnsi="Arial"/>
          <w:sz w:val="21"/>
          <w:szCs w:val="21"/>
          <w:color w:val="000000"/>
        </w:rPr>
        <w:t>the CC&amp;Rs.</w:t>
      </w:r>
    </w:p>
    <w:p>
      <w:pPr>
        <w:spacing w:after="0" w:line="158"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13.3</w:t>
        <w:tab/>
        <w:t xml:space="preserve">Tenant </w:t>
      </w:r>
      <w:r>
        <w:rPr>
          <w:rFonts w:ascii="Arial" w:cs="Arial" w:eastAsia="Arial" w:hAnsi="Arial"/>
          <w:sz w:val="22"/>
          <w:szCs w:val="22"/>
          <w:color w:val="2F2F2F"/>
        </w:rPr>
        <w:t>shall</w:t>
      </w:r>
      <w:r>
        <w:rPr>
          <w:rFonts w:ascii="Arial" w:cs="Arial" w:eastAsia="Arial" w:hAnsi="Arial"/>
          <w:sz w:val="22"/>
          <w:szCs w:val="22"/>
          <w:color w:val="auto"/>
        </w:rPr>
        <w:t xml:space="preserve"> have </w:t>
      </w:r>
      <w:r>
        <w:rPr>
          <w:rFonts w:ascii="Arial" w:cs="Arial" w:eastAsia="Arial" w:hAnsi="Arial"/>
          <w:sz w:val="22"/>
          <w:szCs w:val="22"/>
          <w:color w:val="2F2F2F"/>
        </w:rPr>
        <w:t>an</w:t>
      </w:r>
      <w:r>
        <w:rPr>
          <w:rFonts w:ascii="Arial" w:cs="Arial" w:eastAsia="Arial" w:hAnsi="Arial"/>
          <w:sz w:val="22"/>
          <w:szCs w:val="22"/>
          <w:color w:val="auto"/>
        </w:rPr>
        <w:t xml:space="preserve"> exclusive license </w:t>
      </w:r>
      <w:r>
        <w:rPr>
          <w:rFonts w:ascii="Arial" w:cs="Arial" w:eastAsia="Arial" w:hAnsi="Arial"/>
          <w:sz w:val="22"/>
          <w:szCs w:val="22"/>
          <w:color w:val="2F2F2F"/>
        </w:rPr>
        <w:t>to</w:t>
      </w:r>
      <w:r>
        <w:rPr>
          <w:rFonts w:ascii="Arial" w:cs="Arial" w:eastAsia="Arial" w:hAnsi="Arial"/>
          <w:sz w:val="22"/>
          <w:szCs w:val="22"/>
          <w:color w:val="auto"/>
        </w:rPr>
        <w:t xml:space="preserve"> use </w:t>
      </w:r>
      <w:r>
        <w:rPr>
          <w:rFonts w:ascii="Arial" w:cs="Arial" w:eastAsia="Arial" w:hAnsi="Arial"/>
          <w:sz w:val="22"/>
          <w:szCs w:val="22"/>
          <w:color w:val="0A0A0A"/>
        </w:rPr>
        <w:t>up</w:t>
      </w:r>
      <w:r>
        <w:rPr>
          <w:rFonts w:ascii="Arial" w:cs="Arial" w:eastAsia="Arial" w:hAnsi="Arial"/>
          <w:sz w:val="22"/>
          <w:szCs w:val="22"/>
          <w:color w:val="auto"/>
        </w:rPr>
        <w:t xml:space="preserve"> </w:t>
      </w:r>
      <w:r>
        <w:rPr>
          <w:rFonts w:ascii="Arial" w:cs="Arial" w:eastAsia="Arial" w:hAnsi="Arial"/>
          <w:sz w:val="22"/>
          <w:szCs w:val="22"/>
          <w:color w:val="2F2F2F"/>
        </w:rPr>
        <w:t>to</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xml:space="preserve"> of </w:t>
      </w:r>
      <w:r>
        <w:rPr>
          <w:rFonts w:ascii="Arial" w:cs="Arial" w:eastAsia="Arial" w:hAnsi="Arial"/>
          <w:sz w:val="22"/>
          <w:szCs w:val="22"/>
          <w:color w:val="0A0A0A"/>
        </w:rPr>
        <w:t>the</w:t>
      </w:r>
      <w:r>
        <w:rPr>
          <w:rFonts w:ascii="Arial" w:cs="Arial" w:eastAsia="Arial" w:hAnsi="Arial"/>
          <w:sz w:val="22"/>
          <w:szCs w:val="22"/>
          <w:color w:val="auto"/>
        </w:rPr>
        <w:t xml:space="preserve"> parking </w:t>
      </w:r>
      <w:r>
        <w:rPr>
          <w:rFonts w:ascii="Arial" w:cs="Arial" w:eastAsia="Arial" w:hAnsi="Arial"/>
          <w:sz w:val="22"/>
          <w:szCs w:val="22"/>
          <w:color w:val="2F2F2F"/>
        </w:rPr>
        <w:t>spaces</w:t>
      </w:r>
      <w:r>
        <w:rPr>
          <w:rFonts w:ascii="Arial" w:cs="Arial" w:eastAsia="Arial" w:hAnsi="Arial"/>
          <w:sz w:val="22"/>
          <w:szCs w:val="22"/>
          <w:color w:val="auto"/>
        </w:rPr>
        <w:t xml:space="preserve"> serving the Premises (equal </w:t>
      </w:r>
      <w:r>
        <w:rPr>
          <w:rFonts w:ascii="Arial" w:cs="Arial" w:eastAsia="Arial" w:hAnsi="Arial"/>
          <w:sz w:val="22"/>
          <w:szCs w:val="22"/>
          <w:color w:val="2F2F2F"/>
        </w:rPr>
        <w:t>to</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color w:val="2F2F2F"/>
        </w:rPr>
        <w:t xml:space="preserve">parking </w:t>
      </w:r>
      <w:r>
        <w:rPr>
          <w:rFonts w:ascii="Arial" w:cs="Arial" w:eastAsia="Arial" w:hAnsi="Arial"/>
          <w:sz w:val="22"/>
          <w:szCs w:val="22"/>
          <w:color w:val="000000"/>
        </w:rPr>
        <w:t>spaces per</w:t>
      </w:r>
      <w:r>
        <w:rPr>
          <w:rFonts w:ascii="Arial" w:cs="Arial" w:eastAsia="Arial" w:hAnsi="Arial"/>
          <w:sz w:val="22"/>
          <w:szCs w:val="22"/>
          <w:color w:val="2F2F2F"/>
        </w:rPr>
        <w:t xml:space="preserve"> </w:t>
      </w:r>
      <w:r>
        <w:rPr>
          <w:rFonts w:ascii="Arial" w:cs="Arial" w:eastAsia="Arial" w:hAnsi="Arial"/>
          <w:sz w:val="22"/>
          <w:szCs w:val="22"/>
          <w:u w:val="single" w:color="auto"/>
          <w:color w:val="000000"/>
        </w:rPr>
        <w:t>[***]</w:t>
      </w:r>
      <w:r>
        <w:rPr>
          <w:rFonts w:ascii="Arial" w:cs="Arial" w:eastAsia="Arial" w:hAnsi="Arial"/>
          <w:sz w:val="22"/>
          <w:szCs w:val="22"/>
          <w:color w:val="2F2F2F"/>
        </w:rPr>
        <w:t xml:space="preserve"> rentable </w:t>
      </w:r>
      <w:r>
        <w:rPr>
          <w:rFonts w:ascii="Arial" w:cs="Arial" w:eastAsia="Arial" w:hAnsi="Arial"/>
          <w:sz w:val="22"/>
          <w:szCs w:val="22"/>
          <w:color w:val="000000"/>
        </w:rPr>
        <w:t>square feet of</w:t>
      </w:r>
      <w:r>
        <w:rPr>
          <w:rFonts w:ascii="Arial" w:cs="Arial" w:eastAsia="Arial" w:hAnsi="Arial"/>
          <w:sz w:val="22"/>
          <w:szCs w:val="22"/>
          <w:color w:val="2F2F2F"/>
        </w:rPr>
        <w:t xml:space="preserve"> the </w:t>
      </w:r>
      <w:r>
        <w:rPr>
          <w:rFonts w:ascii="Arial" w:cs="Arial" w:eastAsia="Arial" w:hAnsi="Arial"/>
          <w:sz w:val="22"/>
          <w:szCs w:val="22"/>
          <w:color w:val="000000"/>
        </w:rPr>
        <w:t>Premises), at no cost</w:t>
      </w:r>
      <w:r>
        <w:rPr>
          <w:rFonts w:ascii="Arial" w:cs="Arial" w:eastAsia="Arial" w:hAnsi="Arial"/>
          <w:sz w:val="22"/>
          <w:szCs w:val="22"/>
          <w:color w:val="2F2F2F"/>
        </w:rPr>
        <w:t xml:space="preserve"> to </w:t>
      </w:r>
      <w:r>
        <w:rPr>
          <w:rFonts w:ascii="Arial" w:cs="Arial" w:eastAsia="Arial" w:hAnsi="Arial"/>
          <w:sz w:val="22"/>
          <w:szCs w:val="22"/>
          <w:color w:val="000000"/>
        </w:rPr>
        <w:t>Tenant during the Term,</w:t>
      </w:r>
      <w:r>
        <w:rPr>
          <w:rFonts w:ascii="Arial" w:cs="Arial" w:eastAsia="Arial" w:hAnsi="Arial"/>
          <w:sz w:val="22"/>
          <w:szCs w:val="22"/>
          <w:color w:val="2F2F2F"/>
        </w:rPr>
        <w:t xml:space="preserve"> </w:t>
      </w:r>
      <w:r>
        <w:rPr>
          <w:rFonts w:ascii="Arial" w:cs="Arial" w:eastAsia="Arial" w:hAnsi="Arial"/>
          <w:sz w:val="22"/>
          <w:szCs w:val="22"/>
          <w:color w:val="0A0A0A"/>
        </w:rPr>
        <w:t>in</w:t>
      </w:r>
      <w:r>
        <w:rPr>
          <w:rFonts w:ascii="Arial" w:cs="Arial" w:eastAsia="Arial" w:hAnsi="Arial"/>
          <w:sz w:val="22"/>
          <w:szCs w:val="22"/>
          <w:color w:val="2F2F2F"/>
        </w:rPr>
        <w:t xml:space="preserve"> the area </w:t>
      </w:r>
      <w:r>
        <w:rPr>
          <w:rFonts w:ascii="Arial" w:cs="Arial" w:eastAsia="Arial" w:hAnsi="Arial"/>
          <w:sz w:val="22"/>
          <w:szCs w:val="22"/>
          <w:color w:val="000000"/>
        </w:rPr>
        <w:t xml:space="preserve">shown on </w:t>
      </w:r>
      <w:r>
        <w:rPr>
          <w:rFonts w:ascii="Arial" w:cs="Arial" w:eastAsia="Arial" w:hAnsi="Arial"/>
          <w:sz w:val="22"/>
          <w:szCs w:val="22"/>
          <w:u w:val="single" w:color="auto"/>
          <w:color w:val="2F2F2F"/>
        </w:rPr>
        <w:t>Exhibit</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B</w:t>
      </w:r>
      <w:r>
        <w:rPr>
          <w:rFonts w:ascii="Arial" w:cs="Arial" w:eastAsia="Arial" w:hAnsi="Arial"/>
          <w:sz w:val="22"/>
          <w:szCs w:val="22"/>
          <w:color w:val="000000"/>
        </w:rPr>
        <w:t>.</w:t>
      </w:r>
    </w:p>
    <w:p>
      <w:pPr>
        <w:spacing w:after="0" w:line="159" w:lineRule="exact"/>
        <w:rPr>
          <w:sz w:val="20"/>
          <w:szCs w:val="20"/>
          <w:color w:val="auto"/>
        </w:rPr>
      </w:pPr>
    </w:p>
    <w:p>
      <w:pPr>
        <w:jc w:val="both"/>
        <w:ind w:left="1300" w:hanging="647"/>
        <w:spacing w:after="0" w:line="249" w:lineRule="auto"/>
        <w:tabs>
          <w:tab w:leader="none" w:pos="12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 xml:space="preserve">Landlord </w:t>
      </w:r>
      <w:r>
        <w:rPr>
          <w:rFonts w:ascii="Arial" w:cs="Arial" w:eastAsia="Arial" w:hAnsi="Arial"/>
          <w:sz w:val="19"/>
          <w:szCs w:val="19"/>
          <w:color w:val="0A0A0A"/>
        </w:rPr>
        <w:t>reserves</w:t>
      </w:r>
      <w:r>
        <w:rPr>
          <w:rFonts w:ascii="Arial" w:cs="Arial" w:eastAsia="Arial" w:hAnsi="Arial"/>
          <w:sz w:val="19"/>
          <w:szCs w:val="19"/>
          <w:color w:val="auto"/>
        </w:rPr>
        <w:t xml:space="preserve"> the right to modify </w:t>
      </w:r>
      <w:r>
        <w:rPr>
          <w:rFonts w:ascii="Arial" w:cs="Arial" w:eastAsia="Arial" w:hAnsi="Arial"/>
          <w:sz w:val="19"/>
          <w:szCs w:val="19"/>
          <w:color w:val="2F2F2F"/>
        </w:rPr>
        <w:t>the Common</w:t>
      </w:r>
      <w:r>
        <w:rPr>
          <w:rFonts w:ascii="Arial" w:cs="Arial" w:eastAsia="Arial" w:hAnsi="Arial"/>
          <w:sz w:val="19"/>
          <w:szCs w:val="19"/>
          <w:color w:val="auto"/>
        </w:rPr>
        <w:t xml:space="preserve"> Areas, </w:t>
      </w:r>
      <w:r>
        <w:rPr>
          <w:rFonts w:ascii="Arial" w:cs="Arial" w:eastAsia="Arial" w:hAnsi="Arial"/>
          <w:sz w:val="19"/>
          <w:szCs w:val="19"/>
          <w:color w:val="2F2F2F"/>
        </w:rPr>
        <w:t>including</w:t>
      </w:r>
      <w:r>
        <w:rPr>
          <w:rFonts w:ascii="Arial" w:cs="Arial" w:eastAsia="Arial" w:hAnsi="Arial"/>
          <w:sz w:val="19"/>
          <w:szCs w:val="19"/>
          <w:color w:val="auto"/>
        </w:rPr>
        <w:t xml:space="preserve"> the </w:t>
      </w:r>
      <w:r>
        <w:rPr>
          <w:rFonts w:ascii="Arial" w:cs="Arial" w:eastAsia="Arial" w:hAnsi="Arial"/>
          <w:sz w:val="19"/>
          <w:szCs w:val="19"/>
          <w:color w:val="2F2F2F"/>
        </w:rPr>
        <w:t>right</w:t>
      </w:r>
      <w:r>
        <w:rPr>
          <w:rFonts w:ascii="Arial" w:cs="Arial" w:eastAsia="Arial" w:hAnsi="Arial"/>
          <w:sz w:val="19"/>
          <w:szCs w:val="19"/>
          <w:color w:val="auto"/>
        </w:rPr>
        <w:t xml:space="preserve"> to add or remove exterior and interior </w:t>
      </w:r>
      <w:r>
        <w:rPr>
          <w:rFonts w:ascii="Arial" w:cs="Arial" w:eastAsia="Arial" w:hAnsi="Arial"/>
          <w:sz w:val="19"/>
          <w:szCs w:val="19"/>
          <w:color w:val="0A0A0A"/>
        </w:rPr>
        <w:t>landscaping</w:t>
      </w:r>
      <w:r>
        <w:rPr>
          <w:rFonts w:ascii="Arial" w:cs="Arial" w:eastAsia="Arial" w:hAnsi="Arial"/>
          <w:sz w:val="19"/>
          <w:szCs w:val="19"/>
          <w:color w:val="auto"/>
        </w:rPr>
        <w:t xml:space="preserve"> and to </w:t>
      </w:r>
      <w:r>
        <w:rPr>
          <w:rFonts w:ascii="Arial" w:cs="Arial" w:eastAsia="Arial" w:hAnsi="Arial"/>
          <w:sz w:val="19"/>
          <w:szCs w:val="19"/>
          <w:color w:val="2F2F2F"/>
        </w:rPr>
        <w:t>subdivide</w:t>
      </w:r>
      <w:r>
        <w:rPr>
          <w:rFonts w:ascii="Arial" w:cs="Arial" w:eastAsia="Arial" w:hAnsi="Arial"/>
          <w:sz w:val="19"/>
          <w:szCs w:val="19"/>
          <w:color w:val="auto"/>
        </w:rPr>
        <w:t xml:space="preserve"> real property, provided </w:t>
      </w:r>
      <w:r>
        <w:rPr>
          <w:rFonts w:ascii="Arial" w:cs="Arial" w:eastAsia="Arial" w:hAnsi="Arial"/>
          <w:sz w:val="19"/>
          <w:szCs w:val="19"/>
          <w:color w:val="2F2F2F"/>
        </w:rPr>
        <w:t>the same</w:t>
      </w:r>
      <w:r>
        <w:rPr>
          <w:rFonts w:ascii="Arial" w:cs="Arial" w:eastAsia="Arial" w:hAnsi="Arial"/>
          <w:sz w:val="19"/>
          <w:szCs w:val="19"/>
          <w:color w:val="auto"/>
        </w:rPr>
        <w:t xml:space="preserve"> does not </w:t>
      </w:r>
      <w:r>
        <w:rPr>
          <w:rFonts w:ascii="Arial" w:cs="Arial" w:eastAsia="Arial" w:hAnsi="Arial"/>
          <w:sz w:val="19"/>
          <w:szCs w:val="19"/>
          <w:color w:val="0A0A0A"/>
        </w:rPr>
        <w:t>unreasonably</w:t>
      </w:r>
      <w:r>
        <w:rPr>
          <w:rFonts w:ascii="Arial" w:cs="Arial" w:eastAsia="Arial" w:hAnsi="Arial"/>
          <w:sz w:val="19"/>
          <w:szCs w:val="19"/>
          <w:color w:val="auto"/>
        </w:rPr>
        <w:t xml:space="preserve"> interfere with Tenant’s use of the Premises. Tenant acknowledges </w:t>
      </w:r>
      <w:r>
        <w:rPr>
          <w:rFonts w:ascii="Arial" w:cs="Arial" w:eastAsia="Arial" w:hAnsi="Arial"/>
          <w:sz w:val="19"/>
          <w:szCs w:val="19"/>
          <w:color w:val="2F2F2F"/>
        </w:rPr>
        <w:t>that</w:t>
      </w:r>
      <w:r>
        <w:rPr>
          <w:rFonts w:ascii="Arial" w:cs="Arial" w:eastAsia="Arial" w:hAnsi="Arial"/>
          <w:sz w:val="19"/>
          <w:szCs w:val="19"/>
          <w:color w:val="auto"/>
        </w:rPr>
        <w:t xml:space="preserve"> Landlord </w:t>
      </w:r>
      <w:r>
        <w:rPr>
          <w:rFonts w:ascii="Arial" w:cs="Arial" w:eastAsia="Arial" w:hAnsi="Arial"/>
          <w:sz w:val="19"/>
          <w:szCs w:val="19"/>
          <w:color w:val="2F2F2F"/>
        </w:rPr>
        <w:t>specifically</w:t>
      </w:r>
      <w:r>
        <w:rPr>
          <w:rFonts w:ascii="Arial" w:cs="Arial" w:eastAsia="Arial" w:hAnsi="Arial"/>
          <w:sz w:val="19"/>
          <w:szCs w:val="19"/>
          <w:color w:val="auto"/>
        </w:rPr>
        <w:t xml:space="preserve"> reserves the right </w:t>
      </w:r>
      <w:r>
        <w:rPr>
          <w:rFonts w:ascii="Arial" w:cs="Arial" w:eastAsia="Arial" w:hAnsi="Arial"/>
          <w:sz w:val="19"/>
          <w:szCs w:val="19"/>
          <w:color w:val="2F2F2F"/>
        </w:rPr>
        <w:t>to</w:t>
      </w:r>
      <w:r>
        <w:rPr>
          <w:rFonts w:ascii="Arial" w:cs="Arial" w:eastAsia="Arial" w:hAnsi="Arial"/>
          <w:sz w:val="19"/>
          <w:szCs w:val="19"/>
          <w:color w:val="auto"/>
        </w:rPr>
        <w:t xml:space="preserve"> allow the exclusive </w:t>
      </w:r>
      <w:r>
        <w:rPr>
          <w:rFonts w:ascii="Arial" w:cs="Arial" w:eastAsia="Arial" w:hAnsi="Arial"/>
          <w:sz w:val="19"/>
          <w:szCs w:val="19"/>
          <w:color w:val="2F2F2F"/>
        </w:rPr>
        <w:t>use</w:t>
      </w:r>
      <w:r>
        <w:rPr>
          <w:rFonts w:ascii="Arial" w:cs="Arial" w:eastAsia="Arial" w:hAnsi="Arial"/>
          <w:sz w:val="19"/>
          <w:szCs w:val="19"/>
          <w:color w:val="auto"/>
        </w:rPr>
        <w:t xml:space="preserve"> of </w:t>
      </w:r>
      <w:r>
        <w:rPr>
          <w:rFonts w:ascii="Arial" w:cs="Arial" w:eastAsia="Arial" w:hAnsi="Arial"/>
          <w:sz w:val="19"/>
          <w:szCs w:val="19"/>
          <w:color w:val="2F2F2F"/>
        </w:rPr>
        <w:t>corridors</w:t>
      </w:r>
      <w:r>
        <w:rPr>
          <w:rFonts w:ascii="Arial" w:cs="Arial" w:eastAsia="Arial" w:hAnsi="Arial"/>
          <w:sz w:val="19"/>
          <w:szCs w:val="19"/>
          <w:color w:val="auto"/>
        </w:rPr>
        <w:t xml:space="preserve"> and restroom facilities located on </w:t>
      </w:r>
      <w:r>
        <w:rPr>
          <w:rFonts w:ascii="Arial" w:cs="Arial" w:eastAsia="Arial" w:hAnsi="Arial"/>
          <w:sz w:val="19"/>
          <w:szCs w:val="19"/>
          <w:color w:val="2F2F2F"/>
        </w:rPr>
        <w:t>specific</w:t>
      </w:r>
      <w:r>
        <w:rPr>
          <w:rFonts w:ascii="Arial" w:cs="Arial" w:eastAsia="Arial" w:hAnsi="Arial"/>
          <w:sz w:val="19"/>
          <w:szCs w:val="19"/>
          <w:color w:val="auto"/>
        </w:rPr>
        <w:t xml:space="preserve"> </w:t>
      </w:r>
      <w:r>
        <w:rPr>
          <w:rFonts w:ascii="Arial" w:cs="Arial" w:eastAsia="Arial" w:hAnsi="Arial"/>
          <w:sz w:val="19"/>
          <w:szCs w:val="19"/>
          <w:color w:val="0A0A0A"/>
        </w:rPr>
        <w:t>floors</w:t>
      </w:r>
      <w:r>
        <w:rPr>
          <w:rFonts w:ascii="Arial" w:cs="Arial" w:eastAsia="Arial" w:hAnsi="Arial"/>
          <w:sz w:val="19"/>
          <w:szCs w:val="19"/>
          <w:color w:val="auto"/>
        </w:rPr>
        <w:t xml:space="preserve"> to one or more tenants occupying </w:t>
      </w:r>
      <w:r>
        <w:rPr>
          <w:rFonts w:ascii="Arial" w:cs="Arial" w:eastAsia="Arial" w:hAnsi="Arial"/>
          <w:sz w:val="19"/>
          <w:szCs w:val="19"/>
          <w:color w:val="424242"/>
        </w:rPr>
        <w:t>such</w:t>
      </w:r>
      <w:r>
        <w:rPr>
          <w:rFonts w:ascii="Arial" w:cs="Arial" w:eastAsia="Arial" w:hAnsi="Arial"/>
          <w:sz w:val="19"/>
          <w:szCs w:val="19"/>
          <w:color w:val="auto"/>
        </w:rPr>
        <w:t xml:space="preserve"> floors </w:t>
      </w:r>
      <w:r>
        <w:rPr>
          <w:rFonts w:ascii="Arial" w:cs="Arial" w:eastAsia="Arial" w:hAnsi="Arial"/>
          <w:sz w:val="19"/>
          <w:szCs w:val="19"/>
          <w:color w:val="2F2F2F"/>
        </w:rPr>
        <w:t>of</w:t>
      </w:r>
      <w:r>
        <w:rPr>
          <w:rFonts w:ascii="Arial" w:cs="Arial" w:eastAsia="Arial" w:hAnsi="Arial"/>
          <w:sz w:val="19"/>
          <w:szCs w:val="19"/>
          <w:color w:val="auto"/>
        </w:rPr>
        <w:t xml:space="preserve"> </w:t>
      </w:r>
      <w:r>
        <w:rPr>
          <w:rFonts w:ascii="Arial" w:cs="Arial" w:eastAsia="Arial" w:hAnsi="Arial"/>
          <w:sz w:val="19"/>
          <w:szCs w:val="19"/>
          <w:color w:val="424242"/>
        </w:rPr>
        <w:t>the</w:t>
      </w:r>
      <w:r>
        <w:rPr>
          <w:rFonts w:ascii="Arial" w:cs="Arial" w:eastAsia="Arial" w:hAnsi="Arial"/>
          <w:sz w:val="19"/>
          <w:szCs w:val="19"/>
          <w:color w:val="auto"/>
        </w:rPr>
        <w:t xml:space="preserve"> Lower </w:t>
      </w:r>
      <w:r>
        <w:rPr>
          <w:rFonts w:ascii="Arial" w:cs="Arial" w:eastAsia="Arial" w:hAnsi="Arial"/>
          <w:sz w:val="19"/>
          <w:szCs w:val="19"/>
          <w:color w:val="2F2F2F"/>
        </w:rPr>
        <w:t>Campus;</w:t>
      </w:r>
      <w:r>
        <w:rPr>
          <w:rFonts w:ascii="Arial" w:cs="Arial" w:eastAsia="Arial" w:hAnsi="Arial"/>
          <w:sz w:val="19"/>
          <w:szCs w:val="19"/>
          <w:color w:val="auto"/>
        </w:rPr>
        <w:t xml:space="preserve"> </w:t>
      </w:r>
      <w:r>
        <w:rPr>
          <w:rFonts w:ascii="Arial" w:cs="Arial" w:eastAsia="Arial" w:hAnsi="Arial"/>
          <w:sz w:val="19"/>
          <w:szCs w:val="19"/>
          <w:color w:val="0A0A0A"/>
        </w:rPr>
        <w:t>provided</w:t>
      </w:r>
      <w:r>
        <w:rPr>
          <w:rFonts w:ascii="Arial" w:cs="Arial" w:eastAsia="Arial" w:hAnsi="Arial"/>
          <w:sz w:val="19"/>
          <w:szCs w:val="19"/>
          <w:color w:val="424242"/>
        </w:rPr>
        <w:t>,</w:t>
      </w:r>
      <w:r>
        <w:rPr>
          <w:rFonts w:ascii="Arial" w:cs="Arial" w:eastAsia="Arial" w:hAnsi="Arial"/>
          <w:sz w:val="19"/>
          <w:szCs w:val="19"/>
          <w:color w:val="auto"/>
        </w:rPr>
        <w:t xml:space="preserve"> however, that Tenant or </w:t>
      </w:r>
      <w:r>
        <w:rPr>
          <w:rFonts w:ascii="Arial" w:cs="Arial" w:eastAsia="Arial" w:hAnsi="Arial"/>
          <w:sz w:val="19"/>
          <w:szCs w:val="19"/>
          <w:color w:val="0A0A0A"/>
        </w:rPr>
        <w:t>its</w:t>
      </w:r>
      <w:r>
        <w:rPr>
          <w:rFonts w:ascii="Arial" w:cs="Arial" w:eastAsia="Arial" w:hAnsi="Arial"/>
          <w:sz w:val="19"/>
          <w:szCs w:val="19"/>
          <w:color w:val="auto"/>
        </w:rPr>
        <w:t xml:space="preserve"> </w:t>
      </w:r>
      <w:r>
        <w:rPr>
          <w:rFonts w:ascii="Arial" w:cs="Arial" w:eastAsia="Arial" w:hAnsi="Arial"/>
          <w:sz w:val="19"/>
          <w:szCs w:val="19"/>
          <w:color w:val="2F2F2F"/>
        </w:rPr>
        <w:t>subtenants</w:t>
      </w:r>
      <w:r>
        <w:rPr>
          <w:rFonts w:ascii="Arial" w:cs="Arial" w:eastAsia="Arial" w:hAnsi="Arial"/>
          <w:sz w:val="19"/>
          <w:szCs w:val="19"/>
          <w:color w:val="auto"/>
        </w:rPr>
        <w:t xml:space="preserve"> or assigns </w:t>
      </w:r>
      <w:r>
        <w:rPr>
          <w:rFonts w:ascii="Arial" w:cs="Arial" w:eastAsia="Arial" w:hAnsi="Arial"/>
          <w:sz w:val="19"/>
          <w:szCs w:val="19"/>
          <w:color w:val="2F2F2F"/>
        </w:rPr>
        <w:t>shall</w:t>
      </w:r>
      <w:r>
        <w:rPr>
          <w:rFonts w:ascii="Arial" w:cs="Arial" w:eastAsia="Arial" w:hAnsi="Arial"/>
          <w:sz w:val="19"/>
          <w:szCs w:val="19"/>
          <w:color w:val="auto"/>
        </w:rPr>
        <w:t xml:space="preserve"> have exclusive use of the corridors, restrooms, </w:t>
      </w:r>
      <w:r>
        <w:rPr>
          <w:rFonts w:ascii="Arial" w:cs="Arial" w:eastAsia="Arial" w:hAnsi="Arial"/>
          <w:sz w:val="19"/>
          <w:szCs w:val="19"/>
          <w:color w:val="0A0A0A"/>
        </w:rPr>
        <w:t>lobbies,</w:t>
      </w:r>
      <w:r>
        <w:rPr>
          <w:rFonts w:ascii="Arial" w:cs="Arial" w:eastAsia="Arial" w:hAnsi="Arial"/>
          <w:sz w:val="19"/>
          <w:szCs w:val="19"/>
          <w:color w:val="auto"/>
        </w:rPr>
        <w:t xml:space="preserve"> entryways, and patios that </w:t>
      </w:r>
      <w:r>
        <w:rPr>
          <w:rFonts w:ascii="Arial" w:cs="Arial" w:eastAsia="Arial" w:hAnsi="Arial"/>
          <w:sz w:val="19"/>
          <w:szCs w:val="19"/>
          <w:color w:val="2F2F2F"/>
        </w:rPr>
        <w:t>serve the</w:t>
      </w:r>
      <w:r>
        <w:rPr>
          <w:rFonts w:ascii="Arial" w:cs="Arial" w:eastAsia="Arial" w:hAnsi="Arial"/>
          <w:sz w:val="19"/>
          <w:szCs w:val="19"/>
          <w:color w:val="auto"/>
        </w:rPr>
        <w:t xml:space="preserve"> Premises.</w:t>
      </w:r>
    </w:p>
    <w:p>
      <w:pPr>
        <w:spacing w:after="0" w:line="152"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Project Control by Landlord.</w:t>
      </w:r>
    </w:p>
    <w:p>
      <w:pPr>
        <w:spacing w:after="0" w:line="179" w:lineRule="exact"/>
        <w:rPr>
          <w:rFonts w:ascii="Arial" w:cs="Arial" w:eastAsia="Arial" w:hAnsi="Arial"/>
          <w:sz w:val="22"/>
          <w:szCs w:val="22"/>
          <w:color w:val="auto"/>
        </w:rPr>
      </w:pPr>
    </w:p>
    <w:p>
      <w:pPr>
        <w:ind w:left="1300" w:hanging="648"/>
        <w:spacing w:after="0" w:line="219" w:lineRule="auto"/>
        <w:rPr>
          <w:rFonts w:ascii="Arial" w:cs="Arial" w:eastAsia="Arial" w:hAnsi="Arial"/>
          <w:sz w:val="22"/>
          <w:szCs w:val="22"/>
          <w:color w:val="auto"/>
        </w:rPr>
      </w:pPr>
      <w:r>
        <w:rPr>
          <w:rFonts w:ascii="Arial" w:cs="Arial" w:eastAsia="Arial" w:hAnsi="Arial"/>
          <w:sz w:val="21"/>
          <w:szCs w:val="21"/>
          <w:color w:val="auto"/>
        </w:rPr>
        <w:t xml:space="preserve">14.1 Landlord reserves full control over the Building and the Project to the extent not inconsistent with Tenant’s rights under this Lease. This reservation includes Landlord’s right to subdivide the Project; convert the Lower Campus to condominium units; grant easements and licenses to third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easement or license materially and adversely affects Tenant’s use or occupancy of the Premises for the Permitted Use; maintain or establish ownership of the Building separate from fee title to the Property; make additions to or reconstruct portions of the Lower Campus provided the same does not unreasonably interfere with Tenant’s use of the Premises; install, use, maintain, repair, replace and relocate for service to the Premises and other parts of the Building or the Project pipes, ducts, conduits, wires and appurtenant fixtures, wherever located in the Premises, the Building or elsewhere at the Project, provided the same does not materially and adversely interfere with Tenant’s use of the Premises; and alter or relocate any other Common Area or facility, including private drives, lobbies and entrances located on the Lower Campus provided the same does not unreasonably interfere with Tenant’s use of the Premises.</w:t>
      </w:r>
    </w:p>
    <w:p>
      <w:pPr>
        <w:spacing w:after="0" w:line="163" w:lineRule="exact"/>
        <w:rPr>
          <w:rFonts w:ascii="Arial" w:cs="Arial" w:eastAsia="Arial" w:hAnsi="Arial"/>
          <w:sz w:val="22"/>
          <w:szCs w:val="22"/>
          <w:color w:val="auto"/>
        </w:rPr>
      </w:pPr>
    </w:p>
    <w:p>
      <w:pPr>
        <w:ind w:left="1300" w:hanging="648"/>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14.2 Subject to the provisions of </w:t>
      </w:r>
      <w:r>
        <w:rPr>
          <w:rFonts w:ascii="Arial" w:cs="Arial" w:eastAsia="Arial" w:hAnsi="Arial"/>
          <w:sz w:val="22"/>
          <w:szCs w:val="22"/>
          <w:u w:val="single" w:color="auto"/>
          <w:color w:val="auto"/>
        </w:rPr>
        <w:t>Article 43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31.14</w:t>
      </w:r>
      <w:r>
        <w:rPr>
          <w:rFonts w:ascii="Arial" w:cs="Arial" w:eastAsia="Arial" w:hAnsi="Arial"/>
          <w:sz w:val="22"/>
          <w:szCs w:val="22"/>
          <w:color w:val="auto"/>
        </w:rPr>
        <w:t>, possession of areas of the Premises necessary for utilities, services, safety and operation of the Building is reserved to Landlord.</w:t>
      </w:r>
    </w:p>
    <w:p>
      <w:pPr>
        <w:spacing w:after="0" w:line="158" w:lineRule="exact"/>
        <w:rPr>
          <w:rFonts w:ascii="Arial" w:cs="Arial" w:eastAsia="Arial" w:hAnsi="Arial"/>
          <w:sz w:val="22"/>
          <w:szCs w:val="22"/>
          <w:color w:val="auto"/>
        </w:rPr>
      </w:pPr>
    </w:p>
    <w:p>
      <w:pPr>
        <w:ind w:left="1300" w:hanging="648"/>
        <w:spacing w:after="0" w:line="232" w:lineRule="auto"/>
        <w:rPr>
          <w:rFonts w:ascii="Arial" w:cs="Arial" w:eastAsia="Arial" w:hAnsi="Arial"/>
          <w:sz w:val="22"/>
          <w:szCs w:val="22"/>
          <w:color w:val="auto"/>
        </w:rPr>
      </w:pPr>
      <w:r>
        <w:rPr>
          <w:rFonts w:ascii="Arial" w:cs="Arial" w:eastAsia="Arial" w:hAnsi="Arial"/>
          <w:sz w:val="22"/>
          <w:szCs w:val="22"/>
          <w:color w:val="auto"/>
        </w:rPr>
        <w:t>14.3 Tenant shall, at Landlord’s request, promptly execute such further documents as may be reasonably appropriate to assist Landlord in the performance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335" w:name="page336"/>
    <w:bookmarkEnd w:id="335"/>
    <w:p>
      <w:pPr>
        <w:jc w:val="both"/>
        <w:ind w:left="1300"/>
        <w:spacing w:after="0" w:line="223" w:lineRule="auto"/>
        <w:rPr>
          <w:sz w:val="20"/>
          <w:szCs w:val="20"/>
          <w:color w:val="auto"/>
        </w:rPr>
      </w:pPr>
      <w:r>
        <w:rPr>
          <w:rFonts w:ascii="Arial" w:cs="Arial" w:eastAsia="Arial" w:hAnsi="Arial"/>
          <w:sz w:val="22"/>
          <w:szCs w:val="22"/>
          <w:color w:val="auto"/>
        </w:rPr>
        <w:t xml:space="preserve">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Tenant need not execute any document that creates additional liability for Tenant, that imposes additional obligations on Tenant or that deprives Tenant of the quiet enjoyment and use of the Premises as provided for in this Lease.</w:t>
      </w:r>
    </w:p>
    <w:p>
      <w:pPr>
        <w:spacing w:after="0" w:line="159"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Landlord may, at any and all reasonable times during non-business hours (or during business hours if Tenant so requests), and upon twenty-four (24) hours’ prior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time restrictions shall apply or advance notice be required if an emergency necessitates immediate entry), enter the Premises to (a) inspect the same and to determine whether Tenant is in compliance with its obligations hereunder, (b) supply any service Landlord is required to provide hereunder, (c) show the Premises to prospective purchasers or tenants during the final year of the Term, (d) post notices of non-responsibility, (e) access the telephone equipment, electrical substation and fire risers and (f) alter, improve or repair any portion of the Building other than the Premises and other than areas for which access to the Premises is reasonably necessary. In connection with any such alteration, improvement or repair as described in </w:t>
      </w:r>
      <w:r>
        <w:rPr>
          <w:rFonts w:ascii="Arial" w:cs="Arial" w:eastAsia="Arial" w:hAnsi="Arial"/>
          <w:sz w:val="19"/>
          <w:szCs w:val="19"/>
          <w:u w:val="single" w:color="auto"/>
          <w:color w:val="auto"/>
        </w:rPr>
        <w:t>Subsection 14.4(f)</w:t>
      </w:r>
      <w:r>
        <w:rPr>
          <w:rFonts w:ascii="Arial" w:cs="Arial" w:eastAsia="Arial" w:hAnsi="Arial"/>
          <w:sz w:val="19"/>
          <w:szCs w:val="19"/>
          <w:color w:val="auto"/>
        </w:rPr>
        <w:t xml:space="preserve">. Landlord may erect in the Premises or elsewhere in the Project scaffolding and other structures reasonably required for the alteration, improvement or repair work to be performed, provided the same does not materially and adversely impair Tenant’s use of the Premises. In no event shall Tenant’s Rent abate as a result of Landlord’s activities pursuant to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all such activities shall be conducted in such a manner so as to cause as little interference to Tenant as is reasonably possible.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w:t>
      </w:r>
    </w:p>
    <w:p>
      <w:pPr>
        <w:spacing w:after="0" w:line="158" w:lineRule="exact"/>
        <w:rPr>
          <w:sz w:val="20"/>
          <w:szCs w:val="20"/>
          <w:color w:val="auto"/>
        </w:rPr>
      </w:pPr>
    </w:p>
    <w:p>
      <w:pPr>
        <w:jc w:val="both"/>
        <w:ind w:left="660" w:hanging="652"/>
        <w:spacing w:after="0" w:line="223" w:lineRule="auto"/>
        <w:tabs>
          <w:tab w:leader="none" w:pos="660"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Quiet Enjoyment</w:t>
      </w:r>
      <w:r>
        <w:rPr>
          <w:rFonts w:ascii="Arial" w:cs="Arial" w:eastAsia="Arial" w:hAnsi="Arial"/>
          <w:sz w:val="22"/>
          <w:szCs w:val="22"/>
          <w:color w:val="auto"/>
        </w:rPr>
        <w:t>. So long as Tenant is not in default under this Lease after applicable notice and cure periods, Landlord or anyone acting through or under Landlord shall not disturb Tenant’s occupancy of the Premises, except as permitted by this Lease.</w:t>
      </w:r>
    </w:p>
    <w:p>
      <w:pPr>
        <w:spacing w:after="0" w:line="158" w:lineRule="exact"/>
        <w:rPr>
          <w:rFonts w:ascii="Arial" w:cs="Arial" w:eastAsia="Arial" w:hAnsi="Arial"/>
          <w:sz w:val="22"/>
          <w:szCs w:val="22"/>
          <w:color w:val="auto"/>
        </w:rPr>
      </w:pPr>
    </w:p>
    <w:p>
      <w:pPr>
        <w:jc w:val="both"/>
        <w:ind w:left="660" w:hanging="652"/>
        <w:spacing w:after="0" w:line="229" w:lineRule="auto"/>
        <w:tabs>
          <w:tab w:leader="none" w:pos="660" w:val="left"/>
        </w:tabs>
        <w:numPr>
          <w:ilvl w:val="0"/>
          <w:numId w:val="288"/>
        </w:numPr>
        <w:rPr>
          <w:rFonts w:ascii="Arial" w:cs="Arial" w:eastAsia="Arial" w:hAnsi="Arial"/>
          <w:sz w:val="21"/>
          <w:szCs w:val="21"/>
          <w:color w:val="auto"/>
        </w:rPr>
      </w:pPr>
      <w:r>
        <w:rPr>
          <w:rFonts w:ascii="Arial" w:cs="Arial" w:eastAsia="Arial" w:hAnsi="Arial"/>
          <w:sz w:val="21"/>
          <w:szCs w:val="21"/>
          <w:u w:val="single" w:color="auto"/>
          <w:color w:val="auto"/>
        </w:rPr>
        <w:t>Utilities and Services</w:t>
      </w:r>
      <w:r>
        <w:rPr>
          <w:rFonts w:ascii="Arial" w:cs="Arial" w:eastAsia="Arial" w:hAnsi="Arial"/>
          <w:sz w:val="21"/>
          <w:szCs w:val="21"/>
          <w:color w:val="auto"/>
        </w:rPr>
        <w:t xml:space="preserve">. The parties acknowledge that Tenant shall initially be responsible for the utilities and services to the Premises including, without limitation, the utilities and services listed as Tenant’s responsibility on </w:t>
      </w:r>
      <w:r>
        <w:rPr>
          <w:rFonts w:ascii="Arial" w:cs="Arial" w:eastAsia="Arial" w:hAnsi="Arial"/>
          <w:sz w:val="21"/>
          <w:szCs w:val="21"/>
          <w:u w:val="single" w:color="auto"/>
          <w:color w:val="auto"/>
        </w:rPr>
        <w:t>Exhibit J</w:t>
      </w:r>
      <w:r>
        <w:rPr>
          <w:rFonts w:ascii="Arial" w:cs="Arial" w:eastAsia="Arial" w:hAnsi="Arial"/>
          <w:sz w:val="21"/>
          <w:szCs w:val="21"/>
          <w:color w:val="auto"/>
        </w:rPr>
        <w:t xml:space="preserve"> attached hereto and incorporated herein by reference, and that Landlord’s responsibilities under this </w:t>
      </w:r>
      <w:r>
        <w:rPr>
          <w:rFonts w:ascii="Arial" w:cs="Arial" w:eastAsia="Arial" w:hAnsi="Arial"/>
          <w:sz w:val="21"/>
          <w:szCs w:val="21"/>
          <w:u w:val="single" w:color="auto"/>
          <w:color w:val="auto"/>
        </w:rPr>
        <w:t>Article 16</w:t>
      </w:r>
      <w:r>
        <w:rPr>
          <w:rFonts w:ascii="Arial" w:cs="Arial" w:eastAsia="Arial" w:hAnsi="Arial"/>
          <w:sz w:val="21"/>
          <w:szCs w:val="21"/>
          <w:color w:val="auto"/>
        </w:rPr>
        <w:t xml:space="preserve"> do not arise until after the Turnover Date (or unless otherwise specifically set forth herein).</w:t>
      </w:r>
    </w:p>
    <w:p>
      <w:pPr>
        <w:spacing w:after="0" w:line="158" w:lineRule="exact"/>
        <w:rPr>
          <w:rFonts w:ascii="Arial" w:cs="Arial" w:eastAsia="Arial" w:hAnsi="Arial"/>
          <w:sz w:val="21"/>
          <w:szCs w:val="21"/>
          <w:color w:val="auto"/>
        </w:rPr>
      </w:pPr>
    </w:p>
    <w:p>
      <w:pPr>
        <w:ind w:left="1300" w:hanging="648"/>
        <w:spacing w:after="0" w:line="244" w:lineRule="auto"/>
        <w:rPr>
          <w:rFonts w:ascii="Arial" w:cs="Arial" w:eastAsia="Arial" w:hAnsi="Arial"/>
          <w:sz w:val="21"/>
          <w:szCs w:val="21"/>
          <w:color w:val="auto"/>
        </w:rPr>
      </w:pPr>
      <w:r>
        <w:rPr>
          <w:rFonts w:ascii="Arial" w:cs="Arial" w:eastAsia="Arial" w:hAnsi="Arial"/>
          <w:sz w:val="19"/>
          <w:szCs w:val="19"/>
          <w:color w:val="auto"/>
        </w:rPr>
        <w:t>16.1 Landlord shall provide the following services and utilities to the Premises to a standard consistent with those provided to Comparable Buildings: the following services shall be provided 24 hours per day, 7 days per week, 365 days per year unless Tenant elects to reduce such hours: hot and cold water; gas; heat, ventilation and air conditioning; light; telephone; fire and life safety; electricity; sewer; other utilities; security system services existing as of the Term Commencement Date. In addition, Landlord shall provide cleaning (internal and external) and trash removal at reasonable times or as otherwise mutually agreed to by Landlord and Tenant (provided Landlord shall use commercially reasonable efforts to provide internal cleaning and trash removal after 5:00 p.m. on weekdays); extermination and pest control at appropriate intervals; snow removal from sidewalks, drives, and entrances at reasonable times or as otherwise mutually agreed to by Landlord and Tenant (provided Landlord shall use commercially reasonable efforts to provide such snow removal prior to 7:00 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336" w:name="page337"/>
    <w:bookmarkEnd w:id="336"/>
    <w:p>
      <w:pPr>
        <w:jc w:val="both"/>
        <w:ind w:left="180"/>
        <w:spacing w:after="0" w:line="242" w:lineRule="auto"/>
        <w:rPr>
          <w:sz w:val="20"/>
          <w:szCs w:val="20"/>
          <w:color w:val="auto"/>
        </w:rPr>
      </w:pPr>
      <w:r>
        <w:rPr>
          <w:rFonts w:ascii="Arial" w:cs="Arial" w:eastAsia="Arial" w:hAnsi="Arial"/>
          <w:sz w:val="19"/>
          <w:szCs w:val="19"/>
          <w:color w:val="auto"/>
        </w:rPr>
        <w:t>on any weekday or weekend day); elevator service with at least one (1) elevator in service and operational at all times; and access to the Premises (including, without limitation, the Building and the parking facilities) twenty-four (24) hours per day, three hundred sixty-five (365) days per year. Tenant shall pay for the foregoing along with any fees, surcharges and taxes thereon. If any such utility is not separately metered to Tenant, Tenant shall pay a reasonable proportion (to be determined by Landlord based on Tenant’s usage) of all charges of such utility jointly metered with other premises in the Building as part of Tenant’s Pro Rata Share of Operating Expenses or, in the alternative, Landlord may, at its option, monitor the usage of such utilities by Tenant and pay the cost of purchasing, installing and monitoring such metering equipment, which cost shall be paid by Landlord. Notwithstanding the foregoing, during the Lease Term, Landlord and Tenant shall discuss, on an annual basis, the scope of services and utilities to be provided to Tenant under this Lease and Tenant shall have the right to request and Landlord shall consider in good faith any request for adjustment in the amount and/or quality of services and utilities provided Tenant confirms that it shall pay the costs of the same as Operating Expenses.</w:t>
      </w:r>
    </w:p>
    <w:p>
      <w:pPr>
        <w:spacing w:after="0" w:line="164" w:lineRule="exact"/>
        <w:rPr>
          <w:sz w:val="20"/>
          <w:szCs w:val="20"/>
          <w:color w:val="auto"/>
        </w:rPr>
      </w:pPr>
    </w:p>
    <w:p>
      <w:pPr>
        <w:jc w:val="both"/>
        <w:ind w:left="180" w:hanging="647"/>
        <w:spacing w:after="0" w:line="234" w:lineRule="auto"/>
        <w:tabs>
          <w:tab w:leader="none" w:pos="16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 xml:space="preserve">Except with respect to the gross negligence or intentional misconduct of Landlord, its contractors, employees or agents, Landlord shall not be liable for, nor shall any </w:t>
      </w:r>
      <w:r>
        <w:rPr>
          <w:rFonts w:ascii="Arial" w:cs="Arial" w:eastAsia="Arial" w:hAnsi="Arial"/>
          <w:sz w:val="19"/>
          <w:szCs w:val="19"/>
          <w:color w:val="232323"/>
        </w:rPr>
        <w:t>eviction of</w:t>
      </w:r>
      <w:r>
        <w:rPr>
          <w:rFonts w:ascii="Arial" w:cs="Arial" w:eastAsia="Arial" w:hAnsi="Arial"/>
          <w:sz w:val="19"/>
          <w:szCs w:val="19"/>
          <w:color w:val="auto"/>
        </w:rPr>
        <w:t xml:space="preserve"> </w:t>
      </w:r>
      <w:r>
        <w:rPr>
          <w:rFonts w:ascii="Arial" w:cs="Arial" w:eastAsia="Arial" w:hAnsi="Arial"/>
          <w:sz w:val="19"/>
          <w:szCs w:val="19"/>
          <w:color w:val="0F0F0F"/>
        </w:rPr>
        <w:t>Tenant</w:t>
      </w:r>
      <w:r>
        <w:rPr>
          <w:rFonts w:ascii="Arial" w:cs="Arial" w:eastAsia="Arial" w:hAnsi="Arial"/>
          <w:sz w:val="19"/>
          <w:szCs w:val="19"/>
          <w:color w:val="auto"/>
        </w:rPr>
        <w:t xml:space="preserve"> </w:t>
      </w:r>
      <w:r>
        <w:rPr>
          <w:rFonts w:ascii="Arial" w:cs="Arial" w:eastAsia="Arial" w:hAnsi="Arial"/>
          <w:sz w:val="19"/>
          <w:szCs w:val="19"/>
          <w:color w:val="232323"/>
        </w:rPr>
        <w:t>result from, the</w:t>
      </w:r>
      <w:r>
        <w:rPr>
          <w:rFonts w:ascii="Arial" w:cs="Arial" w:eastAsia="Arial" w:hAnsi="Arial"/>
          <w:sz w:val="19"/>
          <w:szCs w:val="19"/>
          <w:color w:val="auto"/>
        </w:rPr>
        <w:t xml:space="preserve"> </w:t>
      </w:r>
      <w:r>
        <w:rPr>
          <w:rFonts w:ascii="Arial" w:cs="Arial" w:eastAsia="Arial" w:hAnsi="Arial"/>
          <w:sz w:val="19"/>
          <w:szCs w:val="19"/>
          <w:color w:val="0F0F0F"/>
        </w:rPr>
        <w:t>failure to</w:t>
      </w:r>
      <w:r>
        <w:rPr>
          <w:rFonts w:ascii="Arial" w:cs="Arial" w:eastAsia="Arial" w:hAnsi="Arial"/>
          <w:sz w:val="19"/>
          <w:szCs w:val="19"/>
          <w:color w:val="auto"/>
        </w:rPr>
        <w:t xml:space="preserve"> </w:t>
      </w:r>
      <w:r>
        <w:rPr>
          <w:rFonts w:ascii="Arial" w:cs="Arial" w:eastAsia="Arial" w:hAnsi="Arial"/>
          <w:sz w:val="19"/>
          <w:szCs w:val="19"/>
          <w:color w:val="232323"/>
        </w:rPr>
        <w:t>furnish any</w:t>
      </w:r>
      <w:r>
        <w:rPr>
          <w:rFonts w:ascii="Arial" w:cs="Arial" w:eastAsia="Arial" w:hAnsi="Arial"/>
          <w:sz w:val="19"/>
          <w:szCs w:val="19"/>
          <w:color w:val="auto"/>
        </w:rPr>
        <w:t xml:space="preserve"> </w:t>
      </w:r>
      <w:r>
        <w:rPr>
          <w:rFonts w:ascii="Arial" w:cs="Arial" w:eastAsia="Arial" w:hAnsi="Arial"/>
          <w:sz w:val="19"/>
          <w:szCs w:val="19"/>
          <w:color w:val="232323"/>
        </w:rPr>
        <w:t xml:space="preserve">utility or service Landlord is </w:t>
      </w:r>
      <w:r>
        <w:rPr>
          <w:rFonts w:ascii="Arial" w:cs="Arial" w:eastAsia="Arial" w:hAnsi="Arial"/>
          <w:sz w:val="19"/>
          <w:szCs w:val="19"/>
          <w:color w:val="0F0F0F"/>
        </w:rPr>
        <w:t>required</w:t>
      </w:r>
      <w:r>
        <w:rPr>
          <w:rFonts w:ascii="Arial" w:cs="Arial" w:eastAsia="Arial" w:hAnsi="Arial"/>
          <w:sz w:val="19"/>
          <w:szCs w:val="19"/>
          <w:color w:val="232323"/>
        </w:rPr>
        <w:t xml:space="preserve"> to provide pursuant to this Lease, whether or not such failure </w:t>
      </w:r>
      <w:r>
        <w:rPr>
          <w:rFonts w:ascii="Arial" w:cs="Arial" w:eastAsia="Arial" w:hAnsi="Arial"/>
          <w:sz w:val="19"/>
          <w:szCs w:val="19"/>
          <w:color w:val="3B3B3B"/>
        </w:rPr>
        <w:t>is</w:t>
      </w:r>
      <w:r>
        <w:rPr>
          <w:rFonts w:ascii="Arial" w:cs="Arial" w:eastAsia="Arial" w:hAnsi="Arial"/>
          <w:sz w:val="19"/>
          <w:szCs w:val="19"/>
          <w:color w:val="232323"/>
        </w:rPr>
        <w:t xml:space="preserve"> caused by accident; breakage; repair; strike, </w:t>
      </w:r>
      <w:r>
        <w:rPr>
          <w:rFonts w:ascii="Arial" w:cs="Arial" w:eastAsia="Arial" w:hAnsi="Arial"/>
          <w:sz w:val="19"/>
          <w:szCs w:val="19"/>
          <w:color w:val="0F0F0F"/>
        </w:rPr>
        <w:t>lockout</w:t>
      </w:r>
      <w:r>
        <w:rPr>
          <w:rFonts w:ascii="Arial" w:cs="Arial" w:eastAsia="Arial" w:hAnsi="Arial"/>
          <w:sz w:val="19"/>
          <w:szCs w:val="19"/>
          <w:color w:val="232323"/>
        </w:rPr>
        <w:t xml:space="preserve"> or </w:t>
      </w:r>
      <w:r>
        <w:rPr>
          <w:rFonts w:ascii="Arial" w:cs="Arial" w:eastAsia="Arial" w:hAnsi="Arial"/>
          <w:sz w:val="19"/>
          <w:szCs w:val="19"/>
          <w:color w:val="0F0F0F"/>
        </w:rPr>
        <w:t>other labor</w:t>
      </w:r>
      <w:r>
        <w:rPr>
          <w:rFonts w:ascii="Arial" w:cs="Arial" w:eastAsia="Arial" w:hAnsi="Arial"/>
          <w:sz w:val="19"/>
          <w:szCs w:val="19"/>
          <w:color w:val="232323"/>
        </w:rPr>
        <w:t xml:space="preserve"> disturbance or </w:t>
      </w:r>
      <w:r>
        <w:rPr>
          <w:rFonts w:ascii="Arial" w:cs="Arial" w:eastAsia="Arial" w:hAnsi="Arial"/>
          <w:sz w:val="19"/>
          <w:szCs w:val="19"/>
          <w:color w:val="0F0F0F"/>
        </w:rPr>
        <w:t>labor dispute</w:t>
      </w:r>
      <w:r>
        <w:rPr>
          <w:rFonts w:ascii="Arial" w:cs="Arial" w:eastAsia="Arial" w:hAnsi="Arial"/>
          <w:sz w:val="19"/>
          <w:szCs w:val="19"/>
          <w:color w:val="232323"/>
        </w:rPr>
        <w:t xml:space="preserve"> of any character; act of </w:t>
      </w:r>
      <w:r>
        <w:rPr>
          <w:rFonts w:ascii="Arial" w:cs="Arial" w:eastAsia="Arial" w:hAnsi="Arial"/>
          <w:sz w:val="19"/>
          <w:szCs w:val="19"/>
          <w:color w:val="0F0F0F"/>
        </w:rPr>
        <w:t xml:space="preserve">terrorism; </w:t>
      </w:r>
      <w:r>
        <w:rPr>
          <w:rFonts w:ascii="Arial" w:cs="Arial" w:eastAsia="Arial" w:hAnsi="Arial"/>
          <w:sz w:val="19"/>
          <w:szCs w:val="19"/>
          <w:color w:val="232323"/>
        </w:rPr>
        <w:t>shortage of materials, which shortage</w:t>
      </w:r>
      <w:r>
        <w:rPr>
          <w:rFonts w:ascii="Arial" w:cs="Arial" w:eastAsia="Arial" w:hAnsi="Arial"/>
          <w:sz w:val="19"/>
          <w:szCs w:val="19"/>
          <w:color w:val="0F0F0F"/>
        </w:rPr>
        <w:t xml:space="preserve"> </w:t>
      </w:r>
      <w:r>
        <w:rPr>
          <w:rFonts w:ascii="Arial" w:cs="Arial" w:eastAsia="Arial" w:hAnsi="Arial"/>
          <w:sz w:val="19"/>
          <w:szCs w:val="19"/>
          <w:color w:val="3B3B3B"/>
        </w:rPr>
        <w:t>is</w:t>
      </w:r>
      <w:r>
        <w:rPr>
          <w:rFonts w:ascii="Arial" w:cs="Arial" w:eastAsia="Arial" w:hAnsi="Arial"/>
          <w:sz w:val="19"/>
          <w:szCs w:val="19"/>
          <w:color w:val="0F0F0F"/>
        </w:rPr>
        <w:t xml:space="preserve"> </w:t>
      </w:r>
      <w:r>
        <w:rPr>
          <w:rFonts w:ascii="Arial" w:cs="Arial" w:eastAsia="Arial" w:hAnsi="Arial"/>
          <w:sz w:val="19"/>
          <w:szCs w:val="19"/>
          <w:color w:val="232323"/>
        </w:rPr>
        <w:t>not</w:t>
      </w:r>
      <w:r>
        <w:rPr>
          <w:rFonts w:ascii="Arial" w:cs="Arial" w:eastAsia="Arial" w:hAnsi="Arial"/>
          <w:sz w:val="19"/>
          <w:szCs w:val="19"/>
          <w:color w:val="0F0F0F"/>
        </w:rPr>
        <w:t xml:space="preserve"> unique </w:t>
      </w:r>
      <w:r>
        <w:rPr>
          <w:rFonts w:ascii="Arial" w:cs="Arial" w:eastAsia="Arial" w:hAnsi="Arial"/>
          <w:sz w:val="19"/>
          <w:szCs w:val="19"/>
          <w:color w:val="232323"/>
        </w:rPr>
        <w:t>to Landlord or Tenant, as</w:t>
      </w:r>
      <w:r>
        <w:rPr>
          <w:rFonts w:ascii="Arial" w:cs="Arial" w:eastAsia="Arial" w:hAnsi="Arial"/>
          <w:sz w:val="19"/>
          <w:szCs w:val="19"/>
          <w:color w:val="0F0F0F"/>
        </w:rPr>
        <w:t xml:space="preserve"> the </w:t>
      </w:r>
      <w:r>
        <w:rPr>
          <w:rFonts w:ascii="Arial" w:cs="Arial" w:eastAsia="Arial" w:hAnsi="Arial"/>
          <w:sz w:val="19"/>
          <w:szCs w:val="19"/>
          <w:color w:val="232323"/>
        </w:rPr>
        <w:t>case may</w:t>
      </w:r>
      <w:r>
        <w:rPr>
          <w:rFonts w:ascii="Arial" w:cs="Arial" w:eastAsia="Arial" w:hAnsi="Arial"/>
          <w:sz w:val="19"/>
          <w:szCs w:val="19"/>
          <w:color w:val="0F0F0F"/>
        </w:rPr>
        <w:t xml:space="preserve"> be; </w:t>
      </w:r>
      <w:r>
        <w:rPr>
          <w:rFonts w:ascii="Arial" w:cs="Arial" w:eastAsia="Arial" w:hAnsi="Arial"/>
          <w:sz w:val="19"/>
          <w:szCs w:val="19"/>
          <w:color w:val="232323"/>
        </w:rPr>
        <w:t xml:space="preserve">governmental </w:t>
      </w:r>
      <w:r>
        <w:rPr>
          <w:rFonts w:ascii="Arial" w:cs="Arial" w:eastAsia="Arial" w:hAnsi="Arial"/>
          <w:sz w:val="19"/>
          <w:szCs w:val="19"/>
          <w:color w:val="0F0F0F"/>
        </w:rPr>
        <w:t>regu</w:t>
      </w:r>
      <w:r>
        <w:rPr>
          <w:rFonts w:ascii="Arial" w:cs="Arial" w:eastAsia="Arial" w:hAnsi="Arial"/>
          <w:sz w:val="19"/>
          <w:szCs w:val="19"/>
          <w:color w:val="3B3B3B"/>
        </w:rPr>
        <w:t>la</w:t>
      </w:r>
      <w:r>
        <w:rPr>
          <w:rFonts w:ascii="Arial" w:cs="Arial" w:eastAsia="Arial" w:hAnsi="Arial"/>
          <w:sz w:val="19"/>
          <w:szCs w:val="19"/>
          <w:color w:val="0F0F0F"/>
        </w:rPr>
        <w:t>tion, moratorium</w:t>
      </w:r>
      <w:r>
        <w:rPr>
          <w:rFonts w:ascii="Arial" w:cs="Arial" w:eastAsia="Arial" w:hAnsi="Arial"/>
          <w:sz w:val="19"/>
          <w:szCs w:val="19"/>
          <w:color w:val="232323"/>
        </w:rPr>
        <w:t xml:space="preserve"> or other governmental action, </w:t>
      </w:r>
      <w:r>
        <w:rPr>
          <w:rFonts w:ascii="Arial" w:cs="Arial" w:eastAsia="Arial" w:hAnsi="Arial"/>
          <w:sz w:val="19"/>
          <w:szCs w:val="19"/>
          <w:color w:val="0F0F0F"/>
        </w:rPr>
        <w:t>inaction</w:t>
      </w:r>
      <w:r>
        <w:rPr>
          <w:rFonts w:ascii="Arial" w:cs="Arial" w:eastAsia="Arial" w:hAnsi="Arial"/>
          <w:sz w:val="19"/>
          <w:szCs w:val="19"/>
          <w:color w:val="232323"/>
        </w:rPr>
        <w:t xml:space="preserve"> or delay; or other causes beyond Landlord’s control </w:t>
      </w:r>
      <w:r>
        <w:rPr>
          <w:rFonts w:ascii="Arial" w:cs="Arial" w:eastAsia="Arial" w:hAnsi="Arial"/>
          <w:sz w:val="19"/>
          <w:szCs w:val="19"/>
          <w:color w:val="0F0F0F"/>
        </w:rPr>
        <w:t>(</w:t>
      </w:r>
      <w:r>
        <w:rPr>
          <w:rFonts w:ascii="Arial" w:cs="Arial" w:eastAsia="Arial" w:hAnsi="Arial"/>
          <w:sz w:val="19"/>
          <w:szCs w:val="19"/>
          <w:color w:val="232323"/>
        </w:rPr>
        <w:t>collectively, “</w:t>
      </w:r>
      <w:r>
        <w:rPr>
          <w:rFonts w:ascii="Arial" w:cs="Arial" w:eastAsia="Arial" w:hAnsi="Arial"/>
          <w:sz w:val="19"/>
          <w:szCs w:val="19"/>
          <w:u w:val="single" w:color="auto"/>
          <w:color w:val="232323"/>
        </w:rPr>
        <w:t>Force Majeure</w:t>
      </w:r>
      <w:r>
        <w:rPr>
          <w:rFonts w:ascii="Arial" w:cs="Arial" w:eastAsia="Arial" w:hAnsi="Arial"/>
          <w:sz w:val="19"/>
          <w:szCs w:val="19"/>
          <w:color w:val="232323"/>
        </w:rPr>
        <w:t xml:space="preserve">”). In the event of such failure, Tenant shall not be entitled to termination of </w:t>
      </w:r>
      <w:r>
        <w:rPr>
          <w:rFonts w:ascii="Arial" w:cs="Arial" w:eastAsia="Arial" w:hAnsi="Arial"/>
          <w:sz w:val="19"/>
          <w:szCs w:val="19"/>
          <w:color w:val="3B3B3B"/>
        </w:rPr>
        <w:t>th</w:t>
      </w:r>
      <w:r>
        <w:rPr>
          <w:rFonts w:ascii="Arial" w:cs="Arial" w:eastAsia="Arial" w:hAnsi="Arial"/>
          <w:sz w:val="19"/>
          <w:szCs w:val="19"/>
          <w:color w:val="0F0F0F"/>
        </w:rPr>
        <w:t>is</w:t>
      </w:r>
      <w:r>
        <w:rPr>
          <w:rFonts w:ascii="Arial" w:cs="Arial" w:eastAsia="Arial" w:hAnsi="Arial"/>
          <w:sz w:val="19"/>
          <w:szCs w:val="19"/>
          <w:color w:val="232323"/>
        </w:rPr>
        <w:t xml:space="preserve"> Lease or any abatement or </w:t>
      </w:r>
      <w:r>
        <w:rPr>
          <w:rFonts w:ascii="Arial" w:cs="Arial" w:eastAsia="Arial" w:hAnsi="Arial"/>
          <w:sz w:val="19"/>
          <w:szCs w:val="19"/>
          <w:color w:val="3B3B3B"/>
        </w:rPr>
        <w:t>red</w:t>
      </w:r>
      <w:r>
        <w:rPr>
          <w:rFonts w:ascii="Arial" w:cs="Arial" w:eastAsia="Arial" w:hAnsi="Arial"/>
          <w:sz w:val="19"/>
          <w:szCs w:val="19"/>
          <w:color w:val="0F0F0F"/>
        </w:rPr>
        <w:t>uct</w:t>
      </w:r>
      <w:r>
        <w:rPr>
          <w:rFonts w:ascii="Arial" w:cs="Arial" w:eastAsia="Arial" w:hAnsi="Arial"/>
          <w:sz w:val="19"/>
          <w:szCs w:val="19"/>
          <w:color w:val="3B3B3B"/>
        </w:rPr>
        <w:t>ion</w:t>
      </w:r>
      <w:r>
        <w:rPr>
          <w:rFonts w:ascii="Arial" w:cs="Arial" w:eastAsia="Arial" w:hAnsi="Arial"/>
          <w:sz w:val="19"/>
          <w:szCs w:val="19"/>
          <w:color w:val="232323"/>
        </w:rPr>
        <w:t xml:space="preserve"> of Rent, nor </w:t>
      </w:r>
      <w:r>
        <w:rPr>
          <w:rFonts w:ascii="Arial" w:cs="Arial" w:eastAsia="Arial" w:hAnsi="Arial"/>
          <w:sz w:val="19"/>
          <w:szCs w:val="19"/>
          <w:color w:val="3B3B3B"/>
        </w:rPr>
        <w:t>sha</w:t>
      </w:r>
      <w:r>
        <w:rPr>
          <w:rFonts w:ascii="Arial" w:cs="Arial" w:eastAsia="Arial" w:hAnsi="Arial"/>
          <w:sz w:val="19"/>
          <w:szCs w:val="19"/>
          <w:color w:val="0F0F0F"/>
        </w:rPr>
        <w:t>ll</w:t>
      </w:r>
      <w:r>
        <w:rPr>
          <w:rFonts w:ascii="Arial" w:cs="Arial" w:eastAsia="Arial" w:hAnsi="Arial"/>
          <w:sz w:val="19"/>
          <w:szCs w:val="19"/>
          <w:color w:val="232323"/>
        </w:rPr>
        <w:t xml:space="preserve"> Tenant be relieved from </w:t>
      </w:r>
      <w:r>
        <w:rPr>
          <w:rFonts w:ascii="Arial" w:cs="Arial" w:eastAsia="Arial" w:hAnsi="Arial"/>
          <w:sz w:val="19"/>
          <w:szCs w:val="19"/>
          <w:color w:val="3B3B3B"/>
        </w:rPr>
        <w:t>t</w:t>
      </w:r>
      <w:r>
        <w:rPr>
          <w:rFonts w:ascii="Arial" w:cs="Arial" w:eastAsia="Arial" w:hAnsi="Arial"/>
          <w:sz w:val="19"/>
          <w:szCs w:val="19"/>
          <w:color w:val="0F0F0F"/>
        </w:rPr>
        <w:t>he</w:t>
      </w:r>
      <w:r>
        <w:rPr>
          <w:rFonts w:ascii="Arial" w:cs="Arial" w:eastAsia="Arial" w:hAnsi="Arial"/>
          <w:sz w:val="19"/>
          <w:szCs w:val="19"/>
          <w:color w:val="232323"/>
        </w:rPr>
        <w:t xml:space="preserve"> operation of any covenant or agreement of </w:t>
      </w:r>
      <w:r>
        <w:rPr>
          <w:rFonts w:ascii="Arial" w:cs="Arial" w:eastAsia="Arial" w:hAnsi="Arial"/>
          <w:sz w:val="19"/>
          <w:szCs w:val="19"/>
          <w:color w:val="0F0F0F"/>
        </w:rPr>
        <w:t>this</w:t>
      </w:r>
      <w:r>
        <w:rPr>
          <w:rFonts w:ascii="Arial" w:cs="Arial" w:eastAsia="Arial" w:hAnsi="Arial"/>
          <w:sz w:val="19"/>
          <w:szCs w:val="19"/>
          <w:color w:val="232323"/>
        </w:rPr>
        <w:t xml:space="preserve"> Lease. Landlord shall exercise </w:t>
      </w:r>
      <w:r>
        <w:rPr>
          <w:rFonts w:ascii="Arial" w:cs="Arial" w:eastAsia="Arial" w:hAnsi="Arial"/>
          <w:sz w:val="19"/>
          <w:szCs w:val="19"/>
          <w:color w:val="0F0F0F"/>
        </w:rPr>
        <w:t>reasonable di</w:t>
      </w:r>
      <w:r>
        <w:rPr>
          <w:rFonts w:ascii="Arial" w:cs="Arial" w:eastAsia="Arial" w:hAnsi="Arial"/>
          <w:sz w:val="19"/>
          <w:szCs w:val="19"/>
          <w:color w:val="3B3B3B"/>
        </w:rPr>
        <w:t>l</w:t>
      </w:r>
      <w:r>
        <w:rPr>
          <w:rFonts w:ascii="Arial" w:cs="Arial" w:eastAsia="Arial" w:hAnsi="Arial"/>
          <w:sz w:val="19"/>
          <w:szCs w:val="19"/>
          <w:color w:val="0F0F0F"/>
        </w:rPr>
        <w:t>igence and</w:t>
      </w:r>
      <w:r>
        <w:rPr>
          <w:rFonts w:ascii="Arial" w:cs="Arial" w:eastAsia="Arial" w:hAnsi="Arial"/>
          <w:sz w:val="19"/>
          <w:szCs w:val="19"/>
          <w:color w:val="232323"/>
        </w:rPr>
        <w:t xml:space="preserve"> good faith efforts </w:t>
      </w:r>
      <w:r>
        <w:rPr>
          <w:rFonts w:ascii="Arial" w:cs="Arial" w:eastAsia="Arial" w:hAnsi="Arial"/>
          <w:sz w:val="19"/>
          <w:szCs w:val="19"/>
          <w:color w:val="0F0F0F"/>
        </w:rPr>
        <w:t>to</w:t>
      </w:r>
      <w:r>
        <w:rPr>
          <w:rFonts w:ascii="Arial" w:cs="Arial" w:eastAsia="Arial" w:hAnsi="Arial"/>
          <w:sz w:val="19"/>
          <w:szCs w:val="19"/>
          <w:color w:val="232323"/>
        </w:rPr>
        <w:t xml:space="preserve"> remedy any </w:t>
      </w:r>
      <w:r>
        <w:rPr>
          <w:rFonts w:ascii="Arial" w:cs="Arial" w:eastAsia="Arial" w:hAnsi="Arial"/>
          <w:sz w:val="19"/>
          <w:szCs w:val="19"/>
          <w:color w:val="0F0F0F"/>
        </w:rPr>
        <w:t>interruption</w:t>
      </w:r>
      <w:r>
        <w:rPr>
          <w:rFonts w:ascii="Arial" w:cs="Arial" w:eastAsia="Arial" w:hAnsi="Arial"/>
          <w:sz w:val="19"/>
          <w:szCs w:val="19"/>
          <w:color w:val="3B3B3B"/>
        </w:rPr>
        <w:t>,</w:t>
      </w:r>
      <w:r>
        <w:rPr>
          <w:rFonts w:ascii="Arial" w:cs="Arial" w:eastAsia="Arial" w:hAnsi="Arial"/>
          <w:sz w:val="19"/>
          <w:szCs w:val="19"/>
          <w:color w:val="232323"/>
        </w:rPr>
        <w:t xml:space="preserve"> curtailment, stoppage or suspension of services, utilities or systems, </w:t>
      </w:r>
      <w:r>
        <w:rPr>
          <w:rFonts w:ascii="Arial" w:cs="Arial" w:eastAsia="Arial" w:hAnsi="Arial"/>
          <w:sz w:val="19"/>
          <w:szCs w:val="19"/>
          <w:color w:val="0F0F0F"/>
        </w:rPr>
        <w:t>and if</w:t>
      </w:r>
      <w:r>
        <w:rPr>
          <w:rFonts w:ascii="Arial" w:cs="Arial" w:eastAsia="Arial" w:hAnsi="Arial"/>
          <w:sz w:val="19"/>
          <w:szCs w:val="19"/>
          <w:color w:val="232323"/>
        </w:rPr>
        <w:t xml:space="preserve"> any </w:t>
      </w:r>
      <w:r>
        <w:rPr>
          <w:rFonts w:ascii="Arial" w:cs="Arial" w:eastAsia="Arial" w:hAnsi="Arial"/>
          <w:sz w:val="19"/>
          <w:szCs w:val="19"/>
          <w:color w:val="0F0F0F"/>
        </w:rPr>
        <w:t xml:space="preserve">interruption </w:t>
      </w:r>
      <w:r>
        <w:rPr>
          <w:rFonts w:ascii="Arial" w:cs="Arial" w:eastAsia="Arial" w:hAnsi="Arial"/>
          <w:sz w:val="19"/>
          <w:szCs w:val="19"/>
          <w:color w:val="232323"/>
        </w:rPr>
        <w:t>of</w:t>
      </w:r>
      <w:r>
        <w:rPr>
          <w:rFonts w:ascii="Arial" w:cs="Arial" w:eastAsia="Arial" w:hAnsi="Arial"/>
          <w:sz w:val="19"/>
          <w:szCs w:val="19"/>
          <w:color w:val="0F0F0F"/>
        </w:rPr>
        <w:t xml:space="preserve"> the </w:t>
      </w:r>
      <w:r>
        <w:rPr>
          <w:rFonts w:ascii="Arial" w:cs="Arial" w:eastAsia="Arial" w:hAnsi="Arial"/>
          <w:sz w:val="19"/>
          <w:szCs w:val="19"/>
          <w:color w:val="232323"/>
        </w:rPr>
        <w:t>services, utilities or systems is caused</w:t>
      </w:r>
      <w:r>
        <w:rPr>
          <w:rFonts w:ascii="Arial" w:cs="Arial" w:eastAsia="Arial" w:hAnsi="Arial"/>
          <w:sz w:val="19"/>
          <w:szCs w:val="19"/>
          <w:color w:val="0F0F0F"/>
        </w:rPr>
        <w:t xml:space="preserve"> by </w:t>
      </w:r>
      <w:r>
        <w:rPr>
          <w:rFonts w:ascii="Arial" w:cs="Arial" w:eastAsia="Arial" w:hAnsi="Arial"/>
          <w:sz w:val="19"/>
          <w:szCs w:val="19"/>
          <w:color w:val="232323"/>
        </w:rPr>
        <w:t>Landlord’s gross negligence or willful misconduct</w:t>
      </w:r>
      <w:r>
        <w:rPr>
          <w:rFonts w:ascii="Arial" w:cs="Arial" w:eastAsia="Arial" w:hAnsi="Arial"/>
          <w:sz w:val="19"/>
          <w:szCs w:val="19"/>
          <w:color w:val="0F0F0F"/>
        </w:rPr>
        <w:t xml:space="preserve"> and </w:t>
      </w:r>
      <w:r>
        <w:rPr>
          <w:rFonts w:ascii="Arial" w:cs="Arial" w:eastAsia="Arial" w:hAnsi="Arial"/>
          <w:sz w:val="19"/>
          <w:szCs w:val="19"/>
          <w:color w:val="232323"/>
        </w:rPr>
        <w:t xml:space="preserve">shall continue </w:t>
      </w:r>
      <w:r>
        <w:rPr>
          <w:rFonts w:ascii="Arial" w:cs="Arial" w:eastAsia="Arial" w:hAnsi="Arial"/>
          <w:sz w:val="19"/>
          <w:szCs w:val="19"/>
          <w:color w:val="0F0F0F"/>
        </w:rPr>
        <w:t>for more</w:t>
      </w:r>
      <w:r>
        <w:rPr>
          <w:rFonts w:ascii="Arial" w:cs="Arial" w:eastAsia="Arial" w:hAnsi="Arial"/>
          <w:sz w:val="19"/>
          <w:szCs w:val="19"/>
          <w:color w:val="232323"/>
        </w:rPr>
        <w:t xml:space="preserve"> than </w:t>
      </w:r>
      <w:r>
        <w:rPr>
          <w:rFonts w:ascii="Arial" w:cs="Arial" w:eastAsia="Arial" w:hAnsi="Arial"/>
          <w:sz w:val="19"/>
          <w:szCs w:val="19"/>
          <w:u w:val="single" w:color="auto"/>
          <w:color w:val="000000"/>
        </w:rPr>
        <w:t>[***]</w:t>
      </w:r>
      <w:r>
        <w:rPr>
          <w:rFonts w:ascii="Arial" w:cs="Arial" w:eastAsia="Arial" w:hAnsi="Arial"/>
          <w:sz w:val="19"/>
          <w:szCs w:val="19"/>
          <w:color w:val="232323"/>
        </w:rPr>
        <w:t xml:space="preserve"> </w:t>
      </w:r>
      <w:r>
        <w:rPr>
          <w:rFonts w:ascii="Arial" w:cs="Arial" w:eastAsia="Arial" w:hAnsi="Arial"/>
          <w:sz w:val="19"/>
          <w:szCs w:val="19"/>
          <w:color w:val="0F0F0F"/>
        </w:rPr>
        <w:t>busines</w:t>
      </w:r>
      <w:r>
        <w:rPr>
          <w:rFonts w:ascii="Arial" w:cs="Arial" w:eastAsia="Arial" w:hAnsi="Arial"/>
          <w:sz w:val="19"/>
          <w:szCs w:val="19"/>
          <w:color w:val="3B3B3B"/>
        </w:rPr>
        <w:t>s</w:t>
      </w:r>
      <w:r>
        <w:rPr>
          <w:rFonts w:ascii="Arial" w:cs="Arial" w:eastAsia="Arial" w:hAnsi="Arial"/>
          <w:sz w:val="19"/>
          <w:szCs w:val="19"/>
          <w:color w:val="232323"/>
        </w:rPr>
        <w:t xml:space="preserve"> days </w:t>
      </w:r>
      <w:r>
        <w:rPr>
          <w:rFonts w:ascii="Arial" w:cs="Arial" w:eastAsia="Arial" w:hAnsi="Arial"/>
          <w:sz w:val="19"/>
          <w:szCs w:val="19"/>
          <w:color w:val="0F0F0F"/>
        </w:rPr>
        <w:t>and</w:t>
      </w:r>
      <w:r>
        <w:rPr>
          <w:rFonts w:ascii="Arial" w:cs="Arial" w:eastAsia="Arial" w:hAnsi="Arial"/>
          <w:sz w:val="19"/>
          <w:szCs w:val="19"/>
          <w:color w:val="232323"/>
        </w:rPr>
        <w:t xml:space="preserve"> shall </w:t>
      </w:r>
      <w:r>
        <w:rPr>
          <w:rFonts w:ascii="Arial" w:cs="Arial" w:eastAsia="Arial" w:hAnsi="Arial"/>
          <w:sz w:val="19"/>
          <w:szCs w:val="19"/>
          <w:color w:val="0F0F0F"/>
        </w:rPr>
        <w:t>render</w:t>
      </w:r>
      <w:r>
        <w:rPr>
          <w:rFonts w:ascii="Arial" w:cs="Arial" w:eastAsia="Arial" w:hAnsi="Arial"/>
          <w:sz w:val="19"/>
          <w:szCs w:val="19"/>
          <w:color w:val="232323"/>
        </w:rPr>
        <w:t xml:space="preserve"> any material portion of the Premises unusable for </w:t>
      </w:r>
      <w:r>
        <w:rPr>
          <w:rFonts w:ascii="Arial" w:cs="Arial" w:eastAsia="Arial" w:hAnsi="Arial"/>
          <w:sz w:val="19"/>
          <w:szCs w:val="19"/>
          <w:color w:val="0F0F0F"/>
        </w:rPr>
        <w:t>the purpose of</w:t>
      </w:r>
      <w:r>
        <w:rPr>
          <w:rFonts w:ascii="Arial" w:cs="Arial" w:eastAsia="Arial" w:hAnsi="Arial"/>
          <w:sz w:val="19"/>
          <w:szCs w:val="19"/>
          <w:color w:val="232323"/>
        </w:rPr>
        <w:t xml:space="preserve"> conducting Tenant’s </w:t>
      </w:r>
      <w:r>
        <w:rPr>
          <w:rFonts w:ascii="Arial" w:cs="Arial" w:eastAsia="Arial" w:hAnsi="Arial"/>
          <w:sz w:val="19"/>
          <w:szCs w:val="19"/>
          <w:color w:val="0F0F0F"/>
        </w:rPr>
        <w:t>bus</w:t>
      </w:r>
      <w:r>
        <w:rPr>
          <w:rFonts w:ascii="Arial" w:cs="Arial" w:eastAsia="Arial" w:hAnsi="Arial"/>
          <w:sz w:val="19"/>
          <w:szCs w:val="19"/>
          <w:color w:val="3B3B3B"/>
        </w:rPr>
        <w:t>iness</w:t>
      </w:r>
      <w:r>
        <w:rPr>
          <w:rFonts w:ascii="Arial" w:cs="Arial" w:eastAsia="Arial" w:hAnsi="Arial"/>
          <w:sz w:val="19"/>
          <w:szCs w:val="19"/>
          <w:color w:val="232323"/>
        </w:rPr>
        <w:t xml:space="preserve"> as </w:t>
      </w:r>
      <w:r>
        <w:rPr>
          <w:rFonts w:ascii="Arial" w:cs="Arial" w:eastAsia="Arial" w:hAnsi="Arial"/>
          <w:sz w:val="19"/>
          <w:szCs w:val="19"/>
          <w:color w:val="0F0F0F"/>
        </w:rPr>
        <w:t>permitted</w:t>
      </w:r>
      <w:r>
        <w:rPr>
          <w:rFonts w:ascii="Arial" w:cs="Arial" w:eastAsia="Arial" w:hAnsi="Arial"/>
          <w:sz w:val="19"/>
          <w:szCs w:val="19"/>
          <w:color w:val="232323"/>
        </w:rPr>
        <w:t xml:space="preserve"> under this Lease, then all Base Rent </w:t>
      </w:r>
      <w:r>
        <w:rPr>
          <w:rFonts w:ascii="Arial" w:cs="Arial" w:eastAsia="Arial" w:hAnsi="Arial"/>
          <w:sz w:val="19"/>
          <w:szCs w:val="19"/>
          <w:color w:val="0F0F0F"/>
        </w:rPr>
        <w:t>payable</w:t>
      </w:r>
      <w:r>
        <w:rPr>
          <w:rFonts w:ascii="Arial" w:cs="Arial" w:eastAsia="Arial" w:hAnsi="Arial"/>
          <w:sz w:val="19"/>
          <w:szCs w:val="19"/>
          <w:color w:val="232323"/>
        </w:rPr>
        <w:t xml:space="preserve"> hereunder with respect </w:t>
      </w:r>
      <w:r>
        <w:rPr>
          <w:rFonts w:ascii="Arial" w:cs="Arial" w:eastAsia="Arial" w:hAnsi="Arial"/>
          <w:sz w:val="19"/>
          <w:szCs w:val="19"/>
          <w:color w:val="0F0F0F"/>
        </w:rPr>
        <w:t>to</w:t>
      </w:r>
      <w:r>
        <w:rPr>
          <w:rFonts w:ascii="Arial" w:cs="Arial" w:eastAsia="Arial" w:hAnsi="Arial"/>
          <w:sz w:val="19"/>
          <w:szCs w:val="19"/>
          <w:color w:val="232323"/>
        </w:rPr>
        <w:t xml:space="preserve"> the affected portion of </w:t>
      </w:r>
      <w:r>
        <w:rPr>
          <w:rFonts w:ascii="Arial" w:cs="Arial" w:eastAsia="Arial" w:hAnsi="Arial"/>
          <w:sz w:val="19"/>
          <w:szCs w:val="19"/>
          <w:color w:val="0F0F0F"/>
        </w:rPr>
        <w:t>the</w:t>
      </w:r>
      <w:r>
        <w:rPr>
          <w:rFonts w:ascii="Arial" w:cs="Arial" w:eastAsia="Arial" w:hAnsi="Arial"/>
          <w:sz w:val="19"/>
          <w:szCs w:val="19"/>
          <w:color w:val="232323"/>
        </w:rPr>
        <w:t xml:space="preserve"> Premises shall be abated for the period beginning on the </w:t>
      </w:r>
      <w:r>
        <w:rPr>
          <w:rFonts w:ascii="Arial" w:cs="Arial" w:eastAsia="Arial" w:hAnsi="Arial"/>
          <w:sz w:val="19"/>
          <w:szCs w:val="19"/>
          <w:color w:val="3B3B3B"/>
        </w:rPr>
        <w:t>sixth</w:t>
      </w:r>
      <w:r>
        <w:rPr>
          <w:rFonts w:ascii="Arial" w:cs="Arial" w:eastAsia="Arial" w:hAnsi="Arial"/>
          <w:sz w:val="19"/>
          <w:szCs w:val="19"/>
          <w:color w:val="232323"/>
        </w:rPr>
        <w:t xml:space="preserve"> (6</w:t>
      </w:r>
      <w:r>
        <w:rPr>
          <w:rFonts w:ascii="Arial" w:cs="Arial" w:eastAsia="Arial" w:hAnsi="Arial"/>
          <w:sz w:val="25"/>
          <w:szCs w:val="25"/>
          <w:color w:val="232323"/>
          <w:vertAlign w:val="superscript"/>
        </w:rPr>
        <w:t>th</w:t>
      </w:r>
      <w:r>
        <w:rPr>
          <w:rFonts w:ascii="Arial" w:cs="Arial" w:eastAsia="Arial" w:hAnsi="Arial"/>
          <w:sz w:val="19"/>
          <w:szCs w:val="19"/>
          <w:color w:val="232323"/>
        </w:rPr>
        <w:t xml:space="preserve">) business day of such failure and </w:t>
      </w:r>
      <w:r>
        <w:rPr>
          <w:rFonts w:ascii="Arial" w:cs="Arial" w:eastAsia="Arial" w:hAnsi="Arial"/>
          <w:sz w:val="19"/>
          <w:szCs w:val="19"/>
          <w:color w:val="3B3B3B"/>
        </w:rPr>
        <w:t>s</w:t>
      </w:r>
      <w:r>
        <w:rPr>
          <w:rFonts w:ascii="Arial" w:cs="Arial" w:eastAsia="Arial" w:hAnsi="Arial"/>
          <w:sz w:val="19"/>
          <w:szCs w:val="19"/>
          <w:color w:val="0F0F0F"/>
        </w:rPr>
        <w:t>hall</w:t>
      </w:r>
      <w:r>
        <w:rPr>
          <w:rFonts w:ascii="Arial" w:cs="Arial" w:eastAsia="Arial" w:hAnsi="Arial"/>
          <w:sz w:val="19"/>
          <w:szCs w:val="19"/>
          <w:color w:val="232323"/>
        </w:rPr>
        <w:t xml:space="preserve"> continue </w:t>
      </w:r>
      <w:r>
        <w:rPr>
          <w:rFonts w:ascii="Arial" w:cs="Arial" w:eastAsia="Arial" w:hAnsi="Arial"/>
          <w:sz w:val="19"/>
          <w:szCs w:val="19"/>
          <w:color w:val="0F0F0F"/>
        </w:rPr>
        <w:t>until</w:t>
      </w:r>
      <w:r>
        <w:rPr>
          <w:rFonts w:ascii="Arial" w:cs="Arial" w:eastAsia="Arial" w:hAnsi="Arial"/>
          <w:sz w:val="19"/>
          <w:szCs w:val="19"/>
          <w:color w:val="232323"/>
        </w:rPr>
        <w:t xml:space="preserve"> </w:t>
      </w:r>
      <w:r>
        <w:rPr>
          <w:rFonts w:ascii="Arial" w:cs="Arial" w:eastAsia="Arial" w:hAnsi="Arial"/>
          <w:sz w:val="19"/>
          <w:szCs w:val="19"/>
          <w:color w:val="3B3B3B"/>
        </w:rPr>
        <w:t>s</w:t>
      </w:r>
      <w:r>
        <w:rPr>
          <w:rFonts w:ascii="Arial" w:cs="Arial" w:eastAsia="Arial" w:hAnsi="Arial"/>
          <w:sz w:val="19"/>
          <w:szCs w:val="19"/>
          <w:color w:val="0F0F0F"/>
        </w:rPr>
        <w:t>ubstant</w:t>
      </w:r>
      <w:r>
        <w:rPr>
          <w:rFonts w:ascii="Arial" w:cs="Arial" w:eastAsia="Arial" w:hAnsi="Arial"/>
          <w:sz w:val="19"/>
          <w:szCs w:val="19"/>
          <w:color w:val="3B3B3B"/>
        </w:rPr>
        <w:t>ia</w:t>
      </w:r>
      <w:r>
        <w:rPr>
          <w:rFonts w:ascii="Arial" w:cs="Arial" w:eastAsia="Arial" w:hAnsi="Arial"/>
          <w:sz w:val="19"/>
          <w:szCs w:val="19"/>
          <w:color w:val="0F0F0F"/>
        </w:rPr>
        <w:t>l</w:t>
      </w:r>
      <w:r>
        <w:rPr>
          <w:rFonts w:ascii="Arial" w:cs="Arial" w:eastAsia="Arial" w:hAnsi="Arial"/>
          <w:sz w:val="19"/>
          <w:szCs w:val="19"/>
          <w:color w:val="232323"/>
        </w:rPr>
        <w:t xml:space="preserve"> use of the </w:t>
      </w:r>
      <w:r>
        <w:rPr>
          <w:rFonts w:ascii="Arial" w:cs="Arial" w:eastAsia="Arial" w:hAnsi="Arial"/>
          <w:sz w:val="19"/>
          <w:szCs w:val="19"/>
          <w:color w:val="0F0F0F"/>
        </w:rPr>
        <w:t>entire Premises is</w:t>
      </w:r>
      <w:r>
        <w:rPr>
          <w:rFonts w:ascii="Arial" w:cs="Arial" w:eastAsia="Arial" w:hAnsi="Arial"/>
          <w:sz w:val="19"/>
          <w:szCs w:val="19"/>
          <w:color w:val="232323"/>
        </w:rPr>
        <w:t xml:space="preserve"> restored </w:t>
      </w:r>
      <w:r>
        <w:rPr>
          <w:rFonts w:ascii="Arial" w:cs="Arial" w:eastAsia="Arial" w:hAnsi="Arial"/>
          <w:sz w:val="19"/>
          <w:szCs w:val="19"/>
          <w:color w:val="0F0F0F"/>
        </w:rPr>
        <w:t>to</w:t>
      </w:r>
      <w:r>
        <w:rPr>
          <w:rFonts w:ascii="Arial" w:cs="Arial" w:eastAsia="Arial" w:hAnsi="Arial"/>
          <w:sz w:val="19"/>
          <w:szCs w:val="19"/>
          <w:color w:val="232323"/>
        </w:rPr>
        <w:t xml:space="preserve"> </w:t>
      </w:r>
      <w:r>
        <w:rPr>
          <w:rFonts w:ascii="Arial" w:cs="Arial" w:eastAsia="Arial" w:hAnsi="Arial"/>
          <w:sz w:val="19"/>
          <w:szCs w:val="19"/>
          <w:color w:val="0F0F0F"/>
        </w:rPr>
        <w:t xml:space="preserve">Tenant. In </w:t>
      </w:r>
      <w:r>
        <w:rPr>
          <w:rFonts w:ascii="Arial" w:cs="Arial" w:eastAsia="Arial" w:hAnsi="Arial"/>
          <w:sz w:val="19"/>
          <w:szCs w:val="19"/>
          <w:color w:val="232323"/>
        </w:rPr>
        <w:t>addition,</w:t>
      </w:r>
      <w:r>
        <w:rPr>
          <w:rFonts w:ascii="Arial" w:cs="Arial" w:eastAsia="Arial" w:hAnsi="Arial"/>
          <w:sz w:val="19"/>
          <w:szCs w:val="19"/>
          <w:color w:val="0F0F0F"/>
        </w:rPr>
        <w:t xml:space="preserve"> if </w:t>
      </w:r>
      <w:r>
        <w:rPr>
          <w:rFonts w:ascii="Arial" w:cs="Arial" w:eastAsia="Arial" w:hAnsi="Arial"/>
          <w:sz w:val="19"/>
          <w:szCs w:val="19"/>
          <w:color w:val="232323"/>
        </w:rPr>
        <w:t>any such interruption</w:t>
      </w:r>
      <w:r>
        <w:rPr>
          <w:rFonts w:ascii="Arial" w:cs="Arial" w:eastAsia="Arial" w:hAnsi="Arial"/>
          <w:sz w:val="19"/>
          <w:szCs w:val="19"/>
          <w:color w:val="0F0F0F"/>
        </w:rPr>
        <w:t xml:space="preserve"> i</w:t>
      </w:r>
      <w:r>
        <w:rPr>
          <w:rFonts w:ascii="Arial" w:cs="Arial" w:eastAsia="Arial" w:hAnsi="Arial"/>
          <w:sz w:val="19"/>
          <w:szCs w:val="19"/>
          <w:color w:val="3B3B3B"/>
        </w:rPr>
        <w:t>s</w:t>
      </w:r>
      <w:r>
        <w:rPr>
          <w:rFonts w:ascii="Arial" w:cs="Arial" w:eastAsia="Arial" w:hAnsi="Arial"/>
          <w:sz w:val="19"/>
          <w:szCs w:val="19"/>
          <w:color w:val="0F0F0F"/>
        </w:rPr>
        <w:t xml:space="preserve"> </w:t>
      </w:r>
      <w:r>
        <w:rPr>
          <w:rFonts w:ascii="Arial" w:cs="Arial" w:eastAsia="Arial" w:hAnsi="Arial"/>
          <w:sz w:val="19"/>
          <w:szCs w:val="19"/>
          <w:color w:val="232323"/>
        </w:rPr>
        <w:t>caused</w:t>
      </w:r>
      <w:r>
        <w:rPr>
          <w:rFonts w:ascii="Arial" w:cs="Arial" w:eastAsia="Arial" w:hAnsi="Arial"/>
          <w:sz w:val="19"/>
          <w:szCs w:val="19"/>
          <w:color w:val="0F0F0F"/>
        </w:rPr>
        <w:t xml:space="preserve"> by </w:t>
      </w:r>
      <w:r>
        <w:rPr>
          <w:rFonts w:ascii="Arial" w:cs="Arial" w:eastAsia="Arial" w:hAnsi="Arial"/>
          <w:sz w:val="19"/>
          <w:szCs w:val="19"/>
          <w:color w:val="232323"/>
        </w:rPr>
        <w:t>the gross negligence</w:t>
      </w:r>
      <w:r>
        <w:rPr>
          <w:rFonts w:ascii="Arial" w:cs="Arial" w:eastAsia="Arial" w:hAnsi="Arial"/>
          <w:sz w:val="19"/>
          <w:szCs w:val="19"/>
          <w:color w:val="0F0F0F"/>
        </w:rPr>
        <w:t xml:space="preserve"> or </w:t>
      </w:r>
      <w:r>
        <w:rPr>
          <w:rFonts w:ascii="Arial" w:cs="Arial" w:eastAsia="Arial" w:hAnsi="Arial"/>
          <w:sz w:val="19"/>
          <w:szCs w:val="19"/>
          <w:color w:val="232323"/>
        </w:rPr>
        <w:t>willful misconduct of Landlord</w:t>
      </w:r>
      <w:r>
        <w:rPr>
          <w:rFonts w:ascii="Arial" w:cs="Arial" w:eastAsia="Arial" w:hAnsi="Arial"/>
          <w:sz w:val="19"/>
          <w:szCs w:val="19"/>
          <w:color w:val="0F0F0F"/>
        </w:rPr>
        <w:t xml:space="preserve"> </w:t>
      </w:r>
      <w:r>
        <w:rPr>
          <w:rFonts w:ascii="Arial" w:cs="Arial" w:eastAsia="Arial" w:hAnsi="Arial"/>
          <w:sz w:val="19"/>
          <w:szCs w:val="19"/>
          <w:color w:val="232323"/>
        </w:rPr>
        <w:t xml:space="preserve">and such interruption renders a </w:t>
      </w:r>
      <w:r>
        <w:rPr>
          <w:rFonts w:ascii="Arial" w:cs="Arial" w:eastAsia="Arial" w:hAnsi="Arial"/>
          <w:sz w:val="19"/>
          <w:szCs w:val="19"/>
          <w:color w:val="0F0F0F"/>
        </w:rPr>
        <w:t>mate</w:t>
      </w:r>
      <w:r>
        <w:rPr>
          <w:rFonts w:ascii="Arial" w:cs="Arial" w:eastAsia="Arial" w:hAnsi="Arial"/>
          <w:sz w:val="19"/>
          <w:szCs w:val="19"/>
          <w:color w:val="3B3B3B"/>
        </w:rPr>
        <w:t>rial</w:t>
      </w:r>
      <w:r>
        <w:rPr>
          <w:rFonts w:ascii="Arial" w:cs="Arial" w:eastAsia="Arial" w:hAnsi="Arial"/>
          <w:sz w:val="19"/>
          <w:szCs w:val="19"/>
          <w:color w:val="232323"/>
        </w:rPr>
        <w:t xml:space="preserve"> portion of </w:t>
      </w:r>
      <w:r>
        <w:rPr>
          <w:rFonts w:ascii="Arial" w:cs="Arial" w:eastAsia="Arial" w:hAnsi="Arial"/>
          <w:sz w:val="19"/>
          <w:szCs w:val="19"/>
          <w:color w:val="0F0F0F"/>
        </w:rPr>
        <w:t>the Premises untenan</w:t>
      </w:r>
      <w:r>
        <w:rPr>
          <w:rFonts w:ascii="Arial" w:cs="Arial" w:eastAsia="Arial" w:hAnsi="Arial"/>
          <w:sz w:val="19"/>
          <w:szCs w:val="19"/>
          <w:color w:val="3B3B3B"/>
        </w:rPr>
        <w:t>tab</w:t>
      </w:r>
      <w:r>
        <w:rPr>
          <w:rFonts w:ascii="Arial" w:cs="Arial" w:eastAsia="Arial" w:hAnsi="Arial"/>
          <w:sz w:val="19"/>
          <w:szCs w:val="19"/>
          <w:color w:val="0F0F0F"/>
        </w:rPr>
        <w:t>le</w:t>
      </w:r>
      <w:r>
        <w:rPr>
          <w:rFonts w:ascii="Arial" w:cs="Arial" w:eastAsia="Arial" w:hAnsi="Arial"/>
          <w:sz w:val="19"/>
          <w:szCs w:val="19"/>
          <w:color w:val="232323"/>
        </w:rPr>
        <w:t xml:space="preserve"> or </w:t>
      </w:r>
      <w:r>
        <w:rPr>
          <w:rFonts w:ascii="Arial" w:cs="Arial" w:eastAsia="Arial" w:hAnsi="Arial"/>
          <w:sz w:val="19"/>
          <w:szCs w:val="19"/>
          <w:color w:val="3B3B3B"/>
        </w:rPr>
        <w:t>reasonably</w:t>
      </w:r>
      <w:r>
        <w:rPr>
          <w:rFonts w:ascii="Arial" w:cs="Arial" w:eastAsia="Arial" w:hAnsi="Arial"/>
          <w:sz w:val="19"/>
          <w:szCs w:val="19"/>
          <w:color w:val="232323"/>
        </w:rPr>
        <w:t xml:space="preserve"> unusable by Tenant for </w:t>
      </w:r>
      <w:r>
        <w:rPr>
          <w:rFonts w:ascii="Arial" w:cs="Arial" w:eastAsia="Arial" w:hAnsi="Arial"/>
          <w:sz w:val="19"/>
          <w:szCs w:val="19"/>
          <w:color w:val="0F0F0F"/>
        </w:rPr>
        <w:t>it</w:t>
      </w:r>
      <w:r>
        <w:rPr>
          <w:rFonts w:ascii="Arial" w:cs="Arial" w:eastAsia="Arial" w:hAnsi="Arial"/>
          <w:sz w:val="19"/>
          <w:szCs w:val="19"/>
          <w:color w:val="3B3B3B"/>
        </w:rPr>
        <w:t>s</w:t>
      </w:r>
      <w:r>
        <w:rPr>
          <w:rFonts w:ascii="Arial" w:cs="Arial" w:eastAsia="Arial" w:hAnsi="Arial"/>
          <w:sz w:val="19"/>
          <w:szCs w:val="19"/>
          <w:color w:val="0F0F0F"/>
        </w:rPr>
        <w:t xml:space="preserve"> </w:t>
      </w:r>
      <w:r>
        <w:rPr>
          <w:rFonts w:ascii="Arial" w:cs="Arial" w:eastAsia="Arial" w:hAnsi="Arial"/>
          <w:sz w:val="19"/>
          <w:szCs w:val="19"/>
          <w:color w:val="232323"/>
        </w:rPr>
        <w:t>business purposes, and Tenant, by reason thereof, cannot occupy all or such</w:t>
      </w:r>
      <w:r>
        <w:rPr>
          <w:rFonts w:ascii="Arial" w:cs="Arial" w:eastAsia="Arial" w:hAnsi="Arial"/>
          <w:sz w:val="19"/>
          <w:szCs w:val="19"/>
          <w:color w:val="0F0F0F"/>
        </w:rPr>
        <w:t xml:space="preserve"> material </w:t>
      </w:r>
      <w:r>
        <w:rPr>
          <w:rFonts w:ascii="Arial" w:cs="Arial" w:eastAsia="Arial" w:hAnsi="Arial"/>
          <w:sz w:val="19"/>
          <w:szCs w:val="19"/>
          <w:color w:val="232323"/>
        </w:rPr>
        <w:t>portion of</w:t>
      </w:r>
      <w:r>
        <w:rPr>
          <w:rFonts w:ascii="Arial" w:cs="Arial" w:eastAsia="Arial" w:hAnsi="Arial"/>
          <w:sz w:val="19"/>
          <w:szCs w:val="19"/>
          <w:color w:val="0F0F0F"/>
        </w:rPr>
        <w:t xml:space="preserve"> </w:t>
      </w:r>
      <w:r>
        <w:rPr>
          <w:rFonts w:ascii="Arial" w:cs="Arial" w:eastAsia="Arial" w:hAnsi="Arial"/>
          <w:sz w:val="19"/>
          <w:szCs w:val="19"/>
          <w:color w:val="3B3B3B"/>
        </w:rPr>
        <w:t>t</w:t>
      </w:r>
      <w:r>
        <w:rPr>
          <w:rFonts w:ascii="Arial" w:cs="Arial" w:eastAsia="Arial" w:hAnsi="Arial"/>
          <w:sz w:val="19"/>
          <w:szCs w:val="19"/>
          <w:color w:val="0F0F0F"/>
        </w:rPr>
        <w:t xml:space="preserve">he </w:t>
      </w:r>
      <w:r>
        <w:rPr>
          <w:rFonts w:ascii="Arial" w:cs="Arial" w:eastAsia="Arial" w:hAnsi="Arial"/>
          <w:sz w:val="19"/>
          <w:szCs w:val="19"/>
          <w:color w:val="232323"/>
        </w:rPr>
        <w:t>Premises for</w:t>
      </w:r>
    </w:p>
    <w:p>
      <w:pPr>
        <w:spacing w:after="0" w:line="4" w:lineRule="exact"/>
        <w:rPr>
          <w:sz w:val="20"/>
          <w:szCs w:val="20"/>
          <w:color w:val="auto"/>
        </w:rPr>
      </w:pPr>
    </w:p>
    <w:p>
      <w:pPr>
        <w:jc w:val="both"/>
        <w:ind w:left="180" w:firstLine="4"/>
        <w:spacing w:after="0" w:line="214" w:lineRule="auto"/>
        <w:tabs>
          <w:tab w:leader="none" w:pos="702" w:val="left"/>
        </w:tabs>
        <w:numPr>
          <w:ilvl w:val="0"/>
          <w:numId w:val="289"/>
        </w:numPr>
        <w:rPr>
          <w:rFonts w:ascii="Arial" w:cs="Arial" w:eastAsia="Arial" w:hAnsi="Arial"/>
          <w:sz w:val="22"/>
          <w:szCs w:val="22"/>
          <w:u w:val="single" w:color="auto"/>
          <w:color w:val="auto"/>
        </w:rPr>
      </w:pPr>
      <w:r>
        <w:rPr>
          <w:rFonts w:ascii="Arial" w:cs="Arial" w:eastAsia="Arial" w:hAnsi="Arial"/>
          <w:sz w:val="22"/>
          <w:szCs w:val="22"/>
          <w:color w:val="232323"/>
        </w:rPr>
        <w:t xml:space="preserve">consecutive </w:t>
      </w:r>
      <w:r>
        <w:rPr>
          <w:rFonts w:ascii="Arial" w:cs="Arial" w:eastAsia="Arial" w:hAnsi="Arial"/>
          <w:sz w:val="22"/>
          <w:szCs w:val="22"/>
          <w:color w:val="0F0F0F"/>
        </w:rPr>
        <w:t>days</w:t>
      </w:r>
      <w:r>
        <w:rPr>
          <w:rFonts w:ascii="Arial" w:cs="Arial" w:eastAsia="Arial" w:hAnsi="Arial"/>
          <w:sz w:val="22"/>
          <w:szCs w:val="22"/>
          <w:color w:val="232323"/>
        </w:rPr>
        <w:t xml:space="preserve"> or a total </w:t>
      </w:r>
      <w:r>
        <w:rPr>
          <w:rFonts w:ascii="Arial" w:cs="Arial" w:eastAsia="Arial" w:hAnsi="Arial"/>
          <w:sz w:val="22"/>
          <w:szCs w:val="22"/>
          <w:color w:val="0F0F0F"/>
        </w:rPr>
        <w:t>of</w:t>
      </w:r>
      <w:r>
        <w:rPr>
          <w:rFonts w:ascii="Arial" w:cs="Arial" w:eastAsia="Arial" w:hAnsi="Arial"/>
          <w:sz w:val="22"/>
          <w:szCs w:val="22"/>
          <w:color w:val="232323"/>
        </w:rPr>
        <w:t xml:space="preserve"> </w:t>
      </w:r>
      <w:r>
        <w:rPr>
          <w:rFonts w:ascii="Arial" w:cs="Arial" w:eastAsia="Arial" w:hAnsi="Arial"/>
          <w:sz w:val="22"/>
          <w:szCs w:val="22"/>
          <w:u w:val="single" w:color="auto"/>
          <w:color w:val="000000"/>
        </w:rPr>
        <w:t>[***]</w:t>
      </w:r>
      <w:r>
        <w:rPr>
          <w:rFonts w:ascii="Arial" w:cs="Arial" w:eastAsia="Arial" w:hAnsi="Arial"/>
          <w:sz w:val="22"/>
          <w:szCs w:val="22"/>
          <w:color w:val="3B3B3B"/>
        </w:rPr>
        <w:t>, then</w:t>
      </w:r>
      <w:r>
        <w:rPr>
          <w:rFonts w:ascii="Arial" w:cs="Arial" w:eastAsia="Arial" w:hAnsi="Arial"/>
          <w:sz w:val="22"/>
          <w:szCs w:val="22"/>
          <w:color w:val="232323"/>
        </w:rPr>
        <w:t xml:space="preserve"> Tenant </w:t>
      </w:r>
      <w:r>
        <w:rPr>
          <w:rFonts w:ascii="Arial" w:cs="Arial" w:eastAsia="Arial" w:hAnsi="Arial"/>
          <w:sz w:val="22"/>
          <w:szCs w:val="22"/>
          <w:color w:val="3B3B3B"/>
        </w:rPr>
        <w:t>shall</w:t>
      </w:r>
      <w:r>
        <w:rPr>
          <w:rFonts w:ascii="Arial" w:cs="Arial" w:eastAsia="Arial" w:hAnsi="Arial"/>
          <w:sz w:val="22"/>
          <w:szCs w:val="22"/>
          <w:color w:val="232323"/>
        </w:rPr>
        <w:t xml:space="preserve"> have the right </w:t>
      </w:r>
      <w:r>
        <w:rPr>
          <w:rFonts w:ascii="Arial" w:cs="Arial" w:eastAsia="Arial" w:hAnsi="Arial"/>
          <w:sz w:val="22"/>
          <w:szCs w:val="22"/>
          <w:color w:val="0F0F0F"/>
        </w:rPr>
        <w:t>to</w:t>
      </w:r>
      <w:r>
        <w:rPr>
          <w:rFonts w:ascii="Arial" w:cs="Arial" w:eastAsia="Arial" w:hAnsi="Arial"/>
          <w:sz w:val="22"/>
          <w:szCs w:val="22"/>
          <w:color w:val="232323"/>
        </w:rPr>
        <w:t xml:space="preserve"> terminate this Lease by giving notice to Landlord within </w:t>
      </w:r>
      <w:r>
        <w:rPr>
          <w:rFonts w:ascii="Arial" w:cs="Arial" w:eastAsia="Arial" w:hAnsi="Arial"/>
          <w:sz w:val="22"/>
          <w:szCs w:val="22"/>
          <w:u w:val="single" w:color="auto"/>
          <w:color w:val="000000"/>
        </w:rPr>
        <w:t>[***]</w:t>
      </w:r>
      <w:r>
        <w:rPr>
          <w:rFonts w:ascii="Arial" w:cs="Arial" w:eastAsia="Arial" w:hAnsi="Arial"/>
          <w:sz w:val="22"/>
          <w:szCs w:val="22"/>
          <w:color w:val="232323"/>
        </w:rPr>
        <w:t xml:space="preserve"> days after such </w:t>
      </w:r>
      <w:r>
        <w:rPr>
          <w:rFonts w:ascii="Arial" w:cs="Arial" w:eastAsia="Arial" w:hAnsi="Arial"/>
          <w:sz w:val="22"/>
          <w:szCs w:val="22"/>
          <w:u w:val="single" w:color="auto"/>
          <w:color w:val="000000"/>
        </w:rPr>
        <w:t>[***]</w:t>
      </w:r>
      <w:r>
        <w:rPr>
          <w:rFonts w:ascii="Arial" w:cs="Arial" w:eastAsia="Arial" w:hAnsi="Arial"/>
          <w:sz w:val="22"/>
          <w:szCs w:val="22"/>
          <w:color w:val="232323"/>
        </w:rPr>
        <w:t xml:space="preserve"> day </w:t>
      </w:r>
      <w:r>
        <w:rPr>
          <w:rFonts w:ascii="Arial" w:cs="Arial" w:eastAsia="Arial" w:hAnsi="Arial"/>
          <w:sz w:val="22"/>
          <w:szCs w:val="22"/>
          <w:color w:val="0F0F0F"/>
        </w:rPr>
        <w:t>period</w:t>
      </w:r>
      <w:r>
        <w:rPr>
          <w:rFonts w:ascii="Arial" w:cs="Arial" w:eastAsia="Arial" w:hAnsi="Arial"/>
          <w:sz w:val="22"/>
          <w:szCs w:val="22"/>
          <w:color w:val="232323"/>
        </w:rPr>
        <w:t xml:space="preserve"> expires, and the </w:t>
      </w:r>
      <w:r>
        <w:rPr>
          <w:rFonts w:ascii="Arial" w:cs="Arial" w:eastAsia="Arial" w:hAnsi="Arial"/>
          <w:sz w:val="22"/>
          <w:szCs w:val="22"/>
          <w:color w:val="0F0F0F"/>
        </w:rPr>
        <w:t>partie</w:t>
      </w:r>
      <w:r>
        <w:rPr>
          <w:rFonts w:ascii="Arial" w:cs="Arial" w:eastAsia="Arial" w:hAnsi="Arial"/>
          <w:sz w:val="22"/>
          <w:szCs w:val="22"/>
          <w:color w:val="3B3B3B"/>
        </w:rPr>
        <w:t>s</w:t>
      </w:r>
      <w:r>
        <w:rPr>
          <w:rFonts w:ascii="Arial" w:cs="Arial" w:eastAsia="Arial" w:hAnsi="Arial"/>
          <w:sz w:val="22"/>
          <w:szCs w:val="22"/>
          <w:color w:val="232323"/>
        </w:rPr>
        <w:t xml:space="preserve"> shall </w:t>
      </w:r>
      <w:r>
        <w:rPr>
          <w:rFonts w:ascii="Arial" w:cs="Arial" w:eastAsia="Arial" w:hAnsi="Arial"/>
          <w:sz w:val="22"/>
          <w:szCs w:val="22"/>
          <w:color w:val="0F0F0F"/>
        </w:rPr>
        <w:t>have</w:t>
      </w:r>
      <w:r>
        <w:rPr>
          <w:rFonts w:ascii="Arial" w:cs="Arial" w:eastAsia="Arial" w:hAnsi="Arial"/>
          <w:sz w:val="22"/>
          <w:szCs w:val="22"/>
          <w:color w:val="232323"/>
        </w:rPr>
        <w:t xml:space="preserve"> no further obligations </w:t>
      </w:r>
      <w:r>
        <w:rPr>
          <w:rFonts w:ascii="Arial" w:cs="Arial" w:eastAsia="Arial" w:hAnsi="Arial"/>
          <w:sz w:val="22"/>
          <w:szCs w:val="22"/>
          <w:color w:val="3B3B3B"/>
        </w:rPr>
        <w:t xml:space="preserve">to each </w:t>
      </w:r>
      <w:r>
        <w:rPr>
          <w:rFonts w:ascii="Arial" w:cs="Arial" w:eastAsia="Arial" w:hAnsi="Arial"/>
          <w:sz w:val="22"/>
          <w:szCs w:val="22"/>
          <w:color w:val="232323"/>
        </w:rPr>
        <w:t>other except for such obligations as are expressly</w:t>
      </w:r>
      <w:r>
        <w:rPr>
          <w:rFonts w:ascii="Arial" w:cs="Arial" w:eastAsia="Arial" w:hAnsi="Arial"/>
          <w:sz w:val="22"/>
          <w:szCs w:val="22"/>
          <w:color w:val="3B3B3B"/>
        </w:rPr>
        <w:t xml:space="preserve"> stated </w:t>
      </w:r>
      <w:r>
        <w:rPr>
          <w:rFonts w:ascii="Arial" w:cs="Arial" w:eastAsia="Arial" w:hAnsi="Arial"/>
          <w:sz w:val="22"/>
          <w:szCs w:val="22"/>
          <w:color w:val="232323"/>
        </w:rPr>
        <w:t>in</w:t>
      </w:r>
      <w:r>
        <w:rPr>
          <w:rFonts w:ascii="Arial" w:cs="Arial" w:eastAsia="Arial" w:hAnsi="Arial"/>
          <w:sz w:val="22"/>
          <w:szCs w:val="22"/>
          <w:color w:val="3B3B3B"/>
        </w:rPr>
        <w:t xml:space="preserve"> </w:t>
      </w:r>
      <w:r>
        <w:rPr>
          <w:rFonts w:ascii="Arial" w:cs="Arial" w:eastAsia="Arial" w:hAnsi="Arial"/>
          <w:sz w:val="22"/>
          <w:szCs w:val="22"/>
          <w:color w:val="0F0F0F"/>
        </w:rPr>
        <w:t>thi</w:t>
      </w:r>
      <w:r>
        <w:rPr>
          <w:rFonts w:ascii="Arial" w:cs="Arial" w:eastAsia="Arial" w:hAnsi="Arial"/>
          <w:sz w:val="22"/>
          <w:szCs w:val="22"/>
          <w:color w:val="3B3B3B"/>
        </w:rPr>
        <w:t xml:space="preserve">s </w:t>
      </w:r>
      <w:r>
        <w:rPr>
          <w:rFonts w:ascii="Arial" w:cs="Arial" w:eastAsia="Arial" w:hAnsi="Arial"/>
          <w:sz w:val="22"/>
          <w:szCs w:val="22"/>
          <w:color w:val="232323"/>
        </w:rPr>
        <w:t>Lease to</w:t>
      </w:r>
      <w:r>
        <w:rPr>
          <w:rFonts w:ascii="Arial" w:cs="Arial" w:eastAsia="Arial" w:hAnsi="Arial"/>
          <w:sz w:val="22"/>
          <w:szCs w:val="22"/>
          <w:color w:val="3B3B3B"/>
        </w:rPr>
        <w:t xml:space="preserve"> surv</w:t>
      </w:r>
      <w:r>
        <w:rPr>
          <w:rFonts w:ascii="Arial" w:cs="Arial" w:eastAsia="Arial" w:hAnsi="Arial"/>
          <w:sz w:val="22"/>
          <w:szCs w:val="22"/>
          <w:color w:val="0F0F0F"/>
        </w:rPr>
        <w:t>ive</w:t>
      </w:r>
      <w:r>
        <w:rPr>
          <w:rFonts w:ascii="Arial" w:cs="Arial" w:eastAsia="Arial" w:hAnsi="Arial"/>
          <w:sz w:val="22"/>
          <w:szCs w:val="22"/>
          <w:color w:val="3B3B3B"/>
        </w:rPr>
        <w:t xml:space="preserve"> </w:t>
      </w:r>
      <w:r>
        <w:rPr>
          <w:rFonts w:ascii="Arial" w:cs="Arial" w:eastAsia="Arial" w:hAnsi="Arial"/>
          <w:sz w:val="22"/>
          <w:szCs w:val="22"/>
          <w:color w:val="232323"/>
        </w:rPr>
        <w:t>the termination of</w:t>
      </w:r>
      <w:r>
        <w:rPr>
          <w:rFonts w:ascii="Arial" w:cs="Arial" w:eastAsia="Arial" w:hAnsi="Arial"/>
          <w:sz w:val="22"/>
          <w:szCs w:val="22"/>
          <w:color w:val="3B3B3B"/>
        </w:rPr>
        <w:t xml:space="preserve"> </w:t>
      </w:r>
      <w:r>
        <w:rPr>
          <w:rFonts w:ascii="Arial" w:cs="Arial" w:eastAsia="Arial" w:hAnsi="Arial"/>
          <w:sz w:val="22"/>
          <w:szCs w:val="22"/>
          <w:color w:val="0F0F0F"/>
        </w:rPr>
        <w:t>thi</w:t>
      </w:r>
      <w:r>
        <w:rPr>
          <w:rFonts w:ascii="Arial" w:cs="Arial" w:eastAsia="Arial" w:hAnsi="Arial"/>
          <w:sz w:val="22"/>
          <w:szCs w:val="22"/>
          <w:color w:val="3B3B3B"/>
        </w:rPr>
        <w:t>s Lease.</w:t>
      </w:r>
    </w:p>
    <w:p>
      <w:pPr>
        <w:spacing w:after="0" w:line="160" w:lineRule="exact"/>
        <w:rPr>
          <w:sz w:val="20"/>
          <w:szCs w:val="20"/>
          <w:color w:val="auto"/>
        </w:rPr>
      </w:pPr>
    </w:p>
    <w:p>
      <w:pPr>
        <w:jc w:val="both"/>
        <w:ind w:left="180" w:hanging="647"/>
        <w:spacing w:after="0" w:line="218" w:lineRule="auto"/>
        <w:tabs>
          <w:tab w:leader="none" w:pos="160" w:val="left"/>
        </w:tabs>
        <w:rPr>
          <w:sz w:val="20"/>
          <w:szCs w:val="20"/>
          <w:color w:val="auto"/>
        </w:rPr>
      </w:pPr>
      <w:r>
        <w:rPr>
          <w:rFonts w:ascii="Arial" w:cs="Arial" w:eastAsia="Arial" w:hAnsi="Arial"/>
          <w:sz w:val="22"/>
          <w:szCs w:val="22"/>
          <w:color w:val="auto"/>
        </w:rPr>
        <w:t>16.3</w:t>
      </w:r>
      <w:r>
        <w:rPr>
          <w:rFonts w:ascii="Arial" w:cs="Arial" w:eastAsia="Arial" w:hAnsi="Arial"/>
          <w:sz w:val="22"/>
          <w:szCs w:val="22"/>
          <w:color w:val="0F0F0F"/>
        </w:rPr>
        <w:tab/>
        <w:t>T</w:t>
      </w:r>
      <w:r>
        <w:rPr>
          <w:rFonts w:ascii="Arial" w:cs="Arial" w:eastAsia="Arial" w:hAnsi="Arial"/>
          <w:sz w:val="22"/>
          <w:szCs w:val="22"/>
          <w:color w:val="3B3B3B"/>
        </w:rPr>
        <w:t>enan</w:t>
      </w:r>
      <w:r>
        <w:rPr>
          <w:rFonts w:ascii="Arial" w:cs="Arial" w:eastAsia="Arial" w:hAnsi="Arial"/>
          <w:sz w:val="22"/>
          <w:szCs w:val="22"/>
          <w:color w:val="0F0F0F"/>
        </w:rPr>
        <w:t xml:space="preserve">t </w:t>
      </w:r>
      <w:r>
        <w:rPr>
          <w:rFonts w:ascii="Arial" w:cs="Arial" w:eastAsia="Arial" w:hAnsi="Arial"/>
          <w:sz w:val="22"/>
          <w:szCs w:val="22"/>
          <w:color w:val="3B3B3B"/>
        </w:rPr>
        <w:t>s</w:t>
      </w:r>
      <w:r>
        <w:rPr>
          <w:rFonts w:ascii="Arial" w:cs="Arial" w:eastAsia="Arial" w:hAnsi="Arial"/>
          <w:sz w:val="22"/>
          <w:szCs w:val="22"/>
          <w:color w:val="0F0F0F"/>
        </w:rPr>
        <w:t xml:space="preserve">hall </w:t>
      </w:r>
      <w:r>
        <w:rPr>
          <w:rFonts w:ascii="Arial" w:cs="Arial" w:eastAsia="Arial" w:hAnsi="Arial"/>
          <w:sz w:val="22"/>
          <w:szCs w:val="22"/>
          <w:color w:val="000000"/>
        </w:rPr>
        <w:t>pay for, prior to</w:t>
      </w:r>
      <w:r>
        <w:rPr>
          <w:rFonts w:ascii="Arial" w:cs="Arial" w:eastAsia="Arial" w:hAnsi="Arial"/>
          <w:sz w:val="22"/>
          <w:szCs w:val="22"/>
          <w:color w:val="0F0F0F"/>
        </w:rPr>
        <w:t xml:space="preserve"> delinqu</w:t>
      </w:r>
      <w:r>
        <w:rPr>
          <w:rFonts w:ascii="Arial" w:cs="Arial" w:eastAsia="Arial" w:hAnsi="Arial"/>
          <w:sz w:val="22"/>
          <w:szCs w:val="22"/>
          <w:color w:val="3B3B3B"/>
        </w:rPr>
        <w:t>ency</w:t>
      </w:r>
      <w:r>
        <w:rPr>
          <w:rFonts w:ascii="Arial" w:cs="Arial" w:eastAsia="Arial" w:hAnsi="Arial"/>
          <w:sz w:val="22"/>
          <w:szCs w:val="22"/>
          <w:color w:val="0F0F0F"/>
        </w:rPr>
        <w:t xml:space="preserve"> </w:t>
      </w:r>
      <w:r>
        <w:rPr>
          <w:rFonts w:ascii="Arial" w:cs="Arial" w:eastAsia="Arial" w:hAnsi="Arial"/>
          <w:sz w:val="22"/>
          <w:szCs w:val="22"/>
          <w:color w:val="000000"/>
        </w:rPr>
        <w:t>of payment therefor, any</w:t>
      </w:r>
      <w:r>
        <w:rPr>
          <w:rFonts w:ascii="Arial" w:cs="Arial" w:eastAsia="Arial" w:hAnsi="Arial"/>
          <w:sz w:val="22"/>
          <w:szCs w:val="22"/>
          <w:color w:val="0F0F0F"/>
        </w:rPr>
        <w:t xml:space="preserve"> uti</w:t>
      </w:r>
      <w:r>
        <w:rPr>
          <w:rFonts w:ascii="Arial" w:cs="Arial" w:eastAsia="Arial" w:hAnsi="Arial"/>
          <w:sz w:val="22"/>
          <w:szCs w:val="22"/>
          <w:color w:val="3B3B3B"/>
        </w:rPr>
        <w:t>l</w:t>
      </w:r>
      <w:r>
        <w:rPr>
          <w:rFonts w:ascii="Arial" w:cs="Arial" w:eastAsia="Arial" w:hAnsi="Arial"/>
          <w:sz w:val="22"/>
          <w:szCs w:val="22"/>
          <w:color w:val="0F0F0F"/>
        </w:rPr>
        <w:t xml:space="preserve">ities </w:t>
      </w:r>
      <w:r>
        <w:rPr>
          <w:rFonts w:ascii="Arial" w:cs="Arial" w:eastAsia="Arial" w:hAnsi="Arial"/>
          <w:sz w:val="22"/>
          <w:szCs w:val="22"/>
          <w:color w:val="000000"/>
        </w:rPr>
        <w:t>and services that may</w:t>
      </w:r>
      <w:r>
        <w:rPr>
          <w:rFonts w:ascii="Arial" w:cs="Arial" w:eastAsia="Arial" w:hAnsi="Arial"/>
          <w:sz w:val="22"/>
          <w:szCs w:val="22"/>
          <w:color w:val="0F0F0F"/>
        </w:rPr>
        <w:t xml:space="preserve"> be </w:t>
      </w:r>
      <w:r>
        <w:rPr>
          <w:rFonts w:ascii="Arial" w:cs="Arial" w:eastAsia="Arial" w:hAnsi="Arial"/>
          <w:sz w:val="22"/>
          <w:szCs w:val="22"/>
          <w:color w:val="000000"/>
        </w:rPr>
        <w:t>furnished to</w:t>
      </w:r>
      <w:r>
        <w:rPr>
          <w:rFonts w:ascii="Arial" w:cs="Arial" w:eastAsia="Arial" w:hAnsi="Arial"/>
          <w:sz w:val="22"/>
          <w:szCs w:val="22"/>
          <w:color w:val="0F0F0F"/>
        </w:rPr>
        <w:t xml:space="preserve"> </w:t>
      </w:r>
      <w:r>
        <w:rPr>
          <w:rFonts w:ascii="Arial" w:cs="Arial" w:eastAsia="Arial" w:hAnsi="Arial"/>
          <w:sz w:val="22"/>
          <w:szCs w:val="22"/>
          <w:color w:val="3B3B3B"/>
        </w:rPr>
        <w:t xml:space="preserve">the </w:t>
      </w:r>
      <w:r>
        <w:rPr>
          <w:rFonts w:ascii="Arial" w:cs="Arial" w:eastAsia="Arial" w:hAnsi="Arial"/>
          <w:sz w:val="22"/>
          <w:szCs w:val="22"/>
          <w:color w:val="000000"/>
        </w:rPr>
        <w:t>Premises</w:t>
      </w:r>
      <w:r>
        <w:rPr>
          <w:rFonts w:ascii="Arial" w:cs="Arial" w:eastAsia="Arial" w:hAnsi="Arial"/>
          <w:sz w:val="22"/>
          <w:szCs w:val="22"/>
          <w:color w:val="3B3B3B"/>
        </w:rPr>
        <w:t xml:space="preserve"> </w:t>
      </w:r>
      <w:r>
        <w:rPr>
          <w:rFonts w:ascii="Arial" w:cs="Arial" w:eastAsia="Arial" w:hAnsi="Arial"/>
          <w:sz w:val="22"/>
          <w:szCs w:val="22"/>
          <w:color w:val="0F0F0F"/>
        </w:rPr>
        <w:t>during</w:t>
      </w:r>
      <w:r>
        <w:rPr>
          <w:rFonts w:ascii="Arial" w:cs="Arial" w:eastAsia="Arial" w:hAnsi="Arial"/>
          <w:sz w:val="22"/>
          <w:szCs w:val="22"/>
          <w:color w:val="3B3B3B"/>
        </w:rPr>
        <w:t xml:space="preserve"> </w:t>
      </w:r>
      <w:r>
        <w:rPr>
          <w:rFonts w:ascii="Arial" w:cs="Arial" w:eastAsia="Arial" w:hAnsi="Arial"/>
          <w:sz w:val="22"/>
          <w:szCs w:val="22"/>
          <w:color w:val="000000"/>
        </w:rPr>
        <w:t>or,</w:t>
      </w:r>
      <w:r>
        <w:rPr>
          <w:rFonts w:ascii="Arial" w:cs="Arial" w:eastAsia="Arial" w:hAnsi="Arial"/>
          <w:sz w:val="22"/>
          <w:szCs w:val="22"/>
          <w:color w:val="3B3B3B"/>
        </w:rPr>
        <w:t xml:space="preserve"> </w:t>
      </w:r>
      <w:r>
        <w:rPr>
          <w:rFonts w:ascii="Arial" w:cs="Arial" w:eastAsia="Arial" w:hAnsi="Arial"/>
          <w:sz w:val="22"/>
          <w:szCs w:val="22"/>
          <w:color w:val="0F0F0F"/>
        </w:rPr>
        <w:t>if</w:t>
      </w:r>
      <w:r>
        <w:rPr>
          <w:rFonts w:ascii="Arial" w:cs="Arial" w:eastAsia="Arial" w:hAnsi="Arial"/>
          <w:sz w:val="22"/>
          <w:szCs w:val="22"/>
          <w:color w:val="3B3B3B"/>
        </w:rPr>
        <w:t xml:space="preserve"> </w:t>
      </w:r>
      <w:r>
        <w:rPr>
          <w:rFonts w:ascii="Arial" w:cs="Arial" w:eastAsia="Arial" w:hAnsi="Arial"/>
          <w:sz w:val="22"/>
          <w:szCs w:val="22"/>
          <w:color w:val="000000"/>
        </w:rPr>
        <w:t>Tenant occupies</w:t>
      </w:r>
      <w:r>
        <w:rPr>
          <w:rFonts w:ascii="Arial" w:cs="Arial" w:eastAsia="Arial" w:hAnsi="Arial"/>
          <w:sz w:val="22"/>
          <w:szCs w:val="22"/>
          <w:color w:val="3B3B3B"/>
        </w:rPr>
        <w:t xml:space="preserve"> </w:t>
      </w:r>
      <w:r>
        <w:rPr>
          <w:rFonts w:ascii="Arial" w:cs="Arial" w:eastAsia="Arial" w:hAnsi="Arial"/>
          <w:sz w:val="22"/>
          <w:szCs w:val="22"/>
          <w:color w:val="0F0F0F"/>
        </w:rPr>
        <w:t>th</w:t>
      </w:r>
      <w:r>
        <w:rPr>
          <w:rFonts w:ascii="Arial" w:cs="Arial" w:eastAsia="Arial" w:hAnsi="Arial"/>
          <w:sz w:val="22"/>
          <w:szCs w:val="22"/>
          <w:color w:val="3B3B3B"/>
        </w:rPr>
        <w:t xml:space="preserve">e </w:t>
      </w:r>
      <w:r>
        <w:rPr>
          <w:rFonts w:ascii="Arial" w:cs="Arial" w:eastAsia="Arial" w:hAnsi="Arial"/>
          <w:sz w:val="22"/>
          <w:szCs w:val="22"/>
          <w:color w:val="000000"/>
        </w:rPr>
        <w:t>Premises after</w:t>
      </w:r>
      <w:r>
        <w:rPr>
          <w:rFonts w:ascii="Arial" w:cs="Arial" w:eastAsia="Arial" w:hAnsi="Arial"/>
          <w:sz w:val="22"/>
          <w:szCs w:val="22"/>
          <w:color w:val="3B3B3B"/>
        </w:rPr>
        <w:t xml:space="preserve"> </w:t>
      </w:r>
      <w:r>
        <w:rPr>
          <w:rFonts w:ascii="Arial" w:cs="Arial" w:eastAsia="Arial" w:hAnsi="Arial"/>
          <w:sz w:val="22"/>
          <w:szCs w:val="22"/>
          <w:color w:val="0F0F0F"/>
        </w:rPr>
        <w:t>the exp</w:t>
      </w:r>
      <w:r>
        <w:rPr>
          <w:rFonts w:ascii="Arial" w:cs="Arial" w:eastAsia="Arial" w:hAnsi="Arial"/>
          <w:sz w:val="22"/>
          <w:szCs w:val="22"/>
          <w:color w:val="3B3B3B"/>
        </w:rPr>
        <w:t xml:space="preserve">iration </w:t>
      </w:r>
      <w:r>
        <w:rPr>
          <w:rFonts w:ascii="Arial" w:cs="Arial" w:eastAsia="Arial" w:hAnsi="Arial"/>
          <w:sz w:val="22"/>
          <w:szCs w:val="22"/>
          <w:color w:val="000000"/>
        </w:rPr>
        <w:t>or</w:t>
      </w:r>
      <w:r>
        <w:rPr>
          <w:rFonts w:ascii="Arial" w:cs="Arial" w:eastAsia="Arial" w:hAnsi="Arial"/>
          <w:sz w:val="22"/>
          <w:szCs w:val="22"/>
          <w:color w:val="3B3B3B"/>
        </w:rPr>
        <w:t xml:space="preserve"> </w:t>
      </w:r>
      <w:r>
        <w:rPr>
          <w:rFonts w:ascii="Arial" w:cs="Arial" w:eastAsia="Arial" w:hAnsi="Arial"/>
          <w:sz w:val="22"/>
          <w:szCs w:val="22"/>
          <w:color w:val="0F0F0F"/>
        </w:rPr>
        <w:t>earlier</w:t>
      </w:r>
      <w:r>
        <w:rPr>
          <w:rFonts w:ascii="Arial" w:cs="Arial" w:eastAsia="Arial" w:hAnsi="Arial"/>
          <w:sz w:val="22"/>
          <w:szCs w:val="22"/>
          <w:color w:val="3B3B3B"/>
        </w:rPr>
        <w:t xml:space="preserve"> </w:t>
      </w:r>
      <w:r>
        <w:rPr>
          <w:rFonts w:ascii="Arial" w:cs="Arial" w:eastAsia="Arial" w:hAnsi="Arial"/>
          <w:sz w:val="22"/>
          <w:szCs w:val="22"/>
          <w:color w:val="000000"/>
        </w:rPr>
        <w:t>termination</w:t>
      </w:r>
      <w:r>
        <w:rPr>
          <w:rFonts w:ascii="Arial" w:cs="Arial" w:eastAsia="Arial" w:hAnsi="Arial"/>
          <w:sz w:val="22"/>
          <w:szCs w:val="22"/>
          <w:color w:val="3B3B3B"/>
        </w:rPr>
        <w:t xml:space="preserve"> </w:t>
      </w:r>
      <w:r>
        <w:rPr>
          <w:rFonts w:ascii="Arial" w:cs="Arial" w:eastAsia="Arial" w:hAnsi="Arial"/>
          <w:sz w:val="22"/>
          <w:szCs w:val="22"/>
          <w:color w:val="0F0F0F"/>
        </w:rPr>
        <w:t>of</w:t>
      </w:r>
      <w:r>
        <w:rPr>
          <w:rFonts w:ascii="Arial" w:cs="Arial" w:eastAsia="Arial" w:hAnsi="Arial"/>
          <w:sz w:val="22"/>
          <w:szCs w:val="22"/>
          <w:color w:val="3B3B3B"/>
        </w:rPr>
        <w:t xml:space="preserve"> </w:t>
      </w:r>
      <w:r>
        <w:rPr>
          <w:rFonts w:ascii="Arial" w:cs="Arial" w:eastAsia="Arial" w:hAnsi="Arial"/>
          <w:sz w:val="22"/>
          <w:szCs w:val="22"/>
          <w:color w:val="000000"/>
        </w:rPr>
        <w:t>the Term, after</w:t>
      </w:r>
      <w:r>
        <w:rPr>
          <w:rFonts w:ascii="Arial" w:cs="Arial" w:eastAsia="Arial" w:hAnsi="Arial"/>
          <w:sz w:val="22"/>
          <w:szCs w:val="22"/>
          <w:color w:val="3B3B3B"/>
        </w:rPr>
        <w:t xml:space="preserve"> </w:t>
      </w:r>
      <w:r>
        <w:rPr>
          <w:rFonts w:ascii="Arial" w:cs="Arial" w:eastAsia="Arial" w:hAnsi="Arial"/>
          <w:sz w:val="22"/>
          <w:szCs w:val="22"/>
          <w:color w:val="0F0F0F"/>
        </w:rPr>
        <w:t xml:space="preserve">the Term, beyond those </w:t>
      </w:r>
      <w:r>
        <w:rPr>
          <w:rFonts w:ascii="Arial" w:cs="Arial" w:eastAsia="Arial" w:hAnsi="Arial"/>
          <w:sz w:val="22"/>
          <w:szCs w:val="22"/>
          <w:color w:val="000000"/>
        </w:rPr>
        <w:t>utilities</w:t>
      </w:r>
      <w:r>
        <w:rPr>
          <w:rFonts w:ascii="Arial" w:cs="Arial" w:eastAsia="Arial" w:hAnsi="Arial"/>
          <w:sz w:val="22"/>
          <w:szCs w:val="22"/>
          <w:color w:val="0F0F0F"/>
        </w:rPr>
        <w:t xml:space="preserve"> required </w:t>
      </w:r>
      <w:r>
        <w:rPr>
          <w:rFonts w:ascii="Arial" w:cs="Arial" w:eastAsia="Arial" w:hAnsi="Arial"/>
          <w:sz w:val="22"/>
          <w:szCs w:val="22"/>
          <w:color w:val="3B3B3B"/>
        </w:rPr>
        <w:t>to</w:t>
      </w:r>
      <w:r>
        <w:rPr>
          <w:rFonts w:ascii="Arial" w:cs="Arial" w:eastAsia="Arial" w:hAnsi="Arial"/>
          <w:sz w:val="22"/>
          <w:szCs w:val="22"/>
          <w:color w:val="0F0F0F"/>
        </w:rPr>
        <w:t xml:space="preserve"> </w:t>
      </w:r>
      <w:r>
        <w:rPr>
          <w:rFonts w:ascii="Arial" w:cs="Arial" w:eastAsia="Arial" w:hAnsi="Arial"/>
          <w:sz w:val="22"/>
          <w:szCs w:val="22"/>
          <w:color w:val="000000"/>
        </w:rPr>
        <w:t>be provided</w:t>
      </w:r>
      <w:r>
        <w:rPr>
          <w:rFonts w:ascii="Arial" w:cs="Arial" w:eastAsia="Arial" w:hAnsi="Arial"/>
          <w:sz w:val="22"/>
          <w:szCs w:val="22"/>
          <w:color w:val="0F0F0F"/>
        </w:rPr>
        <w:t xml:space="preserve"> by </w:t>
      </w:r>
      <w:r>
        <w:rPr>
          <w:rFonts w:ascii="Arial" w:cs="Arial" w:eastAsia="Arial" w:hAnsi="Arial"/>
          <w:sz w:val="22"/>
          <w:szCs w:val="22"/>
          <w:color w:val="000000"/>
        </w:rPr>
        <w:t>Landlord</w:t>
      </w:r>
      <w:r>
        <w:rPr>
          <w:rFonts w:ascii="Arial" w:cs="Arial" w:eastAsia="Arial" w:hAnsi="Arial"/>
          <w:sz w:val="22"/>
          <w:szCs w:val="22"/>
          <w:color w:val="0F0F0F"/>
        </w:rPr>
        <w:t xml:space="preserve"> pursuan</w:t>
      </w:r>
      <w:r>
        <w:rPr>
          <w:rFonts w:ascii="Arial" w:cs="Arial" w:eastAsia="Arial" w:hAnsi="Arial"/>
          <w:sz w:val="22"/>
          <w:szCs w:val="22"/>
          <w:color w:val="3B3B3B"/>
        </w:rPr>
        <w:t>t</w:t>
      </w:r>
      <w:r>
        <w:rPr>
          <w:rFonts w:ascii="Arial" w:cs="Arial" w:eastAsia="Arial" w:hAnsi="Arial"/>
          <w:sz w:val="22"/>
          <w:szCs w:val="22"/>
          <w:color w:val="0F0F0F"/>
        </w:rPr>
        <w:t xml:space="preserve"> </w:t>
      </w:r>
      <w:r>
        <w:rPr>
          <w:rFonts w:ascii="Arial" w:cs="Arial" w:eastAsia="Arial" w:hAnsi="Arial"/>
          <w:sz w:val="22"/>
          <w:szCs w:val="22"/>
          <w:color w:val="000000"/>
        </w:rPr>
        <w:t>to</w:t>
      </w:r>
      <w:r>
        <w:rPr>
          <w:rFonts w:ascii="Arial" w:cs="Arial" w:eastAsia="Arial" w:hAnsi="Arial"/>
          <w:sz w:val="22"/>
          <w:szCs w:val="22"/>
          <w:color w:val="0F0F0F"/>
        </w:rPr>
        <w:t xml:space="preserve"> this </w:t>
      </w:r>
      <w:r>
        <w:rPr>
          <w:rFonts w:ascii="Arial" w:cs="Arial" w:eastAsia="Arial" w:hAnsi="Arial"/>
          <w:sz w:val="22"/>
          <w:szCs w:val="22"/>
          <w:color w:val="000000"/>
        </w:rPr>
        <w:t>Lease,</w:t>
      </w:r>
      <w:r>
        <w:rPr>
          <w:rFonts w:ascii="Arial" w:cs="Arial" w:eastAsia="Arial" w:hAnsi="Arial"/>
          <w:sz w:val="22"/>
          <w:szCs w:val="22"/>
          <w:color w:val="0F0F0F"/>
        </w:rPr>
        <w:t xml:space="preserve"> including </w:t>
      </w:r>
      <w:r>
        <w:rPr>
          <w:rFonts w:ascii="Arial" w:cs="Arial" w:eastAsia="Arial" w:hAnsi="Arial"/>
          <w:sz w:val="22"/>
          <w:szCs w:val="22"/>
          <w:color w:val="000000"/>
        </w:rPr>
        <w:t>telephone,</w:t>
      </w:r>
      <w:r>
        <w:rPr>
          <w:rFonts w:ascii="Arial" w:cs="Arial" w:eastAsia="Arial" w:hAnsi="Arial"/>
          <w:sz w:val="22"/>
          <w:szCs w:val="22"/>
          <w:color w:val="0F0F0F"/>
        </w:rPr>
        <w:t xml:space="preserve"> </w:t>
      </w:r>
      <w:r>
        <w:rPr>
          <w:rFonts w:ascii="Arial" w:cs="Arial" w:eastAsia="Arial" w:hAnsi="Arial"/>
          <w:sz w:val="22"/>
          <w:szCs w:val="22"/>
          <w:color w:val="3B3B3B"/>
        </w:rPr>
        <w:t>i</w:t>
      </w:r>
      <w:r>
        <w:rPr>
          <w:rFonts w:ascii="Arial" w:cs="Arial" w:eastAsia="Arial" w:hAnsi="Arial"/>
          <w:sz w:val="22"/>
          <w:szCs w:val="22"/>
          <w:color w:val="0F0F0F"/>
        </w:rPr>
        <w:t>nternet</w:t>
      </w:r>
      <w:r>
        <w:rPr>
          <w:rFonts w:ascii="Arial" w:cs="Arial" w:eastAsia="Arial" w:hAnsi="Arial"/>
          <w:sz w:val="22"/>
          <w:szCs w:val="22"/>
          <w:color w:val="3B3B3B"/>
        </w:rPr>
        <w:t xml:space="preserve"> service, </w:t>
      </w:r>
      <w:r>
        <w:rPr>
          <w:rFonts w:ascii="Arial" w:cs="Arial" w:eastAsia="Arial" w:hAnsi="Arial"/>
          <w:sz w:val="22"/>
          <w:szCs w:val="22"/>
          <w:color w:val="000000"/>
        </w:rPr>
        <w:t>cable television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120"/>
          </w:cols>
          <w:pgMar w:left="1440" w:top="1401" w:right="339" w:bottom="1440" w:gutter="0" w:footer="0" w:header="0"/>
        </w:sectPr>
      </w:pPr>
    </w:p>
    <w:bookmarkStart w:id="337" w:name="page338"/>
    <w:bookmarkEnd w:id="337"/>
    <w:p>
      <w:pPr>
        <w:jc w:val="both"/>
        <w:ind w:left="180"/>
        <w:spacing w:after="0" w:line="223" w:lineRule="auto"/>
        <w:rPr>
          <w:sz w:val="20"/>
          <w:szCs w:val="20"/>
          <w:color w:val="auto"/>
        </w:rPr>
      </w:pPr>
      <w:r>
        <w:rPr>
          <w:rFonts w:ascii="Arial" w:cs="Arial" w:eastAsia="Arial" w:hAnsi="Arial"/>
          <w:sz w:val="22"/>
          <w:szCs w:val="22"/>
          <w:color w:val="0F0F0F"/>
        </w:rPr>
        <w:t>te</w:t>
      </w:r>
      <w:r>
        <w:rPr>
          <w:rFonts w:ascii="Arial" w:cs="Arial" w:eastAsia="Arial" w:hAnsi="Arial"/>
          <w:sz w:val="22"/>
          <w:szCs w:val="22"/>
          <w:color w:val="3B3B3B"/>
        </w:rPr>
        <w:t>lecommunica</w:t>
      </w:r>
      <w:r>
        <w:rPr>
          <w:rFonts w:ascii="Arial" w:cs="Arial" w:eastAsia="Arial" w:hAnsi="Arial"/>
          <w:sz w:val="22"/>
          <w:szCs w:val="22"/>
          <w:color w:val="0F0F0F"/>
        </w:rPr>
        <w:t xml:space="preserve">tions, </w:t>
      </w:r>
      <w:r>
        <w:rPr>
          <w:rFonts w:ascii="Arial" w:cs="Arial" w:eastAsia="Arial" w:hAnsi="Arial"/>
          <w:sz w:val="22"/>
          <w:szCs w:val="22"/>
          <w:color w:val="000000"/>
        </w:rPr>
        <w:t>together with</w:t>
      </w:r>
      <w:r>
        <w:rPr>
          <w:rFonts w:ascii="Arial" w:cs="Arial" w:eastAsia="Arial" w:hAnsi="Arial"/>
          <w:sz w:val="22"/>
          <w:szCs w:val="22"/>
          <w:color w:val="0F0F0F"/>
        </w:rPr>
        <w:t xml:space="preserve"> any </w:t>
      </w:r>
      <w:r>
        <w:rPr>
          <w:rFonts w:ascii="Arial" w:cs="Arial" w:eastAsia="Arial" w:hAnsi="Arial"/>
          <w:sz w:val="22"/>
          <w:szCs w:val="22"/>
          <w:color w:val="000000"/>
        </w:rPr>
        <w:t>fees, surcharges and taxes thereon.</w:t>
      </w:r>
      <w:r>
        <w:rPr>
          <w:rFonts w:ascii="Arial" w:cs="Arial" w:eastAsia="Arial" w:hAnsi="Arial"/>
          <w:sz w:val="22"/>
          <w:szCs w:val="22"/>
          <w:color w:val="0F0F0F"/>
        </w:rPr>
        <w:t xml:space="preserve"> Upon </w:t>
      </w:r>
      <w:r>
        <w:rPr>
          <w:rFonts w:ascii="Arial" w:cs="Arial" w:eastAsia="Arial" w:hAnsi="Arial"/>
          <w:sz w:val="22"/>
          <w:szCs w:val="22"/>
          <w:color w:val="000000"/>
        </w:rPr>
        <w:t>Landlord’s</w:t>
      </w:r>
      <w:r>
        <w:rPr>
          <w:rFonts w:ascii="Arial" w:cs="Arial" w:eastAsia="Arial" w:hAnsi="Arial"/>
          <w:sz w:val="22"/>
          <w:szCs w:val="22"/>
          <w:color w:val="0F0F0F"/>
        </w:rPr>
        <w:t xml:space="preserve"> demand</w:t>
      </w:r>
      <w:r>
        <w:rPr>
          <w:rFonts w:ascii="Arial" w:cs="Arial" w:eastAsia="Arial" w:hAnsi="Arial"/>
          <w:sz w:val="22"/>
          <w:szCs w:val="22"/>
          <w:color w:val="3B3B3B"/>
        </w:rPr>
        <w:t>,</w:t>
      </w:r>
      <w:r>
        <w:rPr>
          <w:rFonts w:ascii="Arial" w:cs="Arial" w:eastAsia="Arial" w:hAnsi="Arial"/>
          <w:sz w:val="22"/>
          <w:szCs w:val="22"/>
          <w:color w:val="0F0F0F"/>
        </w:rPr>
        <w:t xml:space="preserve"> util</w:t>
      </w:r>
      <w:r>
        <w:rPr>
          <w:rFonts w:ascii="Arial" w:cs="Arial" w:eastAsia="Arial" w:hAnsi="Arial"/>
          <w:sz w:val="22"/>
          <w:szCs w:val="22"/>
          <w:color w:val="3B3B3B"/>
        </w:rPr>
        <w:t>i</w:t>
      </w:r>
      <w:r>
        <w:rPr>
          <w:rFonts w:ascii="Arial" w:cs="Arial" w:eastAsia="Arial" w:hAnsi="Arial"/>
          <w:sz w:val="22"/>
          <w:szCs w:val="22"/>
          <w:color w:val="0F0F0F"/>
        </w:rPr>
        <w:t>t</w:t>
      </w:r>
      <w:r>
        <w:rPr>
          <w:rFonts w:ascii="Arial" w:cs="Arial" w:eastAsia="Arial" w:hAnsi="Arial"/>
          <w:sz w:val="22"/>
          <w:szCs w:val="22"/>
          <w:color w:val="3B3B3B"/>
        </w:rPr>
        <w:t>ies</w:t>
      </w:r>
      <w:r>
        <w:rPr>
          <w:rFonts w:ascii="Arial" w:cs="Arial" w:eastAsia="Arial" w:hAnsi="Arial"/>
          <w:sz w:val="22"/>
          <w:szCs w:val="22"/>
          <w:color w:val="0F0F0F"/>
        </w:rPr>
        <w:t xml:space="preserve"> </w:t>
      </w:r>
      <w:r>
        <w:rPr>
          <w:rFonts w:ascii="Arial" w:cs="Arial" w:eastAsia="Arial" w:hAnsi="Arial"/>
          <w:sz w:val="22"/>
          <w:szCs w:val="22"/>
          <w:color w:val="000000"/>
        </w:rPr>
        <w:t>and</w:t>
      </w:r>
      <w:r>
        <w:rPr>
          <w:rFonts w:ascii="Arial" w:cs="Arial" w:eastAsia="Arial" w:hAnsi="Arial"/>
          <w:sz w:val="22"/>
          <w:szCs w:val="22"/>
          <w:color w:val="0F0F0F"/>
        </w:rPr>
        <w:t xml:space="preserve"> </w:t>
      </w:r>
      <w:r>
        <w:rPr>
          <w:rFonts w:ascii="Arial" w:cs="Arial" w:eastAsia="Arial" w:hAnsi="Arial"/>
          <w:sz w:val="22"/>
          <w:szCs w:val="22"/>
          <w:color w:val="000000"/>
        </w:rPr>
        <w:t xml:space="preserve">services provided </w:t>
      </w:r>
      <w:r>
        <w:rPr>
          <w:rFonts w:ascii="Arial" w:cs="Arial" w:eastAsia="Arial" w:hAnsi="Arial"/>
          <w:sz w:val="22"/>
          <w:szCs w:val="22"/>
          <w:color w:val="3B3B3B"/>
        </w:rPr>
        <w:t>to</w:t>
      </w:r>
      <w:r>
        <w:rPr>
          <w:rFonts w:ascii="Arial" w:cs="Arial" w:eastAsia="Arial" w:hAnsi="Arial"/>
          <w:sz w:val="22"/>
          <w:szCs w:val="22"/>
          <w:color w:val="000000"/>
        </w:rPr>
        <w:t xml:space="preserve"> </w:t>
      </w:r>
      <w:r>
        <w:rPr>
          <w:rFonts w:ascii="Arial" w:cs="Arial" w:eastAsia="Arial" w:hAnsi="Arial"/>
          <w:sz w:val="22"/>
          <w:szCs w:val="22"/>
          <w:color w:val="0F0F0F"/>
        </w:rPr>
        <w:t>the</w:t>
      </w:r>
      <w:r>
        <w:rPr>
          <w:rFonts w:ascii="Arial" w:cs="Arial" w:eastAsia="Arial" w:hAnsi="Arial"/>
          <w:sz w:val="22"/>
          <w:szCs w:val="22"/>
          <w:color w:val="000000"/>
        </w:rPr>
        <w:t xml:space="preserve"> Premises </w:t>
      </w:r>
      <w:r>
        <w:rPr>
          <w:rFonts w:ascii="Arial" w:cs="Arial" w:eastAsia="Arial" w:hAnsi="Arial"/>
          <w:sz w:val="22"/>
          <w:szCs w:val="22"/>
          <w:color w:val="0F0F0F"/>
        </w:rPr>
        <w:t>that</w:t>
      </w:r>
      <w:r>
        <w:rPr>
          <w:rFonts w:ascii="Arial" w:cs="Arial" w:eastAsia="Arial" w:hAnsi="Arial"/>
          <w:sz w:val="22"/>
          <w:szCs w:val="22"/>
          <w:color w:val="000000"/>
        </w:rPr>
        <w:t xml:space="preserve"> are separately </w:t>
      </w:r>
      <w:r>
        <w:rPr>
          <w:rFonts w:ascii="Arial" w:cs="Arial" w:eastAsia="Arial" w:hAnsi="Arial"/>
          <w:sz w:val="22"/>
          <w:szCs w:val="22"/>
          <w:color w:val="0F0F0F"/>
        </w:rPr>
        <w:t>metered</w:t>
      </w:r>
      <w:r>
        <w:rPr>
          <w:rFonts w:ascii="Arial" w:cs="Arial" w:eastAsia="Arial" w:hAnsi="Arial"/>
          <w:sz w:val="22"/>
          <w:szCs w:val="22"/>
          <w:color w:val="000000"/>
        </w:rPr>
        <w:t xml:space="preserve"> shall be paid </w:t>
      </w:r>
      <w:r>
        <w:rPr>
          <w:rFonts w:ascii="Arial" w:cs="Arial" w:eastAsia="Arial" w:hAnsi="Arial"/>
          <w:sz w:val="22"/>
          <w:szCs w:val="22"/>
          <w:color w:val="0F0F0F"/>
        </w:rPr>
        <w:t>by</w:t>
      </w:r>
      <w:r>
        <w:rPr>
          <w:rFonts w:ascii="Arial" w:cs="Arial" w:eastAsia="Arial" w:hAnsi="Arial"/>
          <w:sz w:val="22"/>
          <w:szCs w:val="22"/>
          <w:color w:val="000000"/>
        </w:rPr>
        <w:t xml:space="preserve"> Tenant directly </w:t>
      </w:r>
      <w:r>
        <w:rPr>
          <w:rFonts w:ascii="Arial" w:cs="Arial" w:eastAsia="Arial" w:hAnsi="Arial"/>
          <w:sz w:val="22"/>
          <w:szCs w:val="22"/>
          <w:color w:val="0F0F0F"/>
        </w:rPr>
        <w:t>to</w:t>
      </w:r>
      <w:r>
        <w:rPr>
          <w:rFonts w:ascii="Arial" w:cs="Arial" w:eastAsia="Arial" w:hAnsi="Arial"/>
          <w:sz w:val="22"/>
          <w:szCs w:val="22"/>
          <w:color w:val="000000"/>
        </w:rPr>
        <w:t xml:space="preserve"> the supplier of such utilities or services.</w:t>
      </w:r>
    </w:p>
    <w:p>
      <w:pPr>
        <w:spacing w:after="0" w:line="159" w:lineRule="exact"/>
        <w:rPr>
          <w:sz w:val="20"/>
          <w:szCs w:val="20"/>
          <w:color w:val="auto"/>
        </w:rPr>
      </w:pPr>
    </w:p>
    <w:p>
      <w:pPr>
        <w:jc w:val="both"/>
        <w:ind w:left="180" w:hanging="647"/>
        <w:spacing w:after="0" w:line="242" w:lineRule="auto"/>
        <w:tabs>
          <w:tab w:leader="none" w:pos="16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 xml:space="preserve">Regardless of whether a Turnover has occurred, Tenant </w:t>
      </w:r>
      <w:r>
        <w:rPr>
          <w:rFonts w:ascii="Arial" w:cs="Arial" w:eastAsia="Arial" w:hAnsi="Arial"/>
          <w:sz w:val="19"/>
          <w:szCs w:val="19"/>
          <w:color w:val="BFBFBF"/>
        </w:rPr>
        <w:t>.</w:t>
      </w:r>
      <w:r>
        <w:rPr>
          <w:rFonts w:ascii="Arial" w:cs="Arial" w:eastAsia="Arial" w:hAnsi="Arial"/>
          <w:sz w:val="19"/>
          <w:szCs w:val="19"/>
          <w:color w:val="auto"/>
        </w:rPr>
        <w:t xml:space="preserve">shall not, without </w:t>
      </w:r>
      <w:r>
        <w:rPr>
          <w:rFonts w:ascii="Arial" w:cs="Arial" w:eastAsia="Arial" w:hAnsi="Arial"/>
          <w:sz w:val="19"/>
          <w:szCs w:val="19"/>
          <w:color w:val="0F0F0F"/>
        </w:rPr>
        <w:t>Landlord’s</w:t>
      </w:r>
      <w:r>
        <w:rPr>
          <w:rFonts w:ascii="Arial" w:cs="Arial" w:eastAsia="Arial" w:hAnsi="Arial"/>
          <w:sz w:val="19"/>
          <w:szCs w:val="19"/>
          <w:color w:val="auto"/>
        </w:rPr>
        <w:t xml:space="preserve"> prior written consent, use any </w:t>
      </w:r>
      <w:r>
        <w:rPr>
          <w:rFonts w:ascii="Arial" w:cs="Arial" w:eastAsia="Arial" w:hAnsi="Arial"/>
          <w:sz w:val="19"/>
          <w:szCs w:val="19"/>
          <w:color w:val="0F0F0F"/>
        </w:rPr>
        <w:t>device</w:t>
      </w:r>
      <w:r>
        <w:rPr>
          <w:rFonts w:ascii="Arial" w:cs="Arial" w:eastAsia="Arial" w:hAnsi="Arial"/>
          <w:sz w:val="19"/>
          <w:szCs w:val="19"/>
          <w:color w:val="auto"/>
        </w:rPr>
        <w:t xml:space="preserve"> in </w:t>
      </w:r>
      <w:r>
        <w:rPr>
          <w:rFonts w:ascii="Arial" w:cs="Arial" w:eastAsia="Arial" w:hAnsi="Arial"/>
          <w:sz w:val="19"/>
          <w:szCs w:val="19"/>
          <w:color w:val="3B3B3B"/>
        </w:rPr>
        <w:t>the</w:t>
      </w:r>
      <w:r>
        <w:rPr>
          <w:rFonts w:ascii="Arial" w:cs="Arial" w:eastAsia="Arial" w:hAnsi="Arial"/>
          <w:sz w:val="19"/>
          <w:szCs w:val="19"/>
          <w:color w:val="auto"/>
        </w:rPr>
        <w:t xml:space="preserve"> Premises (including data processing machines) that will in any way (a) increase the amount of ventilation, air exchange, gas, steam, electricity or water beyond </w:t>
      </w:r>
      <w:r>
        <w:rPr>
          <w:rFonts w:ascii="Arial" w:cs="Arial" w:eastAsia="Arial" w:hAnsi="Arial"/>
          <w:sz w:val="19"/>
          <w:szCs w:val="19"/>
          <w:color w:val="0F0F0F"/>
        </w:rPr>
        <w:t>the existing</w:t>
      </w:r>
      <w:r>
        <w:rPr>
          <w:rFonts w:ascii="Arial" w:cs="Arial" w:eastAsia="Arial" w:hAnsi="Arial"/>
          <w:sz w:val="19"/>
          <w:szCs w:val="19"/>
          <w:color w:val="auto"/>
        </w:rPr>
        <w:t xml:space="preserve"> capacity of </w:t>
      </w:r>
      <w:r>
        <w:rPr>
          <w:rFonts w:ascii="Arial" w:cs="Arial" w:eastAsia="Arial" w:hAnsi="Arial"/>
          <w:sz w:val="19"/>
          <w:szCs w:val="19"/>
          <w:color w:val="0F0F0F"/>
        </w:rPr>
        <w:t>the</w:t>
      </w:r>
      <w:r>
        <w:rPr>
          <w:rFonts w:ascii="Arial" w:cs="Arial" w:eastAsia="Arial" w:hAnsi="Arial"/>
          <w:sz w:val="19"/>
          <w:szCs w:val="19"/>
          <w:color w:val="auto"/>
        </w:rPr>
        <w:t xml:space="preserve"> Building or </w:t>
      </w:r>
      <w:r>
        <w:rPr>
          <w:rFonts w:ascii="Arial" w:cs="Arial" w:eastAsia="Arial" w:hAnsi="Arial"/>
          <w:sz w:val="19"/>
          <w:szCs w:val="19"/>
          <w:color w:val="3B3B3B"/>
        </w:rPr>
        <w:t>t</w:t>
      </w:r>
      <w:r>
        <w:rPr>
          <w:rFonts w:ascii="Arial" w:cs="Arial" w:eastAsia="Arial" w:hAnsi="Arial"/>
          <w:sz w:val="19"/>
          <w:szCs w:val="19"/>
          <w:color w:val="0F0F0F"/>
        </w:rPr>
        <w:t>he</w:t>
      </w:r>
      <w:r>
        <w:rPr>
          <w:rFonts w:ascii="Arial" w:cs="Arial" w:eastAsia="Arial" w:hAnsi="Arial"/>
          <w:sz w:val="19"/>
          <w:szCs w:val="19"/>
          <w:color w:val="auto"/>
        </w:rPr>
        <w:t xml:space="preserve"> </w:t>
      </w:r>
      <w:r>
        <w:rPr>
          <w:rFonts w:ascii="Arial" w:cs="Arial" w:eastAsia="Arial" w:hAnsi="Arial"/>
          <w:sz w:val="19"/>
          <w:szCs w:val="19"/>
          <w:color w:val="0F0F0F"/>
        </w:rPr>
        <w:t xml:space="preserve">Project </w:t>
      </w:r>
      <w:r>
        <w:rPr>
          <w:rFonts w:ascii="Arial" w:cs="Arial" w:eastAsia="Arial" w:hAnsi="Arial"/>
          <w:sz w:val="19"/>
          <w:szCs w:val="19"/>
          <w:color w:val="000000"/>
        </w:rPr>
        <w:t>as</w:t>
      </w:r>
      <w:r>
        <w:rPr>
          <w:rFonts w:ascii="Arial" w:cs="Arial" w:eastAsia="Arial" w:hAnsi="Arial"/>
          <w:sz w:val="19"/>
          <w:szCs w:val="19"/>
          <w:color w:val="0F0F0F"/>
        </w:rPr>
        <w:t xml:space="preserve"> proportionately </w:t>
      </w:r>
      <w:r>
        <w:rPr>
          <w:rFonts w:ascii="Arial" w:cs="Arial" w:eastAsia="Arial" w:hAnsi="Arial"/>
          <w:sz w:val="19"/>
          <w:szCs w:val="19"/>
          <w:color w:val="000000"/>
        </w:rPr>
        <w:t>allocated</w:t>
      </w:r>
      <w:r>
        <w:rPr>
          <w:rFonts w:ascii="Arial" w:cs="Arial" w:eastAsia="Arial" w:hAnsi="Arial"/>
          <w:sz w:val="19"/>
          <w:szCs w:val="19"/>
          <w:color w:val="0F0F0F"/>
        </w:rPr>
        <w:t xml:space="preserve"> to </w:t>
      </w:r>
      <w:r>
        <w:rPr>
          <w:rFonts w:ascii="Arial" w:cs="Arial" w:eastAsia="Arial" w:hAnsi="Arial"/>
          <w:sz w:val="19"/>
          <w:szCs w:val="19"/>
          <w:color w:val="000000"/>
        </w:rPr>
        <w:t>the Premises</w:t>
      </w:r>
      <w:r>
        <w:rPr>
          <w:rFonts w:ascii="Arial" w:cs="Arial" w:eastAsia="Arial" w:hAnsi="Arial"/>
          <w:sz w:val="19"/>
          <w:szCs w:val="19"/>
          <w:color w:val="0F0F0F"/>
        </w:rPr>
        <w:t xml:space="preserve"> based </w:t>
      </w:r>
      <w:r>
        <w:rPr>
          <w:rFonts w:ascii="Arial" w:cs="Arial" w:eastAsia="Arial" w:hAnsi="Arial"/>
          <w:sz w:val="19"/>
          <w:szCs w:val="19"/>
          <w:color w:val="000000"/>
        </w:rPr>
        <w:t>upon Tenant’s Pro</w:t>
      </w:r>
      <w:r>
        <w:rPr>
          <w:rFonts w:ascii="Arial" w:cs="Arial" w:eastAsia="Arial" w:hAnsi="Arial"/>
          <w:sz w:val="19"/>
          <w:szCs w:val="19"/>
          <w:color w:val="0F0F0F"/>
        </w:rPr>
        <w:t xml:space="preserve"> Rata </w:t>
      </w:r>
      <w:r>
        <w:rPr>
          <w:rFonts w:ascii="Arial" w:cs="Arial" w:eastAsia="Arial" w:hAnsi="Arial"/>
          <w:sz w:val="19"/>
          <w:szCs w:val="19"/>
          <w:color w:val="000000"/>
        </w:rPr>
        <w:t>Share of the Common Areas; or</w:t>
      </w:r>
    </w:p>
    <w:p>
      <w:pPr>
        <w:spacing w:after="0" w:line="1" w:lineRule="exact"/>
        <w:rPr>
          <w:sz w:val="20"/>
          <w:szCs w:val="20"/>
          <w:color w:val="auto"/>
        </w:rPr>
      </w:pPr>
    </w:p>
    <w:p>
      <w:pPr>
        <w:jc w:val="both"/>
        <w:ind w:left="180" w:firstLine="4"/>
        <w:spacing w:after="0" w:line="212" w:lineRule="auto"/>
        <w:tabs>
          <w:tab w:leader="none" w:pos="494" w:val="left"/>
        </w:tabs>
        <w:numPr>
          <w:ilvl w:val="0"/>
          <w:numId w:val="290"/>
        </w:numPr>
        <w:rPr>
          <w:rFonts w:ascii="Arial" w:cs="Arial" w:eastAsia="Arial" w:hAnsi="Arial"/>
          <w:sz w:val="22"/>
          <w:szCs w:val="22"/>
          <w:color w:val="auto"/>
        </w:rPr>
      </w:pPr>
      <w:r>
        <w:rPr>
          <w:rFonts w:ascii="Arial" w:cs="Arial" w:eastAsia="Arial" w:hAnsi="Arial"/>
          <w:sz w:val="22"/>
          <w:szCs w:val="22"/>
          <w:color w:val="auto"/>
        </w:rPr>
        <w:t xml:space="preserve">exceed Tenant’s Pro Rata Share of the </w:t>
      </w:r>
      <w:r>
        <w:rPr>
          <w:rFonts w:ascii="Arial" w:cs="Arial" w:eastAsia="Arial" w:hAnsi="Arial"/>
          <w:sz w:val="22"/>
          <w:szCs w:val="22"/>
          <w:color w:val="0F0F0F"/>
        </w:rPr>
        <w:t>Bui</w:t>
      </w:r>
      <w:r>
        <w:rPr>
          <w:rFonts w:ascii="Arial" w:cs="Arial" w:eastAsia="Arial" w:hAnsi="Arial"/>
          <w:sz w:val="22"/>
          <w:szCs w:val="22"/>
          <w:color w:val="3B3B3B"/>
        </w:rPr>
        <w:t>lding’s</w:t>
      </w:r>
      <w:r>
        <w:rPr>
          <w:rFonts w:ascii="Arial" w:cs="Arial" w:eastAsia="Arial" w:hAnsi="Arial"/>
          <w:sz w:val="22"/>
          <w:szCs w:val="22"/>
          <w:color w:val="auto"/>
        </w:rPr>
        <w:t xml:space="preserve"> or </w:t>
      </w:r>
      <w:r>
        <w:rPr>
          <w:rFonts w:ascii="Arial" w:cs="Arial" w:eastAsia="Arial" w:hAnsi="Arial"/>
          <w:sz w:val="22"/>
          <w:szCs w:val="22"/>
          <w:color w:val="0F0F0F"/>
        </w:rPr>
        <w:t>Project’s</w:t>
      </w:r>
      <w:r>
        <w:rPr>
          <w:rFonts w:ascii="Arial" w:cs="Arial" w:eastAsia="Arial" w:hAnsi="Arial"/>
          <w:sz w:val="22"/>
          <w:szCs w:val="22"/>
          <w:color w:val="auto"/>
        </w:rPr>
        <w:t xml:space="preserve"> (as </w:t>
      </w:r>
      <w:r>
        <w:rPr>
          <w:rFonts w:ascii="Arial" w:cs="Arial" w:eastAsia="Arial" w:hAnsi="Arial"/>
          <w:sz w:val="22"/>
          <w:szCs w:val="22"/>
          <w:color w:val="3B3B3B"/>
        </w:rPr>
        <w:t>a</w:t>
      </w:r>
      <w:r>
        <w:rPr>
          <w:rFonts w:ascii="Arial" w:cs="Arial" w:eastAsia="Arial" w:hAnsi="Arial"/>
          <w:sz w:val="22"/>
          <w:szCs w:val="22"/>
          <w:color w:val="0F0F0F"/>
        </w:rPr>
        <w:t>ppl</w:t>
      </w:r>
      <w:r>
        <w:rPr>
          <w:rFonts w:ascii="Arial" w:cs="Arial" w:eastAsia="Arial" w:hAnsi="Arial"/>
          <w:sz w:val="22"/>
          <w:szCs w:val="22"/>
          <w:color w:val="3B3B3B"/>
        </w:rPr>
        <w:t>icab</w:t>
      </w:r>
      <w:r>
        <w:rPr>
          <w:rFonts w:ascii="Arial" w:cs="Arial" w:eastAsia="Arial" w:hAnsi="Arial"/>
          <w:sz w:val="22"/>
          <w:szCs w:val="22"/>
          <w:color w:val="0F0F0F"/>
        </w:rPr>
        <w:t>le)</w:t>
      </w:r>
      <w:r>
        <w:rPr>
          <w:rFonts w:ascii="Arial" w:cs="Arial" w:eastAsia="Arial" w:hAnsi="Arial"/>
          <w:sz w:val="22"/>
          <w:szCs w:val="22"/>
          <w:color w:val="auto"/>
        </w:rPr>
        <w:t xml:space="preserve"> capacity </w:t>
      </w:r>
      <w:r>
        <w:rPr>
          <w:rFonts w:ascii="Arial" w:cs="Arial" w:eastAsia="Arial" w:hAnsi="Arial"/>
          <w:sz w:val="22"/>
          <w:szCs w:val="22"/>
          <w:color w:val="0F0F0F"/>
        </w:rPr>
        <w:t>to pro</w:t>
      </w:r>
      <w:r>
        <w:rPr>
          <w:rFonts w:ascii="Arial" w:cs="Arial" w:eastAsia="Arial" w:hAnsi="Arial"/>
          <w:sz w:val="22"/>
          <w:szCs w:val="22"/>
          <w:color w:val="3B3B3B"/>
        </w:rPr>
        <w:t>vide</w:t>
      </w:r>
      <w:r>
        <w:rPr>
          <w:rFonts w:ascii="Arial" w:cs="Arial" w:eastAsia="Arial" w:hAnsi="Arial"/>
          <w:sz w:val="22"/>
          <w:szCs w:val="22"/>
          <w:color w:val="auto"/>
        </w:rPr>
        <w:t xml:space="preserve"> such utilities </w:t>
      </w:r>
      <w:r>
        <w:rPr>
          <w:rFonts w:ascii="Arial" w:cs="Arial" w:eastAsia="Arial" w:hAnsi="Arial"/>
          <w:sz w:val="22"/>
          <w:szCs w:val="22"/>
          <w:color w:val="0F0F0F"/>
        </w:rPr>
        <w:t xml:space="preserve">or </w:t>
      </w:r>
      <w:r>
        <w:rPr>
          <w:rFonts w:ascii="Arial" w:cs="Arial" w:eastAsia="Arial" w:hAnsi="Arial"/>
          <w:sz w:val="22"/>
          <w:szCs w:val="22"/>
          <w:color w:val="000000"/>
        </w:rPr>
        <w:t>services,</w:t>
      </w:r>
      <w:r>
        <w:rPr>
          <w:rFonts w:ascii="Arial" w:cs="Arial" w:eastAsia="Arial" w:hAnsi="Arial"/>
          <w:sz w:val="22"/>
          <w:szCs w:val="22"/>
          <w:color w:val="0F0F0F"/>
        </w:rPr>
        <w:t xml:space="preserve"> unless </w:t>
      </w:r>
      <w:r>
        <w:rPr>
          <w:rFonts w:ascii="Arial" w:cs="Arial" w:eastAsia="Arial" w:hAnsi="Arial"/>
          <w:sz w:val="22"/>
          <w:szCs w:val="22"/>
          <w:color w:val="000000"/>
        </w:rPr>
        <w:t>Tenant makes</w:t>
      </w:r>
      <w:r>
        <w:rPr>
          <w:rFonts w:ascii="Arial" w:cs="Arial" w:eastAsia="Arial" w:hAnsi="Arial"/>
          <w:sz w:val="22"/>
          <w:szCs w:val="22"/>
          <w:color w:val="0F0F0F"/>
        </w:rPr>
        <w:t xml:space="preserve"> alterations </w:t>
      </w:r>
      <w:r>
        <w:rPr>
          <w:rFonts w:ascii="Arial" w:cs="Arial" w:eastAsia="Arial" w:hAnsi="Arial"/>
          <w:sz w:val="22"/>
          <w:szCs w:val="22"/>
          <w:color w:val="000000"/>
        </w:rPr>
        <w:t>to</w:t>
      </w:r>
      <w:r>
        <w:rPr>
          <w:rFonts w:ascii="Arial" w:cs="Arial" w:eastAsia="Arial" w:hAnsi="Arial"/>
          <w:sz w:val="22"/>
          <w:szCs w:val="22"/>
          <w:color w:val="0F0F0F"/>
        </w:rPr>
        <w:t xml:space="preserve"> th</w:t>
      </w:r>
      <w:r>
        <w:rPr>
          <w:rFonts w:ascii="Arial" w:cs="Arial" w:eastAsia="Arial" w:hAnsi="Arial"/>
          <w:sz w:val="22"/>
          <w:szCs w:val="22"/>
          <w:color w:val="3B3B3B"/>
        </w:rPr>
        <w:t>e</w:t>
      </w:r>
      <w:r>
        <w:rPr>
          <w:rFonts w:ascii="Arial" w:cs="Arial" w:eastAsia="Arial" w:hAnsi="Arial"/>
          <w:sz w:val="22"/>
          <w:szCs w:val="22"/>
          <w:color w:val="0F0F0F"/>
        </w:rPr>
        <w:t xml:space="preserve"> </w:t>
      </w:r>
      <w:r>
        <w:rPr>
          <w:rFonts w:ascii="Arial" w:cs="Arial" w:eastAsia="Arial" w:hAnsi="Arial"/>
          <w:sz w:val="22"/>
          <w:szCs w:val="22"/>
          <w:color w:val="000000"/>
        </w:rPr>
        <w:t>same</w:t>
      </w:r>
      <w:r>
        <w:rPr>
          <w:rFonts w:ascii="Arial" w:cs="Arial" w:eastAsia="Arial" w:hAnsi="Arial"/>
          <w:sz w:val="22"/>
          <w:szCs w:val="22"/>
          <w:color w:val="0F0F0F"/>
        </w:rPr>
        <w:t xml:space="preserve"> to </w:t>
      </w:r>
      <w:r>
        <w:rPr>
          <w:rFonts w:ascii="Arial" w:cs="Arial" w:eastAsia="Arial" w:hAnsi="Arial"/>
          <w:sz w:val="22"/>
          <w:szCs w:val="22"/>
          <w:color w:val="000000"/>
        </w:rPr>
        <w:t>permit such device and agrees</w:t>
      </w:r>
      <w:r>
        <w:rPr>
          <w:rFonts w:ascii="Arial" w:cs="Arial" w:eastAsia="Arial" w:hAnsi="Arial"/>
          <w:sz w:val="22"/>
          <w:szCs w:val="22"/>
          <w:color w:val="0F0F0F"/>
        </w:rPr>
        <w:t xml:space="preserve"> </w:t>
      </w:r>
      <w:r>
        <w:rPr>
          <w:rFonts w:ascii="Arial" w:cs="Arial" w:eastAsia="Arial" w:hAnsi="Arial"/>
          <w:sz w:val="22"/>
          <w:szCs w:val="22"/>
          <w:color w:val="3B3B3B"/>
        </w:rPr>
        <w:t>to</w:t>
      </w:r>
      <w:r>
        <w:rPr>
          <w:rFonts w:ascii="Arial" w:cs="Arial" w:eastAsia="Arial" w:hAnsi="Arial"/>
          <w:sz w:val="22"/>
          <w:szCs w:val="22"/>
          <w:color w:val="0F0F0F"/>
        </w:rPr>
        <w:t xml:space="preserve"> </w:t>
      </w:r>
      <w:r>
        <w:rPr>
          <w:rFonts w:ascii="Arial" w:cs="Arial" w:eastAsia="Arial" w:hAnsi="Arial"/>
          <w:sz w:val="22"/>
          <w:szCs w:val="22"/>
          <w:color w:val="000000"/>
        </w:rPr>
        <w:t>pay any</w:t>
      </w:r>
      <w:r>
        <w:rPr>
          <w:rFonts w:ascii="Arial" w:cs="Arial" w:eastAsia="Arial" w:hAnsi="Arial"/>
          <w:sz w:val="22"/>
          <w:szCs w:val="22"/>
          <w:color w:val="0F0F0F"/>
        </w:rPr>
        <w:t xml:space="preserve"> increased </w:t>
      </w:r>
      <w:r>
        <w:rPr>
          <w:rFonts w:ascii="Arial" w:cs="Arial" w:eastAsia="Arial" w:hAnsi="Arial"/>
          <w:sz w:val="22"/>
          <w:szCs w:val="22"/>
          <w:color w:val="000000"/>
        </w:rPr>
        <w:t>costs in connection therewith, provided Tenant shall obtain Landlord’s prior approval with respect to any such alterations (unless such alterations constitute Cosmetic Alterations), such approval not to be unreasonably withheld, conditioned or delayed.</w:t>
      </w:r>
    </w:p>
    <w:p>
      <w:pPr>
        <w:spacing w:after="0" w:line="161" w:lineRule="exact"/>
        <w:rPr>
          <w:sz w:val="20"/>
          <w:szCs w:val="20"/>
          <w:color w:val="auto"/>
        </w:rPr>
      </w:pPr>
    </w:p>
    <w:p>
      <w:pPr>
        <w:jc w:val="both"/>
        <w:ind w:left="180" w:hanging="647"/>
        <w:spacing w:after="0" w:line="223" w:lineRule="auto"/>
        <w:tabs>
          <w:tab w:leader="none" w:pos="160" w:val="left"/>
        </w:tabs>
        <w:rPr>
          <w:sz w:val="20"/>
          <w:szCs w:val="20"/>
          <w:color w:val="auto"/>
        </w:rPr>
      </w:pPr>
      <w:r>
        <w:rPr>
          <w:rFonts w:ascii="Arial" w:cs="Arial" w:eastAsia="Arial" w:hAnsi="Arial"/>
          <w:sz w:val="22"/>
          <w:szCs w:val="22"/>
          <w:color w:val="auto"/>
        </w:rPr>
        <w:t>16.5</w:t>
        <w:tab/>
        <w:t>Landlord shall ensure that the Project will be managed and operated in accordance with comparable standards of quality followed in Comparable Buildings and Landlord shall take reasonable efforts to advise Tenant of all status changes relating to the management personnel for the Building.</w:t>
      </w:r>
    </w:p>
    <w:p>
      <w:pPr>
        <w:spacing w:after="0" w:line="159" w:lineRule="exact"/>
        <w:rPr>
          <w:sz w:val="20"/>
          <w:szCs w:val="20"/>
          <w:color w:val="auto"/>
        </w:rPr>
      </w:pPr>
    </w:p>
    <w:p>
      <w:pPr>
        <w:jc w:val="both"/>
        <w:ind w:left="180" w:hanging="647"/>
        <w:spacing w:after="0" w:line="246" w:lineRule="auto"/>
        <w:tabs>
          <w:tab w:leader="none" w:pos="16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color w:val="auto"/>
        </w:rPr>
        <w:t xml:space="preserve">Landlord shall provide hot and cold water in the Premises for drinking, lavatory, kitchen, toilet and ordinary cleaning purposes only;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Landlord determines that Tenant requires, uses or consumes water for any purpose other than such purposes, Landlord may install a water meter. Landlord shall keep said meter and installation equipment in good working order and repair at Landlord’s sole cost and expense. Tenant agrees to pay for water consumed, as shown on said meter, as and when bills are rendered. If Tenant fails to timely make such payments, Landlord may pay such charges and collect the same from Tenant. Any such costs or expenses incurred, or payments made by Landlord for any of the reasons or purposes hereinabove stated, shall be deemed to be Additional Rent payment by Tenant and collectible by Landlord as such.</w:t>
      </w:r>
    </w:p>
    <w:p>
      <w:pPr>
        <w:spacing w:after="0" w:line="152" w:lineRule="exact"/>
        <w:rPr>
          <w:sz w:val="20"/>
          <w:szCs w:val="20"/>
          <w:color w:val="auto"/>
        </w:rPr>
      </w:pPr>
    </w:p>
    <w:p>
      <w:pPr>
        <w:jc w:val="both"/>
        <w:ind w:left="180" w:hanging="647"/>
        <w:spacing w:after="0" w:line="219" w:lineRule="auto"/>
        <w:tabs>
          <w:tab w:leader="none" w:pos="16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21"/>
          <w:szCs w:val="21"/>
          <w:color w:val="auto"/>
        </w:rPr>
        <w:t>Regardless of whether or not a Turnover has occurred, provided Landlord does not unreasonably interfere with Tenant’s use of the Premises and provided Landlord uses commercially reasonable efforts to provide such service again as soon as is reasonably possible after the cessation thereof, Landlord reserves the right to stop service of the elevator, plumbing, ventilation, air conditioning and electric systems due to accident, emergency or the need to make repairs, alterations or improvements, until such repairs, alterations or improvements shall have been completed, and Landlord shall further have no responsibility or liability for failure to supply elevator facilities, plumbing, ventilation, air conditioning or electric service when prevented from doing so by Force Majeure; a failure by a third party to deliver gas, oil or another suitable fuel supply; or Landlord’s inability by exercise of reasonable diligence to obtain gas, oil or another suitable fuel.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120"/>
          </w:cols>
          <w:pgMar w:left="1440" w:top="1401" w:right="339" w:bottom="1440" w:gutter="0" w:footer="0" w:header="0"/>
        </w:sectPr>
      </w:pPr>
    </w:p>
    <w:bookmarkStart w:id="338" w:name="page339"/>
    <w:bookmarkEnd w:id="338"/>
    <w:p>
      <w:pPr>
        <w:jc w:val="both"/>
        <w:ind w:left="1300" w:hanging="647"/>
        <w:spacing w:after="0" w:line="243" w:lineRule="auto"/>
        <w:tabs>
          <w:tab w:leader="none" w:pos="128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19"/>
          <w:szCs w:val="19"/>
          <w:color w:val="auto"/>
        </w:rPr>
        <w:t>For the Premises, Landlord shall (a) maintain and operate the heating, ventilating and air conditioning systems used for the standard office and R&amp;D only, including HVAC related to laboratory fixtures and equipment (“</w:t>
      </w:r>
      <w:r>
        <w:rPr>
          <w:rFonts w:ascii="Arial" w:cs="Arial" w:eastAsia="Arial" w:hAnsi="Arial"/>
          <w:sz w:val="19"/>
          <w:szCs w:val="19"/>
          <w:u w:val="single" w:color="auto"/>
          <w:color w:val="auto"/>
        </w:rPr>
        <w:t>HVAC</w:t>
      </w:r>
      <w:r>
        <w:rPr>
          <w:rFonts w:ascii="Arial" w:cs="Arial" w:eastAsia="Arial" w:hAnsi="Arial"/>
          <w:sz w:val="19"/>
          <w:szCs w:val="19"/>
          <w:color w:val="auto"/>
        </w:rPr>
        <w:t xml:space="preserve">”) and (b) subject to clause (a) above, furnish HVAC as reasonably required (except as this Lease otherwise provides) for reasonably comfortable occupancy of the Premises twenty-four (24) hours a day, every day during the Term, subject to casualty, eminent domain or as otherwise specified in this Article. Notwithstanding anything to the contrary in this Section, Landlord shall have no liability, and Tenant shall have no right or remedy, on account of any interruption or impairment in HVAC services except as set forth to the contrary in this 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 diligently endeavors to cure any such interruption or </w:t>
      </w:r>
      <w:r>
        <w:rPr>
          <w:rFonts w:ascii="Arial" w:cs="Arial" w:eastAsia="Arial" w:hAnsi="Arial"/>
          <w:sz w:val="19"/>
          <w:szCs w:val="19"/>
          <w:color w:val="1F1F1F"/>
        </w:rPr>
        <w:t>impairment as soon as the</w:t>
      </w:r>
      <w:r>
        <w:rPr>
          <w:rFonts w:ascii="Arial" w:cs="Arial" w:eastAsia="Arial" w:hAnsi="Arial"/>
          <w:sz w:val="19"/>
          <w:szCs w:val="19"/>
          <w:color w:val="auto"/>
        </w:rPr>
        <w:t xml:space="preserve"> </w:t>
      </w:r>
      <w:r>
        <w:rPr>
          <w:rFonts w:ascii="Arial" w:cs="Arial" w:eastAsia="Arial" w:hAnsi="Arial"/>
          <w:sz w:val="19"/>
          <w:szCs w:val="19"/>
          <w:color w:val="363636"/>
        </w:rPr>
        <w:t>same</w:t>
      </w:r>
      <w:r>
        <w:rPr>
          <w:rFonts w:ascii="Arial" w:cs="Arial" w:eastAsia="Arial" w:hAnsi="Arial"/>
          <w:sz w:val="19"/>
          <w:szCs w:val="19"/>
          <w:color w:val="auto"/>
        </w:rPr>
        <w:t xml:space="preserve"> </w:t>
      </w:r>
      <w:r>
        <w:rPr>
          <w:rFonts w:ascii="Arial" w:cs="Arial" w:eastAsia="Arial" w:hAnsi="Arial"/>
          <w:sz w:val="19"/>
          <w:szCs w:val="19"/>
          <w:color w:val="1F1F1F"/>
        </w:rPr>
        <w:t xml:space="preserve">occurs. Any existing supplemental HVAC systems are hereby approved. Tenant shall have the right to install additional </w:t>
      </w:r>
      <w:r>
        <w:rPr>
          <w:rFonts w:ascii="Arial" w:cs="Arial" w:eastAsia="Arial" w:hAnsi="Arial"/>
          <w:sz w:val="19"/>
          <w:szCs w:val="19"/>
          <w:color w:val="363636"/>
        </w:rPr>
        <w:t>supp</w:t>
      </w:r>
      <w:r>
        <w:rPr>
          <w:rFonts w:ascii="Arial" w:cs="Arial" w:eastAsia="Arial" w:hAnsi="Arial"/>
          <w:sz w:val="19"/>
          <w:szCs w:val="19"/>
          <w:color w:val="0C0C0C"/>
        </w:rPr>
        <w:t>lemental</w:t>
      </w:r>
      <w:r>
        <w:rPr>
          <w:rFonts w:ascii="Arial" w:cs="Arial" w:eastAsia="Arial" w:hAnsi="Arial"/>
          <w:sz w:val="19"/>
          <w:szCs w:val="19"/>
          <w:color w:val="1F1F1F"/>
        </w:rPr>
        <w:t xml:space="preserve"> HVAC units in the Premises and </w:t>
      </w:r>
      <w:r>
        <w:rPr>
          <w:rFonts w:ascii="Arial" w:cs="Arial" w:eastAsia="Arial" w:hAnsi="Arial"/>
          <w:sz w:val="19"/>
          <w:szCs w:val="19"/>
          <w:color w:val="363636"/>
        </w:rPr>
        <w:t>to</w:t>
      </w:r>
      <w:r>
        <w:rPr>
          <w:rFonts w:ascii="Arial" w:cs="Arial" w:eastAsia="Arial" w:hAnsi="Arial"/>
          <w:sz w:val="19"/>
          <w:szCs w:val="19"/>
          <w:color w:val="1F1F1F"/>
        </w:rPr>
        <w:t xml:space="preserve"> connect </w:t>
      </w:r>
      <w:r>
        <w:rPr>
          <w:rFonts w:ascii="Arial" w:cs="Arial" w:eastAsia="Arial" w:hAnsi="Arial"/>
          <w:sz w:val="19"/>
          <w:szCs w:val="19"/>
          <w:color w:val="0C0C0C"/>
        </w:rPr>
        <w:t>to the</w:t>
      </w:r>
      <w:r>
        <w:rPr>
          <w:rFonts w:ascii="Arial" w:cs="Arial" w:eastAsia="Arial" w:hAnsi="Arial"/>
          <w:sz w:val="19"/>
          <w:szCs w:val="19"/>
          <w:color w:val="1F1F1F"/>
        </w:rPr>
        <w:t xml:space="preserve"> Building’s chiller/condenser system, </w:t>
      </w:r>
      <w:r>
        <w:rPr>
          <w:rFonts w:ascii="Arial" w:cs="Arial" w:eastAsia="Arial" w:hAnsi="Arial"/>
          <w:sz w:val="19"/>
          <w:szCs w:val="19"/>
          <w:color w:val="363636"/>
        </w:rPr>
        <w:t>su</w:t>
      </w:r>
      <w:r>
        <w:rPr>
          <w:rFonts w:ascii="Arial" w:cs="Arial" w:eastAsia="Arial" w:hAnsi="Arial"/>
          <w:sz w:val="19"/>
          <w:szCs w:val="19"/>
          <w:color w:val="0C0C0C"/>
        </w:rPr>
        <w:t>bje</w:t>
      </w:r>
      <w:r>
        <w:rPr>
          <w:rFonts w:ascii="Arial" w:cs="Arial" w:eastAsia="Arial" w:hAnsi="Arial"/>
          <w:sz w:val="19"/>
          <w:szCs w:val="19"/>
          <w:color w:val="363636"/>
        </w:rPr>
        <w:t xml:space="preserve">ct to </w:t>
      </w:r>
      <w:r>
        <w:rPr>
          <w:rFonts w:ascii="Arial" w:cs="Arial" w:eastAsia="Arial" w:hAnsi="Arial"/>
          <w:sz w:val="19"/>
          <w:szCs w:val="19"/>
          <w:color w:val="1F1F1F"/>
        </w:rPr>
        <w:t>the prior</w:t>
      </w:r>
      <w:r>
        <w:rPr>
          <w:rFonts w:ascii="Arial" w:cs="Arial" w:eastAsia="Arial" w:hAnsi="Arial"/>
          <w:sz w:val="19"/>
          <w:szCs w:val="19"/>
          <w:color w:val="363636"/>
        </w:rPr>
        <w:t xml:space="preserve"> wri</w:t>
      </w:r>
      <w:r>
        <w:rPr>
          <w:rFonts w:ascii="Arial" w:cs="Arial" w:eastAsia="Arial" w:hAnsi="Arial"/>
          <w:sz w:val="19"/>
          <w:szCs w:val="19"/>
          <w:color w:val="0C0C0C"/>
        </w:rPr>
        <w:t>tten</w:t>
      </w:r>
      <w:r>
        <w:rPr>
          <w:rFonts w:ascii="Arial" w:cs="Arial" w:eastAsia="Arial" w:hAnsi="Arial"/>
          <w:sz w:val="19"/>
          <w:szCs w:val="19"/>
          <w:color w:val="363636"/>
        </w:rPr>
        <w:t xml:space="preserve"> </w:t>
      </w:r>
      <w:r>
        <w:rPr>
          <w:rFonts w:ascii="Arial" w:cs="Arial" w:eastAsia="Arial" w:hAnsi="Arial"/>
          <w:sz w:val="19"/>
          <w:szCs w:val="19"/>
          <w:color w:val="1F1F1F"/>
        </w:rPr>
        <w:t>consent of Landlord, which consent</w:t>
      </w:r>
      <w:r>
        <w:rPr>
          <w:rFonts w:ascii="Arial" w:cs="Arial" w:eastAsia="Arial" w:hAnsi="Arial"/>
          <w:sz w:val="19"/>
          <w:szCs w:val="19"/>
          <w:color w:val="363636"/>
        </w:rPr>
        <w:t xml:space="preserve"> sha</w:t>
      </w:r>
      <w:r>
        <w:rPr>
          <w:rFonts w:ascii="Arial" w:cs="Arial" w:eastAsia="Arial" w:hAnsi="Arial"/>
          <w:sz w:val="19"/>
          <w:szCs w:val="19"/>
          <w:color w:val="0C0C0C"/>
        </w:rPr>
        <w:t>ll</w:t>
      </w:r>
      <w:r>
        <w:rPr>
          <w:rFonts w:ascii="Arial" w:cs="Arial" w:eastAsia="Arial" w:hAnsi="Arial"/>
          <w:sz w:val="19"/>
          <w:szCs w:val="19"/>
          <w:color w:val="363636"/>
        </w:rPr>
        <w:t xml:space="preserve"> </w:t>
      </w:r>
      <w:r>
        <w:rPr>
          <w:rFonts w:ascii="Arial" w:cs="Arial" w:eastAsia="Arial" w:hAnsi="Arial"/>
          <w:sz w:val="19"/>
          <w:szCs w:val="19"/>
          <w:color w:val="1F1F1F"/>
        </w:rPr>
        <w:t>not be unreasonably withheld or delayed.</w:t>
      </w:r>
    </w:p>
    <w:p>
      <w:pPr>
        <w:spacing w:after="0" w:line="159" w:lineRule="exact"/>
        <w:rPr>
          <w:sz w:val="20"/>
          <w:szCs w:val="20"/>
          <w:color w:val="auto"/>
        </w:rPr>
      </w:pPr>
    </w:p>
    <w:p>
      <w:pPr>
        <w:jc w:val="both"/>
        <w:ind w:left="1300" w:hanging="647"/>
        <w:spacing w:after="0" w:line="211" w:lineRule="auto"/>
        <w:tabs>
          <w:tab w:leader="none" w:pos="1280" w:val="left"/>
        </w:tabs>
        <w:rPr>
          <w:sz w:val="20"/>
          <w:szCs w:val="20"/>
          <w:color w:val="auto"/>
        </w:rPr>
      </w:pPr>
      <w:r>
        <w:rPr>
          <w:rFonts w:ascii="Arial" w:cs="Arial" w:eastAsia="Arial" w:hAnsi="Arial"/>
          <w:sz w:val="22"/>
          <w:szCs w:val="22"/>
          <w:color w:val="auto"/>
        </w:rPr>
        <w:t>16.9</w:t>
        <w:tab/>
        <w:t xml:space="preserve">Throughout the </w:t>
      </w:r>
      <w:r>
        <w:rPr>
          <w:rFonts w:ascii="Arial" w:cs="Arial" w:eastAsia="Arial" w:hAnsi="Arial"/>
          <w:sz w:val="22"/>
          <w:szCs w:val="22"/>
          <w:color w:val="363636"/>
        </w:rPr>
        <w:t>Term,</w:t>
      </w:r>
      <w:r>
        <w:rPr>
          <w:rFonts w:ascii="Arial" w:cs="Arial" w:eastAsia="Arial" w:hAnsi="Arial"/>
          <w:sz w:val="22"/>
          <w:szCs w:val="22"/>
          <w:color w:val="auto"/>
        </w:rPr>
        <w:t xml:space="preserve"> Tenant shall be permitted to provide </w:t>
      </w:r>
      <w:r>
        <w:rPr>
          <w:rFonts w:ascii="Arial" w:cs="Arial" w:eastAsia="Arial" w:hAnsi="Arial"/>
          <w:sz w:val="22"/>
          <w:szCs w:val="22"/>
          <w:color w:val="363636"/>
        </w:rPr>
        <w:t>s</w:t>
      </w:r>
      <w:r>
        <w:rPr>
          <w:rFonts w:ascii="Arial" w:cs="Arial" w:eastAsia="Arial" w:hAnsi="Arial"/>
          <w:sz w:val="22"/>
          <w:szCs w:val="22"/>
          <w:color w:val="0C0C0C"/>
        </w:rPr>
        <w:t>upplemental</w:t>
      </w:r>
      <w:r>
        <w:rPr>
          <w:rFonts w:ascii="Arial" w:cs="Arial" w:eastAsia="Arial" w:hAnsi="Arial"/>
          <w:sz w:val="22"/>
          <w:szCs w:val="22"/>
          <w:color w:val="auto"/>
        </w:rPr>
        <w:t xml:space="preserve"> </w:t>
      </w:r>
      <w:r>
        <w:rPr>
          <w:rFonts w:ascii="Arial" w:cs="Arial" w:eastAsia="Arial" w:hAnsi="Arial"/>
          <w:sz w:val="22"/>
          <w:szCs w:val="22"/>
          <w:color w:val="363636"/>
        </w:rPr>
        <w:t>security</w:t>
      </w:r>
      <w:r>
        <w:rPr>
          <w:rFonts w:ascii="Arial" w:cs="Arial" w:eastAsia="Arial" w:hAnsi="Arial"/>
          <w:sz w:val="22"/>
          <w:szCs w:val="22"/>
          <w:color w:val="auto"/>
        </w:rPr>
        <w:t xml:space="preserve"> services for the Building, subject to Landlord’s prior written consent, </w:t>
      </w:r>
      <w:r>
        <w:rPr>
          <w:rFonts w:ascii="Arial" w:cs="Arial" w:eastAsia="Arial" w:hAnsi="Arial"/>
          <w:sz w:val="22"/>
          <w:szCs w:val="22"/>
          <w:color w:val="363636"/>
        </w:rPr>
        <w:t>s</w:t>
      </w:r>
      <w:r>
        <w:rPr>
          <w:rFonts w:ascii="Arial" w:cs="Arial" w:eastAsia="Arial" w:hAnsi="Arial"/>
          <w:sz w:val="22"/>
          <w:szCs w:val="22"/>
          <w:color w:val="0C0C0C"/>
        </w:rPr>
        <w:t>uch</w:t>
      </w:r>
      <w:r>
        <w:rPr>
          <w:rFonts w:ascii="Arial" w:cs="Arial" w:eastAsia="Arial" w:hAnsi="Arial"/>
          <w:sz w:val="22"/>
          <w:szCs w:val="22"/>
          <w:color w:val="auto"/>
        </w:rPr>
        <w:t xml:space="preserve"> consent not to </w:t>
      </w:r>
      <w:r>
        <w:rPr>
          <w:rFonts w:ascii="Arial" w:cs="Arial" w:eastAsia="Arial" w:hAnsi="Arial"/>
          <w:sz w:val="22"/>
          <w:szCs w:val="22"/>
          <w:color w:val="363636"/>
        </w:rPr>
        <w:t>be</w:t>
      </w:r>
      <w:r>
        <w:rPr>
          <w:rFonts w:ascii="Arial" w:cs="Arial" w:eastAsia="Arial" w:hAnsi="Arial"/>
          <w:sz w:val="22"/>
          <w:szCs w:val="22"/>
          <w:color w:val="auto"/>
        </w:rPr>
        <w:t xml:space="preserve"> unreasonably withheld, conditioned or delayed, including without limitation the right </w:t>
      </w:r>
      <w:r>
        <w:rPr>
          <w:rFonts w:ascii="Arial" w:cs="Arial" w:eastAsia="Arial" w:hAnsi="Arial"/>
          <w:sz w:val="22"/>
          <w:szCs w:val="22"/>
          <w:color w:val="363636"/>
        </w:rPr>
        <w:t>to</w:t>
      </w:r>
      <w:r>
        <w:rPr>
          <w:rFonts w:ascii="Arial" w:cs="Arial" w:eastAsia="Arial" w:hAnsi="Arial"/>
          <w:sz w:val="22"/>
          <w:szCs w:val="22"/>
          <w:color w:val="auto"/>
        </w:rPr>
        <w:t xml:space="preserve"> </w:t>
      </w:r>
      <w:r>
        <w:rPr>
          <w:rFonts w:ascii="Arial" w:cs="Arial" w:eastAsia="Arial" w:hAnsi="Arial"/>
          <w:sz w:val="22"/>
          <w:szCs w:val="22"/>
          <w:color w:val="0C0C0C"/>
        </w:rPr>
        <w:t>(i) mount,</w:t>
      </w:r>
      <w:r>
        <w:rPr>
          <w:rFonts w:ascii="Arial" w:cs="Arial" w:eastAsia="Arial" w:hAnsi="Arial"/>
          <w:sz w:val="22"/>
          <w:szCs w:val="22"/>
          <w:color w:val="auto"/>
        </w:rPr>
        <w:t xml:space="preserve"> operate and modify from </w:t>
      </w:r>
      <w:r>
        <w:rPr>
          <w:rFonts w:ascii="Arial" w:cs="Arial" w:eastAsia="Arial" w:hAnsi="Arial"/>
          <w:sz w:val="22"/>
          <w:szCs w:val="22"/>
          <w:color w:val="0C0C0C"/>
        </w:rPr>
        <w:t>t</w:t>
      </w:r>
      <w:r>
        <w:rPr>
          <w:rFonts w:ascii="Arial" w:cs="Arial" w:eastAsia="Arial" w:hAnsi="Arial"/>
          <w:sz w:val="22"/>
          <w:szCs w:val="22"/>
          <w:color w:val="363636"/>
        </w:rPr>
        <w:t>ime</w:t>
      </w:r>
      <w:r>
        <w:rPr>
          <w:rFonts w:ascii="Arial" w:cs="Arial" w:eastAsia="Arial" w:hAnsi="Arial"/>
          <w:sz w:val="22"/>
          <w:szCs w:val="22"/>
          <w:color w:val="auto"/>
        </w:rPr>
        <w:t xml:space="preserve"> to time </w:t>
      </w:r>
      <w:r>
        <w:rPr>
          <w:rFonts w:ascii="Arial" w:cs="Arial" w:eastAsia="Arial" w:hAnsi="Arial"/>
          <w:sz w:val="22"/>
          <w:szCs w:val="22"/>
          <w:color w:val="0C0C0C"/>
        </w:rPr>
        <w:t>the</w:t>
      </w:r>
      <w:r>
        <w:rPr>
          <w:rFonts w:ascii="Arial" w:cs="Arial" w:eastAsia="Arial" w:hAnsi="Arial"/>
          <w:sz w:val="22"/>
          <w:szCs w:val="22"/>
          <w:color w:val="auto"/>
        </w:rPr>
        <w:t xml:space="preserve"> security </w:t>
      </w:r>
      <w:r>
        <w:rPr>
          <w:rFonts w:ascii="Arial" w:cs="Arial" w:eastAsia="Arial" w:hAnsi="Arial"/>
          <w:sz w:val="22"/>
          <w:szCs w:val="22"/>
          <w:color w:val="363636"/>
        </w:rPr>
        <w:t>systems</w:t>
      </w:r>
      <w:r>
        <w:rPr>
          <w:rFonts w:ascii="Arial" w:cs="Arial" w:eastAsia="Arial" w:hAnsi="Arial"/>
          <w:sz w:val="22"/>
          <w:szCs w:val="22"/>
          <w:color w:val="auto"/>
        </w:rPr>
        <w:t xml:space="preserve"> </w:t>
      </w:r>
      <w:r>
        <w:rPr>
          <w:rFonts w:ascii="Arial" w:cs="Arial" w:eastAsia="Arial" w:hAnsi="Arial"/>
          <w:sz w:val="22"/>
          <w:szCs w:val="22"/>
          <w:color w:val="363636"/>
        </w:rPr>
        <w:t>serving t</w:t>
      </w:r>
      <w:r>
        <w:rPr>
          <w:rFonts w:ascii="Arial" w:cs="Arial" w:eastAsia="Arial" w:hAnsi="Arial"/>
          <w:sz w:val="22"/>
          <w:szCs w:val="22"/>
          <w:color w:val="0C0C0C"/>
        </w:rPr>
        <w:t>he</w:t>
      </w:r>
      <w:r>
        <w:rPr>
          <w:rFonts w:ascii="Arial" w:cs="Arial" w:eastAsia="Arial" w:hAnsi="Arial"/>
          <w:sz w:val="22"/>
          <w:szCs w:val="22"/>
          <w:color w:val="363636"/>
        </w:rPr>
        <w:t xml:space="preserve"> </w:t>
      </w:r>
      <w:r>
        <w:rPr>
          <w:rFonts w:ascii="Arial" w:cs="Arial" w:eastAsia="Arial" w:hAnsi="Arial"/>
          <w:sz w:val="22"/>
          <w:szCs w:val="22"/>
          <w:color w:val="000000"/>
        </w:rPr>
        <w:t>Building and in particular</w:t>
      </w:r>
      <w:r>
        <w:rPr>
          <w:rFonts w:ascii="Arial" w:cs="Arial" w:eastAsia="Arial" w:hAnsi="Arial"/>
          <w:sz w:val="22"/>
          <w:szCs w:val="22"/>
          <w:color w:val="363636"/>
        </w:rPr>
        <w:t xml:space="preserve"> the security </w:t>
      </w:r>
      <w:r>
        <w:rPr>
          <w:rFonts w:ascii="Arial" w:cs="Arial" w:eastAsia="Arial" w:hAnsi="Arial"/>
          <w:sz w:val="22"/>
          <w:szCs w:val="22"/>
          <w:color w:val="000000"/>
        </w:rPr>
        <w:t>cameras</w:t>
      </w:r>
      <w:r>
        <w:rPr>
          <w:rFonts w:ascii="Arial" w:cs="Arial" w:eastAsia="Arial" w:hAnsi="Arial"/>
          <w:sz w:val="22"/>
          <w:szCs w:val="22"/>
          <w:color w:val="363636"/>
        </w:rPr>
        <w:t xml:space="preserve"> </w:t>
      </w:r>
      <w:r>
        <w:rPr>
          <w:rFonts w:ascii="Arial" w:cs="Arial" w:eastAsia="Arial" w:hAnsi="Arial"/>
          <w:sz w:val="22"/>
          <w:szCs w:val="22"/>
          <w:color w:val="0C0C0C"/>
        </w:rPr>
        <w:t>located</w:t>
      </w:r>
      <w:r>
        <w:rPr>
          <w:rFonts w:ascii="Arial" w:cs="Arial" w:eastAsia="Arial" w:hAnsi="Arial"/>
          <w:sz w:val="22"/>
          <w:szCs w:val="22"/>
          <w:color w:val="363636"/>
        </w:rPr>
        <w:t xml:space="preserve"> </w:t>
      </w:r>
      <w:r>
        <w:rPr>
          <w:rFonts w:ascii="Arial" w:cs="Arial" w:eastAsia="Arial" w:hAnsi="Arial"/>
          <w:sz w:val="22"/>
          <w:szCs w:val="22"/>
          <w:color w:val="000000"/>
        </w:rPr>
        <w:t>on the exterior of the Building,</w:t>
      </w:r>
      <w:r>
        <w:rPr>
          <w:rFonts w:ascii="Arial" w:cs="Arial" w:eastAsia="Arial" w:hAnsi="Arial"/>
          <w:sz w:val="22"/>
          <w:szCs w:val="22"/>
          <w:color w:val="363636"/>
        </w:rPr>
        <w:t xml:space="preserve"> (i</w:t>
      </w:r>
      <w:r>
        <w:rPr>
          <w:rFonts w:ascii="Arial" w:cs="Arial" w:eastAsia="Arial" w:hAnsi="Arial"/>
          <w:sz w:val="22"/>
          <w:szCs w:val="22"/>
          <w:color w:val="0C0C0C"/>
        </w:rPr>
        <w:t>i</w:t>
      </w:r>
      <w:r>
        <w:rPr>
          <w:rFonts w:ascii="Arial" w:cs="Arial" w:eastAsia="Arial" w:hAnsi="Arial"/>
          <w:sz w:val="22"/>
          <w:szCs w:val="22"/>
          <w:color w:val="363636"/>
        </w:rPr>
        <w:t xml:space="preserve">) </w:t>
      </w:r>
      <w:r>
        <w:rPr>
          <w:rFonts w:ascii="Arial" w:cs="Arial" w:eastAsia="Arial" w:hAnsi="Arial"/>
          <w:sz w:val="22"/>
          <w:szCs w:val="22"/>
          <w:color w:val="000000"/>
        </w:rPr>
        <w:t>operate,</w:t>
      </w:r>
      <w:r>
        <w:rPr>
          <w:rFonts w:ascii="Arial" w:cs="Arial" w:eastAsia="Arial" w:hAnsi="Arial"/>
          <w:sz w:val="22"/>
          <w:szCs w:val="22"/>
          <w:color w:val="363636"/>
        </w:rPr>
        <w:t xml:space="preserve"> </w:t>
      </w:r>
      <w:r>
        <w:rPr>
          <w:rFonts w:ascii="Arial" w:cs="Arial" w:eastAsia="Arial" w:hAnsi="Arial"/>
          <w:sz w:val="22"/>
          <w:szCs w:val="22"/>
          <w:color w:val="000000"/>
        </w:rPr>
        <w:t xml:space="preserve">modify from </w:t>
      </w:r>
      <w:r>
        <w:rPr>
          <w:rFonts w:ascii="Arial" w:cs="Arial" w:eastAsia="Arial" w:hAnsi="Arial"/>
          <w:sz w:val="22"/>
          <w:szCs w:val="22"/>
          <w:color w:val="0C0C0C"/>
        </w:rPr>
        <w:t>time</w:t>
      </w:r>
      <w:r>
        <w:rPr>
          <w:rFonts w:ascii="Arial" w:cs="Arial" w:eastAsia="Arial" w:hAnsi="Arial"/>
          <w:sz w:val="22"/>
          <w:szCs w:val="22"/>
          <w:color w:val="000000"/>
        </w:rPr>
        <w:t xml:space="preserve"> to time, remove and/or </w:t>
      </w:r>
      <w:r>
        <w:rPr>
          <w:rFonts w:ascii="Arial" w:cs="Arial" w:eastAsia="Arial" w:hAnsi="Arial"/>
          <w:sz w:val="22"/>
          <w:szCs w:val="22"/>
          <w:color w:val="0C0C0C"/>
        </w:rPr>
        <w:t>replace</w:t>
      </w:r>
      <w:r>
        <w:rPr>
          <w:rFonts w:ascii="Arial" w:cs="Arial" w:eastAsia="Arial" w:hAnsi="Arial"/>
          <w:sz w:val="22"/>
          <w:szCs w:val="22"/>
          <w:color w:val="000000"/>
        </w:rPr>
        <w:t xml:space="preserve"> the deionized water </w:t>
      </w:r>
      <w:r>
        <w:rPr>
          <w:rFonts w:ascii="Arial" w:cs="Arial" w:eastAsia="Arial" w:hAnsi="Arial"/>
          <w:sz w:val="22"/>
          <w:szCs w:val="22"/>
          <w:color w:val="363636"/>
        </w:rPr>
        <w:t>system serving</w:t>
      </w:r>
      <w:r>
        <w:rPr>
          <w:rFonts w:ascii="Arial" w:cs="Arial" w:eastAsia="Arial" w:hAnsi="Arial"/>
          <w:sz w:val="22"/>
          <w:szCs w:val="22"/>
          <w:color w:val="000000"/>
        </w:rPr>
        <w:t xml:space="preserve"> the Building and </w:t>
      </w:r>
      <w:r>
        <w:rPr>
          <w:rFonts w:ascii="Arial" w:cs="Arial" w:eastAsia="Arial" w:hAnsi="Arial"/>
          <w:sz w:val="22"/>
          <w:szCs w:val="22"/>
          <w:color w:val="0C0C0C"/>
        </w:rPr>
        <w:t>(iii)</w:t>
      </w:r>
      <w:r>
        <w:rPr>
          <w:rFonts w:ascii="Arial" w:cs="Arial" w:eastAsia="Arial" w:hAnsi="Arial"/>
          <w:sz w:val="22"/>
          <w:szCs w:val="22"/>
          <w:color w:val="000000"/>
        </w:rPr>
        <w:t xml:space="preserve"> operate, modify from time to </w:t>
      </w:r>
      <w:r>
        <w:rPr>
          <w:rFonts w:ascii="Arial" w:cs="Arial" w:eastAsia="Arial" w:hAnsi="Arial"/>
          <w:sz w:val="22"/>
          <w:szCs w:val="22"/>
          <w:color w:val="0C0C0C"/>
        </w:rPr>
        <w:t>t</w:t>
      </w:r>
      <w:r>
        <w:rPr>
          <w:rFonts w:ascii="Arial" w:cs="Arial" w:eastAsia="Arial" w:hAnsi="Arial"/>
          <w:sz w:val="22"/>
          <w:szCs w:val="22"/>
          <w:color w:val="363636"/>
        </w:rPr>
        <w:t>i</w:t>
      </w:r>
      <w:r>
        <w:rPr>
          <w:rFonts w:ascii="Arial" w:cs="Arial" w:eastAsia="Arial" w:hAnsi="Arial"/>
          <w:sz w:val="22"/>
          <w:szCs w:val="22"/>
          <w:color w:val="0C0C0C"/>
        </w:rPr>
        <w:t>me</w:t>
      </w:r>
      <w:r>
        <w:rPr>
          <w:rFonts w:ascii="Arial" w:cs="Arial" w:eastAsia="Arial" w:hAnsi="Arial"/>
          <w:sz w:val="22"/>
          <w:szCs w:val="22"/>
          <w:color w:val="363636"/>
        </w:rPr>
        <w:t>,</w:t>
      </w:r>
      <w:r>
        <w:rPr>
          <w:rFonts w:ascii="Arial" w:cs="Arial" w:eastAsia="Arial" w:hAnsi="Arial"/>
          <w:sz w:val="22"/>
          <w:szCs w:val="22"/>
          <w:color w:val="000000"/>
        </w:rPr>
        <w:t xml:space="preserve"> remove and/or </w:t>
      </w:r>
      <w:r>
        <w:rPr>
          <w:rFonts w:ascii="Arial" w:cs="Arial" w:eastAsia="Arial" w:hAnsi="Arial"/>
          <w:sz w:val="22"/>
          <w:szCs w:val="22"/>
          <w:color w:val="0C0C0C"/>
        </w:rPr>
        <w:t>replace</w:t>
      </w:r>
      <w:r>
        <w:rPr>
          <w:rFonts w:ascii="Arial" w:cs="Arial" w:eastAsia="Arial" w:hAnsi="Arial"/>
          <w:sz w:val="22"/>
          <w:szCs w:val="22"/>
          <w:color w:val="000000"/>
        </w:rPr>
        <w:t xml:space="preserve"> the fire/life/safety systems serving the Building. Landlord and Tenant each agree </w:t>
      </w:r>
      <w:r>
        <w:rPr>
          <w:rFonts w:ascii="Arial" w:cs="Arial" w:eastAsia="Arial" w:hAnsi="Arial"/>
          <w:sz w:val="22"/>
          <w:szCs w:val="22"/>
          <w:color w:val="363636"/>
        </w:rPr>
        <w:t>to</w:t>
      </w:r>
      <w:r>
        <w:rPr>
          <w:rFonts w:ascii="Arial" w:cs="Arial" w:eastAsia="Arial" w:hAnsi="Arial"/>
          <w:sz w:val="22"/>
          <w:szCs w:val="22"/>
          <w:color w:val="000000"/>
        </w:rPr>
        <w:t xml:space="preserve"> cooperate with the other to coordinate the </w:t>
      </w:r>
      <w:r>
        <w:rPr>
          <w:rFonts w:ascii="Arial" w:cs="Arial" w:eastAsia="Arial" w:hAnsi="Arial"/>
          <w:sz w:val="22"/>
          <w:szCs w:val="22"/>
          <w:color w:val="363636"/>
        </w:rPr>
        <w:t>secu</w:t>
      </w:r>
      <w:r>
        <w:rPr>
          <w:rFonts w:ascii="Arial" w:cs="Arial" w:eastAsia="Arial" w:hAnsi="Arial"/>
          <w:sz w:val="22"/>
          <w:szCs w:val="22"/>
          <w:color w:val="0C0C0C"/>
        </w:rPr>
        <w:t>ri</w:t>
      </w:r>
      <w:r>
        <w:rPr>
          <w:rFonts w:ascii="Arial" w:cs="Arial" w:eastAsia="Arial" w:hAnsi="Arial"/>
          <w:sz w:val="22"/>
          <w:szCs w:val="22"/>
          <w:color w:val="363636"/>
        </w:rPr>
        <w:t>ty</w:t>
      </w:r>
      <w:r>
        <w:rPr>
          <w:rFonts w:ascii="Arial" w:cs="Arial" w:eastAsia="Arial" w:hAnsi="Arial"/>
          <w:sz w:val="22"/>
          <w:szCs w:val="22"/>
          <w:color w:val="000000"/>
        </w:rPr>
        <w:t xml:space="preserve"> it provides with any security provided </w:t>
      </w:r>
      <w:r>
        <w:rPr>
          <w:rFonts w:ascii="Arial" w:cs="Arial" w:eastAsia="Arial" w:hAnsi="Arial"/>
          <w:sz w:val="22"/>
          <w:szCs w:val="22"/>
          <w:color w:val="363636"/>
        </w:rPr>
        <w:t>by</w:t>
      </w:r>
      <w:r>
        <w:rPr>
          <w:rFonts w:ascii="Arial" w:cs="Arial" w:eastAsia="Arial" w:hAnsi="Arial"/>
          <w:sz w:val="22"/>
          <w:szCs w:val="22"/>
          <w:color w:val="000000"/>
        </w:rPr>
        <w:t xml:space="preserve"> the other.</w:t>
      </w:r>
    </w:p>
    <w:p>
      <w:pPr>
        <w:spacing w:after="0" w:line="165" w:lineRule="exact"/>
        <w:rPr>
          <w:sz w:val="20"/>
          <w:szCs w:val="20"/>
          <w:color w:val="auto"/>
        </w:rPr>
      </w:pPr>
    </w:p>
    <w:p>
      <w:pPr>
        <w:jc w:val="both"/>
        <w:ind w:left="1300" w:hanging="647"/>
        <w:spacing w:after="0" w:line="242" w:lineRule="auto"/>
        <w:rPr>
          <w:sz w:val="20"/>
          <w:szCs w:val="20"/>
          <w:color w:val="auto"/>
        </w:rPr>
      </w:pPr>
      <w:r>
        <w:rPr>
          <w:rFonts w:ascii="Arial" w:cs="Arial" w:eastAsia="Arial" w:hAnsi="Arial"/>
          <w:sz w:val="19"/>
          <w:szCs w:val="19"/>
          <w:color w:val="auto"/>
        </w:rPr>
        <w:t xml:space="preserve">16.10 For any utilities </w:t>
      </w:r>
      <w:r>
        <w:rPr>
          <w:rFonts w:ascii="Arial" w:cs="Arial" w:eastAsia="Arial" w:hAnsi="Arial"/>
          <w:sz w:val="19"/>
          <w:szCs w:val="19"/>
          <w:color w:val="363636"/>
        </w:rPr>
        <w:t>serving</w:t>
      </w:r>
      <w:r>
        <w:rPr>
          <w:rFonts w:ascii="Arial" w:cs="Arial" w:eastAsia="Arial" w:hAnsi="Arial"/>
          <w:sz w:val="19"/>
          <w:szCs w:val="19"/>
          <w:color w:val="auto"/>
        </w:rPr>
        <w:t xml:space="preserve"> the Premises for which Tenant is billed directly by </w:t>
      </w:r>
      <w:r>
        <w:rPr>
          <w:rFonts w:ascii="Arial" w:cs="Arial" w:eastAsia="Arial" w:hAnsi="Arial"/>
          <w:sz w:val="19"/>
          <w:szCs w:val="19"/>
          <w:color w:val="363636"/>
        </w:rPr>
        <w:t>s</w:t>
      </w:r>
      <w:r>
        <w:rPr>
          <w:rFonts w:ascii="Arial" w:cs="Arial" w:eastAsia="Arial" w:hAnsi="Arial"/>
          <w:sz w:val="19"/>
          <w:szCs w:val="19"/>
          <w:color w:val="0C0C0C"/>
        </w:rPr>
        <w:t>uch</w:t>
      </w:r>
      <w:r>
        <w:rPr>
          <w:rFonts w:ascii="Arial" w:cs="Arial" w:eastAsia="Arial" w:hAnsi="Arial"/>
          <w:sz w:val="19"/>
          <w:szCs w:val="19"/>
          <w:color w:val="auto"/>
        </w:rPr>
        <w:t xml:space="preserve"> utility provider, Tenant agrees </w:t>
      </w:r>
      <w:r>
        <w:rPr>
          <w:rFonts w:ascii="Arial" w:cs="Arial" w:eastAsia="Arial" w:hAnsi="Arial"/>
          <w:sz w:val="19"/>
          <w:szCs w:val="19"/>
          <w:color w:val="0C0C0C"/>
        </w:rPr>
        <w:t>to</w:t>
      </w:r>
      <w:r>
        <w:rPr>
          <w:rFonts w:ascii="Arial" w:cs="Arial" w:eastAsia="Arial" w:hAnsi="Arial"/>
          <w:sz w:val="19"/>
          <w:szCs w:val="19"/>
          <w:color w:val="auto"/>
        </w:rPr>
        <w:t xml:space="preserve"> furnish </w:t>
      </w:r>
      <w:r>
        <w:rPr>
          <w:rFonts w:ascii="Arial" w:cs="Arial" w:eastAsia="Arial" w:hAnsi="Arial"/>
          <w:sz w:val="19"/>
          <w:szCs w:val="19"/>
          <w:color w:val="363636"/>
        </w:rPr>
        <w:t>t</w:t>
      </w:r>
      <w:r>
        <w:rPr>
          <w:rFonts w:ascii="Arial" w:cs="Arial" w:eastAsia="Arial" w:hAnsi="Arial"/>
          <w:sz w:val="19"/>
          <w:szCs w:val="19"/>
          <w:color w:val="0C0C0C"/>
        </w:rPr>
        <w:t>o</w:t>
      </w:r>
      <w:r>
        <w:rPr>
          <w:rFonts w:ascii="Arial" w:cs="Arial" w:eastAsia="Arial" w:hAnsi="Arial"/>
          <w:sz w:val="19"/>
          <w:szCs w:val="19"/>
          <w:color w:val="auto"/>
        </w:rPr>
        <w:t xml:space="preserve"> Landlord (a) any invoices or </w:t>
      </w:r>
      <w:r>
        <w:rPr>
          <w:rFonts w:ascii="Arial" w:cs="Arial" w:eastAsia="Arial" w:hAnsi="Arial"/>
          <w:sz w:val="19"/>
          <w:szCs w:val="19"/>
          <w:color w:val="363636"/>
        </w:rPr>
        <w:t>s</w:t>
      </w:r>
      <w:r>
        <w:rPr>
          <w:rFonts w:ascii="Arial" w:cs="Arial" w:eastAsia="Arial" w:hAnsi="Arial"/>
          <w:sz w:val="19"/>
          <w:szCs w:val="19"/>
          <w:color w:val="0C0C0C"/>
        </w:rPr>
        <w:t>tatements</w:t>
      </w:r>
      <w:r>
        <w:rPr>
          <w:rFonts w:ascii="Arial" w:cs="Arial" w:eastAsia="Arial" w:hAnsi="Arial"/>
          <w:sz w:val="19"/>
          <w:szCs w:val="19"/>
          <w:color w:val="auto"/>
        </w:rPr>
        <w:t xml:space="preserve"> for such utilities within </w:t>
      </w:r>
      <w:r>
        <w:rPr>
          <w:rFonts w:ascii="Arial" w:cs="Arial" w:eastAsia="Arial" w:hAnsi="Arial"/>
          <w:sz w:val="19"/>
          <w:szCs w:val="19"/>
          <w:u w:val="single" w:color="auto"/>
          <w:color w:val="auto"/>
        </w:rPr>
        <w:t>[***]</w:t>
      </w:r>
      <w:r>
        <w:rPr>
          <w:rFonts w:ascii="Arial" w:cs="Arial" w:eastAsia="Arial" w:hAnsi="Arial"/>
          <w:sz w:val="19"/>
          <w:szCs w:val="19"/>
          <w:color w:val="auto"/>
        </w:rPr>
        <w:t xml:space="preserve"> days after Tenant’s </w:t>
      </w:r>
      <w:r>
        <w:rPr>
          <w:rFonts w:ascii="Arial" w:cs="Arial" w:eastAsia="Arial" w:hAnsi="Arial"/>
          <w:sz w:val="19"/>
          <w:szCs w:val="19"/>
          <w:color w:val="0C0C0C"/>
        </w:rPr>
        <w:t>receipt</w:t>
      </w:r>
      <w:r>
        <w:rPr>
          <w:rFonts w:ascii="Arial" w:cs="Arial" w:eastAsia="Arial" w:hAnsi="Arial"/>
          <w:sz w:val="19"/>
          <w:szCs w:val="19"/>
          <w:color w:val="auto"/>
        </w:rPr>
        <w:t xml:space="preserve"> </w:t>
      </w:r>
      <w:r>
        <w:rPr>
          <w:rFonts w:ascii="Arial" w:cs="Arial" w:eastAsia="Arial" w:hAnsi="Arial"/>
          <w:sz w:val="19"/>
          <w:szCs w:val="19"/>
          <w:color w:val="363636"/>
        </w:rPr>
        <w:t xml:space="preserve">thereof, </w:t>
      </w:r>
      <w:r>
        <w:rPr>
          <w:rFonts w:ascii="Arial" w:cs="Arial" w:eastAsia="Arial" w:hAnsi="Arial"/>
          <w:sz w:val="19"/>
          <w:szCs w:val="19"/>
          <w:color w:val="0C0C0C"/>
        </w:rPr>
        <w:t>(b)</w:t>
      </w:r>
      <w:r>
        <w:rPr>
          <w:rFonts w:ascii="Arial" w:cs="Arial" w:eastAsia="Arial" w:hAnsi="Arial"/>
          <w:sz w:val="19"/>
          <w:szCs w:val="19"/>
          <w:color w:val="363636"/>
        </w:rPr>
        <w:t xml:space="preserve"> </w:t>
      </w:r>
      <w:r>
        <w:rPr>
          <w:rFonts w:ascii="Arial" w:cs="Arial" w:eastAsia="Arial" w:hAnsi="Arial"/>
          <w:sz w:val="19"/>
          <w:szCs w:val="19"/>
          <w:color w:val="000000"/>
        </w:rPr>
        <w:t>within</w:t>
      </w:r>
      <w:r>
        <w:rPr>
          <w:rFonts w:ascii="Arial" w:cs="Arial" w:eastAsia="Arial" w:hAnsi="Arial"/>
          <w:sz w:val="19"/>
          <w:szCs w:val="19"/>
          <w:color w:val="363636"/>
        </w:rPr>
        <w:t xml:space="preserve"> </w:t>
      </w:r>
      <w:r>
        <w:rPr>
          <w:rFonts w:ascii="Arial" w:cs="Arial" w:eastAsia="Arial" w:hAnsi="Arial"/>
          <w:sz w:val="19"/>
          <w:szCs w:val="19"/>
          <w:u w:val="single" w:color="auto"/>
          <w:color w:val="000000"/>
        </w:rPr>
        <w:t>[***]</w:t>
      </w:r>
      <w:r>
        <w:rPr>
          <w:rFonts w:ascii="Arial" w:cs="Arial" w:eastAsia="Arial" w:hAnsi="Arial"/>
          <w:sz w:val="19"/>
          <w:szCs w:val="19"/>
          <w:color w:val="363636"/>
        </w:rPr>
        <w:t xml:space="preserve"> </w:t>
      </w:r>
      <w:r>
        <w:rPr>
          <w:rFonts w:ascii="Arial" w:cs="Arial" w:eastAsia="Arial" w:hAnsi="Arial"/>
          <w:sz w:val="19"/>
          <w:szCs w:val="19"/>
          <w:color w:val="000000"/>
        </w:rPr>
        <w:t>days after Landlord’s</w:t>
      </w:r>
      <w:r>
        <w:rPr>
          <w:rFonts w:ascii="Arial" w:cs="Arial" w:eastAsia="Arial" w:hAnsi="Arial"/>
          <w:sz w:val="19"/>
          <w:szCs w:val="19"/>
          <w:color w:val="363636"/>
        </w:rPr>
        <w:t xml:space="preserve"> </w:t>
      </w:r>
      <w:r>
        <w:rPr>
          <w:rFonts w:ascii="Arial" w:cs="Arial" w:eastAsia="Arial" w:hAnsi="Arial"/>
          <w:sz w:val="19"/>
          <w:szCs w:val="19"/>
          <w:color w:val="0C0C0C"/>
        </w:rPr>
        <w:t>request,</w:t>
      </w:r>
      <w:r>
        <w:rPr>
          <w:rFonts w:ascii="Arial" w:cs="Arial" w:eastAsia="Arial" w:hAnsi="Arial"/>
          <w:sz w:val="19"/>
          <w:szCs w:val="19"/>
          <w:color w:val="363636"/>
        </w:rPr>
        <w:t xml:space="preserve"> </w:t>
      </w:r>
      <w:r>
        <w:rPr>
          <w:rFonts w:ascii="Arial" w:cs="Arial" w:eastAsia="Arial" w:hAnsi="Arial"/>
          <w:sz w:val="19"/>
          <w:szCs w:val="19"/>
          <w:color w:val="000000"/>
        </w:rPr>
        <w:t>any other</w:t>
      </w:r>
      <w:r>
        <w:rPr>
          <w:rFonts w:ascii="Arial" w:cs="Arial" w:eastAsia="Arial" w:hAnsi="Arial"/>
          <w:sz w:val="19"/>
          <w:szCs w:val="19"/>
          <w:color w:val="363636"/>
        </w:rPr>
        <w:t xml:space="preserve"> </w:t>
      </w:r>
      <w:r>
        <w:rPr>
          <w:rFonts w:ascii="Arial" w:cs="Arial" w:eastAsia="Arial" w:hAnsi="Arial"/>
          <w:sz w:val="19"/>
          <w:szCs w:val="19"/>
          <w:color w:val="0C0C0C"/>
        </w:rPr>
        <w:t>utility</w:t>
      </w:r>
      <w:r>
        <w:rPr>
          <w:rFonts w:ascii="Arial" w:cs="Arial" w:eastAsia="Arial" w:hAnsi="Arial"/>
          <w:sz w:val="19"/>
          <w:szCs w:val="19"/>
          <w:color w:val="363636"/>
        </w:rPr>
        <w:t xml:space="preserve"> </w:t>
      </w:r>
      <w:r>
        <w:rPr>
          <w:rFonts w:ascii="Arial" w:cs="Arial" w:eastAsia="Arial" w:hAnsi="Arial"/>
          <w:sz w:val="19"/>
          <w:szCs w:val="19"/>
          <w:color w:val="000000"/>
        </w:rPr>
        <w:t>usage information reasonably</w:t>
      </w:r>
      <w:r>
        <w:rPr>
          <w:rFonts w:ascii="Arial" w:cs="Arial" w:eastAsia="Arial" w:hAnsi="Arial"/>
          <w:sz w:val="19"/>
          <w:szCs w:val="19"/>
          <w:color w:val="363636"/>
        </w:rPr>
        <w:t xml:space="preserve"> </w:t>
      </w:r>
      <w:r>
        <w:rPr>
          <w:rFonts w:ascii="Arial" w:cs="Arial" w:eastAsia="Arial" w:hAnsi="Arial"/>
          <w:sz w:val="19"/>
          <w:szCs w:val="19"/>
          <w:color w:val="0C0C0C"/>
        </w:rPr>
        <w:t>requ</w:t>
      </w:r>
      <w:r>
        <w:rPr>
          <w:rFonts w:ascii="Arial" w:cs="Arial" w:eastAsia="Arial" w:hAnsi="Arial"/>
          <w:sz w:val="19"/>
          <w:szCs w:val="19"/>
          <w:color w:val="363636"/>
        </w:rPr>
        <w:t xml:space="preserve">ested by </w:t>
      </w:r>
      <w:r>
        <w:rPr>
          <w:rFonts w:ascii="Arial" w:cs="Arial" w:eastAsia="Arial" w:hAnsi="Arial"/>
          <w:sz w:val="19"/>
          <w:szCs w:val="19"/>
          <w:color w:val="000000"/>
        </w:rPr>
        <w:t>Landlord, and (</w:t>
      </w:r>
      <w:r>
        <w:rPr>
          <w:rFonts w:ascii="Arial" w:cs="Arial" w:eastAsia="Arial" w:hAnsi="Arial"/>
          <w:sz w:val="19"/>
          <w:szCs w:val="19"/>
          <w:color w:val="363636"/>
        </w:rPr>
        <w:t>c)</w:t>
      </w:r>
      <w:r>
        <w:rPr>
          <w:rFonts w:ascii="Arial" w:cs="Arial" w:eastAsia="Arial" w:hAnsi="Arial"/>
          <w:sz w:val="19"/>
          <w:szCs w:val="19"/>
          <w:color w:val="000000"/>
        </w:rPr>
        <w:t xml:space="preserve"> 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after each calendar year during the </w:t>
      </w:r>
      <w:r>
        <w:rPr>
          <w:rFonts w:ascii="Arial" w:cs="Arial" w:eastAsia="Arial" w:hAnsi="Arial"/>
          <w:sz w:val="19"/>
          <w:szCs w:val="19"/>
          <w:color w:val="0C0C0C"/>
        </w:rPr>
        <w:t>Term,</w:t>
      </w:r>
      <w:r>
        <w:rPr>
          <w:rFonts w:ascii="Arial" w:cs="Arial" w:eastAsia="Arial" w:hAnsi="Arial"/>
          <w:sz w:val="19"/>
          <w:szCs w:val="19"/>
          <w:color w:val="000000"/>
        </w:rPr>
        <w:t xml:space="preserve"> an </w:t>
      </w:r>
      <w:r>
        <w:rPr>
          <w:rFonts w:ascii="Arial" w:cs="Arial" w:eastAsia="Arial" w:hAnsi="Arial"/>
          <w:sz w:val="19"/>
          <w:szCs w:val="19"/>
          <w:color w:val="363636"/>
        </w:rPr>
        <w:t>ENERGY</w:t>
      </w:r>
      <w:r>
        <w:rPr>
          <w:rFonts w:ascii="Arial" w:cs="Arial" w:eastAsia="Arial" w:hAnsi="Arial"/>
          <w:sz w:val="19"/>
          <w:szCs w:val="19"/>
          <w:color w:val="000000"/>
        </w:rPr>
        <w:t xml:space="preserve"> STAR® Statement of </w:t>
      </w:r>
      <w:r>
        <w:rPr>
          <w:rFonts w:ascii="Arial" w:cs="Arial" w:eastAsia="Arial" w:hAnsi="Arial"/>
          <w:sz w:val="19"/>
          <w:szCs w:val="19"/>
          <w:color w:val="0C0C0C"/>
        </w:rPr>
        <w:t xml:space="preserve">Performance </w:t>
      </w:r>
      <w:r>
        <w:rPr>
          <w:rFonts w:ascii="Arial" w:cs="Arial" w:eastAsia="Arial" w:hAnsi="Arial"/>
          <w:sz w:val="19"/>
          <w:szCs w:val="19"/>
          <w:color w:val="000000"/>
        </w:rPr>
        <w:t>(or</w:t>
      </w:r>
      <w:r>
        <w:rPr>
          <w:rFonts w:ascii="Arial" w:cs="Arial" w:eastAsia="Arial" w:hAnsi="Arial"/>
          <w:sz w:val="19"/>
          <w:szCs w:val="19"/>
          <w:color w:val="0C0C0C"/>
        </w:rPr>
        <w:t xml:space="preserve"> </w:t>
      </w:r>
      <w:r>
        <w:rPr>
          <w:rFonts w:ascii="Arial" w:cs="Arial" w:eastAsia="Arial" w:hAnsi="Arial"/>
          <w:sz w:val="19"/>
          <w:szCs w:val="19"/>
          <w:color w:val="363636"/>
        </w:rPr>
        <w:t>similar</w:t>
      </w:r>
      <w:r>
        <w:rPr>
          <w:rFonts w:ascii="Arial" w:cs="Arial" w:eastAsia="Arial" w:hAnsi="Arial"/>
          <w:sz w:val="19"/>
          <w:szCs w:val="19"/>
          <w:color w:val="0C0C0C"/>
        </w:rPr>
        <w:t xml:space="preserve"> </w:t>
      </w:r>
      <w:r>
        <w:rPr>
          <w:rFonts w:ascii="Arial" w:cs="Arial" w:eastAsia="Arial" w:hAnsi="Arial"/>
          <w:sz w:val="19"/>
          <w:szCs w:val="19"/>
          <w:color w:val="000000"/>
        </w:rPr>
        <w:t>comprehensive utility usage report (e.g</w:t>
      </w:r>
      <w:r>
        <w:rPr>
          <w:rFonts w:ascii="Arial" w:cs="Arial" w:eastAsia="Arial" w:hAnsi="Arial"/>
          <w:sz w:val="19"/>
          <w:szCs w:val="19"/>
          <w:color w:val="565656"/>
        </w:rPr>
        <w:t>.</w:t>
      </w:r>
      <w:r>
        <w:rPr>
          <w:rFonts w:ascii="Arial" w:cs="Arial" w:eastAsia="Arial" w:hAnsi="Arial"/>
          <w:sz w:val="19"/>
          <w:szCs w:val="19"/>
          <w:color w:val="363636"/>
        </w:rPr>
        <w:t>, related</w:t>
      </w:r>
      <w:r>
        <w:rPr>
          <w:rFonts w:ascii="Arial" w:cs="Arial" w:eastAsia="Arial" w:hAnsi="Arial"/>
          <w:sz w:val="19"/>
          <w:szCs w:val="19"/>
          <w:color w:val="0C0C0C"/>
        </w:rPr>
        <w:t xml:space="preserve"> </w:t>
      </w:r>
      <w:r>
        <w:rPr>
          <w:rFonts w:ascii="Arial" w:cs="Arial" w:eastAsia="Arial" w:hAnsi="Arial"/>
          <w:sz w:val="19"/>
          <w:szCs w:val="19"/>
          <w:color w:val="000000"/>
        </w:rPr>
        <w:t>to Labs 21), if requested by Landlord) to</w:t>
      </w:r>
      <w:r>
        <w:rPr>
          <w:rFonts w:ascii="Arial" w:cs="Arial" w:eastAsia="Arial" w:hAnsi="Arial"/>
          <w:sz w:val="19"/>
          <w:szCs w:val="19"/>
          <w:color w:val="0C0C0C"/>
        </w:rPr>
        <w:t xml:space="preserve"> </w:t>
      </w:r>
      <w:r>
        <w:rPr>
          <w:rFonts w:ascii="Arial" w:cs="Arial" w:eastAsia="Arial" w:hAnsi="Arial"/>
          <w:sz w:val="19"/>
          <w:szCs w:val="19"/>
          <w:color w:val="000000"/>
        </w:rPr>
        <w:t xml:space="preserve">the </w:t>
      </w:r>
      <w:r>
        <w:rPr>
          <w:rFonts w:ascii="Arial" w:cs="Arial" w:eastAsia="Arial" w:hAnsi="Arial"/>
          <w:sz w:val="19"/>
          <w:szCs w:val="19"/>
          <w:color w:val="363636"/>
        </w:rPr>
        <w:t>extent</w:t>
      </w:r>
      <w:r>
        <w:rPr>
          <w:rFonts w:ascii="Arial" w:cs="Arial" w:eastAsia="Arial" w:hAnsi="Arial"/>
          <w:sz w:val="19"/>
          <w:szCs w:val="19"/>
          <w:color w:val="000000"/>
        </w:rPr>
        <w:t xml:space="preserve"> available </w:t>
      </w:r>
      <w:r>
        <w:rPr>
          <w:rFonts w:ascii="Arial" w:cs="Arial" w:eastAsia="Arial" w:hAnsi="Arial"/>
          <w:sz w:val="19"/>
          <w:szCs w:val="19"/>
          <w:color w:val="363636"/>
        </w:rPr>
        <w:t>to</w:t>
      </w:r>
      <w:r>
        <w:rPr>
          <w:rFonts w:ascii="Arial" w:cs="Arial" w:eastAsia="Arial" w:hAnsi="Arial"/>
          <w:sz w:val="19"/>
          <w:szCs w:val="19"/>
          <w:color w:val="000000"/>
        </w:rPr>
        <w:t xml:space="preserve"> Tenant at </w:t>
      </w:r>
      <w:r>
        <w:rPr>
          <w:rFonts w:ascii="Arial" w:cs="Arial" w:eastAsia="Arial" w:hAnsi="Arial"/>
          <w:sz w:val="19"/>
          <w:szCs w:val="19"/>
          <w:color w:val="0C0C0C"/>
        </w:rPr>
        <w:t>minim</w:t>
      </w:r>
      <w:r>
        <w:rPr>
          <w:rFonts w:ascii="Arial" w:cs="Arial" w:eastAsia="Arial" w:hAnsi="Arial"/>
          <w:sz w:val="19"/>
          <w:szCs w:val="19"/>
          <w:color w:val="363636"/>
        </w:rPr>
        <w:t>a</w:t>
      </w:r>
      <w:r>
        <w:rPr>
          <w:rFonts w:ascii="Arial" w:cs="Arial" w:eastAsia="Arial" w:hAnsi="Arial"/>
          <w:sz w:val="19"/>
          <w:szCs w:val="19"/>
          <w:color w:val="0C0C0C"/>
        </w:rPr>
        <w:t>l</w:t>
      </w:r>
      <w:r>
        <w:rPr>
          <w:rFonts w:ascii="Arial" w:cs="Arial" w:eastAsia="Arial" w:hAnsi="Arial"/>
          <w:sz w:val="19"/>
          <w:szCs w:val="19"/>
          <w:color w:val="000000"/>
        </w:rPr>
        <w:t xml:space="preserve"> cost </w:t>
      </w:r>
      <w:r>
        <w:rPr>
          <w:rFonts w:ascii="Arial" w:cs="Arial" w:eastAsia="Arial" w:hAnsi="Arial"/>
          <w:sz w:val="19"/>
          <w:szCs w:val="19"/>
          <w:color w:val="363636"/>
        </w:rPr>
        <w:t>and</w:t>
      </w:r>
      <w:r>
        <w:rPr>
          <w:rFonts w:ascii="Arial" w:cs="Arial" w:eastAsia="Arial" w:hAnsi="Arial"/>
          <w:sz w:val="19"/>
          <w:szCs w:val="19"/>
          <w:color w:val="000000"/>
        </w:rPr>
        <w:t xml:space="preserve"> any other </w:t>
      </w:r>
      <w:r>
        <w:rPr>
          <w:rFonts w:ascii="Arial" w:cs="Arial" w:eastAsia="Arial" w:hAnsi="Arial"/>
          <w:sz w:val="19"/>
          <w:szCs w:val="19"/>
          <w:color w:val="0C0C0C"/>
        </w:rPr>
        <w:t>inform</w:t>
      </w:r>
      <w:r>
        <w:rPr>
          <w:rFonts w:ascii="Arial" w:cs="Arial" w:eastAsia="Arial" w:hAnsi="Arial"/>
          <w:sz w:val="19"/>
          <w:szCs w:val="19"/>
          <w:color w:val="363636"/>
        </w:rPr>
        <w:t>ation reasonably</w:t>
      </w:r>
      <w:r>
        <w:rPr>
          <w:rFonts w:ascii="Arial" w:cs="Arial" w:eastAsia="Arial" w:hAnsi="Arial"/>
          <w:sz w:val="19"/>
          <w:szCs w:val="19"/>
          <w:color w:val="000000"/>
        </w:rPr>
        <w:t xml:space="preserve"> requested </w:t>
      </w:r>
      <w:r>
        <w:rPr>
          <w:rFonts w:ascii="Arial" w:cs="Arial" w:eastAsia="Arial" w:hAnsi="Arial"/>
          <w:sz w:val="19"/>
          <w:szCs w:val="19"/>
          <w:color w:val="0C0C0C"/>
        </w:rPr>
        <w:t>by</w:t>
      </w:r>
      <w:r>
        <w:rPr>
          <w:rFonts w:ascii="Arial" w:cs="Arial" w:eastAsia="Arial" w:hAnsi="Arial"/>
          <w:sz w:val="19"/>
          <w:szCs w:val="19"/>
          <w:color w:val="000000"/>
        </w:rPr>
        <w:t xml:space="preserve"> Landlord for </w:t>
      </w:r>
      <w:r>
        <w:rPr>
          <w:rFonts w:ascii="Arial" w:cs="Arial" w:eastAsia="Arial" w:hAnsi="Arial"/>
          <w:sz w:val="19"/>
          <w:szCs w:val="19"/>
          <w:color w:val="363636"/>
        </w:rPr>
        <w:t>t</w:t>
      </w:r>
      <w:r>
        <w:rPr>
          <w:rFonts w:ascii="Arial" w:cs="Arial" w:eastAsia="Arial" w:hAnsi="Arial"/>
          <w:sz w:val="19"/>
          <w:szCs w:val="19"/>
          <w:color w:val="0C0C0C"/>
        </w:rPr>
        <w:t>he</w:t>
      </w:r>
      <w:r>
        <w:rPr>
          <w:rFonts w:ascii="Arial" w:cs="Arial" w:eastAsia="Arial" w:hAnsi="Arial"/>
          <w:sz w:val="19"/>
          <w:szCs w:val="19"/>
          <w:color w:val="000000"/>
        </w:rPr>
        <w:t xml:space="preserve"> </w:t>
      </w:r>
      <w:r>
        <w:rPr>
          <w:rFonts w:ascii="Arial" w:cs="Arial" w:eastAsia="Arial" w:hAnsi="Arial"/>
          <w:sz w:val="19"/>
          <w:szCs w:val="19"/>
          <w:color w:val="0C0C0C"/>
        </w:rPr>
        <w:t>i</w:t>
      </w:r>
      <w:r>
        <w:rPr>
          <w:rFonts w:ascii="Arial" w:cs="Arial" w:eastAsia="Arial" w:hAnsi="Arial"/>
          <w:sz w:val="19"/>
          <w:szCs w:val="19"/>
          <w:color w:val="363636"/>
        </w:rPr>
        <w:t>mmedia</w:t>
      </w:r>
      <w:r>
        <w:rPr>
          <w:rFonts w:ascii="Arial" w:cs="Arial" w:eastAsia="Arial" w:hAnsi="Arial"/>
          <w:sz w:val="19"/>
          <w:szCs w:val="19"/>
          <w:color w:val="0C0C0C"/>
        </w:rPr>
        <w:t>t</w:t>
      </w:r>
      <w:r>
        <w:rPr>
          <w:rFonts w:ascii="Arial" w:cs="Arial" w:eastAsia="Arial" w:hAnsi="Arial"/>
          <w:sz w:val="19"/>
          <w:szCs w:val="19"/>
          <w:color w:val="363636"/>
        </w:rPr>
        <w:t>ely</w:t>
      </w:r>
      <w:r>
        <w:rPr>
          <w:rFonts w:ascii="Arial" w:cs="Arial" w:eastAsia="Arial" w:hAnsi="Arial"/>
          <w:sz w:val="19"/>
          <w:szCs w:val="19"/>
          <w:color w:val="0C0C0C"/>
        </w:rPr>
        <w:t xml:space="preserve"> </w:t>
      </w:r>
      <w:r>
        <w:rPr>
          <w:rFonts w:ascii="Arial" w:cs="Arial" w:eastAsia="Arial" w:hAnsi="Arial"/>
          <w:sz w:val="19"/>
          <w:szCs w:val="19"/>
          <w:color w:val="000000"/>
        </w:rPr>
        <w:t>preceding</w:t>
      </w:r>
      <w:r>
        <w:rPr>
          <w:rFonts w:ascii="Arial" w:cs="Arial" w:eastAsia="Arial" w:hAnsi="Arial"/>
          <w:sz w:val="19"/>
          <w:szCs w:val="19"/>
          <w:color w:val="0C0C0C"/>
        </w:rPr>
        <w:t xml:space="preserve"> </w:t>
      </w:r>
      <w:r>
        <w:rPr>
          <w:rFonts w:ascii="Arial" w:cs="Arial" w:eastAsia="Arial" w:hAnsi="Arial"/>
          <w:sz w:val="19"/>
          <w:szCs w:val="19"/>
          <w:color w:val="363636"/>
        </w:rPr>
        <w:t>year.</w:t>
      </w:r>
      <w:r>
        <w:rPr>
          <w:rFonts w:ascii="Arial" w:cs="Arial" w:eastAsia="Arial" w:hAnsi="Arial"/>
          <w:sz w:val="19"/>
          <w:szCs w:val="19"/>
          <w:color w:val="0C0C0C"/>
        </w:rPr>
        <w:t xml:space="preserve"> </w:t>
      </w:r>
      <w:r>
        <w:rPr>
          <w:rFonts w:ascii="Arial" w:cs="Arial" w:eastAsia="Arial" w:hAnsi="Arial"/>
          <w:sz w:val="19"/>
          <w:szCs w:val="19"/>
          <w:color w:val="000000"/>
        </w:rPr>
        <w:t>Tenant</w:t>
      </w:r>
      <w:r>
        <w:rPr>
          <w:rFonts w:ascii="Arial" w:cs="Arial" w:eastAsia="Arial" w:hAnsi="Arial"/>
          <w:sz w:val="19"/>
          <w:szCs w:val="19"/>
          <w:color w:val="0C0C0C"/>
        </w:rPr>
        <w:t xml:space="preserve"> </w:t>
      </w:r>
      <w:r>
        <w:rPr>
          <w:rFonts w:ascii="Arial" w:cs="Arial" w:eastAsia="Arial" w:hAnsi="Arial"/>
          <w:sz w:val="19"/>
          <w:szCs w:val="19"/>
          <w:color w:val="363636"/>
        </w:rPr>
        <w:t>s</w:t>
      </w:r>
      <w:r>
        <w:rPr>
          <w:rFonts w:ascii="Arial" w:cs="Arial" w:eastAsia="Arial" w:hAnsi="Arial"/>
          <w:sz w:val="19"/>
          <w:szCs w:val="19"/>
          <w:color w:val="0C0C0C"/>
        </w:rPr>
        <w:t xml:space="preserve">hall </w:t>
      </w:r>
      <w:r>
        <w:rPr>
          <w:rFonts w:ascii="Arial" w:cs="Arial" w:eastAsia="Arial" w:hAnsi="Arial"/>
          <w:sz w:val="19"/>
          <w:szCs w:val="19"/>
          <w:color w:val="000000"/>
        </w:rPr>
        <w:t>retain records of utility usage at the</w:t>
      </w:r>
      <w:r>
        <w:rPr>
          <w:rFonts w:ascii="Arial" w:cs="Arial" w:eastAsia="Arial" w:hAnsi="Arial"/>
          <w:sz w:val="19"/>
          <w:szCs w:val="19"/>
          <w:color w:val="0C0C0C"/>
        </w:rPr>
        <w:t xml:space="preserve"> Premises, i</w:t>
      </w:r>
      <w:r>
        <w:rPr>
          <w:rFonts w:ascii="Arial" w:cs="Arial" w:eastAsia="Arial" w:hAnsi="Arial"/>
          <w:sz w:val="19"/>
          <w:szCs w:val="19"/>
          <w:color w:val="363636"/>
        </w:rPr>
        <w:t>nclud</w:t>
      </w:r>
      <w:r>
        <w:rPr>
          <w:rFonts w:ascii="Arial" w:cs="Arial" w:eastAsia="Arial" w:hAnsi="Arial"/>
          <w:sz w:val="19"/>
          <w:szCs w:val="19"/>
          <w:color w:val="0C0C0C"/>
        </w:rPr>
        <w:t>in</w:t>
      </w:r>
      <w:r>
        <w:rPr>
          <w:rFonts w:ascii="Arial" w:cs="Arial" w:eastAsia="Arial" w:hAnsi="Arial"/>
          <w:sz w:val="19"/>
          <w:szCs w:val="19"/>
          <w:color w:val="363636"/>
        </w:rPr>
        <w:t>g</w:t>
      </w:r>
      <w:r>
        <w:rPr>
          <w:rFonts w:ascii="Arial" w:cs="Arial" w:eastAsia="Arial" w:hAnsi="Arial"/>
          <w:sz w:val="19"/>
          <w:szCs w:val="19"/>
          <w:color w:val="0C0C0C"/>
        </w:rPr>
        <w:t xml:space="preserve"> i</w:t>
      </w:r>
      <w:r>
        <w:rPr>
          <w:rFonts w:ascii="Arial" w:cs="Arial" w:eastAsia="Arial" w:hAnsi="Arial"/>
          <w:sz w:val="19"/>
          <w:szCs w:val="19"/>
          <w:color w:val="363636"/>
        </w:rPr>
        <w:t>nvo</w:t>
      </w:r>
      <w:r>
        <w:rPr>
          <w:rFonts w:ascii="Arial" w:cs="Arial" w:eastAsia="Arial" w:hAnsi="Arial"/>
          <w:sz w:val="19"/>
          <w:szCs w:val="19"/>
          <w:color w:val="0C0C0C"/>
        </w:rPr>
        <w:t>i</w:t>
      </w:r>
      <w:r>
        <w:rPr>
          <w:rFonts w:ascii="Arial" w:cs="Arial" w:eastAsia="Arial" w:hAnsi="Arial"/>
          <w:sz w:val="19"/>
          <w:szCs w:val="19"/>
          <w:color w:val="363636"/>
        </w:rPr>
        <w:t>ces</w:t>
      </w:r>
      <w:r>
        <w:rPr>
          <w:rFonts w:ascii="Arial" w:cs="Arial" w:eastAsia="Arial" w:hAnsi="Arial"/>
          <w:sz w:val="19"/>
          <w:szCs w:val="19"/>
          <w:color w:val="0C0C0C"/>
        </w:rPr>
        <w:t xml:space="preserve"> </w:t>
      </w:r>
      <w:r>
        <w:rPr>
          <w:rFonts w:ascii="Arial" w:cs="Arial" w:eastAsia="Arial" w:hAnsi="Arial"/>
          <w:sz w:val="19"/>
          <w:szCs w:val="19"/>
          <w:color w:val="000000"/>
        </w:rPr>
        <w:t>and</w:t>
      </w:r>
      <w:r>
        <w:rPr>
          <w:rFonts w:ascii="Arial" w:cs="Arial" w:eastAsia="Arial" w:hAnsi="Arial"/>
          <w:sz w:val="19"/>
          <w:szCs w:val="19"/>
          <w:color w:val="0C0C0C"/>
        </w:rPr>
        <w:t xml:space="preserve"> </w:t>
      </w:r>
      <w:r>
        <w:rPr>
          <w:rFonts w:ascii="Arial" w:cs="Arial" w:eastAsia="Arial" w:hAnsi="Arial"/>
          <w:sz w:val="19"/>
          <w:szCs w:val="19"/>
          <w:color w:val="000000"/>
        </w:rPr>
        <w:t xml:space="preserve">statements </w:t>
      </w:r>
      <w:r>
        <w:rPr>
          <w:rFonts w:ascii="Arial" w:cs="Arial" w:eastAsia="Arial" w:hAnsi="Arial"/>
          <w:sz w:val="19"/>
          <w:szCs w:val="19"/>
          <w:color w:val="363636"/>
        </w:rPr>
        <w:t>fro</w:t>
      </w:r>
      <w:r>
        <w:rPr>
          <w:rFonts w:ascii="Arial" w:cs="Arial" w:eastAsia="Arial" w:hAnsi="Arial"/>
          <w:sz w:val="19"/>
          <w:szCs w:val="19"/>
          <w:color w:val="0C0C0C"/>
        </w:rPr>
        <w:t>m the utili</w:t>
      </w:r>
      <w:r>
        <w:rPr>
          <w:rFonts w:ascii="Arial" w:cs="Arial" w:eastAsia="Arial" w:hAnsi="Arial"/>
          <w:sz w:val="19"/>
          <w:szCs w:val="19"/>
          <w:color w:val="363636"/>
        </w:rPr>
        <w:t>ty</w:t>
      </w:r>
      <w:r>
        <w:rPr>
          <w:rFonts w:ascii="Arial" w:cs="Arial" w:eastAsia="Arial" w:hAnsi="Arial"/>
          <w:sz w:val="19"/>
          <w:szCs w:val="19"/>
          <w:color w:val="000000"/>
        </w:rPr>
        <w:t xml:space="preserve"> </w:t>
      </w:r>
      <w:r>
        <w:rPr>
          <w:rFonts w:ascii="Arial" w:cs="Arial" w:eastAsia="Arial" w:hAnsi="Arial"/>
          <w:sz w:val="19"/>
          <w:szCs w:val="19"/>
          <w:color w:val="0C0C0C"/>
        </w:rPr>
        <w:t>pro</w:t>
      </w:r>
      <w:r>
        <w:rPr>
          <w:rFonts w:ascii="Arial" w:cs="Arial" w:eastAsia="Arial" w:hAnsi="Arial"/>
          <w:sz w:val="19"/>
          <w:szCs w:val="19"/>
          <w:color w:val="363636"/>
        </w:rPr>
        <w:t>vider,</w:t>
      </w:r>
      <w:r>
        <w:rPr>
          <w:rFonts w:ascii="Arial" w:cs="Arial" w:eastAsia="Arial" w:hAnsi="Arial"/>
          <w:sz w:val="19"/>
          <w:szCs w:val="19"/>
          <w:color w:val="000000"/>
        </w:rPr>
        <w:t xml:space="preserve"> for at </w:t>
      </w:r>
      <w:r>
        <w:rPr>
          <w:rFonts w:ascii="Arial" w:cs="Arial" w:eastAsia="Arial" w:hAnsi="Arial"/>
          <w:sz w:val="19"/>
          <w:szCs w:val="19"/>
          <w:color w:val="0C0C0C"/>
        </w:rPr>
        <w:t>lea</w:t>
      </w:r>
      <w:r>
        <w:rPr>
          <w:rFonts w:ascii="Arial" w:cs="Arial" w:eastAsia="Arial" w:hAnsi="Arial"/>
          <w:sz w:val="19"/>
          <w:szCs w:val="19"/>
          <w:color w:val="363636"/>
        </w:rPr>
        <w:t>st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0C0C0C"/>
        </w:rPr>
        <w:t>months</w:t>
      </w:r>
      <w:r>
        <w:rPr>
          <w:rFonts w:ascii="Arial" w:cs="Arial" w:eastAsia="Arial" w:hAnsi="Arial"/>
          <w:sz w:val="19"/>
          <w:szCs w:val="19"/>
          <w:color w:val="363636"/>
        </w:rPr>
        <w:t>,</w:t>
      </w:r>
      <w:r>
        <w:rPr>
          <w:rFonts w:ascii="Arial" w:cs="Arial" w:eastAsia="Arial" w:hAnsi="Arial"/>
          <w:sz w:val="19"/>
          <w:szCs w:val="19"/>
          <w:color w:val="000000"/>
        </w:rPr>
        <w:t xml:space="preserve"> or </w:t>
      </w:r>
      <w:r>
        <w:rPr>
          <w:rFonts w:ascii="Arial" w:cs="Arial" w:eastAsia="Arial" w:hAnsi="Arial"/>
          <w:sz w:val="19"/>
          <w:szCs w:val="19"/>
          <w:color w:val="363636"/>
        </w:rPr>
        <w:t>s</w:t>
      </w:r>
      <w:r>
        <w:rPr>
          <w:rFonts w:ascii="Arial" w:cs="Arial" w:eastAsia="Arial" w:hAnsi="Arial"/>
          <w:sz w:val="19"/>
          <w:szCs w:val="19"/>
          <w:color w:val="0C0C0C"/>
        </w:rPr>
        <w:t>uch</w:t>
      </w:r>
      <w:r>
        <w:rPr>
          <w:rFonts w:ascii="Arial" w:cs="Arial" w:eastAsia="Arial" w:hAnsi="Arial"/>
          <w:sz w:val="19"/>
          <w:szCs w:val="19"/>
          <w:color w:val="000000"/>
        </w:rPr>
        <w:t xml:space="preserve"> other </w:t>
      </w:r>
      <w:r>
        <w:rPr>
          <w:rFonts w:ascii="Arial" w:cs="Arial" w:eastAsia="Arial" w:hAnsi="Arial"/>
          <w:sz w:val="19"/>
          <w:szCs w:val="19"/>
          <w:color w:val="363636"/>
        </w:rPr>
        <w:t>shorte</w:t>
      </w:r>
      <w:r>
        <w:rPr>
          <w:rFonts w:ascii="Arial" w:cs="Arial" w:eastAsia="Arial" w:hAnsi="Arial"/>
          <w:sz w:val="19"/>
          <w:szCs w:val="19"/>
          <w:color w:val="0C0C0C"/>
        </w:rPr>
        <w:t>r</w:t>
      </w:r>
      <w:r>
        <w:rPr>
          <w:rFonts w:ascii="Arial" w:cs="Arial" w:eastAsia="Arial" w:hAnsi="Arial"/>
          <w:sz w:val="19"/>
          <w:szCs w:val="19"/>
          <w:color w:val="000000"/>
        </w:rPr>
        <w:t xml:space="preserve"> </w:t>
      </w:r>
      <w:r>
        <w:rPr>
          <w:rFonts w:ascii="Arial" w:cs="Arial" w:eastAsia="Arial" w:hAnsi="Arial"/>
          <w:sz w:val="19"/>
          <w:szCs w:val="19"/>
          <w:color w:val="363636"/>
        </w:rPr>
        <w:t>period</w:t>
      </w:r>
      <w:r>
        <w:rPr>
          <w:rFonts w:ascii="Arial" w:cs="Arial" w:eastAsia="Arial" w:hAnsi="Arial"/>
          <w:sz w:val="19"/>
          <w:szCs w:val="19"/>
          <w:color w:val="000000"/>
        </w:rPr>
        <w:t xml:space="preserve"> of time as may be requested by Landlord. Tenant acknowledges </w:t>
      </w:r>
      <w:r>
        <w:rPr>
          <w:rFonts w:ascii="Arial" w:cs="Arial" w:eastAsia="Arial" w:hAnsi="Arial"/>
          <w:sz w:val="19"/>
          <w:szCs w:val="19"/>
          <w:color w:val="0C0C0C"/>
        </w:rPr>
        <w:t>that</w:t>
      </w:r>
      <w:r>
        <w:rPr>
          <w:rFonts w:ascii="Arial" w:cs="Arial" w:eastAsia="Arial" w:hAnsi="Arial"/>
          <w:sz w:val="19"/>
          <w:szCs w:val="19"/>
          <w:color w:val="000000"/>
        </w:rPr>
        <w:t xml:space="preserve"> any utility information for the </w:t>
      </w:r>
      <w:r>
        <w:rPr>
          <w:rFonts w:ascii="Arial" w:cs="Arial" w:eastAsia="Arial" w:hAnsi="Arial"/>
          <w:sz w:val="19"/>
          <w:szCs w:val="19"/>
          <w:color w:val="0C0C0C"/>
        </w:rPr>
        <w:t>Premi</w:t>
      </w:r>
      <w:r>
        <w:rPr>
          <w:rFonts w:ascii="Arial" w:cs="Arial" w:eastAsia="Arial" w:hAnsi="Arial"/>
          <w:sz w:val="19"/>
          <w:szCs w:val="19"/>
          <w:color w:val="363636"/>
        </w:rPr>
        <w:t>ses, the</w:t>
      </w:r>
      <w:r>
        <w:rPr>
          <w:rFonts w:ascii="Arial" w:cs="Arial" w:eastAsia="Arial" w:hAnsi="Arial"/>
          <w:sz w:val="19"/>
          <w:szCs w:val="19"/>
          <w:color w:val="000000"/>
        </w:rPr>
        <w:t xml:space="preserve"> Building and the Project may be </w:t>
      </w:r>
      <w:r>
        <w:rPr>
          <w:rFonts w:ascii="Arial" w:cs="Arial" w:eastAsia="Arial" w:hAnsi="Arial"/>
          <w:sz w:val="19"/>
          <w:szCs w:val="19"/>
          <w:color w:val="363636"/>
        </w:rPr>
        <w:t>shared</w:t>
      </w:r>
      <w:r>
        <w:rPr>
          <w:rFonts w:ascii="Arial" w:cs="Arial" w:eastAsia="Arial" w:hAnsi="Arial"/>
          <w:sz w:val="19"/>
          <w:szCs w:val="19"/>
          <w:color w:val="000000"/>
        </w:rPr>
        <w:t xml:space="preserve"> with third </w:t>
      </w:r>
      <w:r>
        <w:rPr>
          <w:rFonts w:ascii="Arial" w:cs="Arial" w:eastAsia="Arial" w:hAnsi="Arial"/>
          <w:sz w:val="19"/>
          <w:szCs w:val="19"/>
          <w:color w:val="363636"/>
        </w:rPr>
        <w:t>parties,</w:t>
      </w:r>
      <w:r>
        <w:rPr>
          <w:rFonts w:ascii="Arial" w:cs="Arial" w:eastAsia="Arial" w:hAnsi="Arial"/>
          <w:sz w:val="19"/>
          <w:szCs w:val="19"/>
          <w:color w:val="000000"/>
        </w:rPr>
        <w:t xml:space="preserve"> including Landlord’s consultants </w:t>
      </w:r>
      <w:r>
        <w:rPr>
          <w:rFonts w:ascii="Arial" w:cs="Arial" w:eastAsia="Arial" w:hAnsi="Arial"/>
          <w:sz w:val="19"/>
          <w:szCs w:val="19"/>
          <w:color w:val="363636"/>
        </w:rPr>
        <w:t>and</w:t>
      </w:r>
      <w:r>
        <w:rPr>
          <w:rFonts w:ascii="Arial" w:cs="Arial" w:eastAsia="Arial" w:hAnsi="Arial"/>
          <w:sz w:val="19"/>
          <w:szCs w:val="19"/>
          <w:color w:val="000000"/>
        </w:rPr>
        <w:t xml:space="preserve"> Governmental Authorities. In </w:t>
      </w:r>
      <w:r>
        <w:rPr>
          <w:rFonts w:ascii="Arial" w:cs="Arial" w:eastAsia="Arial" w:hAnsi="Arial"/>
          <w:sz w:val="19"/>
          <w:szCs w:val="19"/>
          <w:color w:val="0C0C0C"/>
        </w:rPr>
        <w:t>th</w:t>
      </w:r>
      <w:r>
        <w:rPr>
          <w:rFonts w:ascii="Arial" w:cs="Arial" w:eastAsia="Arial" w:hAnsi="Arial"/>
          <w:sz w:val="19"/>
          <w:szCs w:val="19"/>
          <w:color w:val="363636"/>
        </w:rPr>
        <w:t>e</w:t>
      </w:r>
      <w:r>
        <w:rPr>
          <w:rFonts w:ascii="Arial" w:cs="Arial" w:eastAsia="Arial" w:hAnsi="Arial"/>
          <w:sz w:val="19"/>
          <w:szCs w:val="19"/>
          <w:color w:val="000000"/>
        </w:rPr>
        <w:t xml:space="preserve"> event </w:t>
      </w:r>
      <w:r>
        <w:rPr>
          <w:rFonts w:ascii="Arial" w:cs="Arial" w:eastAsia="Arial" w:hAnsi="Arial"/>
          <w:sz w:val="19"/>
          <w:szCs w:val="19"/>
          <w:color w:val="363636"/>
        </w:rPr>
        <w:t>that Tenan</w:t>
      </w:r>
      <w:r>
        <w:rPr>
          <w:rFonts w:ascii="Arial" w:cs="Arial" w:eastAsia="Arial" w:hAnsi="Arial"/>
          <w:sz w:val="19"/>
          <w:szCs w:val="19"/>
          <w:color w:val="0C0C0C"/>
        </w:rPr>
        <w:t>t</w:t>
      </w:r>
      <w:r>
        <w:rPr>
          <w:rFonts w:ascii="Arial" w:cs="Arial" w:eastAsia="Arial" w:hAnsi="Arial"/>
          <w:sz w:val="19"/>
          <w:szCs w:val="19"/>
          <w:color w:val="000000"/>
        </w:rPr>
        <w:t xml:space="preserve"> fails to comply with this Section, Tenant hereby authorizes Landlord to collect </w:t>
      </w:r>
      <w:r>
        <w:rPr>
          <w:rFonts w:ascii="Arial" w:cs="Arial" w:eastAsia="Arial" w:hAnsi="Arial"/>
          <w:sz w:val="19"/>
          <w:szCs w:val="19"/>
          <w:color w:val="0C0C0C"/>
        </w:rPr>
        <w:t>ut</w:t>
      </w:r>
      <w:r>
        <w:rPr>
          <w:rFonts w:ascii="Arial" w:cs="Arial" w:eastAsia="Arial" w:hAnsi="Arial"/>
          <w:sz w:val="19"/>
          <w:szCs w:val="19"/>
          <w:color w:val="363636"/>
        </w:rPr>
        <w:t>ility</w:t>
      </w:r>
      <w:r>
        <w:rPr>
          <w:rFonts w:ascii="Arial" w:cs="Arial" w:eastAsia="Arial" w:hAnsi="Arial"/>
          <w:sz w:val="19"/>
          <w:szCs w:val="19"/>
          <w:color w:val="000000"/>
        </w:rPr>
        <w:t xml:space="preserve"> </w:t>
      </w:r>
      <w:r>
        <w:rPr>
          <w:rFonts w:ascii="Arial" w:cs="Arial" w:eastAsia="Arial" w:hAnsi="Arial"/>
          <w:sz w:val="19"/>
          <w:szCs w:val="19"/>
          <w:color w:val="0C0C0C"/>
        </w:rPr>
        <w:t>u</w:t>
      </w:r>
      <w:r>
        <w:rPr>
          <w:rFonts w:ascii="Arial" w:cs="Arial" w:eastAsia="Arial" w:hAnsi="Arial"/>
          <w:sz w:val="19"/>
          <w:szCs w:val="19"/>
          <w:color w:val="363636"/>
        </w:rPr>
        <w:t>sage</w:t>
      </w:r>
      <w:r>
        <w:rPr>
          <w:rFonts w:ascii="Arial" w:cs="Arial" w:eastAsia="Arial" w:hAnsi="Arial"/>
          <w:sz w:val="19"/>
          <w:szCs w:val="19"/>
          <w:color w:val="000000"/>
        </w:rPr>
        <w:t xml:space="preserve"> information directly from </w:t>
      </w:r>
      <w:r>
        <w:rPr>
          <w:rFonts w:ascii="Arial" w:cs="Arial" w:eastAsia="Arial" w:hAnsi="Arial"/>
          <w:sz w:val="19"/>
          <w:szCs w:val="19"/>
          <w:color w:val="363636"/>
        </w:rPr>
        <w:t>t</w:t>
      </w:r>
      <w:r>
        <w:rPr>
          <w:rFonts w:ascii="Arial" w:cs="Arial" w:eastAsia="Arial" w:hAnsi="Arial"/>
          <w:sz w:val="19"/>
          <w:szCs w:val="19"/>
          <w:color w:val="0C0C0C"/>
        </w:rPr>
        <w:t>he</w:t>
      </w:r>
      <w:r>
        <w:rPr>
          <w:rFonts w:ascii="Arial" w:cs="Arial" w:eastAsia="Arial" w:hAnsi="Arial"/>
          <w:sz w:val="19"/>
          <w:szCs w:val="19"/>
          <w:color w:val="000000"/>
        </w:rPr>
        <w:t xml:space="preserve"> applicable </w:t>
      </w:r>
      <w:r>
        <w:rPr>
          <w:rFonts w:ascii="Arial" w:cs="Arial" w:eastAsia="Arial" w:hAnsi="Arial"/>
          <w:sz w:val="19"/>
          <w:szCs w:val="19"/>
          <w:color w:val="0C0C0C"/>
        </w:rPr>
        <w:t>utility</w:t>
      </w:r>
      <w:r>
        <w:rPr>
          <w:rFonts w:ascii="Arial" w:cs="Arial" w:eastAsia="Arial" w:hAnsi="Arial"/>
          <w:sz w:val="19"/>
          <w:szCs w:val="19"/>
          <w:color w:val="000000"/>
        </w:rPr>
        <w:t xml:space="preserve"> providers.</w:t>
      </w:r>
    </w:p>
    <w:p>
      <w:pPr>
        <w:spacing w:after="0" w:line="164" w:lineRule="exact"/>
        <w:rPr>
          <w:sz w:val="20"/>
          <w:szCs w:val="20"/>
          <w:color w:val="auto"/>
        </w:rPr>
      </w:pPr>
    </w:p>
    <w:p>
      <w:pPr>
        <w:ind w:left="660" w:hanging="652"/>
        <w:spacing w:after="0"/>
        <w:tabs>
          <w:tab w:leader="none" w:pos="660"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Alterations</w:t>
      </w:r>
      <w:r>
        <w:rPr>
          <w:rFonts w:ascii="Arial" w:cs="Arial" w:eastAsia="Arial" w:hAnsi="Arial"/>
          <w:sz w:val="22"/>
          <w:szCs w:val="22"/>
          <w:color w:val="auto"/>
        </w:rPr>
        <w:t>.</w:t>
      </w:r>
    </w:p>
    <w:p>
      <w:pPr>
        <w:spacing w:after="0" w:line="179" w:lineRule="exact"/>
        <w:rPr>
          <w:sz w:val="20"/>
          <w:szCs w:val="20"/>
          <w:color w:val="auto"/>
        </w:rPr>
      </w:pPr>
    </w:p>
    <w:p>
      <w:pPr>
        <w:jc w:val="both"/>
        <w:ind w:left="1300" w:firstLine="648"/>
        <w:spacing w:after="0" w:line="218" w:lineRule="auto"/>
        <w:rPr>
          <w:sz w:val="20"/>
          <w:szCs w:val="20"/>
          <w:color w:val="auto"/>
        </w:rPr>
      </w:pPr>
      <w:r>
        <w:rPr>
          <w:rFonts w:ascii="Arial" w:cs="Arial" w:eastAsia="Arial" w:hAnsi="Arial"/>
          <w:sz w:val="22"/>
          <w:szCs w:val="22"/>
          <w:color w:val="auto"/>
        </w:rPr>
        <w:t xml:space="preserve">17.1 Tenant </w:t>
      </w:r>
      <w:r>
        <w:rPr>
          <w:rFonts w:ascii="Arial" w:cs="Arial" w:eastAsia="Arial" w:hAnsi="Arial"/>
          <w:sz w:val="22"/>
          <w:szCs w:val="22"/>
          <w:color w:val="363636"/>
        </w:rPr>
        <w:t>sha</w:t>
      </w:r>
      <w:r>
        <w:rPr>
          <w:rFonts w:ascii="Arial" w:cs="Arial" w:eastAsia="Arial" w:hAnsi="Arial"/>
          <w:sz w:val="22"/>
          <w:szCs w:val="22"/>
          <w:color w:val="0C0C0C"/>
        </w:rPr>
        <w:t>ll</w:t>
      </w:r>
      <w:r>
        <w:rPr>
          <w:rFonts w:ascii="Arial" w:cs="Arial" w:eastAsia="Arial" w:hAnsi="Arial"/>
          <w:sz w:val="22"/>
          <w:szCs w:val="22"/>
          <w:color w:val="auto"/>
        </w:rPr>
        <w:t xml:space="preserve"> make no </w:t>
      </w:r>
      <w:r>
        <w:rPr>
          <w:rFonts w:ascii="Arial" w:cs="Arial" w:eastAsia="Arial" w:hAnsi="Arial"/>
          <w:sz w:val="22"/>
          <w:szCs w:val="22"/>
          <w:color w:val="363636"/>
        </w:rPr>
        <w:t>alterat</w:t>
      </w:r>
      <w:r>
        <w:rPr>
          <w:rFonts w:ascii="Arial" w:cs="Arial" w:eastAsia="Arial" w:hAnsi="Arial"/>
          <w:sz w:val="22"/>
          <w:szCs w:val="22"/>
          <w:color w:val="0C0C0C"/>
        </w:rPr>
        <w:t>ion</w:t>
      </w:r>
      <w:r>
        <w:rPr>
          <w:rFonts w:ascii="Arial" w:cs="Arial" w:eastAsia="Arial" w:hAnsi="Arial"/>
          <w:sz w:val="22"/>
          <w:szCs w:val="22"/>
          <w:color w:val="363636"/>
        </w:rPr>
        <w:t>s,</w:t>
      </w:r>
      <w:r>
        <w:rPr>
          <w:rFonts w:ascii="Arial" w:cs="Arial" w:eastAsia="Arial" w:hAnsi="Arial"/>
          <w:sz w:val="22"/>
          <w:szCs w:val="22"/>
          <w:color w:val="auto"/>
        </w:rPr>
        <w:t xml:space="preserve"> additions or improvements </w:t>
      </w:r>
      <w:r>
        <w:rPr>
          <w:rFonts w:ascii="Arial" w:cs="Arial" w:eastAsia="Arial" w:hAnsi="Arial"/>
          <w:sz w:val="22"/>
          <w:szCs w:val="22"/>
          <w:color w:val="363636"/>
        </w:rPr>
        <w:t>in</w:t>
      </w:r>
      <w:r>
        <w:rPr>
          <w:rFonts w:ascii="Arial" w:cs="Arial" w:eastAsia="Arial" w:hAnsi="Arial"/>
          <w:sz w:val="22"/>
          <w:szCs w:val="22"/>
          <w:color w:val="auto"/>
        </w:rPr>
        <w:t xml:space="preserve"> or </w:t>
      </w:r>
      <w:r>
        <w:rPr>
          <w:rFonts w:ascii="Arial" w:cs="Arial" w:eastAsia="Arial" w:hAnsi="Arial"/>
          <w:sz w:val="22"/>
          <w:szCs w:val="22"/>
          <w:color w:val="0C0C0C"/>
        </w:rPr>
        <w:t>to</w:t>
      </w:r>
      <w:r>
        <w:rPr>
          <w:rFonts w:ascii="Arial" w:cs="Arial" w:eastAsia="Arial" w:hAnsi="Arial"/>
          <w:sz w:val="22"/>
          <w:szCs w:val="22"/>
          <w:color w:val="auto"/>
        </w:rPr>
        <w:t xml:space="preserve"> the Premises or engage in any construction, demolition, </w:t>
      </w:r>
      <w:r>
        <w:rPr>
          <w:rFonts w:ascii="Arial" w:cs="Arial" w:eastAsia="Arial" w:hAnsi="Arial"/>
          <w:sz w:val="22"/>
          <w:szCs w:val="22"/>
          <w:color w:val="363636"/>
        </w:rPr>
        <w:t>recons</w:t>
      </w:r>
      <w:r>
        <w:rPr>
          <w:rFonts w:ascii="Arial" w:cs="Arial" w:eastAsia="Arial" w:hAnsi="Arial"/>
          <w:sz w:val="22"/>
          <w:szCs w:val="22"/>
          <w:color w:val="0C0C0C"/>
        </w:rPr>
        <w:t>truct</w:t>
      </w:r>
      <w:r>
        <w:rPr>
          <w:rFonts w:ascii="Arial" w:cs="Arial" w:eastAsia="Arial" w:hAnsi="Arial"/>
          <w:sz w:val="22"/>
          <w:szCs w:val="22"/>
          <w:color w:val="363636"/>
        </w:rPr>
        <w:t>ion, renovation,</w:t>
      </w:r>
      <w:r>
        <w:rPr>
          <w:rFonts w:ascii="Arial" w:cs="Arial" w:eastAsia="Arial" w:hAnsi="Arial"/>
          <w:sz w:val="22"/>
          <w:szCs w:val="22"/>
          <w:color w:val="auto"/>
        </w:rPr>
        <w:t xml:space="preserve"> or other </w:t>
      </w:r>
      <w:r>
        <w:rPr>
          <w:rFonts w:ascii="Arial" w:cs="Arial" w:eastAsia="Arial" w:hAnsi="Arial"/>
          <w:sz w:val="22"/>
          <w:szCs w:val="22"/>
          <w:color w:val="363636"/>
        </w:rPr>
        <w:t>work (w</w:t>
      </w:r>
      <w:r>
        <w:rPr>
          <w:rFonts w:ascii="Arial" w:cs="Arial" w:eastAsia="Arial" w:hAnsi="Arial"/>
          <w:sz w:val="22"/>
          <w:szCs w:val="22"/>
          <w:color w:val="0C0C0C"/>
        </w:rPr>
        <w:t>h</w:t>
      </w:r>
      <w:r>
        <w:rPr>
          <w:rFonts w:ascii="Arial" w:cs="Arial" w:eastAsia="Arial" w:hAnsi="Arial"/>
          <w:sz w:val="22"/>
          <w:szCs w:val="22"/>
          <w:color w:val="363636"/>
        </w:rPr>
        <w:t>ether</w:t>
      </w:r>
      <w:r>
        <w:rPr>
          <w:rFonts w:ascii="Arial" w:cs="Arial" w:eastAsia="Arial" w:hAnsi="Arial"/>
          <w:sz w:val="22"/>
          <w:szCs w:val="22"/>
          <w:color w:val="auto"/>
        </w:rPr>
        <w:t xml:space="preserve"> major or minor) of any kind in, </w:t>
      </w:r>
      <w:r>
        <w:rPr>
          <w:rFonts w:ascii="Arial" w:cs="Arial" w:eastAsia="Arial" w:hAnsi="Arial"/>
          <w:sz w:val="22"/>
          <w:szCs w:val="22"/>
          <w:color w:val="363636"/>
        </w:rPr>
        <w:t>at,</w:t>
      </w:r>
      <w:r>
        <w:rPr>
          <w:rFonts w:ascii="Arial" w:cs="Arial" w:eastAsia="Arial" w:hAnsi="Arial"/>
          <w:sz w:val="22"/>
          <w:szCs w:val="22"/>
          <w:color w:val="auto"/>
        </w:rPr>
        <w:t xml:space="preserve"> or </w:t>
      </w:r>
      <w:r>
        <w:rPr>
          <w:rFonts w:ascii="Arial" w:cs="Arial" w:eastAsia="Arial" w:hAnsi="Arial"/>
          <w:sz w:val="22"/>
          <w:szCs w:val="22"/>
          <w:color w:val="363636"/>
        </w:rPr>
        <w:t xml:space="preserve">serving </w:t>
      </w:r>
      <w:r>
        <w:rPr>
          <w:rFonts w:ascii="Arial" w:cs="Arial" w:eastAsia="Arial" w:hAnsi="Arial"/>
          <w:sz w:val="22"/>
          <w:szCs w:val="22"/>
          <w:color w:val="000000"/>
        </w:rPr>
        <w:t>the</w:t>
      </w:r>
      <w:r>
        <w:rPr>
          <w:rFonts w:ascii="Arial" w:cs="Arial" w:eastAsia="Arial" w:hAnsi="Arial"/>
          <w:sz w:val="22"/>
          <w:szCs w:val="22"/>
          <w:color w:val="363636"/>
        </w:rPr>
        <w:t xml:space="preserve"> </w:t>
      </w:r>
      <w:r>
        <w:rPr>
          <w:rFonts w:ascii="Arial" w:cs="Arial" w:eastAsia="Arial" w:hAnsi="Arial"/>
          <w:sz w:val="22"/>
          <w:szCs w:val="22"/>
          <w:color w:val="0C0C0C"/>
        </w:rPr>
        <w:t>Premi</w:t>
      </w:r>
      <w:r>
        <w:rPr>
          <w:rFonts w:ascii="Arial" w:cs="Arial" w:eastAsia="Arial" w:hAnsi="Arial"/>
          <w:sz w:val="22"/>
          <w:szCs w:val="22"/>
          <w:color w:val="363636"/>
        </w:rPr>
        <w:t xml:space="preserve">ses </w:t>
      </w:r>
      <w:r>
        <w:rPr>
          <w:rFonts w:ascii="Arial" w:cs="Arial" w:eastAsia="Arial" w:hAnsi="Arial"/>
          <w:sz w:val="22"/>
          <w:szCs w:val="22"/>
          <w:color w:val="000000"/>
        </w:rPr>
        <w:t>(“</w:t>
      </w:r>
      <w:r>
        <w:rPr>
          <w:rFonts w:ascii="Arial" w:cs="Arial" w:eastAsia="Arial" w:hAnsi="Arial"/>
          <w:sz w:val="22"/>
          <w:szCs w:val="22"/>
          <w:u w:val="single" w:color="auto"/>
          <w:color w:val="000000"/>
        </w:rPr>
        <w:t>Alterations</w:t>
      </w:r>
      <w:r>
        <w:rPr>
          <w:rFonts w:ascii="Arial" w:cs="Arial" w:eastAsia="Arial" w:hAnsi="Arial"/>
          <w:sz w:val="22"/>
          <w:szCs w:val="22"/>
          <w:color w:val="000000"/>
        </w:rPr>
        <w:t>”) without Landlord’s prior written approval, which approval Landlord</w:t>
      </w:r>
      <w:r>
        <w:rPr>
          <w:rFonts w:ascii="Arial" w:cs="Arial" w:eastAsia="Arial" w:hAnsi="Arial"/>
          <w:sz w:val="22"/>
          <w:szCs w:val="22"/>
          <w:color w:val="363636"/>
        </w:rPr>
        <w:t xml:space="preserve"> s</w:t>
      </w:r>
      <w:r>
        <w:rPr>
          <w:rFonts w:ascii="Arial" w:cs="Arial" w:eastAsia="Arial" w:hAnsi="Arial"/>
          <w:sz w:val="22"/>
          <w:szCs w:val="22"/>
          <w:color w:val="0C0C0C"/>
        </w:rPr>
        <w:t>h</w:t>
      </w:r>
      <w:r>
        <w:rPr>
          <w:rFonts w:ascii="Arial" w:cs="Arial" w:eastAsia="Arial" w:hAnsi="Arial"/>
          <w:sz w:val="22"/>
          <w:szCs w:val="22"/>
          <w:color w:val="363636"/>
        </w:rPr>
        <w:t xml:space="preserve">all </w:t>
      </w:r>
      <w:r>
        <w:rPr>
          <w:rFonts w:ascii="Arial" w:cs="Arial" w:eastAsia="Arial" w:hAnsi="Arial"/>
          <w:sz w:val="22"/>
          <w:szCs w:val="22"/>
          <w:color w:val="000000"/>
        </w:rPr>
        <w:t>not</w:t>
      </w:r>
      <w:r>
        <w:rPr>
          <w:rFonts w:ascii="Arial" w:cs="Arial" w:eastAsia="Arial" w:hAnsi="Arial"/>
          <w:sz w:val="22"/>
          <w:szCs w:val="22"/>
          <w:color w:val="363636"/>
        </w:rPr>
        <w:t xml:space="preserve"> </w:t>
      </w:r>
      <w:r>
        <w:rPr>
          <w:rFonts w:ascii="Arial" w:cs="Arial" w:eastAsia="Arial" w:hAnsi="Arial"/>
          <w:sz w:val="22"/>
          <w:szCs w:val="22"/>
          <w:color w:val="000000"/>
        </w:rPr>
        <w:t xml:space="preserve">unreasonably withheld, conditioned or </w:t>
      </w:r>
      <w:r>
        <w:rPr>
          <w:rFonts w:ascii="Arial" w:cs="Arial" w:eastAsia="Arial" w:hAnsi="Arial"/>
          <w:sz w:val="22"/>
          <w:szCs w:val="22"/>
          <w:color w:val="0C0C0C"/>
        </w:rPr>
        <w:t>delayed</w:t>
      </w:r>
      <w:r>
        <w:rPr>
          <w:rFonts w:ascii="Arial" w:cs="Arial" w:eastAsia="Arial" w:hAnsi="Arial"/>
          <w:sz w:val="22"/>
          <w:szCs w:val="22"/>
          <w:color w:val="363636"/>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1" w:right="339" w:bottom="1440" w:gutter="0" w:footer="0" w:header="0"/>
        </w:sectPr>
      </w:pPr>
    </w:p>
    <w:bookmarkStart w:id="339" w:name="page340"/>
    <w:bookmarkEnd w:id="339"/>
    <w:p>
      <w:pPr>
        <w:jc w:val="both"/>
        <w:ind w:left="180"/>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color w:val="0C0C0C"/>
        </w:rPr>
        <w:t>however</w:t>
      </w:r>
      <w:r>
        <w:rPr>
          <w:rFonts w:ascii="Arial" w:cs="Arial" w:eastAsia="Arial" w:hAnsi="Arial"/>
          <w:sz w:val="19"/>
          <w:szCs w:val="19"/>
          <w:color w:val="363636"/>
        </w:rPr>
        <w:t>,</w:t>
      </w:r>
      <w:r>
        <w:rPr>
          <w:rFonts w:ascii="Arial" w:cs="Arial" w:eastAsia="Arial" w:hAnsi="Arial"/>
          <w:sz w:val="19"/>
          <w:szCs w:val="19"/>
          <w:color w:val="auto"/>
        </w:rPr>
        <w:t xml:space="preserve"> that in </w:t>
      </w:r>
      <w:r>
        <w:rPr>
          <w:rFonts w:ascii="Arial" w:cs="Arial" w:eastAsia="Arial" w:hAnsi="Arial"/>
          <w:sz w:val="19"/>
          <w:szCs w:val="19"/>
          <w:color w:val="363636"/>
        </w:rPr>
        <w:t>t</w:t>
      </w:r>
      <w:r>
        <w:rPr>
          <w:rFonts w:ascii="Arial" w:cs="Arial" w:eastAsia="Arial" w:hAnsi="Arial"/>
          <w:sz w:val="19"/>
          <w:szCs w:val="19"/>
          <w:color w:val="0C0C0C"/>
        </w:rPr>
        <w:t>he</w:t>
      </w:r>
      <w:r>
        <w:rPr>
          <w:rFonts w:ascii="Arial" w:cs="Arial" w:eastAsia="Arial" w:hAnsi="Arial"/>
          <w:sz w:val="19"/>
          <w:szCs w:val="19"/>
          <w:color w:val="auto"/>
        </w:rPr>
        <w:t xml:space="preserve"> event any proposed Alteration affects (a) any </w:t>
      </w:r>
      <w:r>
        <w:rPr>
          <w:rFonts w:ascii="Arial" w:cs="Arial" w:eastAsia="Arial" w:hAnsi="Arial"/>
          <w:sz w:val="19"/>
          <w:szCs w:val="19"/>
          <w:color w:val="363636"/>
        </w:rPr>
        <w:t>s</w:t>
      </w:r>
      <w:r>
        <w:rPr>
          <w:rFonts w:ascii="Arial" w:cs="Arial" w:eastAsia="Arial" w:hAnsi="Arial"/>
          <w:sz w:val="19"/>
          <w:szCs w:val="19"/>
          <w:color w:val="0C0C0C"/>
        </w:rPr>
        <w:t>tructural</w:t>
      </w:r>
      <w:r>
        <w:rPr>
          <w:rFonts w:ascii="Arial" w:cs="Arial" w:eastAsia="Arial" w:hAnsi="Arial"/>
          <w:sz w:val="19"/>
          <w:szCs w:val="19"/>
          <w:color w:val="auto"/>
        </w:rPr>
        <w:t xml:space="preserve"> portions of the Building, including exterior walls, roof, foundation, foundation </w:t>
      </w:r>
      <w:r>
        <w:rPr>
          <w:rFonts w:ascii="Arial" w:cs="Arial" w:eastAsia="Arial" w:hAnsi="Arial"/>
          <w:sz w:val="19"/>
          <w:szCs w:val="19"/>
          <w:color w:val="363636"/>
        </w:rPr>
        <w:t>systems</w:t>
      </w:r>
      <w:r>
        <w:rPr>
          <w:rFonts w:ascii="Arial" w:cs="Arial" w:eastAsia="Arial" w:hAnsi="Arial"/>
          <w:sz w:val="19"/>
          <w:szCs w:val="19"/>
          <w:color w:val="auto"/>
        </w:rPr>
        <w:t xml:space="preserve"> (including barriers and </w:t>
      </w:r>
      <w:r>
        <w:rPr>
          <w:rFonts w:ascii="Arial" w:cs="Arial" w:eastAsia="Arial" w:hAnsi="Arial"/>
          <w:sz w:val="19"/>
          <w:szCs w:val="19"/>
          <w:color w:val="363636"/>
        </w:rPr>
        <w:t>subs</w:t>
      </w:r>
      <w:r>
        <w:rPr>
          <w:rFonts w:ascii="Arial" w:cs="Arial" w:eastAsia="Arial" w:hAnsi="Arial"/>
          <w:sz w:val="19"/>
          <w:szCs w:val="19"/>
          <w:color w:val="0C0C0C"/>
        </w:rPr>
        <w:t>lab</w:t>
      </w:r>
      <w:r>
        <w:rPr>
          <w:rFonts w:ascii="Arial" w:cs="Arial" w:eastAsia="Arial" w:hAnsi="Arial"/>
          <w:sz w:val="19"/>
          <w:szCs w:val="19"/>
          <w:color w:val="auto"/>
        </w:rPr>
        <w:t xml:space="preserve"> </w:t>
      </w:r>
      <w:r>
        <w:rPr>
          <w:rFonts w:ascii="Arial" w:cs="Arial" w:eastAsia="Arial" w:hAnsi="Arial"/>
          <w:sz w:val="19"/>
          <w:szCs w:val="19"/>
          <w:color w:val="363636"/>
        </w:rPr>
        <w:t>systems),</w:t>
      </w:r>
      <w:r>
        <w:rPr>
          <w:rFonts w:ascii="Arial" w:cs="Arial" w:eastAsia="Arial" w:hAnsi="Arial"/>
          <w:sz w:val="19"/>
          <w:szCs w:val="19"/>
          <w:color w:val="auto"/>
        </w:rPr>
        <w:t xml:space="preserve"> or core </w:t>
      </w:r>
      <w:r>
        <w:rPr>
          <w:rFonts w:ascii="Arial" w:cs="Arial" w:eastAsia="Arial" w:hAnsi="Arial"/>
          <w:sz w:val="19"/>
          <w:szCs w:val="19"/>
          <w:color w:val="363636"/>
        </w:rPr>
        <w:t>of</w:t>
      </w:r>
      <w:r>
        <w:rPr>
          <w:rFonts w:ascii="Arial" w:cs="Arial" w:eastAsia="Arial" w:hAnsi="Arial"/>
          <w:sz w:val="19"/>
          <w:szCs w:val="19"/>
          <w:color w:val="auto"/>
        </w:rPr>
        <w:t xml:space="preserve"> the Building, (b) the exterior of </w:t>
      </w:r>
      <w:r>
        <w:rPr>
          <w:rFonts w:ascii="Arial" w:cs="Arial" w:eastAsia="Arial" w:hAnsi="Arial"/>
          <w:sz w:val="19"/>
          <w:szCs w:val="19"/>
          <w:color w:val="0C0C0C"/>
        </w:rPr>
        <w:t>the</w:t>
      </w:r>
      <w:r>
        <w:rPr>
          <w:rFonts w:ascii="Arial" w:cs="Arial" w:eastAsia="Arial" w:hAnsi="Arial"/>
          <w:sz w:val="19"/>
          <w:szCs w:val="19"/>
          <w:color w:val="auto"/>
        </w:rPr>
        <w:t xml:space="preserve"> Building or (c) </w:t>
      </w:r>
      <w:r>
        <w:rPr>
          <w:rFonts w:ascii="Arial" w:cs="Arial" w:eastAsia="Arial" w:hAnsi="Arial"/>
          <w:sz w:val="19"/>
          <w:szCs w:val="19"/>
          <w:color w:val="363636"/>
        </w:rPr>
        <w:t>any</w:t>
      </w:r>
      <w:r>
        <w:rPr>
          <w:rFonts w:ascii="Arial" w:cs="Arial" w:eastAsia="Arial" w:hAnsi="Arial"/>
          <w:sz w:val="19"/>
          <w:szCs w:val="19"/>
          <w:color w:val="auto"/>
        </w:rPr>
        <w:t xml:space="preserve"> Building </w:t>
      </w:r>
      <w:r>
        <w:rPr>
          <w:rFonts w:ascii="Arial" w:cs="Arial" w:eastAsia="Arial" w:hAnsi="Arial"/>
          <w:sz w:val="19"/>
          <w:szCs w:val="19"/>
          <w:color w:val="363636"/>
        </w:rPr>
        <w:t>syste</w:t>
      </w:r>
      <w:r>
        <w:rPr>
          <w:rFonts w:ascii="Arial" w:cs="Arial" w:eastAsia="Arial" w:hAnsi="Arial"/>
          <w:sz w:val="19"/>
          <w:szCs w:val="19"/>
          <w:color w:val="0C0C0C"/>
        </w:rPr>
        <w:t>m</w:t>
      </w:r>
      <w:r>
        <w:rPr>
          <w:rFonts w:ascii="Arial" w:cs="Arial" w:eastAsia="Arial" w:hAnsi="Arial"/>
          <w:sz w:val="19"/>
          <w:szCs w:val="19"/>
          <w:color w:val="363636"/>
        </w:rPr>
        <w:t>s, i</w:t>
      </w:r>
      <w:r>
        <w:rPr>
          <w:rFonts w:ascii="Arial" w:cs="Arial" w:eastAsia="Arial" w:hAnsi="Arial"/>
          <w:sz w:val="19"/>
          <w:szCs w:val="19"/>
          <w:color w:val="0C0C0C"/>
        </w:rPr>
        <w:t>ncluding</w:t>
      </w:r>
      <w:r>
        <w:rPr>
          <w:rFonts w:ascii="Arial" w:cs="Arial" w:eastAsia="Arial" w:hAnsi="Arial"/>
          <w:sz w:val="19"/>
          <w:szCs w:val="19"/>
          <w:color w:val="auto"/>
        </w:rPr>
        <w:t xml:space="preserve"> elevator, </w:t>
      </w:r>
      <w:r>
        <w:rPr>
          <w:rFonts w:ascii="Arial" w:cs="Arial" w:eastAsia="Arial" w:hAnsi="Arial"/>
          <w:sz w:val="19"/>
          <w:szCs w:val="19"/>
          <w:color w:val="0C0C0C"/>
        </w:rPr>
        <w:t>plumbing,</w:t>
      </w:r>
      <w:r>
        <w:rPr>
          <w:rFonts w:ascii="Arial" w:cs="Arial" w:eastAsia="Arial" w:hAnsi="Arial"/>
          <w:sz w:val="19"/>
          <w:szCs w:val="19"/>
          <w:color w:val="auto"/>
        </w:rPr>
        <w:t xml:space="preserve"> </w:t>
      </w:r>
      <w:r>
        <w:rPr>
          <w:rFonts w:ascii="Arial" w:cs="Arial" w:eastAsia="Arial" w:hAnsi="Arial"/>
          <w:sz w:val="19"/>
          <w:szCs w:val="19"/>
          <w:color w:val="363636"/>
        </w:rPr>
        <w:t>air</w:t>
      </w:r>
      <w:r>
        <w:rPr>
          <w:rFonts w:ascii="Arial" w:cs="Arial" w:eastAsia="Arial" w:hAnsi="Arial"/>
          <w:sz w:val="19"/>
          <w:szCs w:val="19"/>
          <w:color w:val="auto"/>
        </w:rPr>
        <w:t xml:space="preserve"> conditioning, heating, electrical, </w:t>
      </w:r>
      <w:r>
        <w:rPr>
          <w:rFonts w:ascii="Arial" w:cs="Arial" w:eastAsia="Arial" w:hAnsi="Arial"/>
          <w:sz w:val="19"/>
          <w:szCs w:val="19"/>
          <w:color w:val="363636"/>
        </w:rPr>
        <w:t>security,</w:t>
      </w:r>
      <w:r>
        <w:rPr>
          <w:rFonts w:ascii="Arial" w:cs="Arial" w:eastAsia="Arial" w:hAnsi="Arial"/>
          <w:sz w:val="19"/>
          <w:szCs w:val="19"/>
          <w:color w:val="auto"/>
        </w:rPr>
        <w:t xml:space="preserve"> </w:t>
      </w:r>
      <w:r>
        <w:rPr>
          <w:rFonts w:ascii="Arial" w:cs="Arial" w:eastAsia="Arial" w:hAnsi="Arial"/>
          <w:sz w:val="19"/>
          <w:szCs w:val="19"/>
          <w:color w:val="0C0C0C"/>
        </w:rPr>
        <w:t>l</w:t>
      </w:r>
      <w:r>
        <w:rPr>
          <w:rFonts w:ascii="Arial" w:cs="Arial" w:eastAsia="Arial" w:hAnsi="Arial"/>
          <w:sz w:val="19"/>
          <w:szCs w:val="19"/>
          <w:color w:val="363636"/>
        </w:rPr>
        <w:t>i</w:t>
      </w:r>
      <w:r>
        <w:rPr>
          <w:rFonts w:ascii="Arial" w:cs="Arial" w:eastAsia="Arial" w:hAnsi="Arial"/>
          <w:sz w:val="19"/>
          <w:szCs w:val="19"/>
          <w:color w:val="0C0C0C"/>
        </w:rPr>
        <w:t>fe</w:t>
      </w:r>
      <w:r>
        <w:rPr>
          <w:rFonts w:ascii="Arial" w:cs="Arial" w:eastAsia="Arial" w:hAnsi="Arial"/>
          <w:sz w:val="19"/>
          <w:szCs w:val="19"/>
          <w:color w:val="auto"/>
        </w:rPr>
        <w:t xml:space="preserve"> </w:t>
      </w:r>
      <w:r>
        <w:rPr>
          <w:rFonts w:ascii="Arial" w:cs="Arial" w:eastAsia="Arial" w:hAnsi="Arial"/>
          <w:sz w:val="19"/>
          <w:szCs w:val="19"/>
          <w:color w:val="363636"/>
        </w:rPr>
        <w:t>safety</w:t>
      </w:r>
      <w:r>
        <w:rPr>
          <w:rFonts w:ascii="Arial" w:cs="Arial" w:eastAsia="Arial" w:hAnsi="Arial"/>
          <w:sz w:val="19"/>
          <w:szCs w:val="19"/>
          <w:color w:val="auto"/>
        </w:rPr>
        <w:t xml:space="preserve"> and power, then Landlord </w:t>
      </w:r>
      <w:r>
        <w:rPr>
          <w:rFonts w:ascii="Arial" w:cs="Arial" w:eastAsia="Arial" w:hAnsi="Arial"/>
          <w:sz w:val="19"/>
          <w:szCs w:val="19"/>
          <w:color w:val="0C0C0C"/>
        </w:rPr>
        <w:t>may</w:t>
      </w:r>
      <w:r>
        <w:rPr>
          <w:rFonts w:ascii="Arial" w:cs="Arial" w:eastAsia="Arial" w:hAnsi="Arial"/>
          <w:sz w:val="19"/>
          <w:szCs w:val="19"/>
          <w:color w:val="auto"/>
        </w:rPr>
        <w:t xml:space="preserve"> withhold its approval with </w:t>
      </w:r>
      <w:r>
        <w:rPr>
          <w:rFonts w:ascii="Arial" w:cs="Arial" w:eastAsia="Arial" w:hAnsi="Arial"/>
          <w:sz w:val="19"/>
          <w:szCs w:val="19"/>
          <w:color w:val="363636"/>
        </w:rPr>
        <w:t xml:space="preserve">respect </w:t>
      </w:r>
      <w:r>
        <w:rPr>
          <w:rFonts w:ascii="Arial" w:cs="Arial" w:eastAsia="Arial" w:hAnsi="Arial"/>
          <w:sz w:val="19"/>
          <w:szCs w:val="19"/>
          <w:color w:val="000000"/>
        </w:rPr>
        <w:t>thereto in</w:t>
      </w:r>
      <w:r>
        <w:rPr>
          <w:rFonts w:ascii="Arial" w:cs="Arial" w:eastAsia="Arial" w:hAnsi="Arial"/>
          <w:sz w:val="19"/>
          <w:szCs w:val="19"/>
          <w:color w:val="363636"/>
        </w:rPr>
        <w:t xml:space="preserve"> </w:t>
      </w:r>
      <w:r>
        <w:rPr>
          <w:rFonts w:ascii="Arial" w:cs="Arial" w:eastAsia="Arial" w:hAnsi="Arial"/>
          <w:sz w:val="19"/>
          <w:szCs w:val="19"/>
          <w:color w:val="0C0C0C"/>
        </w:rPr>
        <w:t>i</w:t>
      </w:r>
      <w:r>
        <w:rPr>
          <w:rFonts w:ascii="Arial" w:cs="Arial" w:eastAsia="Arial" w:hAnsi="Arial"/>
          <w:sz w:val="19"/>
          <w:szCs w:val="19"/>
          <w:color w:val="363636"/>
        </w:rPr>
        <w:t xml:space="preserve">ts </w:t>
      </w:r>
      <w:r>
        <w:rPr>
          <w:rFonts w:ascii="Arial" w:cs="Arial" w:eastAsia="Arial" w:hAnsi="Arial"/>
          <w:sz w:val="19"/>
          <w:szCs w:val="19"/>
          <w:color w:val="000000"/>
        </w:rPr>
        <w:t>sole and</w:t>
      </w:r>
      <w:r>
        <w:rPr>
          <w:rFonts w:ascii="Arial" w:cs="Arial" w:eastAsia="Arial" w:hAnsi="Arial"/>
          <w:sz w:val="19"/>
          <w:szCs w:val="19"/>
          <w:color w:val="363636"/>
        </w:rPr>
        <w:t xml:space="preserve"> </w:t>
      </w:r>
      <w:r>
        <w:rPr>
          <w:rFonts w:ascii="Arial" w:cs="Arial" w:eastAsia="Arial" w:hAnsi="Arial"/>
          <w:sz w:val="19"/>
          <w:szCs w:val="19"/>
          <w:color w:val="262626"/>
        </w:rPr>
        <w:t>absolute</w:t>
      </w:r>
      <w:r>
        <w:rPr>
          <w:rFonts w:ascii="Arial" w:cs="Arial" w:eastAsia="Arial" w:hAnsi="Arial"/>
          <w:sz w:val="19"/>
          <w:szCs w:val="19"/>
          <w:color w:val="363636"/>
        </w:rPr>
        <w:t xml:space="preserve"> </w:t>
      </w:r>
      <w:r>
        <w:rPr>
          <w:rFonts w:ascii="Arial" w:cs="Arial" w:eastAsia="Arial" w:hAnsi="Arial"/>
          <w:sz w:val="19"/>
          <w:szCs w:val="19"/>
          <w:color w:val="161616"/>
        </w:rPr>
        <w:t>discretion.</w:t>
      </w:r>
      <w:r>
        <w:rPr>
          <w:rFonts w:ascii="Arial" w:cs="Arial" w:eastAsia="Arial" w:hAnsi="Arial"/>
          <w:sz w:val="19"/>
          <w:szCs w:val="19"/>
          <w:color w:val="363636"/>
        </w:rPr>
        <w:t xml:space="preserve"> </w:t>
      </w:r>
      <w:r>
        <w:rPr>
          <w:rFonts w:ascii="Arial" w:cs="Arial" w:eastAsia="Arial" w:hAnsi="Arial"/>
          <w:sz w:val="19"/>
          <w:szCs w:val="19"/>
          <w:color w:val="262626"/>
        </w:rPr>
        <w:t>Tenant shall,</w:t>
      </w:r>
      <w:r>
        <w:rPr>
          <w:rFonts w:ascii="Arial" w:cs="Arial" w:eastAsia="Arial" w:hAnsi="Arial"/>
          <w:sz w:val="19"/>
          <w:szCs w:val="19"/>
          <w:color w:val="363636"/>
        </w:rPr>
        <w:t xml:space="preserve"> </w:t>
      </w:r>
      <w:r>
        <w:rPr>
          <w:rFonts w:ascii="Arial" w:cs="Arial" w:eastAsia="Arial" w:hAnsi="Arial"/>
          <w:sz w:val="19"/>
          <w:szCs w:val="19"/>
          <w:color w:val="161616"/>
        </w:rPr>
        <w:t>in making any</w:t>
      </w:r>
      <w:r>
        <w:rPr>
          <w:rFonts w:ascii="Arial" w:cs="Arial" w:eastAsia="Arial" w:hAnsi="Arial"/>
          <w:sz w:val="19"/>
          <w:szCs w:val="19"/>
          <w:color w:val="363636"/>
        </w:rPr>
        <w:t xml:space="preserve"> </w:t>
      </w:r>
      <w:r>
        <w:rPr>
          <w:rFonts w:ascii="Arial" w:cs="Arial" w:eastAsia="Arial" w:hAnsi="Arial"/>
          <w:sz w:val="19"/>
          <w:szCs w:val="19"/>
          <w:color w:val="262626"/>
        </w:rPr>
        <w:t>such Alterations,</w:t>
      </w:r>
      <w:r>
        <w:rPr>
          <w:rFonts w:ascii="Arial" w:cs="Arial" w:eastAsia="Arial" w:hAnsi="Arial"/>
          <w:sz w:val="19"/>
          <w:szCs w:val="19"/>
          <w:color w:val="363636"/>
        </w:rPr>
        <w:t xml:space="preserve"> </w:t>
      </w:r>
      <w:r>
        <w:rPr>
          <w:rFonts w:ascii="Arial" w:cs="Arial" w:eastAsia="Arial" w:hAnsi="Arial"/>
          <w:sz w:val="19"/>
          <w:szCs w:val="19"/>
          <w:color w:val="161616"/>
        </w:rPr>
        <w:t>use</w:t>
      </w:r>
      <w:r>
        <w:rPr>
          <w:rFonts w:ascii="Arial" w:cs="Arial" w:eastAsia="Arial" w:hAnsi="Arial"/>
          <w:sz w:val="19"/>
          <w:szCs w:val="19"/>
          <w:color w:val="363636"/>
        </w:rPr>
        <w:t xml:space="preserve"> </w:t>
      </w:r>
      <w:r>
        <w:rPr>
          <w:rFonts w:ascii="Arial" w:cs="Arial" w:eastAsia="Arial" w:hAnsi="Arial"/>
          <w:sz w:val="19"/>
          <w:szCs w:val="19"/>
          <w:color w:val="262626"/>
        </w:rPr>
        <w:t>only</w:t>
      </w:r>
      <w:r>
        <w:rPr>
          <w:rFonts w:ascii="Arial" w:cs="Arial" w:eastAsia="Arial" w:hAnsi="Arial"/>
          <w:sz w:val="19"/>
          <w:szCs w:val="19"/>
          <w:color w:val="363636"/>
        </w:rPr>
        <w:t xml:space="preserve"> </w:t>
      </w:r>
      <w:r>
        <w:rPr>
          <w:rFonts w:ascii="Arial" w:cs="Arial" w:eastAsia="Arial" w:hAnsi="Arial"/>
          <w:sz w:val="19"/>
          <w:szCs w:val="19"/>
          <w:color w:val="161616"/>
        </w:rPr>
        <w:t>those</w:t>
      </w:r>
      <w:r>
        <w:rPr>
          <w:rFonts w:ascii="Arial" w:cs="Arial" w:eastAsia="Arial" w:hAnsi="Arial"/>
          <w:sz w:val="19"/>
          <w:szCs w:val="19"/>
          <w:color w:val="363636"/>
        </w:rPr>
        <w:t xml:space="preserve"> </w:t>
      </w:r>
      <w:r>
        <w:rPr>
          <w:rFonts w:ascii="Arial" w:cs="Arial" w:eastAsia="Arial" w:hAnsi="Arial"/>
          <w:sz w:val="19"/>
          <w:szCs w:val="19"/>
          <w:color w:val="262626"/>
        </w:rPr>
        <w:t xml:space="preserve">architects, contractors, suppliers and mechanics </w:t>
      </w:r>
      <w:r>
        <w:rPr>
          <w:rFonts w:ascii="Arial" w:cs="Arial" w:eastAsia="Arial" w:hAnsi="Arial"/>
          <w:sz w:val="19"/>
          <w:szCs w:val="19"/>
          <w:color w:val="161616"/>
        </w:rPr>
        <w:t>of</w:t>
      </w:r>
      <w:r>
        <w:rPr>
          <w:rFonts w:ascii="Arial" w:cs="Arial" w:eastAsia="Arial" w:hAnsi="Arial"/>
          <w:sz w:val="19"/>
          <w:szCs w:val="19"/>
          <w:color w:val="262626"/>
        </w:rPr>
        <w:t xml:space="preserve"> which </w:t>
      </w:r>
      <w:r>
        <w:rPr>
          <w:rFonts w:ascii="Arial" w:cs="Arial" w:eastAsia="Arial" w:hAnsi="Arial"/>
          <w:sz w:val="19"/>
          <w:szCs w:val="19"/>
          <w:color w:val="161616"/>
        </w:rPr>
        <w:t>Landlord has</w:t>
      </w:r>
      <w:r>
        <w:rPr>
          <w:rFonts w:ascii="Arial" w:cs="Arial" w:eastAsia="Arial" w:hAnsi="Arial"/>
          <w:sz w:val="19"/>
          <w:szCs w:val="19"/>
          <w:color w:val="262626"/>
        </w:rPr>
        <w:t xml:space="preserve"> given </w:t>
      </w:r>
      <w:r>
        <w:rPr>
          <w:rFonts w:ascii="Arial" w:cs="Arial" w:eastAsia="Arial" w:hAnsi="Arial"/>
          <w:sz w:val="19"/>
          <w:szCs w:val="19"/>
          <w:color w:val="161616"/>
        </w:rPr>
        <w:t>prior written approval, which</w:t>
      </w:r>
      <w:r>
        <w:rPr>
          <w:rFonts w:ascii="Arial" w:cs="Arial" w:eastAsia="Arial" w:hAnsi="Arial"/>
          <w:sz w:val="19"/>
          <w:szCs w:val="19"/>
          <w:color w:val="262626"/>
        </w:rPr>
        <w:t xml:space="preserve"> approval shall </w:t>
      </w:r>
      <w:r>
        <w:rPr>
          <w:rFonts w:ascii="Arial" w:cs="Arial" w:eastAsia="Arial" w:hAnsi="Arial"/>
          <w:sz w:val="19"/>
          <w:szCs w:val="19"/>
          <w:color w:val="161616"/>
        </w:rPr>
        <w:t>not be</w:t>
      </w:r>
      <w:r>
        <w:rPr>
          <w:rFonts w:ascii="Arial" w:cs="Arial" w:eastAsia="Arial" w:hAnsi="Arial"/>
          <w:sz w:val="19"/>
          <w:szCs w:val="19"/>
          <w:color w:val="262626"/>
        </w:rPr>
        <w:t xml:space="preserve"> unreasonably </w:t>
      </w:r>
      <w:r>
        <w:rPr>
          <w:rFonts w:ascii="Arial" w:cs="Arial" w:eastAsia="Arial" w:hAnsi="Arial"/>
          <w:sz w:val="19"/>
          <w:szCs w:val="19"/>
          <w:color w:val="363636"/>
        </w:rPr>
        <w:t>withheld,</w:t>
      </w:r>
      <w:r>
        <w:rPr>
          <w:rFonts w:ascii="Arial" w:cs="Arial" w:eastAsia="Arial" w:hAnsi="Arial"/>
          <w:sz w:val="19"/>
          <w:szCs w:val="19"/>
          <w:color w:val="262626"/>
        </w:rPr>
        <w:t xml:space="preserve"> conditioned or delayed. </w:t>
      </w:r>
      <w:r>
        <w:rPr>
          <w:rFonts w:ascii="Arial" w:cs="Arial" w:eastAsia="Arial" w:hAnsi="Arial"/>
          <w:sz w:val="19"/>
          <w:szCs w:val="19"/>
          <w:color w:val="161616"/>
        </w:rPr>
        <w:t>In</w:t>
      </w:r>
      <w:r>
        <w:rPr>
          <w:rFonts w:ascii="Arial" w:cs="Arial" w:eastAsia="Arial" w:hAnsi="Arial"/>
          <w:sz w:val="19"/>
          <w:szCs w:val="19"/>
          <w:color w:val="262626"/>
        </w:rPr>
        <w:t xml:space="preserve"> </w:t>
      </w:r>
      <w:r>
        <w:rPr>
          <w:rFonts w:ascii="Arial" w:cs="Arial" w:eastAsia="Arial" w:hAnsi="Arial"/>
          <w:sz w:val="19"/>
          <w:szCs w:val="19"/>
          <w:color w:val="363636"/>
        </w:rPr>
        <w:t>seeking</w:t>
      </w:r>
      <w:r>
        <w:rPr>
          <w:rFonts w:ascii="Arial" w:cs="Arial" w:eastAsia="Arial" w:hAnsi="Arial"/>
          <w:sz w:val="19"/>
          <w:szCs w:val="19"/>
          <w:color w:val="262626"/>
        </w:rPr>
        <w:t xml:space="preserve"> </w:t>
      </w:r>
      <w:r>
        <w:rPr>
          <w:rFonts w:ascii="Arial" w:cs="Arial" w:eastAsia="Arial" w:hAnsi="Arial"/>
          <w:sz w:val="19"/>
          <w:szCs w:val="19"/>
          <w:color w:val="161616"/>
        </w:rPr>
        <w:t>Landlord’s</w:t>
      </w:r>
      <w:r>
        <w:rPr>
          <w:rFonts w:ascii="Arial" w:cs="Arial" w:eastAsia="Arial" w:hAnsi="Arial"/>
          <w:sz w:val="19"/>
          <w:szCs w:val="19"/>
          <w:color w:val="262626"/>
        </w:rPr>
        <w:t xml:space="preserve"> approval, </w:t>
      </w:r>
      <w:r>
        <w:rPr>
          <w:rFonts w:ascii="Arial" w:cs="Arial" w:eastAsia="Arial" w:hAnsi="Arial"/>
          <w:sz w:val="19"/>
          <w:szCs w:val="19"/>
          <w:color w:val="161616"/>
        </w:rPr>
        <w:t>Tenant</w:t>
      </w:r>
      <w:r>
        <w:rPr>
          <w:rFonts w:ascii="Arial" w:cs="Arial" w:eastAsia="Arial" w:hAnsi="Arial"/>
          <w:sz w:val="19"/>
          <w:szCs w:val="19"/>
          <w:color w:val="262626"/>
        </w:rPr>
        <w:t xml:space="preserve"> </w:t>
      </w:r>
      <w:r>
        <w:rPr>
          <w:rFonts w:ascii="Arial" w:cs="Arial" w:eastAsia="Arial" w:hAnsi="Arial"/>
          <w:sz w:val="19"/>
          <w:szCs w:val="19"/>
          <w:color w:val="363636"/>
        </w:rPr>
        <w:t>shall</w:t>
      </w:r>
      <w:r>
        <w:rPr>
          <w:rFonts w:ascii="Arial" w:cs="Arial" w:eastAsia="Arial" w:hAnsi="Arial"/>
          <w:sz w:val="19"/>
          <w:szCs w:val="19"/>
          <w:color w:val="262626"/>
        </w:rPr>
        <w:t xml:space="preserve"> </w:t>
      </w:r>
      <w:r>
        <w:rPr>
          <w:rFonts w:ascii="Arial" w:cs="Arial" w:eastAsia="Arial" w:hAnsi="Arial"/>
          <w:sz w:val="19"/>
          <w:szCs w:val="19"/>
          <w:color w:val="161616"/>
        </w:rPr>
        <w:t xml:space="preserve">provide Landlord, </w:t>
      </w:r>
      <w:r>
        <w:rPr>
          <w:rFonts w:ascii="Arial" w:cs="Arial" w:eastAsia="Arial" w:hAnsi="Arial"/>
          <w:sz w:val="19"/>
          <w:szCs w:val="19"/>
          <w:color w:val="262626"/>
        </w:rPr>
        <w:t>at</w:t>
      </w:r>
      <w:r>
        <w:rPr>
          <w:rFonts w:ascii="Arial" w:cs="Arial" w:eastAsia="Arial" w:hAnsi="Arial"/>
          <w:sz w:val="19"/>
          <w:szCs w:val="19"/>
          <w:color w:val="161616"/>
        </w:rPr>
        <w:t xml:space="preserve"> </w:t>
      </w:r>
      <w:r>
        <w:rPr>
          <w:rFonts w:ascii="Arial" w:cs="Arial" w:eastAsia="Arial" w:hAnsi="Arial"/>
          <w:sz w:val="19"/>
          <w:szCs w:val="19"/>
          <w:color w:val="050505"/>
        </w:rPr>
        <w:t>least</w:t>
      </w:r>
      <w:r>
        <w:rPr>
          <w:rFonts w:ascii="Arial" w:cs="Arial" w:eastAsia="Arial" w:hAnsi="Arial"/>
          <w:sz w:val="19"/>
          <w:szCs w:val="19"/>
          <w:color w:val="161616"/>
        </w:rPr>
        <w:t xml:space="preserve"> fourteen </w:t>
      </w:r>
      <w:r>
        <w:rPr>
          <w:rFonts w:ascii="Arial" w:cs="Arial" w:eastAsia="Arial" w:hAnsi="Arial"/>
          <w:sz w:val="19"/>
          <w:szCs w:val="19"/>
          <w:color w:val="262626"/>
        </w:rPr>
        <w:t>(14)</w:t>
      </w:r>
      <w:r>
        <w:rPr>
          <w:rFonts w:ascii="Arial" w:cs="Arial" w:eastAsia="Arial" w:hAnsi="Arial"/>
          <w:sz w:val="19"/>
          <w:szCs w:val="19"/>
          <w:color w:val="161616"/>
        </w:rPr>
        <w:t xml:space="preserve"> days in </w:t>
      </w:r>
      <w:r>
        <w:rPr>
          <w:rFonts w:ascii="Arial" w:cs="Arial" w:eastAsia="Arial" w:hAnsi="Arial"/>
          <w:sz w:val="19"/>
          <w:szCs w:val="19"/>
          <w:color w:val="262626"/>
        </w:rPr>
        <w:t>advance</w:t>
      </w:r>
      <w:r>
        <w:rPr>
          <w:rFonts w:ascii="Arial" w:cs="Arial" w:eastAsia="Arial" w:hAnsi="Arial"/>
          <w:sz w:val="19"/>
          <w:szCs w:val="19"/>
          <w:color w:val="161616"/>
        </w:rPr>
        <w:t xml:space="preserve"> of any proposed </w:t>
      </w:r>
      <w:r>
        <w:rPr>
          <w:rFonts w:ascii="Arial" w:cs="Arial" w:eastAsia="Arial" w:hAnsi="Arial"/>
          <w:sz w:val="19"/>
          <w:szCs w:val="19"/>
          <w:color w:val="262626"/>
        </w:rPr>
        <w:t>construction, with plans, specifications,</w:t>
      </w:r>
      <w:r>
        <w:rPr>
          <w:rFonts w:ascii="Arial" w:cs="Arial" w:eastAsia="Arial" w:hAnsi="Arial"/>
          <w:sz w:val="19"/>
          <w:szCs w:val="19"/>
          <w:color w:val="161616"/>
        </w:rPr>
        <w:t xml:space="preserve"> bid proposals, </w:t>
      </w:r>
      <w:r>
        <w:rPr>
          <w:rFonts w:ascii="Arial" w:cs="Arial" w:eastAsia="Arial" w:hAnsi="Arial"/>
          <w:sz w:val="19"/>
          <w:szCs w:val="19"/>
          <w:color w:val="262626"/>
        </w:rPr>
        <w:t>certified</w:t>
      </w:r>
      <w:r>
        <w:rPr>
          <w:rFonts w:ascii="Arial" w:cs="Arial" w:eastAsia="Arial" w:hAnsi="Arial"/>
          <w:sz w:val="19"/>
          <w:szCs w:val="19"/>
          <w:color w:val="161616"/>
        </w:rPr>
        <w:t xml:space="preserve"> </w:t>
      </w:r>
      <w:r>
        <w:rPr>
          <w:rFonts w:ascii="Arial" w:cs="Arial" w:eastAsia="Arial" w:hAnsi="Arial"/>
          <w:sz w:val="19"/>
          <w:szCs w:val="19"/>
          <w:color w:val="363636"/>
        </w:rPr>
        <w:t>stamped</w:t>
      </w:r>
      <w:r>
        <w:rPr>
          <w:rFonts w:ascii="Arial" w:cs="Arial" w:eastAsia="Arial" w:hAnsi="Arial"/>
          <w:sz w:val="19"/>
          <w:szCs w:val="19"/>
          <w:color w:val="161616"/>
        </w:rPr>
        <w:t xml:space="preserve"> </w:t>
      </w:r>
      <w:r>
        <w:rPr>
          <w:rFonts w:ascii="Arial" w:cs="Arial" w:eastAsia="Arial" w:hAnsi="Arial"/>
          <w:sz w:val="19"/>
          <w:szCs w:val="19"/>
          <w:color w:val="262626"/>
        </w:rPr>
        <w:t>engineering</w:t>
      </w:r>
      <w:r>
        <w:rPr>
          <w:rFonts w:ascii="Arial" w:cs="Arial" w:eastAsia="Arial" w:hAnsi="Arial"/>
          <w:sz w:val="19"/>
          <w:szCs w:val="19"/>
          <w:color w:val="161616"/>
        </w:rPr>
        <w:t xml:space="preserve"> drawings </w:t>
      </w:r>
      <w:r>
        <w:rPr>
          <w:rFonts w:ascii="Arial" w:cs="Arial" w:eastAsia="Arial" w:hAnsi="Arial"/>
          <w:sz w:val="19"/>
          <w:szCs w:val="19"/>
          <w:color w:val="262626"/>
        </w:rPr>
        <w:t>and</w:t>
      </w:r>
      <w:r>
        <w:rPr>
          <w:rFonts w:ascii="Arial" w:cs="Arial" w:eastAsia="Arial" w:hAnsi="Arial"/>
          <w:sz w:val="19"/>
          <w:szCs w:val="19"/>
          <w:color w:val="161616"/>
        </w:rPr>
        <w:t xml:space="preserve"> calculations </w:t>
      </w:r>
      <w:r>
        <w:rPr>
          <w:rFonts w:ascii="Arial" w:cs="Arial" w:eastAsia="Arial" w:hAnsi="Arial"/>
          <w:sz w:val="19"/>
          <w:szCs w:val="19"/>
          <w:color w:val="262626"/>
        </w:rPr>
        <w:t>by</w:t>
      </w:r>
      <w:r>
        <w:rPr>
          <w:rFonts w:ascii="Arial" w:cs="Arial" w:eastAsia="Arial" w:hAnsi="Arial"/>
          <w:sz w:val="19"/>
          <w:szCs w:val="19"/>
          <w:color w:val="161616"/>
        </w:rPr>
        <w:t xml:space="preserve"> Tenant’s </w:t>
      </w:r>
      <w:r>
        <w:rPr>
          <w:rFonts w:ascii="Arial" w:cs="Arial" w:eastAsia="Arial" w:hAnsi="Arial"/>
          <w:sz w:val="19"/>
          <w:szCs w:val="19"/>
          <w:color w:val="262626"/>
        </w:rPr>
        <w:t>engineer</w:t>
      </w:r>
      <w:r>
        <w:rPr>
          <w:rFonts w:ascii="Arial" w:cs="Arial" w:eastAsia="Arial" w:hAnsi="Arial"/>
          <w:sz w:val="19"/>
          <w:szCs w:val="19"/>
          <w:color w:val="161616"/>
        </w:rPr>
        <w:t xml:space="preserve"> of </w:t>
      </w:r>
      <w:r>
        <w:rPr>
          <w:rFonts w:ascii="Arial" w:cs="Arial" w:eastAsia="Arial" w:hAnsi="Arial"/>
          <w:sz w:val="19"/>
          <w:szCs w:val="19"/>
          <w:color w:val="262626"/>
        </w:rPr>
        <w:t>record</w:t>
      </w:r>
      <w:r>
        <w:rPr>
          <w:rFonts w:ascii="Arial" w:cs="Arial" w:eastAsia="Arial" w:hAnsi="Arial"/>
          <w:sz w:val="19"/>
          <w:szCs w:val="19"/>
          <w:color w:val="161616"/>
        </w:rPr>
        <w:t xml:space="preserve"> or </w:t>
      </w:r>
      <w:r>
        <w:rPr>
          <w:rFonts w:ascii="Arial" w:cs="Arial" w:eastAsia="Arial" w:hAnsi="Arial"/>
          <w:sz w:val="19"/>
          <w:szCs w:val="19"/>
          <w:color w:val="262626"/>
        </w:rPr>
        <w:t>architect</w:t>
      </w:r>
      <w:r>
        <w:rPr>
          <w:rFonts w:ascii="Arial" w:cs="Arial" w:eastAsia="Arial" w:hAnsi="Arial"/>
          <w:sz w:val="19"/>
          <w:szCs w:val="19"/>
          <w:color w:val="161616"/>
        </w:rPr>
        <w:t xml:space="preserve"> </w:t>
      </w:r>
      <w:r>
        <w:rPr>
          <w:rFonts w:ascii="Arial" w:cs="Arial" w:eastAsia="Arial" w:hAnsi="Arial"/>
          <w:sz w:val="19"/>
          <w:szCs w:val="19"/>
          <w:color w:val="262626"/>
        </w:rPr>
        <w:t xml:space="preserve">or </w:t>
      </w:r>
      <w:r>
        <w:rPr>
          <w:rFonts w:ascii="Arial" w:cs="Arial" w:eastAsia="Arial" w:hAnsi="Arial"/>
          <w:sz w:val="19"/>
          <w:szCs w:val="19"/>
          <w:color w:val="161616"/>
        </w:rPr>
        <w:t>record, (including connections to the Building’s</w:t>
      </w:r>
      <w:r>
        <w:rPr>
          <w:rFonts w:ascii="Arial" w:cs="Arial" w:eastAsia="Arial" w:hAnsi="Arial"/>
          <w:sz w:val="19"/>
          <w:szCs w:val="19"/>
          <w:color w:val="262626"/>
        </w:rPr>
        <w:t xml:space="preserve"> </w:t>
      </w:r>
      <w:r>
        <w:rPr>
          <w:rFonts w:ascii="Arial" w:cs="Arial" w:eastAsia="Arial" w:hAnsi="Arial"/>
          <w:sz w:val="19"/>
          <w:szCs w:val="19"/>
          <w:color w:val="363636"/>
        </w:rPr>
        <w:t>structural</w:t>
      </w:r>
      <w:r>
        <w:rPr>
          <w:rFonts w:ascii="Arial" w:cs="Arial" w:eastAsia="Arial" w:hAnsi="Arial"/>
          <w:sz w:val="19"/>
          <w:szCs w:val="19"/>
          <w:color w:val="262626"/>
        </w:rPr>
        <w:t xml:space="preserve"> system, </w:t>
      </w:r>
      <w:r>
        <w:rPr>
          <w:rFonts w:ascii="Arial" w:cs="Arial" w:eastAsia="Arial" w:hAnsi="Arial"/>
          <w:sz w:val="19"/>
          <w:szCs w:val="19"/>
          <w:color w:val="161616"/>
        </w:rPr>
        <w:t>modifications to the</w:t>
      </w:r>
      <w:r>
        <w:rPr>
          <w:rFonts w:ascii="Arial" w:cs="Arial" w:eastAsia="Arial" w:hAnsi="Arial"/>
          <w:sz w:val="19"/>
          <w:szCs w:val="19"/>
          <w:color w:val="262626"/>
        </w:rPr>
        <w:t xml:space="preserve"> Building’s envelope, </w:t>
      </w:r>
      <w:r>
        <w:rPr>
          <w:rFonts w:ascii="Arial" w:cs="Arial" w:eastAsia="Arial" w:hAnsi="Arial"/>
          <w:sz w:val="19"/>
          <w:szCs w:val="19"/>
          <w:color w:val="161616"/>
        </w:rPr>
        <w:t xml:space="preserve">non-structural penetrations </w:t>
      </w:r>
      <w:r>
        <w:rPr>
          <w:rFonts w:ascii="Arial" w:cs="Arial" w:eastAsia="Arial" w:hAnsi="Arial"/>
          <w:sz w:val="19"/>
          <w:szCs w:val="19"/>
          <w:color w:val="262626"/>
        </w:rPr>
        <w:t>in</w:t>
      </w:r>
      <w:r>
        <w:rPr>
          <w:rFonts w:ascii="Arial" w:cs="Arial" w:eastAsia="Arial" w:hAnsi="Arial"/>
          <w:sz w:val="19"/>
          <w:szCs w:val="19"/>
          <w:color w:val="161616"/>
        </w:rPr>
        <w:t xml:space="preserve"> </w:t>
      </w:r>
      <w:r>
        <w:rPr>
          <w:rFonts w:ascii="Arial" w:cs="Arial" w:eastAsia="Arial" w:hAnsi="Arial"/>
          <w:sz w:val="19"/>
          <w:szCs w:val="19"/>
          <w:color w:val="363636"/>
        </w:rPr>
        <w:t>slabs</w:t>
      </w:r>
      <w:r>
        <w:rPr>
          <w:rFonts w:ascii="Arial" w:cs="Arial" w:eastAsia="Arial" w:hAnsi="Arial"/>
          <w:sz w:val="19"/>
          <w:szCs w:val="19"/>
          <w:color w:val="161616"/>
        </w:rPr>
        <w:t xml:space="preserve"> </w:t>
      </w:r>
      <w:r>
        <w:rPr>
          <w:rFonts w:ascii="Arial" w:cs="Arial" w:eastAsia="Arial" w:hAnsi="Arial"/>
          <w:sz w:val="19"/>
          <w:szCs w:val="19"/>
          <w:color w:val="262626"/>
        </w:rPr>
        <w:t>or walls,</w:t>
      </w:r>
      <w:r>
        <w:rPr>
          <w:rFonts w:ascii="Arial" w:cs="Arial" w:eastAsia="Arial" w:hAnsi="Arial"/>
          <w:sz w:val="19"/>
          <w:szCs w:val="19"/>
          <w:color w:val="161616"/>
        </w:rPr>
        <w:t xml:space="preserve"> and modifications </w:t>
      </w:r>
      <w:r>
        <w:rPr>
          <w:rFonts w:ascii="Arial" w:cs="Arial" w:eastAsia="Arial" w:hAnsi="Arial"/>
          <w:sz w:val="19"/>
          <w:szCs w:val="19"/>
          <w:color w:val="363636"/>
        </w:rPr>
        <w:t>o</w:t>
      </w:r>
      <w:r>
        <w:rPr>
          <w:rFonts w:ascii="Arial" w:cs="Arial" w:eastAsia="Arial" w:hAnsi="Arial"/>
          <w:sz w:val="19"/>
          <w:szCs w:val="19"/>
          <w:color w:val="050505"/>
        </w:rPr>
        <w:t>r</w:t>
      </w:r>
      <w:r>
        <w:rPr>
          <w:rFonts w:ascii="Arial" w:cs="Arial" w:eastAsia="Arial" w:hAnsi="Arial"/>
          <w:sz w:val="19"/>
          <w:szCs w:val="19"/>
          <w:color w:val="161616"/>
        </w:rPr>
        <w:t xml:space="preserve"> </w:t>
      </w:r>
      <w:r>
        <w:rPr>
          <w:rFonts w:ascii="Arial" w:cs="Arial" w:eastAsia="Arial" w:hAnsi="Arial"/>
          <w:sz w:val="19"/>
          <w:szCs w:val="19"/>
          <w:color w:val="363636"/>
        </w:rPr>
        <w:t>t</w:t>
      </w:r>
      <w:r>
        <w:rPr>
          <w:rFonts w:ascii="Arial" w:cs="Arial" w:eastAsia="Arial" w:hAnsi="Arial"/>
          <w:sz w:val="19"/>
          <w:szCs w:val="19"/>
          <w:color w:val="050505"/>
        </w:rPr>
        <w:t>i</w:t>
      </w:r>
      <w:r>
        <w:rPr>
          <w:rFonts w:ascii="Arial" w:cs="Arial" w:eastAsia="Arial" w:hAnsi="Arial"/>
          <w:sz w:val="19"/>
          <w:szCs w:val="19"/>
          <w:color w:val="262626"/>
        </w:rPr>
        <w:t>e</w:t>
      </w:r>
      <w:r>
        <w:rPr>
          <w:rFonts w:ascii="Arial" w:cs="Arial" w:eastAsia="Arial" w:hAnsi="Arial"/>
          <w:sz w:val="19"/>
          <w:szCs w:val="19"/>
          <w:color w:val="050505"/>
        </w:rPr>
        <w:t>-ins</w:t>
      </w:r>
      <w:r>
        <w:rPr>
          <w:rFonts w:ascii="Arial" w:cs="Arial" w:eastAsia="Arial" w:hAnsi="Arial"/>
          <w:sz w:val="19"/>
          <w:szCs w:val="19"/>
          <w:color w:val="161616"/>
        </w:rPr>
        <w:t xml:space="preserve"> to </w:t>
      </w:r>
      <w:r>
        <w:rPr>
          <w:rFonts w:ascii="Arial" w:cs="Arial" w:eastAsia="Arial" w:hAnsi="Arial"/>
          <w:sz w:val="19"/>
          <w:szCs w:val="19"/>
          <w:color w:val="363636"/>
        </w:rPr>
        <w:t>l</w:t>
      </w:r>
      <w:r>
        <w:rPr>
          <w:rFonts w:ascii="Arial" w:cs="Arial" w:eastAsia="Arial" w:hAnsi="Arial"/>
          <w:sz w:val="19"/>
          <w:szCs w:val="19"/>
          <w:color w:val="050505"/>
        </w:rPr>
        <w:t>ife</w:t>
      </w:r>
      <w:r>
        <w:rPr>
          <w:rFonts w:ascii="Arial" w:cs="Arial" w:eastAsia="Arial" w:hAnsi="Arial"/>
          <w:sz w:val="19"/>
          <w:szCs w:val="19"/>
          <w:color w:val="161616"/>
        </w:rPr>
        <w:t xml:space="preserve"> </w:t>
      </w:r>
      <w:r>
        <w:rPr>
          <w:rFonts w:ascii="Arial" w:cs="Arial" w:eastAsia="Arial" w:hAnsi="Arial"/>
          <w:sz w:val="19"/>
          <w:szCs w:val="19"/>
          <w:color w:val="363636"/>
        </w:rPr>
        <w:t>safety systems),</w:t>
      </w:r>
      <w:r>
        <w:rPr>
          <w:rFonts w:ascii="Arial" w:cs="Arial" w:eastAsia="Arial" w:hAnsi="Arial"/>
          <w:sz w:val="19"/>
          <w:szCs w:val="19"/>
          <w:color w:val="161616"/>
        </w:rPr>
        <w:t xml:space="preserve"> </w:t>
      </w:r>
      <w:r>
        <w:rPr>
          <w:rFonts w:ascii="Arial" w:cs="Arial" w:eastAsia="Arial" w:hAnsi="Arial"/>
          <w:sz w:val="19"/>
          <w:szCs w:val="19"/>
          <w:color w:val="262626"/>
        </w:rPr>
        <w:t>work contracts,</w:t>
      </w:r>
      <w:r>
        <w:rPr>
          <w:rFonts w:ascii="Arial" w:cs="Arial" w:eastAsia="Arial" w:hAnsi="Arial"/>
          <w:sz w:val="19"/>
          <w:szCs w:val="19"/>
          <w:color w:val="161616"/>
        </w:rPr>
        <w:t xml:space="preserve"> requests </w:t>
      </w:r>
      <w:r>
        <w:rPr>
          <w:rFonts w:ascii="Arial" w:cs="Arial" w:eastAsia="Arial" w:hAnsi="Arial"/>
          <w:sz w:val="19"/>
          <w:szCs w:val="19"/>
          <w:color w:val="363636"/>
        </w:rPr>
        <w:t>for</w:t>
      </w:r>
      <w:r>
        <w:rPr>
          <w:rFonts w:ascii="Arial" w:cs="Arial" w:eastAsia="Arial" w:hAnsi="Arial"/>
          <w:sz w:val="19"/>
          <w:szCs w:val="19"/>
          <w:color w:val="161616"/>
        </w:rPr>
        <w:t xml:space="preserve"> laydown </w:t>
      </w:r>
      <w:r>
        <w:rPr>
          <w:rFonts w:ascii="Arial" w:cs="Arial" w:eastAsia="Arial" w:hAnsi="Arial"/>
          <w:sz w:val="19"/>
          <w:szCs w:val="19"/>
          <w:color w:val="262626"/>
        </w:rPr>
        <w:t>areas</w:t>
      </w:r>
      <w:r>
        <w:rPr>
          <w:rFonts w:ascii="Arial" w:cs="Arial" w:eastAsia="Arial" w:hAnsi="Arial"/>
          <w:sz w:val="19"/>
          <w:szCs w:val="19"/>
          <w:color w:val="161616"/>
        </w:rPr>
        <w:t xml:space="preserve"> and </w:t>
      </w:r>
      <w:r>
        <w:rPr>
          <w:rFonts w:ascii="Arial" w:cs="Arial" w:eastAsia="Arial" w:hAnsi="Arial"/>
          <w:sz w:val="19"/>
          <w:szCs w:val="19"/>
          <w:color w:val="363636"/>
        </w:rPr>
        <w:t>such</w:t>
      </w:r>
      <w:r>
        <w:rPr>
          <w:rFonts w:ascii="Arial" w:cs="Arial" w:eastAsia="Arial" w:hAnsi="Arial"/>
          <w:sz w:val="19"/>
          <w:szCs w:val="19"/>
          <w:color w:val="161616"/>
        </w:rPr>
        <w:t xml:space="preserve"> other information concerning the nature </w:t>
      </w:r>
      <w:r>
        <w:rPr>
          <w:rFonts w:ascii="Arial" w:cs="Arial" w:eastAsia="Arial" w:hAnsi="Arial"/>
          <w:sz w:val="19"/>
          <w:szCs w:val="19"/>
          <w:color w:val="262626"/>
        </w:rPr>
        <w:t>and cost of</w:t>
      </w:r>
      <w:r>
        <w:rPr>
          <w:rFonts w:ascii="Arial" w:cs="Arial" w:eastAsia="Arial" w:hAnsi="Arial"/>
          <w:sz w:val="19"/>
          <w:szCs w:val="19"/>
          <w:color w:val="161616"/>
        </w:rPr>
        <w:t xml:space="preserve"> the </w:t>
      </w:r>
      <w:r>
        <w:rPr>
          <w:rFonts w:ascii="Arial" w:cs="Arial" w:eastAsia="Arial" w:hAnsi="Arial"/>
          <w:sz w:val="19"/>
          <w:szCs w:val="19"/>
          <w:color w:val="262626"/>
        </w:rPr>
        <w:t>Alterations as</w:t>
      </w:r>
      <w:r>
        <w:rPr>
          <w:rFonts w:ascii="Arial" w:cs="Arial" w:eastAsia="Arial" w:hAnsi="Arial"/>
          <w:sz w:val="19"/>
          <w:szCs w:val="19"/>
          <w:color w:val="161616"/>
        </w:rPr>
        <w:t xml:space="preserve"> </w:t>
      </w:r>
      <w:r>
        <w:rPr>
          <w:rFonts w:ascii="Arial" w:cs="Arial" w:eastAsia="Arial" w:hAnsi="Arial"/>
          <w:sz w:val="19"/>
          <w:szCs w:val="19"/>
          <w:color w:val="262626"/>
        </w:rPr>
        <w:t xml:space="preserve">Landlord </w:t>
      </w:r>
      <w:r>
        <w:rPr>
          <w:rFonts w:ascii="Arial" w:cs="Arial" w:eastAsia="Arial" w:hAnsi="Arial"/>
          <w:sz w:val="19"/>
          <w:szCs w:val="19"/>
          <w:color w:val="161616"/>
        </w:rPr>
        <w:t>may</w:t>
      </w:r>
      <w:r>
        <w:rPr>
          <w:rFonts w:ascii="Arial" w:cs="Arial" w:eastAsia="Arial" w:hAnsi="Arial"/>
          <w:sz w:val="19"/>
          <w:szCs w:val="19"/>
          <w:color w:val="262626"/>
        </w:rPr>
        <w:t xml:space="preserve"> reasonably </w:t>
      </w:r>
      <w:r>
        <w:rPr>
          <w:rFonts w:ascii="Arial" w:cs="Arial" w:eastAsia="Arial" w:hAnsi="Arial"/>
          <w:sz w:val="19"/>
          <w:szCs w:val="19"/>
          <w:color w:val="161616"/>
        </w:rPr>
        <w:t>request.</w:t>
      </w:r>
      <w:r>
        <w:rPr>
          <w:rFonts w:ascii="Arial" w:cs="Arial" w:eastAsia="Arial" w:hAnsi="Arial"/>
          <w:sz w:val="19"/>
          <w:szCs w:val="19"/>
          <w:color w:val="262626"/>
        </w:rPr>
        <w:t xml:space="preserve"> </w:t>
      </w:r>
      <w:r>
        <w:rPr>
          <w:rFonts w:ascii="Arial" w:cs="Arial" w:eastAsia="Arial" w:hAnsi="Arial"/>
          <w:sz w:val="19"/>
          <w:szCs w:val="19"/>
          <w:color w:val="363636"/>
        </w:rPr>
        <w:t>No</w:t>
      </w:r>
      <w:r>
        <w:rPr>
          <w:rFonts w:ascii="Arial" w:cs="Arial" w:eastAsia="Arial" w:hAnsi="Arial"/>
          <w:sz w:val="19"/>
          <w:szCs w:val="19"/>
          <w:color w:val="050505"/>
        </w:rPr>
        <w:t>twith</w:t>
      </w:r>
      <w:r>
        <w:rPr>
          <w:rFonts w:ascii="Arial" w:cs="Arial" w:eastAsia="Arial" w:hAnsi="Arial"/>
          <w:sz w:val="19"/>
          <w:szCs w:val="19"/>
          <w:color w:val="262626"/>
        </w:rPr>
        <w:t>s</w:t>
      </w:r>
      <w:r>
        <w:rPr>
          <w:rFonts w:ascii="Arial" w:cs="Arial" w:eastAsia="Arial" w:hAnsi="Arial"/>
          <w:sz w:val="19"/>
          <w:szCs w:val="19"/>
          <w:color w:val="050505"/>
        </w:rPr>
        <w:t>tand</w:t>
      </w:r>
      <w:r>
        <w:rPr>
          <w:rFonts w:ascii="Arial" w:cs="Arial" w:eastAsia="Arial" w:hAnsi="Arial"/>
          <w:sz w:val="19"/>
          <w:szCs w:val="19"/>
          <w:color w:val="363636"/>
        </w:rPr>
        <w:t>i</w:t>
      </w:r>
      <w:r>
        <w:rPr>
          <w:rFonts w:ascii="Arial" w:cs="Arial" w:eastAsia="Arial" w:hAnsi="Arial"/>
          <w:sz w:val="19"/>
          <w:szCs w:val="19"/>
          <w:color w:val="161616"/>
        </w:rPr>
        <w:t>ng the</w:t>
      </w:r>
      <w:r>
        <w:rPr>
          <w:rFonts w:ascii="Arial" w:cs="Arial" w:eastAsia="Arial" w:hAnsi="Arial"/>
          <w:sz w:val="19"/>
          <w:szCs w:val="19"/>
          <w:color w:val="262626"/>
        </w:rPr>
        <w:t xml:space="preserve"> foregoing, </w:t>
      </w:r>
      <w:r>
        <w:rPr>
          <w:rFonts w:ascii="Arial" w:cs="Arial" w:eastAsia="Arial" w:hAnsi="Arial"/>
          <w:sz w:val="19"/>
          <w:szCs w:val="19"/>
          <w:color w:val="363636"/>
        </w:rPr>
        <w:t>Tenant</w:t>
      </w:r>
      <w:r>
        <w:rPr>
          <w:rFonts w:ascii="Arial" w:cs="Arial" w:eastAsia="Arial" w:hAnsi="Arial"/>
          <w:sz w:val="19"/>
          <w:szCs w:val="19"/>
          <w:color w:val="262626"/>
        </w:rPr>
        <w:t xml:space="preserve"> </w:t>
      </w:r>
      <w:r>
        <w:rPr>
          <w:rFonts w:ascii="Arial" w:cs="Arial" w:eastAsia="Arial" w:hAnsi="Arial"/>
          <w:sz w:val="19"/>
          <w:szCs w:val="19"/>
          <w:color w:val="161616"/>
        </w:rPr>
        <w:t>may</w:t>
      </w:r>
      <w:r>
        <w:rPr>
          <w:rFonts w:ascii="Arial" w:cs="Arial" w:eastAsia="Arial" w:hAnsi="Arial"/>
          <w:sz w:val="19"/>
          <w:szCs w:val="19"/>
          <w:color w:val="262626"/>
        </w:rPr>
        <w:t xml:space="preserve"> make </w:t>
      </w:r>
      <w:r>
        <w:rPr>
          <w:rFonts w:ascii="Arial" w:cs="Arial" w:eastAsia="Arial" w:hAnsi="Arial"/>
          <w:sz w:val="19"/>
          <w:szCs w:val="19"/>
          <w:color w:val="363636"/>
        </w:rPr>
        <w:t>strictly</w:t>
      </w:r>
      <w:r>
        <w:rPr>
          <w:rFonts w:ascii="Arial" w:cs="Arial" w:eastAsia="Arial" w:hAnsi="Arial"/>
          <w:sz w:val="19"/>
          <w:szCs w:val="19"/>
          <w:color w:val="262626"/>
        </w:rPr>
        <w:t xml:space="preserve"> </w:t>
      </w:r>
      <w:r>
        <w:rPr>
          <w:rFonts w:ascii="Arial" w:cs="Arial" w:eastAsia="Arial" w:hAnsi="Arial"/>
          <w:sz w:val="19"/>
          <w:szCs w:val="19"/>
          <w:color w:val="161616"/>
        </w:rPr>
        <w:t>cosmetic</w:t>
      </w:r>
      <w:r>
        <w:rPr>
          <w:rFonts w:ascii="Arial" w:cs="Arial" w:eastAsia="Arial" w:hAnsi="Arial"/>
          <w:sz w:val="19"/>
          <w:szCs w:val="19"/>
          <w:color w:val="262626"/>
        </w:rPr>
        <w:t xml:space="preserve"> changes to </w:t>
      </w:r>
      <w:r>
        <w:rPr>
          <w:rFonts w:ascii="Arial" w:cs="Arial" w:eastAsia="Arial" w:hAnsi="Arial"/>
          <w:sz w:val="19"/>
          <w:szCs w:val="19"/>
          <w:color w:val="161616"/>
        </w:rPr>
        <w:t xml:space="preserve">the Premises </w:t>
      </w:r>
      <w:r>
        <w:rPr>
          <w:rFonts w:ascii="Arial" w:cs="Arial" w:eastAsia="Arial" w:hAnsi="Arial"/>
          <w:sz w:val="19"/>
          <w:szCs w:val="19"/>
          <w:color w:val="262626"/>
        </w:rPr>
        <w:t>(“Cosmetic</w:t>
      </w:r>
      <w:r>
        <w:rPr>
          <w:rFonts w:ascii="Arial" w:cs="Arial" w:eastAsia="Arial" w:hAnsi="Arial"/>
          <w:sz w:val="19"/>
          <w:szCs w:val="19"/>
          <w:color w:val="161616"/>
        </w:rPr>
        <w:t xml:space="preserve"> Alterations”) </w:t>
      </w:r>
      <w:r>
        <w:rPr>
          <w:rFonts w:ascii="Arial" w:cs="Arial" w:eastAsia="Arial" w:hAnsi="Arial"/>
          <w:sz w:val="19"/>
          <w:szCs w:val="19"/>
          <w:color w:val="262626"/>
        </w:rPr>
        <w:t>without</w:t>
      </w:r>
      <w:r>
        <w:rPr>
          <w:rFonts w:ascii="Arial" w:cs="Arial" w:eastAsia="Arial" w:hAnsi="Arial"/>
          <w:sz w:val="19"/>
          <w:szCs w:val="19"/>
          <w:color w:val="161616"/>
        </w:rPr>
        <w:t xml:space="preserve"> Landlord’s consent; </w:t>
      </w:r>
      <w:r>
        <w:rPr>
          <w:rFonts w:ascii="Arial" w:cs="Arial" w:eastAsia="Arial" w:hAnsi="Arial"/>
          <w:sz w:val="19"/>
          <w:szCs w:val="19"/>
          <w:color w:val="262626"/>
        </w:rPr>
        <w:t>provided</w:t>
      </w:r>
      <w:r>
        <w:rPr>
          <w:rFonts w:ascii="Arial" w:cs="Arial" w:eastAsia="Arial" w:hAnsi="Arial"/>
          <w:sz w:val="19"/>
          <w:szCs w:val="19"/>
          <w:color w:val="161616"/>
        </w:rPr>
        <w:t xml:space="preserve"> that (y) the </w:t>
      </w:r>
      <w:r>
        <w:rPr>
          <w:rFonts w:ascii="Arial" w:cs="Arial" w:eastAsia="Arial" w:hAnsi="Arial"/>
          <w:sz w:val="19"/>
          <w:szCs w:val="19"/>
          <w:color w:val="262626"/>
        </w:rPr>
        <w:t>cost of any Cosmetic</w:t>
      </w:r>
      <w:r>
        <w:rPr>
          <w:rFonts w:ascii="Arial" w:cs="Arial" w:eastAsia="Arial" w:hAnsi="Arial"/>
          <w:sz w:val="19"/>
          <w:szCs w:val="19"/>
          <w:color w:val="161616"/>
        </w:rPr>
        <w:t xml:space="preserve"> Alterations </w:t>
      </w:r>
      <w:r>
        <w:rPr>
          <w:rFonts w:ascii="Arial" w:cs="Arial" w:eastAsia="Arial" w:hAnsi="Arial"/>
          <w:sz w:val="19"/>
          <w:szCs w:val="19"/>
          <w:color w:val="262626"/>
        </w:rPr>
        <w:t>does</w:t>
      </w:r>
      <w:r>
        <w:rPr>
          <w:rFonts w:ascii="Arial" w:cs="Arial" w:eastAsia="Arial" w:hAnsi="Arial"/>
          <w:sz w:val="19"/>
          <w:szCs w:val="19"/>
          <w:color w:val="161616"/>
        </w:rPr>
        <w:t xml:space="preserve"> not </w:t>
      </w:r>
      <w:r>
        <w:rPr>
          <w:rFonts w:ascii="Arial" w:cs="Arial" w:eastAsia="Arial" w:hAnsi="Arial"/>
          <w:sz w:val="19"/>
          <w:szCs w:val="19"/>
          <w:color w:val="363636"/>
        </w:rPr>
        <w:t>exceed</w:t>
      </w:r>
      <w:r>
        <w:rPr>
          <w:rFonts w:ascii="Arial" w:cs="Arial" w:eastAsia="Arial" w:hAnsi="Arial"/>
          <w:sz w:val="19"/>
          <w:szCs w:val="19"/>
          <w:color w:val="161616"/>
        </w:rPr>
        <w:t xml:space="preserve"> </w:t>
      </w:r>
      <w:r>
        <w:rPr>
          <w:rFonts w:ascii="Arial" w:cs="Arial" w:eastAsia="Arial" w:hAnsi="Arial"/>
          <w:sz w:val="19"/>
          <w:szCs w:val="19"/>
          <w:u w:val="single" w:color="auto"/>
          <w:color w:val="000000"/>
        </w:rPr>
        <w:t>[***]</w:t>
      </w:r>
      <w:r>
        <w:rPr>
          <w:rFonts w:ascii="Arial" w:cs="Arial" w:eastAsia="Arial" w:hAnsi="Arial"/>
          <w:sz w:val="19"/>
          <w:szCs w:val="19"/>
          <w:color w:val="161616"/>
        </w:rPr>
        <w:t xml:space="preserve"> in </w:t>
      </w:r>
      <w:r>
        <w:rPr>
          <w:rFonts w:ascii="Arial" w:cs="Arial" w:eastAsia="Arial" w:hAnsi="Arial"/>
          <w:sz w:val="19"/>
          <w:szCs w:val="19"/>
          <w:color w:val="262626"/>
        </w:rPr>
        <w:t>any</w:t>
      </w:r>
      <w:r>
        <w:rPr>
          <w:rFonts w:ascii="Arial" w:cs="Arial" w:eastAsia="Arial" w:hAnsi="Arial"/>
          <w:sz w:val="19"/>
          <w:szCs w:val="19"/>
          <w:color w:val="161616"/>
        </w:rPr>
        <w:t xml:space="preserve"> one instance </w:t>
      </w:r>
      <w:r>
        <w:rPr>
          <w:rFonts w:ascii="Arial" w:cs="Arial" w:eastAsia="Arial" w:hAnsi="Arial"/>
          <w:sz w:val="19"/>
          <w:szCs w:val="19"/>
          <w:color w:val="262626"/>
        </w:rPr>
        <w:t>or</w:t>
      </w:r>
      <w:r>
        <w:rPr>
          <w:rFonts w:ascii="Arial" w:cs="Arial" w:eastAsia="Arial" w:hAnsi="Arial"/>
          <w:sz w:val="19"/>
          <w:szCs w:val="19"/>
          <w:color w:val="161616"/>
        </w:rPr>
        <w:t xml:space="preserve"> </w:t>
      </w:r>
      <w:r>
        <w:rPr>
          <w:rFonts w:ascii="Arial" w:cs="Arial" w:eastAsia="Arial" w:hAnsi="Arial"/>
          <w:sz w:val="19"/>
          <w:szCs w:val="19"/>
          <w:u w:val="single" w:color="auto"/>
          <w:color w:val="000000"/>
        </w:rPr>
        <w:t>[***]</w:t>
      </w:r>
      <w:r>
        <w:rPr>
          <w:rFonts w:ascii="Arial" w:cs="Arial" w:eastAsia="Arial" w:hAnsi="Arial"/>
          <w:sz w:val="19"/>
          <w:szCs w:val="19"/>
          <w:color w:val="161616"/>
        </w:rPr>
        <w:t xml:space="preserve"> </w:t>
      </w:r>
      <w:r>
        <w:rPr>
          <w:rFonts w:ascii="Arial" w:cs="Arial" w:eastAsia="Arial" w:hAnsi="Arial"/>
          <w:sz w:val="19"/>
          <w:szCs w:val="19"/>
          <w:color w:val="262626"/>
        </w:rPr>
        <w:t>in any twelve-month</w:t>
      </w:r>
      <w:r>
        <w:rPr>
          <w:rFonts w:ascii="Arial" w:cs="Arial" w:eastAsia="Arial" w:hAnsi="Arial"/>
          <w:sz w:val="19"/>
          <w:szCs w:val="19"/>
          <w:color w:val="161616"/>
        </w:rPr>
        <w:t xml:space="preserve"> period, (z) </w:t>
      </w:r>
      <w:r>
        <w:rPr>
          <w:rFonts w:ascii="Arial" w:cs="Arial" w:eastAsia="Arial" w:hAnsi="Arial"/>
          <w:sz w:val="19"/>
          <w:szCs w:val="19"/>
          <w:color w:val="363636"/>
        </w:rPr>
        <w:t>such</w:t>
      </w:r>
      <w:r>
        <w:rPr>
          <w:rFonts w:ascii="Arial" w:cs="Arial" w:eastAsia="Arial" w:hAnsi="Arial"/>
          <w:sz w:val="19"/>
          <w:szCs w:val="19"/>
          <w:color w:val="161616"/>
        </w:rPr>
        <w:t xml:space="preserve"> </w:t>
      </w:r>
      <w:r>
        <w:rPr>
          <w:rFonts w:ascii="Arial" w:cs="Arial" w:eastAsia="Arial" w:hAnsi="Arial"/>
          <w:sz w:val="19"/>
          <w:szCs w:val="19"/>
          <w:color w:val="262626"/>
        </w:rPr>
        <w:t>Cosmetic</w:t>
      </w:r>
      <w:r>
        <w:rPr>
          <w:rFonts w:ascii="Arial" w:cs="Arial" w:eastAsia="Arial" w:hAnsi="Arial"/>
          <w:sz w:val="19"/>
          <w:szCs w:val="19"/>
          <w:color w:val="161616"/>
        </w:rPr>
        <w:t xml:space="preserve"> Alterations </w:t>
      </w:r>
      <w:r>
        <w:rPr>
          <w:rFonts w:ascii="Arial" w:cs="Arial" w:eastAsia="Arial" w:hAnsi="Arial"/>
          <w:sz w:val="19"/>
          <w:szCs w:val="19"/>
          <w:color w:val="262626"/>
        </w:rPr>
        <w:t>do</w:t>
      </w:r>
      <w:r>
        <w:rPr>
          <w:rFonts w:ascii="Arial" w:cs="Arial" w:eastAsia="Arial" w:hAnsi="Arial"/>
          <w:sz w:val="19"/>
          <w:szCs w:val="19"/>
          <w:color w:val="161616"/>
        </w:rPr>
        <w:t xml:space="preserve"> not (i) </w:t>
      </w:r>
      <w:r>
        <w:rPr>
          <w:rFonts w:ascii="Arial" w:cs="Arial" w:eastAsia="Arial" w:hAnsi="Arial"/>
          <w:sz w:val="19"/>
          <w:szCs w:val="19"/>
          <w:color w:val="262626"/>
        </w:rPr>
        <w:t>require any</w:t>
      </w:r>
      <w:r>
        <w:rPr>
          <w:rFonts w:ascii="Arial" w:cs="Arial" w:eastAsia="Arial" w:hAnsi="Arial"/>
          <w:sz w:val="19"/>
          <w:szCs w:val="19"/>
          <w:color w:val="161616"/>
        </w:rPr>
        <w:t xml:space="preserve"> </w:t>
      </w:r>
      <w:r>
        <w:rPr>
          <w:rFonts w:ascii="Arial" w:cs="Arial" w:eastAsia="Arial" w:hAnsi="Arial"/>
          <w:sz w:val="19"/>
          <w:szCs w:val="19"/>
          <w:color w:val="363636"/>
        </w:rPr>
        <w:t>structural</w:t>
      </w:r>
      <w:r>
        <w:rPr>
          <w:rFonts w:ascii="Arial" w:cs="Arial" w:eastAsia="Arial" w:hAnsi="Arial"/>
          <w:sz w:val="19"/>
          <w:szCs w:val="19"/>
          <w:color w:val="161616"/>
        </w:rPr>
        <w:t xml:space="preserve"> modifications to the Premises, (ii) require any </w:t>
      </w:r>
      <w:r>
        <w:rPr>
          <w:rFonts w:ascii="Arial" w:cs="Arial" w:eastAsia="Arial" w:hAnsi="Arial"/>
          <w:sz w:val="19"/>
          <w:szCs w:val="19"/>
          <w:color w:val="262626"/>
        </w:rPr>
        <w:t>changes</w:t>
      </w:r>
      <w:r>
        <w:rPr>
          <w:rFonts w:ascii="Arial" w:cs="Arial" w:eastAsia="Arial" w:hAnsi="Arial"/>
          <w:sz w:val="19"/>
          <w:szCs w:val="19"/>
          <w:color w:val="161616"/>
        </w:rPr>
        <w:t xml:space="preserve"> to, </w:t>
      </w:r>
      <w:r>
        <w:rPr>
          <w:rFonts w:ascii="Arial" w:cs="Arial" w:eastAsia="Arial" w:hAnsi="Arial"/>
          <w:sz w:val="19"/>
          <w:szCs w:val="19"/>
          <w:color w:val="262626"/>
        </w:rPr>
        <w:t>or adversely</w:t>
      </w:r>
      <w:r>
        <w:rPr>
          <w:rFonts w:ascii="Arial" w:cs="Arial" w:eastAsia="Arial" w:hAnsi="Arial"/>
          <w:sz w:val="19"/>
          <w:szCs w:val="19"/>
          <w:color w:val="161616"/>
        </w:rPr>
        <w:t xml:space="preserve"> affect, the Building </w:t>
      </w:r>
      <w:r>
        <w:rPr>
          <w:rFonts w:ascii="Arial" w:cs="Arial" w:eastAsia="Arial" w:hAnsi="Arial"/>
          <w:sz w:val="19"/>
          <w:szCs w:val="19"/>
          <w:color w:val="363636"/>
        </w:rPr>
        <w:t>systems,</w:t>
      </w:r>
      <w:r>
        <w:rPr>
          <w:rFonts w:ascii="Arial" w:cs="Arial" w:eastAsia="Arial" w:hAnsi="Arial"/>
          <w:sz w:val="19"/>
          <w:szCs w:val="19"/>
          <w:color w:val="161616"/>
        </w:rPr>
        <w:t xml:space="preserve"> (iii) </w:t>
      </w:r>
      <w:r>
        <w:rPr>
          <w:rFonts w:ascii="Arial" w:cs="Arial" w:eastAsia="Arial" w:hAnsi="Arial"/>
          <w:sz w:val="19"/>
          <w:szCs w:val="19"/>
          <w:color w:val="262626"/>
        </w:rPr>
        <w:t>affect</w:t>
      </w:r>
      <w:r>
        <w:rPr>
          <w:rFonts w:ascii="Arial" w:cs="Arial" w:eastAsia="Arial" w:hAnsi="Arial"/>
          <w:sz w:val="19"/>
          <w:szCs w:val="19"/>
          <w:color w:val="161616"/>
        </w:rPr>
        <w:t xml:space="preserve"> the </w:t>
      </w:r>
      <w:r>
        <w:rPr>
          <w:rFonts w:ascii="Arial" w:cs="Arial" w:eastAsia="Arial" w:hAnsi="Arial"/>
          <w:sz w:val="19"/>
          <w:szCs w:val="19"/>
          <w:color w:val="262626"/>
        </w:rPr>
        <w:t>exterior</w:t>
      </w:r>
      <w:r>
        <w:rPr>
          <w:rFonts w:ascii="Arial" w:cs="Arial" w:eastAsia="Arial" w:hAnsi="Arial"/>
          <w:sz w:val="19"/>
          <w:szCs w:val="19"/>
          <w:color w:val="161616"/>
        </w:rPr>
        <w:t xml:space="preserve"> of the Buildings </w:t>
      </w:r>
      <w:r>
        <w:rPr>
          <w:rFonts w:ascii="Arial" w:cs="Arial" w:eastAsia="Arial" w:hAnsi="Arial"/>
          <w:sz w:val="19"/>
          <w:szCs w:val="19"/>
          <w:color w:val="262626"/>
        </w:rPr>
        <w:t>or (iv)</w:t>
      </w:r>
      <w:r>
        <w:rPr>
          <w:rFonts w:ascii="Arial" w:cs="Arial" w:eastAsia="Arial" w:hAnsi="Arial"/>
          <w:sz w:val="19"/>
          <w:szCs w:val="19"/>
          <w:color w:val="161616"/>
        </w:rPr>
        <w:t xml:space="preserve"> trigger </w:t>
      </w:r>
      <w:r>
        <w:rPr>
          <w:rFonts w:ascii="Arial" w:cs="Arial" w:eastAsia="Arial" w:hAnsi="Arial"/>
          <w:sz w:val="19"/>
          <w:szCs w:val="19"/>
          <w:color w:val="262626"/>
        </w:rPr>
        <w:t>any</w:t>
      </w:r>
      <w:r>
        <w:rPr>
          <w:rFonts w:ascii="Arial" w:cs="Arial" w:eastAsia="Arial" w:hAnsi="Arial"/>
          <w:sz w:val="19"/>
          <w:szCs w:val="19"/>
          <w:color w:val="161616"/>
        </w:rPr>
        <w:t xml:space="preserve"> requirement under </w:t>
      </w:r>
      <w:r>
        <w:rPr>
          <w:rFonts w:ascii="Arial" w:cs="Arial" w:eastAsia="Arial" w:hAnsi="Arial"/>
          <w:sz w:val="19"/>
          <w:szCs w:val="19"/>
          <w:color w:val="262626"/>
        </w:rPr>
        <w:t xml:space="preserve">Applicable Laws </w:t>
      </w:r>
      <w:r>
        <w:rPr>
          <w:rFonts w:ascii="Arial" w:cs="Arial" w:eastAsia="Arial" w:hAnsi="Arial"/>
          <w:sz w:val="19"/>
          <w:szCs w:val="19"/>
          <w:color w:val="161616"/>
        </w:rPr>
        <w:t>that</w:t>
      </w:r>
      <w:r>
        <w:rPr>
          <w:rFonts w:ascii="Arial" w:cs="Arial" w:eastAsia="Arial" w:hAnsi="Arial"/>
          <w:sz w:val="19"/>
          <w:szCs w:val="19"/>
          <w:color w:val="262626"/>
        </w:rPr>
        <w:t xml:space="preserve"> would </w:t>
      </w:r>
      <w:r>
        <w:rPr>
          <w:rFonts w:ascii="Arial" w:cs="Arial" w:eastAsia="Arial" w:hAnsi="Arial"/>
          <w:sz w:val="19"/>
          <w:szCs w:val="19"/>
          <w:color w:val="161616"/>
        </w:rPr>
        <w:t>require Landlord</w:t>
      </w:r>
      <w:r>
        <w:rPr>
          <w:rFonts w:ascii="Arial" w:cs="Arial" w:eastAsia="Arial" w:hAnsi="Arial"/>
          <w:sz w:val="19"/>
          <w:szCs w:val="19"/>
          <w:color w:val="262626"/>
        </w:rPr>
        <w:t xml:space="preserve"> </w:t>
      </w:r>
      <w:r>
        <w:rPr>
          <w:rFonts w:ascii="Arial" w:cs="Arial" w:eastAsia="Arial" w:hAnsi="Arial"/>
          <w:sz w:val="19"/>
          <w:szCs w:val="19"/>
          <w:color w:val="363636"/>
        </w:rPr>
        <w:t>to</w:t>
      </w:r>
      <w:r>
        <w:rPr>
          <w:rFonts w:ascii="Arial" w:cs="Arial" w:eastAsia="Arial" w:hAnsi="Arial"/>
          <w:sz w:val="19"/>
          <w:szCs w:val="19"/>
          <w:color w:val="262626"/>
        </w:rPr>
        <w:t xml:space="preserve"> </w:t>
      </w:r>
      <w:r>
        <w:rPr>
          <w:rFonts w:ascii="Arial" w:cs="Arial" w:eastAsia="Arial" w:hAnsi="Arial"/>
          <w:sz w:val="19"/>
          <w:szCs w:val="19"/>
          <w:color w:val="161616"/>
        </w:rPr>
        <w:t>make any alteration</w:t>
      </w:r>
      <w:r>
        <w:rPr>
          <w:rFonts w:ascii="Arial" w:cs="Arial" w:eastAsia="Arial" w:hAnsi="Arial"/>
          <w:sz w:val="19"/>
          <w:szCs w:val="19"/>
          <w:color w:val="262626"/>
        </w:rPr>
        <w:t xml:space="preserve"> or improvement </w:t>
      </w:r>
      <w:r>
        <w:rPr>
          <w:rFonts w:ascii="Arial" w:cs="Arial" w:eastAsia="Arial" w:hAnsi="Arial"/>
          <w:sz w:val="19"/>
          <w:szCs w:val="19"/>
          <w:color w:val="363636"/>
        </w:rPr>
        <w:t>to</w:t>
      </w:r>
      <w:r>
        <w:rPr>
          <w:rFonts w:ascii="Arial" w:cs="Arial" w:eastAsia="Arial" w:hAnsi="Arial"/>
          <w:sz w:val="19"/>
          <w:szCs w:val="19"/>
          <w:color w:val="262626"/>
        </w:rPr>
        <w:t xml:space="preserve"> </w:t>
      </w:r>
      <w:r>
        <w:rPr>
          <w:rFonts w:ascii="Arial" w:cs="Arial" w:eastAsia="Arial" w:hAnsi="Arial"/>
          <w:sz w:val="19"/>
          <w:szCs w:val="19"/>
          <w:color w:val="161616"/>
        </w:rPr>
        <w:t>the Premises, the Building</w:t>
      </w:r>
      <w:r>
        <w:rPr>
          <w:rFonts w:ascii="Arial" w:cs="Arial" w:eastAsia="Arial" w:hAnsi="Arial"/>
          <w:sz w:val="19"/>
          <w:szCs w:val="19"/>
          <w:color w:val="262626"/>
        </w:rPr>
        <w:t xml:space="preserve"> </w:t>
      </w:r>
      <w:r>
        <w:rPr>
          <w:rFonts w:ascii="Arial" w:cs="Arial" w:eastAsia="Arial" w:hAnsi="Arial"/>
          <w:sz w:val="19"/>
          <w:szCs w:val="19"/>
          <w:color w:val="161616"/>
        </w:rPr>
        <w:t xml:space="preserve">or the Project. </w:t>
      </w:r>
      <w:r>
        <w:rPr>
          <w:rFonts w:ascii="Arial" w:cs="Arial" w:eastAsia="Arial" w:hAnsi="Arial"/>
          <w:sz w:val="19"/>
          <w:szCs w:val="19"/>
          <w:color w:val="363636"/>
        </w:rPr>
        <w:t>Tenant</w:t>
      </w:r>
      <w:r>
        <w:rPr>
          <w:rFonts w:ascii="Arial" w:cs="Arial" w:eastAsia="Arial" w:hAnsi="Arial"/>
          <w:sz w:val="19"/>
          <w:szCs w:val="19"/>
          <w:color w:val="161616"/>
        </w:rPr>
        <w:t xml:space="preserve"> </w:t>
      </w:r>
      <w:r>
        <w:rPr>
          <w:rFonts w:ascii="Arial" w:cs="Arial" w:eastAsia="Arial" w:hAnsi="Arial"/>
          <w:sz w:val="19"/>
          <w:szCs w:val="19"/>
          <w:color w:val="262626"/>
        </w:rPr>
        <w:t>shall give Landlord</w:t>
      </w:r>
      <w:r>
        <w:rPr>
          <w:rFonts w:ascii="Arial" w:cs="Arial" w:eastAsia="Arial" w:hAnsi="Arial"/>
          <w:sz w:val="19"/>
          <w:szCs w:val="19"/>
          <w:color w:val="161616"/>
        </w:rPr>
        <w:t xml:space="preserve"> </w:t>
      </w:r>
      <w:r>
        <w:rPr>
          <w:rFonts w:ascii="Arial" w:cs="Arial" w:eastAsia="Arial" w:hAnsi="Arial"/>
          <w:sz w:val="19"/>
          <w:szCs w:val="19"/>
          <w:color w:val="363636"/>
        </w:rPr>
        <w:t>at</w:t>
      </w:r>
      <w:r>
        <w:rPr>
          <w:rFonts w:ascii="Arial" w:cs="Arial" w:eastAsia="Arial" w:hAnsi="Arial"/>
          <w:sz w:val="19"/>
          <w:szCs w:val="19"/>
          <w:color w:val="161616"/>
        </w:rPr>
        <w:t xml:space="preserve"> least </w:t>
      </w:r>
      <w:r>
        <w:rPr>
          <w:rFonts w:ascii="Arial" w:cs="Arial" w:eastAsia="Arial" w:hAnsi="Arial"/>
          <w:sz w:val="19"/>
          <w:szCs w:val="19"/>
          <w:u w:val="single" w:color="auto"/>
          <w:color w:val="000000"/>
        </w:rPr>
        <w:t>[***]</w:t>
      </w:r>
      <w:r>
        <w:rPr>
          <w:rFonts w:ascii="Arial" w:cs="Arial" w:eastAsia="Arial" w:hAnsi="Arial"/>
          <w:sz w:val="19"/>
          <w:szCs w:val="19"/>
          <w:color w:val="161616"/>
        </w:rPr>
        <w:t xml:space="preserve"> days’ prior written notice o</w:t>
      </w:r>
      <w:r>
        <w:rPr>
          <w:rFonts w:ascii="Arial" w:cs="Arial" w:eastAsia="Arial" w:hAnsi="Arial"/>
          <w:sz w:val="19"/>
          <w:szCs w:val="19"/>
          <w:color w:val="4D4D4D"/>
        </w:rPr>
        <w:t>f</w:t>
      </w:r>
      <w:r>
        <w:rPr>
          <w:rFonts w:ascii="Arial" w:cs="Arial" w:eastAsia="Arial" w:hAnsi="Arial"/>
          <w:sz w:val="19"/>
          <w:szCs w:val="19"/>
          <w:color w:val="161616"/>
        </w:rPr>
        <w:t xml:space="preserve"> any </w:t>
      </w:r>
      <w:r>
        <w:rPr>
          <w:rFonts w:ascii="Arial" w:cs="Arial" w:eastAsia="Arial" w:hAnsi="Arial"/>
          <w:sz w:val="19"/>
          <w:szCs w:val="19"/>
          <w:color w:val="262626"/>
        </w:rPr>
        <w:t>Cosmetic</w:t>
      </w:r>
      <w:r>
        <w:rPr>
          <w:rFonts w:ascii="Arial" w:cs="Arial" w:eastAsia="Arial" w:hAnsi="Arial"/>
          <w:sz w:val="19"/>
          <w:szCs w:val="19"/>
          <w:color w:val="161616"/>
        </w:rPr>
        <w:t xml:space="preserve">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-572770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9" w:lineRule="exact"/>
        <w:rPr>
          <w:sz w:val="20"/>
          <w:szCs w:val="20"/>
          <w:color w:val="auto"/>
        </w:rPr>
      </w:pPr>
    </w:p>
    <w:p>
      <w:pPr>
        <w:jc w:val="both"/>
        <w:ind w:left="180" w:hanging="647"/>
        <w:spacing w:after="0" w:line="218" w:lineRule="auto"/>
        <w:tabs>
          <w:tab w:leader="none" w:pos="160" w:val="left"/>
        </w:tabs>
        <w:rPr>
          <w:sz w:val="20"/>
          <w:szCs w:val="20"/>
          <w:color w:val="auto"/>
        </w:rPr>
      </w:pPr>
      <w:r>
        <w:rPr>
          <w:rFonts w:ascii="Arial" w:cs="Arial" w:eastAsia="Arial" w:hAnsi="Arial"/>
          <w:sz w:val="22"/>
          <w:szCs w:val="22"/>
          <w:color w:val="auto"/>
        </w:rPr>
        <w:t>17.2</w:t>
      </w:r>
      <w:r>
        <w:rPr>
          <w:rFonts w:ascii="Arial" w:cs="Arial" w:eastAsia="Arial" w:hAnsi="Arial"/>
          <w:sz w:val="22"/>
          <w:szCs w:val="22"/>
          <w:color w:val="363636"/>
        </w:rPr>
        <w:tab/>
        <w:t xml:space="preserve">Tenant shall not </w:t>
      </w:r>
      <w:r>
        <w:rPr>
          <w:rFonts w:ascii="Arial" w:cs="Arial" w:eastAsia="Arial" w:hAnsi="Arial"/>
          <w:sz w:val="22"/>
          <w:szCs w:val="22"/>
          <w:color w:val="262626"/>
        </w:rPr>
        <w:t>construct</w:t>
      </w:r>
      <w:r>
        <w:rPr>
          <w:rFonts w:ascii="Arial" w:cs="Arial" w:eastAsia="Arial" w:hAnsi="Arial"/>
          <w:sz w:val="22"/>
          <w:szCs w:val="22"/>
          <w:color w:val="363636"/>
        </w:rPr>
        <w:t xml:space="preserve"> </w:t>
      </w:r>
      <w:r>
        <w:rPr>
          <w:rFonts w:ascii="Arial" w:cs="Arial" w:eastAsia="Arial" w:hAnsi="Arial"/>
          <w:sz w:val="22"/>
          <w:szCs w:val="22"/>
          <w:color w:val="000000"/>
        </w:rPr>
        <w:t>or permit</w:t>
      </w:r>
      <w:r>
        <w:rPr>
          <w:rFonts w:ascii="Arial" w:cs="Arial" w:eastAsia="Arial" w:hAnsi="Arial"/>
          <w:sz w:val="22"/>
          <w:szCs w:val="22"/>
          <w:color w:val="363636"/>
        </w:rPr>
        <w:t xml:space="preserve"> </w:t>
      </w:r>
      <w:r>
        <w:rPr>
          <w:rFonts w:ascii="Arial" w:cs="Arial" w:eastAsia="Arial" w:hAnsi="Arial"/>
          <w:sz w:val="22"/>
          <w:szCs w:val="22"/>
          <w:color w:val="262626"/>
        </w:rPr>
        <w:t>to</w:t>
      </w:r>
      <w:r>
        <w:rPr>
          <w:rFonts w:ascii="Arial" w:cs="Arial" w:eastAsia="Arial" w:hAnsi="Arial"/>
          <w:sz w:val="22"/>
          <w:szCs w:val="22"/>
          <w:color w:val="363636"/>
        </w:rPr>
        <w:t xml:space="preserve"> </w:t>
      </w:r>
      <w:r>
        <w:rPr>
          <w:rFonts w:ascii="Arial" w:cs="Arial" w:eastAsia="Arial" w:hAnsi="Arial"/>
          <w:sz w:val="22"/>
          <w:szCs w:val="22"/>
          <w:color w:val="000000"/>
        </w:rPr>
        <w:t>be</w:t>
      </w:r>
      <w:r>
        <w:rPr>
          <w:rFonts w:ascii="Arial" w:cs="Arial" w:eastAsia="Arial" w:hAnsi="Arial"/>
          <w:sz w:val="22"/>
          <w:szCs w:val="22"/>
          <w:color w:val="363636"/>
        </w:rPr>
        <w:t xml:space="preserve"> </w:t>
      </w:r>
      <w:r>
        <w:rPr>
          <w:rFonts w:ascii="Arial" w:cs="Arial" w:eastAsia="Arial" w:hAnsi="Arial"/>
          <w:sz w:val="22"/>
          <w:szCs w:val="22"/>
          <w:color w:val="262626"/>
        </w:rPr>
        <w:t>constructed</w:t>
      </w:r>
      <w:r>
        <w:rPr>
          <w:rFonts w:ascii="Arial" w:cs="Arial" w:eastAsia="Arial" w:hAnsi="Arial"/>
          <w:sz w:val="22"/>
          <w:szCs w:val="22"/>
          <w:color w:val="363636"/>
        </w:rPr>
        <w:t xml:space="preserve"> </w:t>
      </w:r>
      <w:r>
        <w:rPr>
          <w:rFonts w:ascii="Arial" w:cs="Arial" w:eastAsia="Arial" w:hAnsi="Arial"/>
          <w:sz w:val="22"/>
          <w:szCs w:val="22"/>
          <w:color w:val="000000"/>
        </w:rPr>
        <w:t>partitions or</w:t>
      </w:r>
      <w:r>
        <w:rPr>
          <w:rFonts w:ascii="Arial" w:cs="Arial" w:eastAsia="Arial" w:hAnsi="Arial"/>
          <w:sz w:val="22"/>
          <w:szCs w:val="22"/>
          <w:color w:val="363636"/>
        </w:rPr>
        <w:t xml:space="preserve"> other </w:t>
      </w:r>
      <w:r>
        <w:rPr>
          <w:rFonts w:ascii="Arial" w:cs="Arial" w:eastAsia="Arial" w:hAnsi="Arial"/>
          <w:sz w:val="22"/>
          <w:szCs w:val="22"/>
          <w:color w:val="000000"/>
        </w:rPr>
        <w:t>obstructions</w:t>
      </w:r>
      <w:r>
        <w:rPr>
          <w:rFonts w:ascii="Arial" w:cs="Arial" w:eastAsia="Arial" w:hAnsi="Arial"/>
          <w:sz w:val="22"/>
          <w:szCs w:val="22"/>
          <w:color w:val="363636"/>
        </w:rPr>
        <w:t xml:space="preserve"> </w:t>
      </w:r>
      <w:r>
        <w:rPr>
          <w:rFonts w:ascii="Arial" w:cs="Arial" w:eastAsia="Arial" w:hAnsi="Arial"/>
          <w:sz w:val="22"/>
          <w:szCs w:val="22"/>
          <w:color w:val="262626"/>
        </w:rPr>
        <w:t>that</w:t>
      </w:r>
      <w:r>
        <w:rPr>
          <w:rFonts w:ascii="Arial" w:cs="Arial" w:eastAsia="Arial" w:hAnsi="Arial"/>
          <w:sz w:val="22"/>
          <w:szCs w:val="22"/>
          <w:color w:val="363636"/>
        </w:rPr>
        <w:t xml:space="preserve"> </w:t>
      </w:r>
      <w:r>
        <w:rPr>
          <w:rFonts w:ascii="Arial" w:cs="Arial" w:eastAsia="Arial" w:hAnsi="Arial"/>
          <w:sz w:val="22"/>
          <w:szCs w:val="22"/>
          <w:color w:val="000000"/>
        </w:rPr>
        <w:t>might interfere with free</w:t>
      </w:r>
      <w:r>
        <w:rPr>
          <w:rFonts w:ascii="Arial" w:cs="Arial" w:eastAsia="Arial" w:hAnsi="Arial"/>
          <w:sz w:val="22"/>
          <w:szCs w:val="22"/>
          <w:color w:val="363636"/>
        </w:rPr>
        <w:t xml:space="preserve"> </w:t>
      </w:r>
      <w:r>
        <w:rPr>
          <w:rFonts w:ascii="Arial" w:cs="Arial" w:eastAsia="Arial" w:hAnsi="Arial"/>
          <w:sz w:val="22"/>
          <w:szCs w:val="22"/>
          <w:color w:val="262626"/>
        </w:rPr>
        <w:t xml:space="preserve">access </w:t>
      </w:r>
      <w:r>
        <w:rPr>
          <w:rFonts w:ascii="Arial" w:cs="Arial" w:eastAsia="Arial" w:hAnsi="Arial"/>
          <w:sz w:val="22"/>
          <w:szCs w:val="22"/>
          <w:color w:val="000000"/>
        </w:rPr>
        <w:t>to mechanical installation</w:t>
      </w:r>
      <w:r>
        <w:rPr>
          <w:rFonts w:ascii="Arial" w:cs="Arial" w:eastAsia="Arial" w:hAnsi="Arial"/>
          <w:sz w:val="22"/>
          <w:szCs w:val="22"/>
          <w:color w:val="262626"/>
        </w:rPr>
        <w:t xml:space="preserve"> or service </w:t>
      </w:r>
      <w:r>
        <w:rPr>
          <w:rFonts w:ascii="Arial" w:cs="Arial" w:eastAsia="Arial" w:hAnsi="Arial"/>
          <w:sz w:val="22"/>
          <w:szCs w:val="22"/>
          <w:color w:val="363636"/>
        </w:rPr>
        <w:t>facilities</w:t>
      </w:r>
      <w:r>
        <w:rPr>
          <w:rFonts w:ascii="Arial" w:cs="Arial" w:eastAsia="Arial" w:hAnsi="Arial"/>
          <w:sz w:val="22"/>
          <w:szCs w:val="22"/>
          <w:color w:val="262626"/>
        </w:rPr>
        <w:t xml:space="preserve"> </w:t>
      </w:r>
      <w:r>
        <w:rPr>
          <w:rFonts w:ascii="Arial" w:cs="Arial" w:eastAsia="Arial" w:hAnsi="Arial"/>
          <w:sz w:val="22"/>
          <w:szCs w:val="22"/>
          <w:color w:val="000000"/>
        </w:rPr>
        <w:t>of the Building or</w:t>
      </w:r>
      <w:r>
        <w:rPr>
          <w:rFonts w:ascii="Arial" w:cs="Arial" w:eastAsia="Arial" w:hAnsi="Arial"/>
          <w:sz w:val="22"/>
          <w:szCs w:val="22"/>
          <w:color w:val="262626"/>
        </w:rPr>
        <w:t xml:space="preserve"> with </w:t>
      </w:r>
      <w:r>
        <w:rPr>
          <w:rFonts w:ascii="Arial" w:cs="Arial" w:eastAsia="Arial" w:hAnsi="Arial"/>
          <w:sz w:val="22"/>
          <w:szCs w:val="22"/>
          <w:color w:val="000000"/>
        </w:rPr>
        <w:t>other tenants’ components</w:t>
      </w:r>
      <w:r>
        <w:rPr>
          <w:rFonts w:ascii="Arial" w:cs="Arial" w:eastAsia="Arial" w:hAnsi="Arial"/>
          <w:sz w:val="22"/>
          <w:szCs w:val="22"/>
          <w:color w:val="262626"/>
        </w:rPr>
        <w:t xml:space="preserve"> </w:t>
      </w:r>
      <w:r>
        <w:rPr>
          <w:rFonts w:ascii="Arial" w:cs="Arial" w:eastAsia="Arial" w:hAnsi="Arial"/>
          <w:sz w:val="22"/>
          <w:szCs w:val="22"/>
          <w:color w:val="050505"/>
        </w:rPr>
        <w:t>located</w:t>
      </w:r>
      <w:r>
        <w:rPr>
          <w:rFonts w:ascii="Arial" w:cs="Arial" w:eastAsia="Arial" w:hAnsi="Arial"/>
          <w:sz w:val="22"/>
          <w:szCs w:val="22"/>
          <w:color w:val="262626"/>
        </w:rPr>
        <w:t xml:space="preserve"> </w:t>
      </w:r>
      <w:r>
        <w:rPr>
          <w:rFonts w:ascii="Arial" w:cs="Arial" w:eastAsia="Arial" w:hAnsi="Arial"/>
          <w:sz w:val="22"/>
          <w:szCs w:val="22"/>
          <w:color w:val="363636"/>
        </w:rPr>
        <w:t xml:space="preserve">within </w:t>
      </w:r>
      <w:r>
        <w:rPr>
          <w:rFonts w:ascii="Arial" w:cs="Arial" w:eastAsia="Arial" w:hAnsi="Arial"/>
          <w:sz w:val="22"/>
          <w:szCs w:val="22"/>
          <w:color w:val="000000"/>
        </w:rPr>
        <w:t>the Building, or interfere</w:t>
      </w:r>
      <w:r>
        <w:rPr>
          <w:rFonts w:ascii="Arial" w:cs="Arial" w:eastAsia="Arial" w:hAnsi="Arial"/>
          <w:sz w:val="22"/>
          <w:szCs w:val="22"/>
          <w:color w:val="363636"/>
        </w:rPr>
        <w:t xml:space="preserve"> </w:t>
      </w:r>
      <w:r>
        <w:rPr>
          <w:rFonts w:ascii="Arial" w:cs="Arial" w:eastAsia="Arial" w:hAnsi="Arial"/>
          <w:sz w:val="22"/>
          <w:szCs w:val="22"/>
          <w:color w:val="262626"/>
        </w:rPr>
        <w:t>with</w:t>
      </w:r>
      <w:r>
        <w:rPr>
          <w:rFonts w:ascii="Arial" w:cs="Arial" w:eastAsia="Arial" w:hAnsi="Arial"/>
          <w:sz w:val="22"/>
          <w:szCs w:val="22"/>
          <w:color w:val="363636"/>
        </w:rPr>
        <w:t xml:space="preserve"> </w:t>
      </w:r>
      <w:r>
        <w:rPr>
          <w:rFonts w:ascii="Arial" w:cs="Arial" w:eastAsia="Arial" w:hAnsi="Arial"/>
          <w:sz w:val="22"/>
          <w:szCs w:val="22"/>
          <w:color w:val="000000"/>
        </w:rPr>
        <w:t>the moving</w:t>
      </w:r>
      <w:r>
        <w:rPr>
          <w:rFonts w:ascii="Arial" w:cs="Arial" w:eastAsia="Arial" w:hAnsi="Arial"/>
          <w:sz w:val="22"/>
          <w:szCs w:val="22"/>
          <w:color w:val="363636"/>
        </w:rPr>
        <w:t xml:space="preserve"> </w:t>
      </w:r>
      <w:r>
        <w:rPr>
          <w:rFonts w:ascii="Arial" w:cs="Arial" w:eastAsia="Arial" w:hAnsi="Arial"/>
          <w:sz w:val="22"/>
          <w:szCs w:val="22"/>
          <w:color w:val="262626"/>
        </w:rPr>
        <w:t>of</w:t>
      </w:r>
      <w:r>
        <w:rPr>
          <w:rFonts w:ascii="Arial" w:cs="Arial" w:eastAsia="Arial" w:hAnsi="Arial"/>
          <w:sz w:val="22"/>
          <w:szCs w:val="22"/>
          <w:color w:val="363636"/>
        </w:rPr>
        <w:t xml:space="preserve"> </w:t>
      </w:r>
      <w:r>
        <w:rPr>
          <w:rFonts w:ascii="Arial" w:cs="Arial" w:eastAsia="Arial" w:hAnsi="Arial"/>
          <w:sz w:val="22"/>
          <w:szCs w:val="22"/>
          <w:color w:val="000000"/>
        </w:rPr>
        <w:t>Landlord’s</w:t>
      </w:r>
      <w:r>
        <w:rPr>
          <w:rFonts w:ascii="Arial" w:cs="Arial" w:eastAsia="Arial" w:hAnsi="Arial"/>
          <w:sz w:val="22"/>
          <w:szCs w:val="22"/>
          <w:color w:val="363636"/>
        </w:rPr>
        <w:t xml:space="preserve"> </w:t>
      </w:r>
      <w:r>
        <w:rPr>
          <w:rFonts w:ascii="Arial" w:cs="Arial" w:eastAsia="Arial" w:hAnsi="Arial"/>
          <w:sz w:val="22"/>
          <w:szCs w:val="22"/>
          <w:color w:val="262626"/>
        </w:rPr>
        <w:t>equipment</w:t>
      </w:r>
      <w:r>
        <w:rPr>
          <w:rFonts w:ascii="Arial" w:cs="Arial" w:eastAsia="Arial" w:hAnsi="Arial"/>
          <w:sz w:val="22"/>
          <w:szCs w:val="22"/>
          <w:color w:val="363636"/>
        </w:rPr>
        <w:t xml:space="preserve"> </w:t>
      </w:r>
      <w:r>
        <w:rPr>
          <w:rFonts w:ascii="Arial" w:cs="Arial" w:eastAsia="Arial" w:hAnsi="Arial"/>
          <w:sz w:val="22"/>
          <w:szCs w:val="22"/>
          <w:color w:val="000000"/>
        </w:rPr>
        <w:t>to or from the enclosures containing</w:t>
      </w:r>
      <w:r>
        <w:rPr>
          <w:rFonts w:ascii="Arial" w:cs="Arial" w:eastAsia="Arial" w:hAnsi="Arial"/>
          <w:sz w:val="22"/>
          <w:szCs w:val="22"/>
          <w:color w:val="363636"/>
        </w:rPr>
        <w:t xml:space="preserve"> such installations </w:t>
      </w:r>
      <w:r>
        <w:rPr>
          <w:rFonts w:ascii="Arial" w:cs="Arial" w:eastAsia="Arial" w:hAnsi="Arial"/>
          <w:sz w:val="22"/>
          <w:szCs w:val="22"/>
          <w:color w:val="262626"/>
        </w:rPr>
        <w:t>or</w:t>
      </w:r>
      <w:r>
        <w:rPr>
          <w:rFonts w:ascii="Arial" w:cs="Arial" w:eastAsia="Arial" w:hAnsi="Arial"/>
          <w:sz w:val="22"/>
          <w:szCs w:val="22"/>
          <w:color w:val="363636"/>
        </w:rPr>
        <w:t xml:space="preserve"> </w:t>
      </w:r>
      <w:r>
        <w:rPr>
          <w:rFonts w:ascii="Arial" w:cs="Arial" w:eastAsia="Arial" w:hAnsi="Arial"/>
          <w:sz w:val="22"/>
          <w:szCs w:val="22"/>
          <w:color w:val="000000"/>
        </w:rPr>
        <w:t>facilities.</w:t>
      </w:r>
    </w:p>
    <w:p>
      <w:pPr>
        <w:spacing w:after="0" w:line="161" w:lineRule="exact"/>
        <w:rPr>
          <w:sz w:val="20"/>
          <w:szCs w:val="20"/>
          <w:color w:val="auto"/>
        </w:rPr>
      </w:pPr>
    </w:p>
    <w:p>
      <w:pPr>
        <w:jc w:val="both"/>
        <w:ind w:left="180" w:hanging="647"/>
        <w:spacing w:after="0" w:line="232" w:lineRule="auto"/>
        <w:tabs>
          <w:tab w:leader="none" w:pos="160" w:val="left"/>
        </w:tabs>
        <w:rPr>
          <w:sz w:val="20"/>
          <w:szCs w:val="20"/>
          <w:color w:val="auto"/>
        </w:rPr>
      </w:pPr>
      <w:r>
        <w:rPr>
          <w:rFonts w:ascii="Arial" w:cs="Arial" w:eastAsia="Arial" w:hAnsi="Arial"/>
          <w:sz w:val="22"/>
          <w:szCs w:val="22"/>
          <w:color w:val="auto"/>
        </w:rPr>
        <w:t>17.3</w:t>
        <w:tab/>
        <w:t xml:space="preserve">Tenant </w:t>
      </w:r>
      <w:r>
        <w:rPr>
          <w:rFonts w:ascii="Arial" w:cs="Arial" w:eastAsia="Arial" w:hAnsi="Arial"/>
          <w:sz w:val="22"/>
          <w:szCs w:val="22"/>
          <w:color w:val="262626"/>
        </w:rPr>
        <w:t>shall</w:t>
      </w:r>
      <w:r>
        <w:rPr>
          <w:rFonts w:ascii="Arial" w:cs="Arial" w:eastAsia="Arial" w:hAnsi="Arial"/>
          <w:sz w:val="22"/>
          <w:szCs w:val="22"/>
          <w:color w:val="auto"/>
        </w:rPr>
        <w:t xml:space="preserve"> accomplish any work </w:t>
      </w:r>
      <w:r>
        <w:rPr>
          <w:rFonts w:ascii="Arial" w:cs="Arial" w:eastAsia="Arial" w:hAnsi="Arial"/>
          <w:sz w:val="22"/>
          <w:szCs w:val="22"/>
          <w:color w:val="262626"/>
        </w:rPr>
        <w:t>performed</w:t>
      </w:r>
      <w:r>
        <w:rPr>
          <w:rFonts w:ascii="Arial" w:cs="Arial" w:eastAsia="Arial" w:hAnsi="Arial"/>
          <w:sz w:val="22"/>
          <w:szCs w:val="22"/>
          <w:color w:val="auto"/>
        </w:rPr>
        <w:t xml:space="preserve"> on the Premises or </w:t>
      </w:r>
      <w:r>
        <w:rPr>
          <w:rFonts w:ascii="Arial" w:cs="Arial" w:eastAsia="Arial" w:hAnsi="Arial"/>
          <w:sz w:val="22"/>
          <w:szCs w:val="22"/>
          <w:color w:val="363636"/>
        </w:rPr>
        <w:t>the Building</w:t>
      </w:r>
      <w:r>
        <w:rPr>
          <w:rFonts w:ascii="Arial" w:cs="Arial" w:eastAsia="Arial" w:hAnsi="Arial"/>
          <w:sz w:val="22"/>
          <w:szCs w:val="22"/>
          <w:color w:val="auto"/>
        </w:rPr>
        <w:t xml:space="preserve"> in </w:t>
      </w:r>
      <w:r>
        <w:rPr>
          <w:rFonts w:ascii="Arial" w:cs="Arial" w:eastAsia="Arial" w:hAnsi="Arial"/>
          <w:sz w:val="22"/>
          <w:szCs w:val="22"/>
          <w:color w:val="363636"/>
        </w:rPr>
        <w:t>s</w:t>
      </w:r>
      <w:r>
        <w:rPr>
          <w:rFonts w:ascii="Arial" w:cs="Arial" w:eastAsia="Arial" w:hAnsi="Arial"/>
          <w:sz w:val="22"/>
          <w:szCs w:val="22"/>
          <w:color w:val="050505"/>
        </w:rPr>
        <w:t>u</w:t>
      </w:r>
      <w:r>
        <w:rPr>
          <w:rFonts w:ascii="Arial" w:cs="Arial" w:eastAsia="Arial" w:hAnsi="Arial"/>
          <w:sz w:val="22"/>
          <w:szCs w:val="22"/>
          <w:color w:val="262626"/>
        </w:rPr>
        <w:t>ch</w:t>
      </w:r>
      <w:r>
        <w:rPr>
          <w:rFonts w:ascii="Arial" w:cs="Arial" w:eastAsia="Arial" w:hAnsi="Arial"/>
          <w:sz w:val="22"/>
          <w:szCs w:val="22"/>
          <w:color w:val="auto"/>
        </w:rPr>
        <w:t xml:space="preserve"> a </w:t>
      </w:r>
      <w:r>
        <w:rPr>
          <w:rFonts w:ascii="Arial" w:cs="Arial" w:eastAsia="Arial" w:hAnsi="Arial"/>
          <w:sz w:val="22"/>
          <w:szCs w:val="22"/>
          <w:color w:val="262626"/>
        </w:rPr>
        <w:t>manner as</w:t>
      </w:r>
      <w:r>
        <w:rPr>
          <w:rFonts w:ascii="Arial" w:cs="Arial" w:eastAsia="Arial" w:hAnsi="Arial"/>
          <w:sz w:val="22"/>
          <w:szCs w:val="22"/>
          <w:color w:val="auto"/>
        </w:rPr>
        <w:t xml:space="preserve"> </w:t>
      </w:r>
      <w:r>
        <w:rPr>
          <w:rFonts w:ascii="Arial" w:cs="Arial" w:eastAsia="Arial" w:hAnsi="Arial"/>
          <w:sz w:val="22"/>
          <w:szCs w:val="22"/>
          <w:color w:val="363636"/>
        </w:rPr>
        <w:t>to</w:t>
      </w:r>
      <w:r>
        <w:rPr>
          <w:rFonts w:ascii="Arial" w:cs="Arial" w:eastAsia="Arial" w:hAnsi="Arial"/>
          <w:sz w:val="22"/>
          <w:szCs w:val="22"/>
          <w:color w:val="auto"/>
        </w:rPr>
        <w:t xml:space="preserve"> permit any life safety </w:t>
      </w:r>
      <w:r>
        <w:rPr>
          <w:rFonts w:ascii="Arial" w:cs="Arial" w:eastAsia="Arial" w:hAnsi="Arial"/>
          <w:sz w:val="22"/>
          <w:szCs w:val="22"/>
          <w:color w:val="262626"/>
        </w:rPr>
        <w:t>systems</w:t>
      </w:r>
      <w:r>
        <w:rPr>
          <w:rFonts w:ascii="Arial" w:cs="Arial" w:eastAsia="Arial" w:hAnsi="Arial"/>
          <w:sz w:val="22"/>
          <w:szCs w:val="22"/>
          <w:color w:val="auto"/>
        </w:rPr>
        <w:t xml:space="preserve"> to remain fully operable </w:t>
      </w:r>
      <w:r>
        <w:rPr>
          <w:rFonts w:ascii="Arial" w:cs="Arial" w:eastAsia="Arial" w:hAnsi="Arial"/>
          <w:sz w:val="22"/>
          <w:szCs w:val="22"/>
          <w:color w:val="262626"/>
        </w:rPr>
        <w:t>at all</w:t>
      </w:r>
      <w:r>
        <w:rPr>
          <w:rFonts w:ascii="Arial" w:cs="Arial" w:eastAsia="Arial" w:hAnsi="Arial"/>
          <w:sz w:val="22"/>
          <w:szCs w:val="22"/>
          <w:color w:val="auto"/>
        </w:rPr>
        <w:t xml:space="preserve"> times.</w:t>
      </w:r>
    </w:p>
    <w:p>
      <w:pPr>
        <w:spacing w:after="0" w:line="159" w:lineRule="exact"/>
        <w:rPr>
          <w:sz w:val="20"/>
          <w:szCs w:val="20"/>
          <w:color w:val="auto"/>
        </w:rPr>
      </w:pPr>
    </w:p>
    <w:p>
      <w:pPr>
        <w:jc w:val="both"/>
        <w:ind w:left="180" w:hanging="647"/>
        <w:spacing w:after="0" w:line="249" w:lineRule="auto"/>
        <w:tabs>
          <w:tab w:leader="none" w:pos="16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262626"/>
        </w:rPr>
        <w:t xml:space="preserve">Any work </w:t>
      </w:r>
      <w:r>
        <w:rPr>
          <w:rFonts w:ascii="Arial" w:cs="Arial" w:eastAsia="Arial" w:hAnsi="Arial"/>
          <w:sz w:val="19"/>
          <w:szCs w:val="19"/>
          <w:color w:val="000000"/>
        </w:rPr>
        <w:t>performed</w:t>
      </w:r>
      <w:r>
        <w:rPr>
          <w:rFonts w:ascii="Arial" w:cs="Arial" w:eastAsia="Arial" w:hAnsi="Arial"/>
          <w:sz w:val="19"/>
          <w:szCs w:val="19"/>
          <w:color w:val="262626"/>
        </w:rPr>
        <w:t xml:space="preserve"> on </w:t>
      </w:r>
      <w:r>
        <w:rPr>
          <w:rFonts w:ascii="Arial" w:cs="Arial" w:eastAsia="Arial" w:hAnsi="Arial"/>
          <w:sz w:val="19"/>
          <w:szCs w:val="19"/>
          <w:color w:val="000000"/>
        </w:rPr>
        <w:t>the Premises, the</w:t>
      </w:r>
      <w:r>
        <w:rPr>
          <w:rFonts w:ascii="Arial" w:cs="Arial" w:eastAsia="Arial" w:hAnsi="Arial"/>
          <w:sz w:val="19"/>
          <w:szCs w:val="19"/>
          <w:color w:val="262626"/>
        </w:rPr>
        <w:t xml:space="preserve"> </w:t>
      </w:r>
      <w:r>
        <w:rPr>
          <w:rFonts w:ascii="Arial" w:cs="Arial" w:eastAsia="Arial" w:hAnsi="Arial"/>
          <w:sz w:val="19"/>
          <w:szCs w:val="19"/>
          <w:color w:val="363636"/>
        </w:rPr>
        <w:t>Building</w:t>
      </w:r>
      <w:r>
        <w:rPr>
          <w:rFonts w:ascii="Arial" w:cs="Arial" w:eastAsia="Arial" w:hAnsi="Arial"/>
          <w:sz w:val="19"/>
          <w:szCs w:val="19"/>
          <w:color w:val="262626"/>
        </w:rPr>
        <w:t xml:space="preserve"> or </w:t>
      </w:r>
      <w:r>
        <w:rPr>
          <w:rFonts w:ascii="Arial" w:cs="Arial" w:eastAsia="Arial" w:hAnsi="Arial"/>
          <w:sz w:val="19"/>
          <w:szCs w:val="19"/>
          <w:color w:val="000000"/>
        </w:rPr>
        <w:t>the Project by</w:t>
      </w:r>
      <w:r>
        <w:rPr>
          <w:rFonts w:ascii="Arial" w:cs="Arial" w:eastAsia="Arial" w:hAnsi="Arial"/>
          <w:sz w:val="19"/>
          <w:szCs w:val="19"/>
          <w:color w:val="262626"/>
        </w:rPr>
        <w:t xml:space="preserve"> Tenant </w:t>
      </w:r>
      <w:r>
        <w:rPr>
          <w:rFonts w:ascii="Arial" w:cs="Arial" w:eastAsia="Arial" w:hAnsi="Arial"/>
          <w:sz w:val="19"/>
          <w:szCs w:val="19"/>
          <w:color w:val="000000"/>
        </w:rPr>
        <w:t>or Tenant’s contractors</w:t>
      </w:r>
      <w:r>
        <w:rPr>
          <w:rFonts w:ascii="Arial" w:cs="Arial" w:eastAsia="Arial" w:hAnsi="Arial"/>
          <w:sz w:val="19"/>
          <w:szCs w:val="19"/>
          <w:color w:val="262626"/>
        </w:rPr>
        <w:t xml:space="preserve"> </w:t>
      </w:r>
      <w:r>
        <w:rPr>
          <w:rFonts w:ascii="Arial" w:cs="Arial" w:eastAsia="Arial" w:hAnsi="Arial"/>
          <w:sz w:val="19"/>
          <w:szCs w:val="19"/>
          <w:color w:val="363636"/>
        </w:rPr>
        <w:t>shall</w:t>
      </w:r>
      <w:r>
        <w:rPr>
          <w:rFonts w:ascii="Arial" w:cs="Arial" w:eastAsia="Arial" w:hAnsi="Arial"/>
          <w:sz w:val="19"/>
          <w:szCs w:val="19"/>
          <w:color w:val="262626"/>
        </w:rPr>
        <w:t xml:space="preserve"> </w:t>
      </w:r>
      <w:r>
        <w:rPr>
          <w:rFonts w:ascii="Arial" w:cs="Arial" w:eastAsia="Arial" w:hAnsi="Arial"/>
          <w:sz w:val="19"/>
          <w:szCs w:val="19"/>
          <w:color w:val="000000"/>
        </w:rPr>
        <w:t>be</w:t>
      </w:r>
      <w:r>
        <w:rPr>
          <w:rFonts w:ascii="Arial" w:cs="Arial" w:eastAsia="Arial" w:hAnsi="Arial"/>
          <w:sz w:val="19"/>
          <w:szCs w:val="19"/>
          <w:color w:val="262626"/>
        </w:rPr>
        <w:t xml:space="preserve"> done at </w:t>
      </w:r>
      <w:r>
        <w:rPr>
          <w:rFonts w:ascii="Arial" w:cs="Arial" w:eastAsia="Arial" w:hAnsi="Arial"/>
          <w:sz w:val="19"/>
          <w:szCs w:val="19"/>
          <w:color w:val="363636"/>
        </w:rPr>
        <w:t>such</w:t>
      </w:r>
      <w:r>
        <w:rPr>
          <w:rFonts w:ascii="Arial" w:cs="Arial" w:eastAsia="Arial" w:hAnsi="Arial"/>
          <w:sz w:val="19"/>
          <w:szCs w:val="19"/>
          <w:color w:val="262626"/>
        </w:rPr>
        <w:t xml:space="preserve"> </w:t>
      </w:r>
      <w:r>
        <w:rPr>
          <w:rFonts w:ascii="Arial" w:cs="Arial" w:eastAsia="Arial" w:hAnsi="Arial"/>
          <w:sz w:val="19"/>
          <w:szCs w:val="19"/>
          <w:color w:val="000000"/>
        </w:rPr>
        <w:t>times</w:t>
      </w:r>
      <w:r>
        <w:rPr>
          <w:rFonts w:ascii="Arial" w:cs="Arial" w:eastAsia="Arial" w:hAnsi="Arial"/>
          <w:sz w:val="19"/>
          <w:szCs w:val="19"/>
          <w:color w:val="262626"/>
        </w:rPr>
        <w:t xml:space="preserve"> and in </w:t>
      </w:r>
      <w:r>
        <w:rPr>
          <w:rFonts w:ascii="Arial" w:cs="Arial" w:eastAsia="Arial" w:hAnsi="Arial"/>
          <w:sz w:val="19"/>
          <w:szCs w:val="19"/>
          <w:color w:val="363636"/>
        </w:rPr>
        <w:t>such</w:t>
      </w:r>
      <w:r>
        <w:rPr>
          <w:rFonts w:ascii="Arial" w:cs="Arial" w:eastAsia="Arial" w:hAnsi="Arial"/>
          <w:sz w:val="19"/>
          <w:szCs w:val="19"/>
          <w:color w:val="262626"/>
        </w:rPr>
        <w:t xml:space="preserve"> </w:t>
      </w:r>
      <w:r>
        <w:rPr>
          <w:rFonts w:ascii="Arial" w:cs="Arial" w:eastAsia="Arial" w:hAnsi="Arial"/>
          <w:sz w:val="19"/>
          <w:szCs w:val="19"/>
          <w:color w:val="000000"/>
        </w:rPr>
        <w:t>manner</w:t>
      </w:r>
      <w:r>
        <w:rPr>
          <w:rFonts w:ascii="Arial" w:cs="Arial" w:eastAsia="Arial" w:hAnsi="Arial"/>
          <w:sz w:val="19"/>
          <w:szCs w:val="19"/>
          <w:color w:val="262626"/>
        </w:rPr>
        <w:t xml:space="preserve"> as Landlord </w:t>
      </w:r>
      <w:r>
        <w:rPr>
          <w:rFonts w:ascii="Arial" w:cs="Arial" w:eastAsia="Arial" w:hAnsi="Arial"/>
          <w:sz w:val="19"/>
          <w:szCs w:val="19"/>
          <w:color w:val="000000"/>
        </w:rPr>
        <w:t>may</w:t>
      </w:r>
      <w:r>
        <w:rPr>
          <w:rFonts w:ascii="Arial" w:cs="Arial" w:eastAsia="Arial" w:hAnsi="Arial"/>
          <w:sz w:val="19"/>
          <w:szCs w:val="19"/>
          <w:color w:val="262626"/>
        </w:rPr>
        <w:t xml:space="preserve"> from </w:t>
      </w:r>
      <w:r>
        <w:rPr>
          <w:rFonts w:ascii="Arial" w:cs="Arial" w:eastAsia="Arial" w:hAnsi="Arial"/>
          <w:sz w:val="19"/>
          <w:szCs w:val="19"/>
          <w:color w:val="000000"/>
        </w:rPr>
        <w:t>time to time reasonably</w:t>
      </w:r>
      <w:r>
        <w:rPr>
          <w:rFonts w:ascii="Arial" w:cs="Arial" w:eastAsia="Arial" w:hAnsi="Arial"/>
          <w:sz w:val="19"/>
          <w:szCs w:val="19"/>
          <w:color w:val="262626"/>
        </w:rPr>
        <w:t xml:space="preserve"> </w:t>
      </w:r>
      <w:r>
        <w:rPr>
          <w:rFonts w:ascii="Arial" w:cs="Arial" w:eastAsia="Arial" w:hAnsi="Arial"/>
          <w:sz w:val="19"/>
          <w:szCs w:val="19"/>
          <w:color w:val="050505"/>
        </w:rPr>
        <w:t>designate.</w:t>
      </w:r>
      <w:r>
        <w:rPr>
          <w:rFonts w:ascii="Arial" w:cs="Arial" w:eastAsia="Arial" w:hAnsi="Arial"/>
          <w:sz w:val="19"/>
          <w:szCs w:val="19"/>
          <w:color w:val="262626"/>
        </w:rPr>
        <w:t xml:space="preserve"> </w:t>
      </w:r>
      <w:r>
        <w:rPr>
          <w:rFonts w:ascii="Arial" w:cs="Arial" w:eastAsia="Arial" w:hAnsi="Arial"/>
          <w:sz w:val="19"/>
          <w:szCs w:val="19"/>
          <w:color w:val="000000"/>
        </w:rPr>
        <w:t>Tenant</w:t>
      </w:r>
      <w:r>
        <w:rPr>
          <w:rFonts w:ascii="Arial" w:cs="Arial" w:eastAsia="Arial" w:hAnsi="Arial"/>
          <w:sz w:val="19"/>
          <w:szCs w:val="19"/>
          <w:color w:val="262626"/>
        </w:rPr>
        <w:t xml:space="preserve"> covenants and agrees </w:t>
      </w:r>
      <w:r>
        <w:rPr>
          <w:rFonts w:ascii="Arial" w:cs="Arial" w:eastAsia="Arial" w:hAnsi="Arial"/>
          <w:sz w:val="19"/>
          <w:szCs w:val="19"/>
          <w:color w:val="000000"/>
        </w:rPr>
        <w:t>that all work done</w:t>
      </w:r>
      <w:r>
        <w:rPr>
          <w:rFonts w:ascii="Arial" w:cs="Arial" w:eastAsia="Arial" w:hAnsi="Arial"/>
          <w:sz w:val="19"/>
          <w:szCs w:val="19"/>
          <w:color w:val="262626"/>
        </w:rPr>
        <w:t xml:space="preserve"> by </w:t>
      </w:r>
      <w:r>
        <w:rPr>
          <w:rFonts w:ascii="Arial" w:cs="Arial" w:eastAsia="Arial" w:hAnsi="Arial"/>
          <w:sz w:val="19"/>
          <w:szCs w:val="19"/>
          <w:color w:val="363636"/>
        </w:rPr>
        <w:t>Tenant</w:t>
      </w:r>
      <w:r>
        <w:rPr>
          <w:rFonts w:ascii="Arial" w:cs="Arial" w:eastAsia="Arial" w:hAnsi="Arial"/>
          <w:sz w:val="19"/>
          <w:szCs w:val="19"/>
          <w:color w:val="262626"/>
        </w:rPr>
        <w:t xml:space="preserve"> </w:t>
      </w:r>
      <w:r>
        <w:rPr>
          <w:rFonts w:ascii="Arial" w:cs="Arial" w:eastAsia="Arial" w:hAnsi="Arial"/>
          <w:sz w:val="19"/>
          <w:szCs w:val="19"/>
          <w:color w:val="000000"/>
        </w:rPr>
        <w:t>or</w:t>
      </w:r>
      <w:r>
        <w:rPr>
          <w:rFonts w:ascii="Arial" w:cs="Arial" w:eastAsia="Arial" w:hAnsi="Arial"/>
          <w:sz w:val="19"/>
          <w:szCs w:val="19"/>
          <w:color w:val="262626"/>
        </w:rPr>
        <w:t xml:space="preserve"> Tenant’s </w:t>
      </w:r>
      <w:r>
        <w:rPr>
          <w:rFonts w:ascii="Arial" w:cs="Arial" w:eastAsia="Arial" w:hAnsi="Arial"/>
          <w:sz w:val="19"/>
          <w:szCs w:val="19"/>
          <w:color w:val="000000"/>
        </w:rPr>
        <w:t>contractors</w:t>
      </w:r>
      <w:r>
        <w:rPr>
          <w:rFonts w:ascii="Arial" w:cs="Arial" w:eastAsia="Arial" w:hAnsi="Arial"/>
          <w:sz w:val="19"/>
          <w:szCs w:val="19"/>
          <w:color w:val="262626"/>
        </w:rPr>
        <w:t xml:space="preserve"> </w:t>
      </w:r>
      <w:r>
        <w:rPr>
          <w:rFonts w:ascii="Arial" w:cs="Arial" w:eastAsia="Arial" w:hAnsi="Arial"/>
          <w:sz w:val="19"/>
          <w:szCs w:val="19"/>
          <w:color w:val="363636"/>
        </w:rPr>
        <w:t>shall</w:t>
      </w:r>
      <w:r>
        <w:rPr>
          <w:rFonts w:ascii="Arial" w:cs="Arial" w:eastAsia="Arial" w:hAnsi="Arial"/>
          <w:sz w:val="19"/>
          <w:szCs w:val="19"/>
          <w:color w:val="262626"/>
        </w:rPr>
        <w:t xml:space="preserve"> be </w:t>
      </w:r>
      <w:r>
        <w:rPr>
          <w:rFonts w:ascii="Arial" w:cs="Arial" w:eastAsia="Arial" w:hAnsi="Arial"/>
          <w:sz w:val="19"/>
          <w:szCs w:val="19"/>
          <w:color w:val="000000"/>
        </w:rPr>
        <w:t>performed</w:t>
      </w:r>
      <w:r>
        <w:rPr>
          <w:rFonts w:ascii="Arial" w:cs="Arial" w:eastAsia="Arial" w:hAnsi="Arial"/>
          <w:sz w:val="19"/>
          <w:szCs w:val="19"/>
          <w:color w:val="262626"/>
        </w:rPr>
        <w:t xml:space="preserve"> in </w:t>
      </w:r>
      <w:r>
        <w:rPr>
          <w:rFonts w:ascii="Arial" w:cs="Arial" w:eastAsia="Arial" w:hAnsi="Arial"/>
          <w:sz w:val="19"/>
          <w:szCs w:val="19"/>
          <w:color w:val="000000"/>
        </w:rPr>
        <w:t>full</w:t>
      </w:r>
      <w:r>
        <w:rPr>
          <w:rFonts w:ascii="Arial" w:cs="Arial" w:eastAsia="Arial" w:hAnsi="Arial"/>
          <w:sz w:val="19"/>
          <w:szCs w:val="19"/>
          <w:color w:val="262626"/>
        </w:rPr>
        <w:t xml:space="preserve"> compliance with Applicable </w:t>
      </w:r>
      <w:r>
        <w:rPr>
          <w:rFonts w:ascii="Arial" w:cs="Arial" w:eastAsia="Arial" w:hAnsi="Arial"/>
          <w:sz w:val="19"/>
          <w:szCs w:val="19"/>
          <w:color w:val="000000"/>
        </w:rPr>
        <w:t xml:space="preserve">Laws. 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w:t>
      </w:r>
      <w:r>
        <w:rPr>
          <w:rFonts w:ascii="Arial" w:cs="Arial" w:eastAsia="Arial" w:hAnsi="Arial"/>
          <w:sz w:val="19"/>
          <w:szCs w:val="19"/>
          <w:color w:val="262626"/>
        </w:rPr>
        <w:t>after completion</w:t>
      </w:r>
      <w:r>
        <w:rPr>
          <w:rFonts w:ascii="Arial" w:cs="Arial" w:eastAsia="Arial" w:hAnsi="Arial"/>
          <w:sz w:val="19"/>
          <w:szCs w:val="19"/>
          <w:color w:val="000000"/>
        </w:rPr>
        <w:t xml:space="preserve"> of any Alterations, </w:t>
      </w:r>
      <w:r>
        <w:rPr>
          <w:rFonts w:ascii="Arial" w:cs="Arial" w:eastAsia="Arial" w:hAnsi="Arial"/>
          <w:sz w:val="19"/>
          <w:szCs w:val="19"/>
          <w:color w:val="4D4D4D"/>
        </w:rPr>
        <w:t>Te</w:t>
      </w:r>
      <w:r>
        <w:rPr>
          <w:rFonts w:ascii="Arial" w:cs="Arial" w:eastAsia="Arial" w:hAnsi="Arial"/>
          <w:sz w:val="19"/>
          <w:szCs w:val="19"/>
          <w:color w:val="050505"/>
        </w:rPr>
        <w:t>nant</w:t>
      </w:r>
      <w:r>
        <w:rPr>
          <w:rFonts w:ascii="Arial" w:cs="Arial" w:eastAsia="Arial" w:hAnsi="Arial"/>
          <w:sz w:val="19"/>
          <w:szCs w:val="19"/>
          <w:color w:val="000000"/>
        </w:rPr>
        <w:t xml:space="preserve"> </w:t>
      </w:r>
      <w:r>
        <w:rPr>
          <w:rFonts w:ascii="Arial" w:cs="Arial" w:eastAsia="Arial" w:hAnsi="Arial"/>
          <w:sz w:val="19"/>
          <w:szCs w:val="19"/>
          <w:color w:val="363636"/>
        </w:rPr>
        <w:t>shall</w:t>
      </w:r>
      <w:r>
        <w:rPr>
          <w:rFonts w:ascii="Arial" w:cs="Arial" w:eastAsia="Arial" w:hAnsi="Arial"/>
          <w:sz w:val="19"/>
          <w:szCs w:val="19"/>
          <w:color w:val="000000"/>
        </w:rPr>
        <w:t xml:space="preserve"> provide Landlord </w:t>
      </w:r>
      <w:r>
        <w:rPr>
          <w:rFonts w:ascii="Arial" w:cs="Arial" w:eastAsia="Arial" w:hAnsi="Arial"/>
          <w:sz w:val="19"/>
          <w:szCs w:val="19"/>
          <w:color w:val="262626"/>
        </w:rPr>
        <w:t>with complete</w:t>
      </w:r>
      <w:r>
        <w:rPr>
          <w:rFonts w:ascii="Arial" w:cs="Arial" w:eastAsia="Arial" w:hAnsi="Arial"/>
          <w:sz w:val="19"/>
          <w:szCs w:val="19"/>
          <w:color w:val="000000"/>
        </w:rPr>
        <w:t xml:space="preserve"> “as-built” drawing print </w:t>
      </w:r>
      <w:r>
        <w:rPr>
          <w:rFonts w:ascii="Arial" w:cs="Arial" w:eastAsia="Arial" w:hAnsi="Arial"/>
          <w:sz w:val="19"/>
          <w:szCs w:val="19"/>
          <w:color w:val="363636"/>
        </w:rPr>
        <w:t>sets</w:t>
      </w:r>
      <w:r>
        <w:rPr>
          <w:rFonts w:ascii="Arial" w:cs="Arial" w:eastAsia="Arial" w:hAnsi="Arial"/>
          <w:sz w:val="19"/>
          <w:szCs w:val="19"/>
          <w:color w:val="000000"/>
        </w:rPr>
        <w:t xml:space="preserve"> and electronic </w:t>
      </w:r>
      <w:r>
        <w:rPr>
          <w:rFonts w:ascii="Arial" w:cs="Arial" w:eastAsia="Arial" w:hAnsi="Arial"/>
          <w:sz w:val="19"/>
          <w:szCs w:val="19"/>
          <w:color w:val="262626"/>
        </w:rPr>
        <w:t>CADD</w:t>
      </w:r>
      <w:r>
        <w:rPr>
          <w:rFonts w:ascii="Arial" w:cs="Arial" w:eastAsia="Arial" w:hAnsi="Arial"/>
          <w:sz w:val="19"/>
          <w:szCs w:val="19"/>
          <w:color w:val="000000"/>
        </w:rPr>
        <w:t xml:space="preserve"> files </w:t>
      </w:r>
      <w:r>
        <w:rPr>
          <w:rFonts w:ascii="Arial" w:cs="Arial" w:eastAsia="Arial" w:hAnsi="Arial"/>
          <w:sz w:val="19"/>
          <w:szCs w:val="19"/>
          <w:color w:val="262626"/>
        </w:rPr>
        <w:t>on</w:t>
      </w:r>
      <w:r>
        <w:rPr>
          <w:rFonts w:ascii="Arial" w:cs="Arial" w:eastAsia="Arial" w:hAnsi="Arial"/>
          <w:sz w:val="19"/>
          <w:szCs w:val="19"/>
          <w:color w:val="000000"/>
        </w:rPr>
        <w:t xml:space="preserve"> disc </w:t>
      </w:r>
      <w:r>
        <w:rPr>
          <w:rFonts w:ascii="Arial" w:cs="Arial" w:eastAsia="Arial" w:hAnsi="Arial"/>
          <w:sz w:val="19"/>
          <w:szCs w:val="19"/>
          <w:color w:val="262626"/>
        </w:rPr>
        <w:t>(</w:t>
      </w:r>
      <w:r>
        <w:rPr>
          <w:rFonts w:ascii="Arial" w:cs="Arial" w:eastAsia="Arial" w:hAnsi="Arial"/>
          <w:sz w:val="19"/>
          <w:szCs w:val="19"/>
          <w:color w:val="000000"/>
        </w:rPr>
        <w:t xml:space="preserve">or files </w:t>
      </w:r>
      <w:r>
        <w:rPr>
          <w:rFonts w:ascii="Arial" w:cs="Arial" w:eastAsia="Arial" w:hAnsi="Arial"/>
          <w:sz w:val="19"/>
          <w:szCs w:val="19"/>
          <w:color w:val="363636"/>
        </w:rPr>
        <w:t>in</w:t>
      </w:r>
      <w:r>
        <w:rPr>
          <w:rFonts w:ascii="Arial" w:cs="Arial" w:eastAsia="Arial" w:hAnsi="Arial"/>
          <w:sz w:val="19"/>
          <w:szCs w:val="19"/>
          <w:color w:val="000000"/>
        </w:rPr>
        <w:t xml:space="preserve"> </w:t>
      </w:r>
      <w:r>
        <w:rPr>
          <w:rFonts w:ascii="Arial" w:cs="Arial" w:eastAsia="Arial" w:hAnsi="Arial"/>
          <w:sz w:val="19"/>
          <w:szCs w:val="19"/>
          <w:color w:val="262626"/>
        </w:rPr>
        <w:t>such</w:t>
      </w:r>
      <w:r>
        <w:rPr>
          <w:rFonts w:ascii="Arial" w:cs="Arial" w:eastAsia="Arial" w:hAnsi="Arial"/>
          <w:sz w:val="19"/>
          <w:szCs w:val="19"/>
          <w:color w:val="000000"/>
        </w:rPr>
        <w:t xml:space="preserve"> other </w:t>
      </w:r>
      <w:r>
        <w:rPr>
          <w:rFonts w:ascii="Arial" w:cs="Arial" w:eastAsia="Arial" w:hAnsi="Arial"/>
          <w:sz w:val="19"/>
          <w:szCs w:val="19"/>
          <w:color w:val="262626"/>
        </w:rPr>
        <w:t>current</w:t>
      </w:r>
      <w:r>
        <w:rPr>
          <w:rFonts w:ascii="Arial" w:cs="Arial" w:eastAsia="Arial" w:hAnsi="Arial"/>
          <w:sz w:val="19"/>
          <w:szCs w:val="19"/>
          <w:color w:val="000000"/>
        </w:rPr>
        <w:t xml:space="preserve"> format </w:t>
      </w:r>
      <w:r>
        <w:rPr>
          <w:rFonts w:ascii="Arial" w:cs="Arial" w:eastAsia="Arial" w:hAnsi="Arial"/>
          <w:sz w:val="19"/>
          <w:szCs w:val="19"/>
          <w:color w:val="363636"/>
        </w:rPr>
        <w:t>in</w:t>
      </w:r>
      <w:r>
        <w:rPr>
          <w:rFonts w:ascii="Arial" w:cs="Arial" w:eastAsia="Arial" w:hAnsi="Arial"/>
          <w:sz w:val="19"/>
          <w:szCs w:val="19"/>
          <w:color w:val="000000"/>
        </w:rPr>
        <w:t xml:space="preserve"> </w:t>
      </w:r>
      <w:r>
        <w:rPr>
          <w:rFonts w:ascii="Arial" w:cs="Arial" w:eastAsia="Arial" w:hAnsi="Arial"/>
          <w:sz w:val="19"/>
          <w:szCs w:val="19"/>
          <w:color w:val="262626"/>
        </w:rPr>
        <w:t>common</w:t>
      </w:r>
      <w:r>
        <w:rPr>
          <w:rFonts w:ascii="Arial" w:cs="Arial" w:eastAsia="Arial" w:hAnsi="Arial"/>
          <w:sz w:val="19"/>
          <w:szCs w:val="19"/>
          <w:color w:val="000000"/>
        </w:rPr>
        <w:t xml:space="preserve"> use </w:t>
      </w:r>
      <w:r>
        <w:rPr>
          <w:rFonts w:ascii="Arial" w:cs="Arial" w:eastAsia="Arial" w:hAnsi="Arial"/>
          <w:sz w:val="19"/>
          <w:szCs w:val="19"/>
          <w:color w:val="262626"/>
        </w:rPr>
        <w:t>as</w:t>
      </w:r>
      <w:r>
        <w:rPr>
          <w:rFonts w:ascii="Arial" w:cs="Arial" w:eastAsia="Arial" w:hAnsi="Arial"/>
          <w:sz w:val="19"/>
          <w:szCs w:val="19"/>
          <w:color w:val="000000"/>
        </w:rPr>
        <w:t xml:space="preserve"> </w:t>
      </w:r>
      <w:r>
        <w:rPr>
          <w:rFonts w:ascii="Arial" w:cs="Arial" w:eastAsia="Arial" w:hAnsi="Arial"/>
          <w:sz w:val="19"/>
          <w:szCs w:val="19"/>
          <w:color w:val="262626"/>
        </w:rPr>
        <w:t xml:space="preserve">Landlord </w:t>
      </w:r>
      <w:r>
        <w:rPr>
          <w:rFonts w:ascii="Arial" w:cs="Arial" w:eastAsia="Arial" w:hAnsi="Arial"/>
          <w:sz w:val="19"/>
          <w:szCs w:val="19"/>
          <w:color w:val="000000"/>
        </w:rPr>
        <w:t>reasonably approves</w:t>
      </w:r>
      <w:r>
        <w:rPr>
          <w:rFonts w:ascii="Arial" w:cs="Arial" w:eastAsia="Arial" w:hAnsi="Arial"/>
          <w:sz w:val="19"/>
          <w:szCs w:val="19"/>
          <w:color w:val="262626"/>
        </w:rPr>
        <w:t xml:space="preserve"> or </w:t>
      </w:r>
      <w:r>
        <w:rPr>
          <w:rFonts w:ascii="Arial" w:cs="Arial" w:eastAsia="Arial" w:hAnsi="Arial"/>
          <w:sz w:val="19"/>
          <w:szCs w:val="19"/>
          <w:color w:val="363636"/>
        </w:rPr>
        <w:t>requires) showing</w:t>
      </w:r>
      <w:r>
        <w:rPr>
          <w:rFonts w:ascii="Arial" w:cs="Arial" w:eastAsia="Arial" w:hAnsi="Arial"/>
          <w:sz w:val="19"/>
          <w:szCs w:val="19"/>
          <w:color w:val="262626"/>
        </w:rPr>
        <w:t xml:space="preserve"> </w:t>
      </w:r>
      <w:r>
        <w:rPr>
          <w:rFonts w:ascii="Arial" w:cs="Arial" w:eastAsia="Arial" w:hAnsi="Arial"/>
          <w:sz w:val="19"/>
          <w:szCs w:val="19"/>
          <w:color w:val="000000"/>
        </w:rPr>
        <w:t>any</w:t>
      </w:r>
      <w:r>
        <w:rPr>
          <w:rFonts w:ascii="Arial" w:cs="Arial" w:eastAsia="Arial" w:hAnsi="Arial"/>
          <w:sz w:val="19"/>
          <w:szCs w:val="19"/>
          <w:color w:val="262626"/>
        </w:rPr>
        <w:t xml:space="preserve"> </w:t>
      </w:r>
      <w:r>
        <w:rPr>
          <w:rFonts w:ascii="Arial" w:cs="Arial" w:eastAsia="Arial" w:hAnsi="Arial"/>
          <w:sz w:val="19"/>
          <w:szCs w:val="19"/>
          <w:color w:val="363636"/>
        </w:rPr>
        <w:t>changes</w:t>
      </w:r>
      <w:r>
        <w:rPr>
          <w:rFonts w:ascii="Arial" w:cs="Arial" w:eastAsia="Arial" w:hAnsi="Arial"/>
          <w:sz w:val="19"/>
          <w:szCs w:val="19"/>
          <w:color w:val="262626"/>
        </w:rPr>
        <w:t xml:space="preserve"> </w:t>
      </w:r>
      <w:r>
        <w:rPr>
          <w:rFonts w:ascii="Arial" w:cs="Arial" w:eastAsia="Arial" w:hAnsi="Arial"/>
          <w:sz w:val="19"/>
          <w:szCs w:val="19"/>
          <w:color w:val="000000"/>
        </w:rPr>
        <w:t>in the Premises.</w:t>
      </w:r>
    </w:p>
    <w:p>
      <w:pPr>
        <w:spacing w:after="0" w:line="152" w:lineRule="exact"/>
        <w:rPr>
          <w:sz w:val="20"/>
          <w:szCs w:val="20"/>
          <w:color w:val="auto"/>
        </w:rPr>
      </w:pPr>
    </w:p>
    <w:p>
      <w:pPr>
        <w:jc w:val="both"/>
        <w:ind w:left="180" w:hanging="647"/>
        <w:spacing w:after="0" w:line="216" w:lineRule="auto"/>
        <w:tabs>
          <w:tab w:leader="none" w:pos="160" w:val="left"/>
        </w:tabs>
        <w:rPr>
          <w:sz w:val="20"/>
          <w:szCs w:val="20"/>
          <w:color w:val="auto"/>
        </w:rPr>
      </w:pPr>
      <w:r>
        <w:rPr>
          <w:rFonts w:ascii="Arial" w:cs="Arial" w:eastAsia="Arial" w:hAnsi="Arial"/>
          <w:sz w:val="22"/>
          <w:szCs w:val="22"/>
          <w:color w:val="auto"/>
        </w:rPr>
        <w:t>17.5</w:t>
        <w:tab/>
        <w:t xml:space="preserve">Before commencing any </w:t>
      </w:r>
      <w:r>
        <w:rPr>
          <w:rFonts w:ascii="Arial" w:cs="Arial" w:eastAsia="Arial" w:hAnsi="Arial"/>
          <w:sz w:val="22"/>
          <w:szCs w:val="22"/>
          <w:color w:val="262626"/>
        </w:rPr>
        <w:t>work, Tenant</w:t>
      </w:r>
      <w:r>
        <w:rPr>
          <w:rFonts w:ascii="Arial" w:cs="Arial" w:eastAsia="Arial" w:hAnsi="Arial"/>
          <w:sz w:val="22"/>
          <w:szCs w:val="22"/>
          <w:color w:val="auto"/>
        </w:rPr>
        <w:t xml:space="preserve"> </w:t>
      </w:r>
      <w:r>
        <w:rPr>
          <w:rFonts w:ascii="Arial" w:cs="Arial" w:eastAsia="Arial" w:hAnsi="Arial"/>
          <w:sz w:val="22"/>
          <w:szCs w:val="22"/>
          <w:color w:val="363636"/>
        </w:rPr>
        <w:t>shall</w:t>
      </w:r>
      <w:r>
        <w:rPr>
          <w:rFonts w:ascii="Arial" w:cs="Arial" w:eastAsia="Arial" w:hAnsi="Arial"/>
          <w:sz w:val="22"/>
          <w:szCs w:val="22"/>
          <w:color w:val="auto"/>
        </w:rPr>
        <w:t xml:space="preserve"> </w:t>
      </w:r>
      <w:r>
        <w:rPr>
          <w:rFonts w:ascii="Arial" w:cs="Arial" w:eastAsia="Arial" w:hAnsi="Arial"/>
          <w:sz w:val="22"/>
          <w:szCs w:val="22"/>
          <w:color w:val="262626"/>
        </w:rPr>
        <w:t>give Landlord</w:t>
      </w:r>
      <w:r>
        <w:rPr>
          <w:rFonts w:ascii="Arial" w:cs="Arial" w:eastAsia="Arial" w:hAnsi="Arial"/>
          <w:sz w:val="22"/>
          <w:szCs w:val="22"/>
          <w:color w:val="auto"/>
        </w:rPr>
        <w:t xml:space="preserve"> </w:t>
      </w:r>
      <w:r>
        <w:rPr>
          <w:rFonts w:ascii="Arial" w:cs="Arial" w:eastAsia="Arial" w:hAnsi="Arial"/>
          <w:sz w:val="22"/>
          <w:szCs w:val="22"/>
          <w:color w:val="363636"/>
        </w:rPr>
        <w:t>at least</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color w:val="363636"/>
        </w:rPr>
        <w:t>business</w:t>
      </w:r>
      <w:r>
        <w:rPr>
          <w:rFonts w:ascii="Arial" w:cs="Arial" w:eastAsia="Arial" w:hAnsi="Arial"/>
          <w:sz w:val="22"/>
          <w:szCs w:val="22"/>
          <w:color w:val="auto"/>
        </w:rPr>
        <w:t xml:space="preserve"> days’ prior </w:t>
      </w:r>
      <w:r>
        <w:rPr>
          <w:rFonts w:ascii="Arial" w:cs="Arial" w:eastAsia="Arial" w:hAnsi="Arial"/>
          <w:sz w:val="22"/>
          <w:szCs w:val="22"/>
          <w:color w:val="262626"/>
        </w:rPr>
        <w:t>written</w:t>
      </w:r>
      <w:r>
        <w:rPr>
          <w:rFonts w:ascii="Arial" w:cs="Arial" w:eastAsia="Arial" w:hAnsi="Arial"/>
          <w:sz w:val="22"/>
          <w:szCs w:val="22"/>
          <w:color w:val="auto"/>
        </w:rPr>
        <w:t xml:space="preserve"> </w:t>
      </w:r>
      <w:r>
        <w:rPr>
          <w:rFonts w:ascii="Arial" w:cs="Arial" w:eastAsia="Arial" w:hAnsi="Arial"/>
          <w:sz w:val="22"/>
          <w:szCs w:val="22"/>
          <w:color w:val="363636"/>
        </w:rPr>
        <w:t>notice</w:t>
      </w:r>
      <w:r>
        <w:rPr>
          <w:rFonts w:ascii="Arial" w:cs="Arial" w:eastAsia="Arial" w:hAnsi="Arial"/>
          <w:sz w:val="22"/>
          <w:szCs w:val="22"/>
          <w:color w:val="auto"/>
        </w:rPr>
        <w:t xml:space="preserve"> of the proposed commencement of </w:t>
      </w:r>
      <w:r>
        <w:rPr>
          <w:rFonts w:ascii="Arial" w:cs="Arial" w:eastAsia="Arial" w:hAnsi="Arial"/>
          <w:sz w:val="22"/>
          <w:szCs w:val="22"/>
          <w:color w:val="262626"/>
        </w:rPr>
        <w:t>such work; provided, however,</w:t>
      </w:r>
      <w:r>
        <w:rPr>
          <w:rFonts w:ascii="Arial" w:cs="Arial" w:eastAsia="Arial" w:hAnsi="Arial"/>
          <w:sz w:val="22"/>
          <w:szCs w:val="22"/>
          <w:color w:val="auto"/>
        </w:rPr>
        <w:t xml:space="preserve"> </w:t>
      </w:r>
      <w:r>
        <w:rPr>
          <w:rFonts w:ascii="Arial" w:cs="Arial" w:eastAsia="Arial" w:hAnsi="Arial"/>
          <w:sz w:val="22"/>
          <w:szCs w:val="22"/>
          <w:color w:val="363636"/>
        </w:rPr>
        <w:t>in</w:t>
      </w:r>
      <w:r>
        <w:rPr>
          <w:rFonts w:ascii="Arial" w:cs="Arial" w:eastAsia="Arial" w:hAnsi="Arial"/>
          <w:sz w:val="22"/>
          <w:szCs w:val="22"/>
          <w:color w:val="auto"/>
        </w:rPr>
        <w:t xml:space="preserve"> the </w:t>
      </w:r>
      <w:r>
        <w:rPr>
          <w:rFonts w:ascii="Arial" w:cs="Arial" w:eastAsia="Arial" w:hAnsi="Arial"/>
          <w:sz w:val="22"/>
          <w:szCs w:val="22"/>
          <w:color w:val="363636"/>
        </w:rPr>
        <w:t>event</w:t>
      </w:r>
      <w:r>
        <w:rPr>
          <w:rFonts w:ascii="Arial" w:cs="Arial" w:eastAsia="Arial" w:hAnsi="Arial"/>
          <w:sz w:val="22"/>
          <w:szCs w:val="22"/>
          <w:color w:val="auto"/>
        </w:rPr>
        <w:t xml:space="preserve"> </w:t>
      </w:r>
      <w:r>
        <w:rPr>
          <w:rFonts w:ascii="Arial" w:cs="Arial" w:eastAsia="Arial" w:hAnsi="Arial"/>
          <w:sz w:val="22"/>
          <w:szCs w:val="22"/>
          <w:color w:val="262626"/>
        </w:rPr>
        <w:t>that</w:t>
      </w:r>
      <w:r>
        <w:rPr>
          <w:rFonts w:ascii="Arial" w:cs="Arial" w:eastAsia="Arial" w:hAnsi="Arial"/>
          <w:sz w:val="22"/>
          <w:szCs w:val="22"/>
          <w:color w:val="auto"/>
        </w:rPr>
        <w:t xml:space="preserve"> the </w:t>
      </w:r>
      <w:r>
        <w:rPr>
          <w:rFonts w:ascii="Arial" w:cs="Arial" w:eastAsia="Arial" w:hAnsi="Arial"/>
          <w:sz w:val="22"/>
          <w:szCs w:val="22"/>
          <w:color w:val="262626"/>
        </w:rPr>
        <w:t>deadline for Landlord</w:t>
      </w:r>
      <w:r>
        <w:rPr>
          <w:rFonts w:ascii="Arial" w:cs="Arial" w:eastAsia="Arial" w:hAnsi="Arial"/>
          <w:sz w:val="22"/>
          <w:szCs w:val="22"/>
          <w:color w:val="auto"/>
        </w:rPr>
        <w:t xml:space="preserve"> to post </w:t>
      </w:r>
      <w:r>
        <w:rPr>
          <w:rFonts w:ascii="Arial" w:cs="Arial" w:eastAsia="Arial" w:hAnsi="Arial"/>
          <w:sz w:val="22"/>
          <w:szCs w:val="22"/>
          <w:color w:val="262626"/>
        </w:rPr>
        <w:t>any</w:t>
      </w:r>
      <w:r>
        <w:rPr>
          <w:rFonts w:ascii="Arial" w:cs="Arial" w:eastAsia="Arial" w:hAnsi="Arial"/>
          <w:sz w:val="22"/>
          <w:szCs w:val="22"/>
          <w:color w:val="auto"/>
        </w:rPr>
        <w:t xml:space="preserve"> notices of non</w:t>
      </w:r>
      <w:r>
        <w:rPr>
          <w:rFonts w:ascii="Arial" w:cs="Arial" w:eastAsia="Arial" w:hAnsi="Arial"/>
          <w:sz w:val="22"/>
          <w:szCs w:val="22"/>
          <w:color w:val="363636"/>
        </w:rPr>
        <w:t>responsibility</w:t>
      </w:r>
      <w:r>
        <w:rPr>
          <w:rFonts w:ascii="Arial" w:cs="Arial" w:eastAsia="Arial" w:hAnsi="Arial"/>
          <w:sz w:val="22"/>
          <w:szCs w:val="22"/>
          <w:color w:val="auto"/>
        </w:rPr>
        <w:t xml:space="preserve"> or </w:t>
      </w:r>
      <w:r>
        <w:rPr>
          <w:rFonts w:ascii="Arial" w:cs="Arial" w:eastAsia="Arial" w:hAnsi="Arial"/>
          <w:sz w:val="22"/>
          <w:szCs w:val="22"/>
          <w:color w:val="262626"/>
        </w:rPr>
        <w:t>similar</w:t>
      </w:r>
      <w:r>
        <w:rPr>
          <w:rFonts w:ascii="Arial" w:cs="Arial" w:eastAsia="Arial" w:hAnsi="Arial"/>
          <w:sz w:val="22"/>
          <w:szCs w:val="22"/>
          <w:color w:val="auto"/>
        </w:rPr>
        <w:t xml:space="preserve"> notices requires more </w:t>
      </w:r>
      <w:r>
        <w:rPr>
          <w:rFonts w:ascii="Arial" w:cs="Arial" w:eastAsia="Arial" w:hAnsi="Arial"/>
          <w:sz w:val="22"/>
          <w:szCs w:val="22"/>
          <w:color w:val="262626"/>
        </w:rPr>
        <w:t>advance</w:t>
      </w:r>
      <w:r>
        <w:rPr>
          <w:rFonts w:ascii="Arial" w:cs="Arial" w:eastAsia="Arial" w:hAnsi="Arial"/>
          <w:sz w:val="22"/>
          <w:szCs w:val="22"/>
          <w:color w:val="auto"/>
        </w:rPr>
        <w:t xml:space="preserve"> notice, Tenant </w:t>
      </w:r>
      <w:r>
        <w:rPr>
          <w:rFonts w:ascii="Arial" w:cs="Arial" w:eastAsia="Arial" w:hAnsi="Arial"/>
          <w:sz w:val="22"/>
          <w:szCs w:val="22"/>
          <w:color w:val="262626"/>
        </w:rPr>
        <w:t>shall</w:t>
      </w:r>
      <w:r>
        <w:rPr>
          <w:rFonts w:ascii="Arial" w:cs="Arial" w:eastAsia="Arial" w:hAnsi="Arial"/>
          <w:sz w:val="22"/>
          <w:szCs w:val="22"/>
          <w:color w:val="auto"/>
        </w:rPr>
        <w:t xml:space="preserve"> provide Landlord </w:t>
      </w:r>
      <w:r>
        <w:rPr>
          <w:rFonts w:ascii="Arial" w:cs="Arial" w:eastAsia="Arial" w:hAnsi="Arial"/>
          <w:sz w:val="22"/>
          <w:szCs w:val="22"/>
          <w:color w:val="262626"/>
        </w:rPr>
        <w:t>with</w:t>
      </w:r>
      <w:r>
        <w:rPr>
          <w:rFonts w:ascii="Arial" w:cs="Arial" w:eastAsia="Arial" w:hAnsi="Arial"/>
          <w:sz w:val="22"/>
          <w:szCs w:val="22"/>
          <w:color w:val="auto"/>
        </w:rPr>
        <w:t xml:space="preserve"> </w:t>
      </w:r>
      <w:r>
        <w:rPr>
          <w:rFonts w:ascii="Arial" w:cs="Arial" w:eastAsia="Arial" w:hAnsi="Arial"/>
          <w:sz w:val="22"/>
          <w:szCs w:val="22"/>
          <w:color w:val="262626"/>
        </w:rPr>
        <w:t xml:space="preserve">prior written </w:t>
      </w:r>
      <w:r>
        <w:rPr>
          <w:rFonts w:ascii="Arial" w:cs="Arial" w:eastAsia="Arial" w:hAnsi="Arial"/>
          <w:sz w:val="22"/>
          <w:szCs w:val="22"/>
          <w:color w:val="000000"/>
        </w:rPr>
        <w:t>notice at least</w:t>
      </w:r>
      <w:r>
        <w:rPr>
          <w:rFonts w:ascii="Arial" w:cs="Arial" w:eastAsia="Arial" w:hAnsi="Arial"/>
          <w:sz w:val="22"/>
          <w:szCs w:val="22"/>
          <w:color w:val="262626"/>
        </w:rPr>
        <w:t xml:space="preserve"> </w:t>
      </w:r>
      <w:r>
        <w:rPr>
          <w:rFonts w:ascii="Arial" w:cs="Arial" w:eastAsia="Arial" w:hAnsi="Arial"/>
          <w:sz w:val="22"/>
          <w:szCs w:val="22"/>
          <w:u w:val="single" w:color="auto"/>
          <w:color w:val="000000"/>
        </w:rPr>
        <w:t>[***]</w:t>
      </w:r>
      <w:r>
        <w:rPr>
          <w:rFonts w:ascii="Arial" w:cs="Arial" w:eastAsia="Arial" w:hAnsi="Arial"/>
          <w:sz w:val="22"/>
          <w:szCs w:val="22"/>
          <w:color w:val="262626"/>
        </w:rPr>
        <w:t xml:space="preserve"> </w:t>
      </w:r>
      <w:r>
        <w:rPr>
          <w:rFonts w:ascii="Arial" w:cs="Arial" w:eastAsia="Arial" w:hAnsi="Arial"/>
          <w:sz w:val="22"/>
          <w:szCs w:val="22"/>
          <w:color w:val="050505"/>
        </w:rPr>
        <w:t>business</w:t>
      </w:r>
      <w:r>
        <w:rPr>
          <w:rFonts w:ascii="Arial" w:cs="Arial" w:eastAsia="Arial" w:hAnsi="Arial"/>
          <w:sz w:val="22"/>
          <w:szCs w:val="22"/>
          <w:color w:val="262626"/>
        </w:rPr>
        <w:t xml:space="preserve"> days’ </w:t>
      </w:r>
      <w:r>
        <w:rPr>
          <w:rFonts w:ascii="Arial" w:cs="Arial" w:eastAsia="Arial" w:hAnsi="Arial"/>
          <w:sz w:val="22"/>
          <w:szCs w:val="22"/>
          <w:color w:val="000000"/>
        </w:rPr>
        <w:t>prior to</w:t>
      </w:r>
      <w:r>
        <w:rPr>
          <w:rFonts w:ascii="Arial" w:cs="Arial" w:eastAsia="Arial" w:hAnsi="Arial"/>
          <w:sz w:val="22"/>
          <w:szCs w:val="22"/>
          <w:color w:val="262626"/>
        </w:rPr>
        <w:t xml:space="preserve"> </w:t>
      </w:r>
      <w:r>
        <w:rPr>
          <w:rFonts w:ascii="Arial" w:cs="Arial" w:eastAsia="Arial" w:hAnsi="Arial"/>
          <w:sz w:val="22"/>
          <w:szCs w:val="22"/>
          <w:color w:val="363636"/>
        </w:rPr>
        <w:t>such</w:t>
      </w:r>
      <w:r>
        <w:rPr>
          <w:rFonts w:ascii="Arial" w:cs="Arial" w:eastAsia="Arial" w:hAnsi="Arial"/>
          <w:sz w:val="22"/>
          <w:szCs w:val="22"/>
          <w:color w:val="262626"/>
        </w:rPr>
        <w:t xml:space="preserve"> </w:t>
      </w:r>
      <w:r>
        <w:rPr>
          <w:rFonts w:ascii="Arial" w:cs="Arial" w:eastAsia="Arial" w:hAnsi="Arial"/>
          <w:sz w:val="22"/>
          <w:szCs w:val="22"/>
          <w:color w:val="000000"/>
        </w:rPr>
        <w:t>deadline.</w:t>
      </w:r>
      <w:r>
        <w:rPr>
          <w:rFonts w:ascii="Arial" w:cs="Arial" w:eastAsia="Arial" w:hAnsi="Arial"/>
          <w:sz w:val="22"/>
          <w:szCs w:val="22"/>
          <w:color w:val="262626"/>
        </w:rPr>
        <w:t xml:space="preserve"> If </w:t>
      </w:r>
      <w:r>
        <w:rPr>
          <w:rFonts w:ascii="Arial" w:cs="Arial" w:eastAsia="Arial" w:hAnsi="Arial"/>
          <w:sz w:val="22"/>
          <w:szCs w:val="22"/>
          <w:color w:val="000000"/>
        </w:rPr>
        <w:t>the work is anticipated to</w:t>
      </w:r>
      <w:r>
        <w:rPr>
          <w:rFonts w:ascii="Arial" w:cs="Arial" w:eastAsia="Arial" w:hAnsi="Arial"/>
          <w:sz w:val="22"/>
          <w:szCs w:val="22"/>
          <w:color w:val="262626"/>
        </w:rPr>
        <w:t xml:space="preserve"> cost </w:t>
      </w:r>
      <w:r>
        <w:rPr>
          <w:rFonts w:ascii="Arial" w:cs="Arial" w:eastAsia="Arial" w:hAnsi="Arial"/>
          <w:sz w:val="22"/>
          <w:szCs w:val="22"/>
          <w:color w:val="000000"/>
        </w:rPr>
        <w:t>more than</w:t>
      </w:r>
      <w:r>
        <w:rPr>
          <w:rFonts w:ascii="Arial" w:cs="Arial" w:eastAsia="Arial" w:hAnsi="Arial"/>
          <w:sz w:val="22"/>
          <w:szCs w:val="22"/>
          <w:color w:val="262626"/>
        </w:rPr>
        <w:t xml:space="preserve"> </w:t>
      </w:r>
      <w:r>
        <w:rPr>
          <w:rFonts w:ascii="Arial" w:cs="Arial" w:eastAsia="Arial" w:hAnsi="Arial"/>
          <w:sz w:val="22"/>
          <w:szCs w:val="22"/>
          <w:color w:val="000000"/>
        </w:rPr>
        <w:t>$</w:t>
      </w:r>
      <w:r>
        <w:rPr>
          <w:rFonts w:ascii="Arial" w:cs="Arial" w:eastAsia="Arial" w:hAnsi="Arial"/>
          <w:sz w:val="22"/>
          <w:szCs w:val="22"/>
          <w:u w:val="single" w:color="auto"/>
          <w:color w:val="000000"/>
        </w:rPr>
        <w:t>[***]</w:t>
      </w:r>
      <w:r>
        <w:rPr>
          <w:rFonts w:ascii="Arial" w:cs="Arial" w:eastAsia="Arial" w:hAnsi="Arial"/>
          <w:sz w:val="22"/>
          <w:szCs w:val="22"/>
          <w:color w:val="000000"/>
        </w:rPr>
        <w:t xml:space="preserve">, </w:t>
      </w:r>
      <w:r>
        <w:rPr>
          <w:rFonts w:ascii="Arial" w:cs="Arial" w:eastAsia="Arial" w:hAnsi="Arial"/>
          <w:sz w:val="22"/>
          <w:szCs w:val="22"/>
          <w:color w:val="262626"/>
        </w:rPr>
        <w:t>and</w:t>
      </w:r>
      <w:r>
        <w:rPr>
          <w:rFonts w:ascii="Arial" w:cs="Arial" w:eastAsia="Arial" w:hAnsi="Arial"/>
          <w:sz w:val="22"/>
          <w:szCs w:val="22"/>
          <w:color w:val="000000"/>
        </w:rPr>
        <w:t xml:space="preserve"> if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120"/>
          </w:cols>
          <w:pgMar w:left="1440" w:top="1401" w:right="339" w:bottom="1440" w:gutter="0" w:footer="0" w:header="0"/>
        </w:sectPr>
      </w:pPr>
    </w:p>
    <w:bookmarkStart w:id="340" w:name="page341"/>
    <w:bookmarkEnd w:id="340"/>
    <w:p>
      <w:pPr>
        <w:ind w:left="180"/>
        <w:spacing w:after="0" w:line="232" w:lineRule="auto"/>
        <w:rPr>
          <w:sz w:val="20"/>
          <w:szCs w:val="20"/>
          <w:color w:val="auto"/>
        </w:rPr>
      </w:pPr>
      <w:r>
        <w:rPr>
          <w:rFonts w:ascii="Arial" w:cs="Arial" w:eastAsia="Arial" w:hAnsi="Arial"/>
          <w:sz w:val="22"/>
          <w:szCs w:val="22"/>
          <w:color w:val="auto"/>
        </w:rPr>
        <w:t>by Landlord, Tenant shall secure, at Tenant’s own cost and expense, a completion and lien indemnity bond satisfactory to Landlord for said work (unless said work relates to Cosmetic Alterations).</w:t>
      </w:r>
    </w:p>
    <w:p>
      <w:pPr>
        <w:spacing w:after="0" w:line="159" w:lineRule="exact"/>
        <w:rPr>
          <w:sz w:val="20"/>
          <w:szCs w:val="20"/>
          <w:color w:val="auto"/>
        </w:rPr>
      </w:pPr>
    </w:p>
    <w:p>
      <w:pPr>
        <w:jc w:val="both"/>
        <w:ind w:left="180" w:hanging="647"/>
        <w:spacing w:after="0" w:line="243" w:lineRule="auto"/>
        <w:tabs>
          <w:tab w:leader="none" w:pos="16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 xml:space="preserve">All Alterations, fixtures, equipment, additions, improvements and Signage, permanently attached to or built into the Premises and not listed on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attached hereto shall become the property of Landlord upon the expiration or earlier termination of the Term, and shall remain upon and be surrendered with the Premises as a part thereof; provided, Landlord shall have the right to notify; Tenant, at the time Landlord provides its consent to any Alteration, that Tenant shall be required to remove such Alteration upon the expiration or earlier termination of the Term. Tenant shall have the right to deliver an updated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from time to time, which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shall be deemed to replace the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attached hereto, provided such updates shall be subject to the prior written approval of Landlord, such approval not to be unreasonably withheld, conditioned or delayed. The Premises shall at all times remain the property of Landlord and shall be surrendered to Landlord upon the expiration or earlier termination of this Lease. All such Alterations, fixtures, equipment, additions, improvements and Signage installed by or under Tenant shall be the property of Landlord.</w:t>
      </w:r>
    </w:p>
    <w:p>
      <w:pPr>
        <w:spacing w:after="0" w:line="159" w:lineRule="exact"/>
        <w:rPr>
          <w:sz w:val="20"/>
          <w:szCs w:val="20"/>
          <w:color w:val="auto"/>
        </w:rPr>
      </w:pPr>
    </w:p>
    <w:p>
      <w:pPr>
        <w:jc w:val="both"/>
        <w:ind w:left="180" w:hanging="647"/>
        <w:spacing w:after="0" w:line="218" w:lineRule="auto"/>
        <w:tabs>
          <w:tab w:leader="none" w:pos="160" w:val="left"/>
        </w:tabs>
        <w:rPr>
          <w:sz w:val="20"/>
          <w:szCs w:val="20"/>
          <w:color w:val="auto"/>
        </w:rPr>
      </w:pPr>
      <w:r>
        <w:rPr>
          <w:rFonts w:ascii="Arial" w:cs="Arial" w:eastAsia="Arial" w:hAnsi="Arial"/>
          <w:sz w:val="22"/>
          <w:szCs w:val="22"/>
          <w:color w:val="auto"/>
        </w:rPr>
        <w:t>17.7</w:t>
        <w:tab/>
        <w:t>Tenant shall repair any damage to the Premises caused by Tenant’s removal of any property from the Premises. During any such restoration period, Tenant shall pay Rent to Landlord as provided herein as if said space were otherwise occupied by Tenant. The provisions of this Section shall survive the expiration or earlier termination of this Lease.</w:t>
      </w:r>
    </w:p>
    <w:p>
      <w:pPr>
        <w:spacing w:after="0" w:line="161" w:lineRule="exact"/>
        <w:rPr>
          <w:sz w:val="20"/>
          <w:szCs w:val="20"/>
          <w:color w:val="auto"/>
        </w:rPr>
      </w:pPr>
    </w:p>
    <w:p>
      <w:pPr>
        <w:jc w:val="both"/>
        <w:ind w:left="180" w:hanging="647"/>
        <w:spacing w:after="0" w:line="242" w:lineRule="auto"/>
        <w:tabs>
          <w:tab w:leader="none" w:pos="16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19"/>
          <w:szCs w:val="19"/>
          <w:color w:val="auto"/>
        </w:rPr>
        <w:t xml:space="preserve">Except as to those items listed on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attached hereto, all business and trade fixtures, machinery and equipment, built-in furniture and cabinets, together with all additions and accessories thereto, installed in and upon the Premises and owned by Tenant as of the date of this Lease shall be and remain the property of Tenant and shall not be moved by Tenant at any time during the Term (unless the same is replaced with items of reasonably equivalent value). If Tenant shall fail to remove any of its effects from the Premises which are not required to stay in the Premises under the terms of this Lease prior to or upon the termination of this Lease, then upon prior written notice to Tenant Landlord may, at its option, remove the same in any manner that Landlord shall choose and store said effects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said personal property, with the balance thereafter being paid to Tenant.</w:t>
      </w:r>
    </w:p>
    <w:p>
      <w:pPr>
        <w:spacing w:after="0" w:line="160" w:lineRule="exact"/>
        <w:rPr>
          <w:sz w:val="20"/>
          <w:szCs w:val="20"/>
          <w:color w:val="auto"/>
        </w:rPr>
      </w:pPr>
    </w:p>
    <w:p>
      <w:pPr>
        <w:jc w:val="both"/>
        <w:ind w:left="180" w:hanging="647"/>
        <w:spacing w:after="0" w:line="218" w:lineRule="auto"/>
        <w:tabs>
          <w:tab w:leader="none" w:pos="160" w:val="left"/>
        </w:tabs>
        <w:rPr>
          <w:sz w:val="20"/>
          <w:szCs w:val="20"/>
          <w:color w:val="auto"/>
        </w:rPr>
      </w:pPr>
      <w:r>
        <w:rPr>
          <w:rFonts w:ascii="Arial" w:cs="Arial" w:eastAsia="Arial" w:hAnsi="Arial"/>
          <w:sz w:val="22"/>
          <w:szCs w:val="22"/>
          <w:color w:val="auto"/>
        </w:rPr>
        <w:t>17.9</w:t>
        <w:tab/>
        <w:t xml:space="preserve">Notwithstanding any other provision of this Article to the contrary, in no event shall Tenant remove any improvement from the Premises as to which Landlord contributed payment without Landlord’s prior written consent, which consent Landlord </w:t>
      </w:r>
      <w:r>
        <w:rPr>
          <w:rFonts w:ascii="Arial" w:cs="Arial" w:eastAsia="Arial" w:hAnsi="Arial"/>
          <w:sz w:val="22"/>
          <w:szCs w:val="22"/>
          <w:color w:val="1F1F1F"/>
        </w:rPr>
        <w:t>may withhold</w:t>
      </w:r>
      <w:r>
        <w:rPr>
          <w:rFonts w:ascii="Arial" w:cs="Arial" w:eastAsia="Arial" w:hAnsi="Arial"/>
          <w:sz w:val="22"/>
          <w:szCs w:val="22"/>
          <w:color w:val="auto"/>
        </w:rPr>
        <w:t xml:space="preserve"> </w:t>
      </w:r>
      <w:r>
        <w:rPr>
          <w:rFonts w:ascii="Arial" w:cs="Arial" w:eastAsia="Arial" w:hAnsi="Arial"/>
          <w:sz w:val="22"/>
          <w:szCs w:val="22"/>
          <w:color w:val="363636"/>
        </w:rPr>
        <w:t>i</w:t>
      </w:r>
      <w:r>
        <w:rPr>
          <w:rFonts w:ascii="Arial" w:cs="Arial" w:eastAsia="Arial" w:hAnsi="Arial"/>
          <w:sz w:val="22"/>
          <w:szCs w:val="22"/>
          <w:color w:val="0C0C0C"/>
        </w:rPr>
        <w:t>n it</w:t>
      </w:r>
      <w:r>
        <w:rPr>
          <w:rFonts w:ascii="Arial" w:cs="Arial" w:eastAsia="Arial" w:hAnsi="Arial"/>
          <w:sz w:val="22"/>
          <w:szCs w:val="22"/>
          <w:color w:val="363636"/>
        </w:rPr>
        <w:t>s sole</w:t>
      </w:r>
      <w:r>
        <w:rPr>
          <w:rFonts w:ascii="Arial" w:cs="Arial" w:eastAsia="Arial" w:hAnsi="Arial"/>
          <w:sz w:val="22"/>
          <w:szCs w:val="22"/>
          <w:color w:val="auto"/>
        </w:rPr>
        <w:t xml:space="preserve"> </w:t>
      </w:r>
      <w:r>
        <w:rPr>
          <w:rFonts w:ascii="Arial" w:cs="Arial" w:eastAsia="Arial" w:hAnsi="Arial"/>
          <w:sz w:val="22"/>
          <w:szCs w:val="22"/>
          <w:color w:val="1F1F1F"/>
        </w:rPr>
        <w:t>and absolute discretion,</w:t>
      </w:r>
      <w:r>
        <w:rPr>
          <w:rFonts w:ascii="Arial" w:cs="Arial" w:eastAsia="Arial" w:hAnsi="Arial"/>
          <w:sz w:val="22"/>
          <w:szCs w:val="22"/>
          <w:color w:val="auto"/>
        </w:rPr>
        <w:t xml:space="preserve"> </w:t>
      </w:r>
      <w:r>
        <w:rPr>
          <w:rFonts w:ascii="Arial" w:cs="Arial" w:eastAsia="Arial" w:hAnsi="Arial"/>
          <w:sz w:val="22"/>
          <w:szCs w:val="22"/>
          <w:color w:val="0C0C0C"/>
        </w:rPr>
        <w:t>unle</w:t>
      </w:r>
      <w:r>
        <w:rPr>
          <w:rFonts w:ascii="Arial" w:cs="Arial" w:eastAsia="Arial" w:hAnsi="Arial"/>
          <w:sz w:val="22"/>
          <w:szCs w:val="22"/>
          <w:color w:val="363636"/>
        </w:rPr>
        <w:t>ss the</w:t>
      </w:r>
      <w:r>
        <w:rPr>
          <w:rFonts w:ascii="Arial" w:cs="Arial" w:eastAsia="Arial" w:hAnsi="Arial"/>
          <w:sz w:val="22"/>
          <w:szCs w:val="22"/>
          <w:color w:val="auto"/>
        </w:rPr>
        <w:t xml:space="preserve"> </w:t>
      </w:r>
      <w:r>
        <w:rPr>
          <w:rFonts w:ascii="Arial" w:cs="Arial" w:eastAsia="Arial" w:hAnsi="Arial"/>
          <w:sz w:val="22"/>
          <w:szCs w:val="22"/>
          <w:color w:val="1F1F1F"/>
        </w:rPr>
        <w:t>same is replaced with</w:t>
      </w:r>
      <w:r>
        <w:rPr>
          <w:rFonts w:ascii="Arial" w:cs="Arial" w:eastAsia="Arial" w:hAnsi="Arial"/>
          <w:sz w:val="22"/>
          <w:szCs w:val="22"/>
          <w:color w:val="auto"/>
        </w:rPr>
        <w:t xml:space="preserve"> </w:t>
      </w:r>
      <w:r>
        <w:rPr>
          <w:rFonts w:ascii="Arial" w:cs="Arial" w:eastAsia="Arial" w:hAnsi="Arial"/>
          <w:sz w:val="22"/>
          <w:szCs w:val="22"/>
          <w:color w:val="0C0C0C"/>
        </w:rPr>
        <w:t xml:space="preserve">an </w:t>
      </w:r>
      <w:r>
        <w:rPr>
          <w:rFonts w:ascii="Arial" w:cs="Arial" w:eastAsia="Arial" w:hAnsi="Arial"/>
          <w:sz w:val="22"/>
          <w:szCs w:val="22"/>
          <w:color w:val="1F1F1F"/>
        </w:rPr>
        <w:t>equivalent value improvement.</w:t>
      </w:r>
    </w:p>
    <w:p>
      <w:pPr>
        <w:spacing w:after="0" w:line="161" w:lineRule="exact"/>
        <w:rPr>
          <w:sz w:val="20"/>
          <w:szCs w:val="20"/>
          <w:color w:val="auto"/>
        </w:rPr>
      </w:pPr>
    </w:p>
    <w:p>
      <w:pPr>
        <w:jc w:val="both"/>
        <w:ind w:left="180" w:hanging="647"/>
        <w:spacing w:after="0" w:line="223" w:lineRule="auto"/>
        <w:rPr>
          <w:sz w:val="20"/>
          <w:szCs w:val="20"/>
          <w:color w:val="auto"/>
        </w:rPr>
      </w:pPr>
      <w:r>
        <w:rPr>
          <w:rFonts w:ascii="Arial" w:cs="Arial" w:eastAsia="Arial" w:hAnsi="Arial"/>
          <w:sz w:val="22"/>
          <w:szCs w:val="22"/>
          <w:color w:val="auto"/>
        </w:rPr>
        <w:t xml:space="preserve">17.10 Tenant </w:t>
      </w:r>
      <w:r>
        <w:rPr>
          <w:rFonts w:ascii="Arial" w:cs="Arial" w:eastAsia="Arial" w:hAnsi="Arial"/>
          <w:sz w:val="22"/>
          <w:szCs w:val="22"/>
          <w:color w:val="363636"/>
        </w:rPr>
        <w:t>sh</w:t>
      </w:r>
      <w:r>
        <w:rPr>
          <w:rFonts w:ascii="Arial" w:cs="Arial" w:eastAsia="Arial" w:hAnsi="Arial"/>
          <w:sz w:val="22"/>
          <w:szCs w:val="22"/>
          <w:color w:val="0C0C0C"/>
        </w:rPr>
        <w:t>all</w:t>
      </w:r>
      <w:r>
        <w:rPr>
          <w:rFonts w:ascii="Arial" w:cs="Arial" w:eastAsia="Arial" w:hAnsi="Arial"/>
          <w:sz w:val="22"/>
          <w:szCs w:val="22"/>
          <w:color w:val="auto"/>
        </w:rPr>
        <w:t xml:space="preserve"> pay </w:t>
      </w:r>
      <w:r>
        <w:rPr>
          <w:rFonts w:ascii="Arial" w:cs="Arial" w:eastAsia="Arial" w:hAnsi="Arial"/>
          <w:sz w:val="22"/>
          <w:szCs w:val="22"/>
          <w:color w:val="0C0C0C"/>
        </w:rPr>
        <w:t>to</w:t>
      </w:r>
      <w:r>
        <w:rPr>
          <w:rFonts w:ascii="Arial" w:cs="Arial" w:eastAsia="Arial" w:hAnsi="Arial"/>
          <w:sz w:val="22"/>
          <w:szCs w:val="22"/>
          <w:color w:val="auto"/>
        </w:rPr>
        <w:t xml:space="preserve"> Landlord an amount equal to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color w:val="0C0C0C"/>
        </w:rPr>
        <w:t>percent (</w:t>
      </w:r>
      <w:r>
        <w:rPr>
          <w:rFonts w:ascii="Arial" w:cs="Arial" w:eastAsia="Arial" w:hAnsi="Arial"/>
          <w:sz w:val="22"/>
          <w:szCs w:val="22"/>
          <w:u w:val="single" w:color="auto"/>
          <w:color w:val="auto"/>
        </w:rPr>
        <w:t>[***]</w:t>
      </w:r>
      <w:r>
        <w:rPr>
          <w:rFonts w:ascii="Arial" w:cs="Arial" w:eastAsia="Arial" w:hAnsi="Arial"/>
          <w:sz w:val="22"/>
          <w:szCs w:val="22"/>
          <w:color w:val="0C0C0C"/>
        </w:rPr>
        <w:t>%</w:t>
      </w:r>
      <w:r>
        <w:rPr>
          <w:rFonts w:ascii="Arial" w:cs="Arial" w:eastAsia="Arial" w:hAnsi="Arial"/>
          <w:sz w:val="22"/>
          <w:szCs w:val="22"/>
          <w:color w:val="363636"/>
        </w:rPr>
        <w:t>)</w:t>
      </w:r>
      <w:r>
        <w:rPr>
          <w:rFonts w:ascii="Arial" w:cs="Arial" w:eastAsia="Arial" w:hAnsi="Arial"/>
          <w:sz w:val="22"/>
          <w:szCs w:val="22"/>
          <w:color w:val="auto"/>
        </w:rPr>
        <w:t xml:space="preserve"> of the actual costs to Tenant of all changes </w:t>
      </w:r>
      <w:r>
        <w:rPr>
          <w:rFonts w:ascii="Arial" w:cs="Arial" w:eastAsia="Arial" w:hAnsi="Arial"/>
          <w:sz w:val="22"/>
          <w:szCs w:val="22"/>
          <w:color w:val="0C0C0C"/>
        </w:rPr>
        <w:t>in</w:t>
      </w:r>
      <w:r>
        <w:rPr>
          <w:rFonts w:ascii="Arial" w:cs="Arial" w:eastAsia="Arial" w:hAnsi="Arial"/>
          <w:sz w:val="22"/>
          <w:szCs w:val="22"/>
          <w:color w:val="363636"/>
        </w:rPr>
        <w:t>stalled</w:t>
      </w:r>
      <w:r>
        <w:rPr>
          <w:rFonts w:ascii="Arial" w:cs="Arial" w:eastAsia="Arial" w:hAnsi="Arial"/>
          <w:sz w:val="22"/>
          <w:szCs w:val="22"/>
          <w:color w:val="auto"/>
        </w:rPr>
        <w:t xml:space="preserve"> by Tenant or </w:t>
      </w:r>
      <w:r>
        <w:rPr>
          <w:rFonts w:ascii="Arial" w:cs="Arial" w:eastAsia="Arial" w:hAnsi="Arial"/>
          <w:sz w:val="22"/>
          <w:szCs w:val="22"/>
          <w:color w:val="0C0C0C"/>
        </w:rPr>
        <w:t>i</w:t>
      </w:r>
      <w:r>
        <w:rPr>
          <w:rFonts w:ascii="Arial" w:cs="Arial" w:eastAsia="Arial" w:hAnsi="Arial"/>
          <w:sz w:val="22"/>
          <w:szCs w:val="22"/>
          <w:color w:val="363636"/>
        </w:rPr>
        <w:t>ts</w:t>
      </w:r>
      <w:r>
        <w:rPr>
          <w:rFonts w:ascii="Arial" w:cs="Arial" w:eastAsia="Arial" w:hAnsi="Arial"/>
          <w:sz w:val="22"/>
          <w:szCs w:val="22"/>
          <w:color w:val="auto"/>
        </w:rPr>
        <w:t xml:space="preserve"> contractors or agents which </w:t>
      </w:r>
      <w:r>
        <w:rPr>
          <w:rFonts w:ascii="Arial" w:cs="Arial" w:eastAsia="Arial" w:hAnsi="Arial"/>
          <w:sz w:val="22"/>
          <w:szCs w:val="22"/>
          <w:color w:val="0C0C0C"/>
        </w:rPr>
        <w:t>require</w:t>
      </w:r>
      <w:r>
        <w:rPr>
          <w:rFonts w:ascii="Arial" w:cs="Arial" w:eastAsia="Arial" w:hAnsi="Arial"/>
          <w:sz w:val="22"/>
          <w:szCs w:val="22"/>
          <w:color w:val="auto"/>
        </w:rPr>
        <w:t xml:space="preserve"> Landlord’s approval, which costs will include </w:t>
      </w:r>
      <w:r>
        <w:rPr>
          <w:rFonts w:ascii="Arial" w:cs="Arial" w:eastAsia="Arial" w:hAnsi="Arial"/>
          <w:sz w:val="22"/>
          <w:szCs w:val="22"/>
          <w:color w:val="0C0C0C"/>
        </w:rPr>
        <w:t>the</w:t>
      </w:r>
      <w:r>
        <w:rPr>
          <w:rFonts w:ascii="Arial" w:cs="Arial" w:eastAsia="Arial" w:hAnsi="Arial"/>
          <w:sz w:val="22"/>
          <w:szCs w:val="22"/>
          <w:color w:val="auto"/>
        </w:rPr>
        <w:t xml:space="preserve">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120"/>
          </w:cols>
          <w:pgMar w:left="1440" w:top="1401" w:right="339" w:bottom="1440" w:gutter="0" w:footer="0" w:header="0"/>
        </w:sectPr>
      </w:pPr>
    </w:p>
    <w:bookmarkStart w:id="341" w:name="page342"/>
    <w:bookmarkEnd w:id="341"/>
    <w:p>
      <w:pPr>
        <w:jc w:val="both"/>
        <w:ind w:left="1300"/>
        <w:spacing w:after="0" w:line="249" w:lineRule="auto"/>
        <w:rPr>
          <w:sz w:val="20"/>
          <w:szCs w:val="20"/>
          <w:color w:val="auto"/>
        </w:rPr>
      </w:pPr>
      <w:r>
        <w:rPr>
          <w:rFonts w:ascii="Arial" w:cs="Arial" w:eastAsia="Arial" w:hAnsi="Arial"/>
          <w:sz w:val="19"/>
          <w:szCs w:val="19"/>
          <w:color w:val="auto"/>
        </w:rPr>
        <w:t xml:space="preserve">third party out-of-pocket costs incurred by Landlord in connection </w:t>
      </w:r>
      <w:r>
        <w:rPr>
          <w:rFonts w:ascii="Arial" w:cs="Arial" w:eastAsia="Arial" w:hAnsi="Arial"/>
          <w:sz w:val="19"/>
          <w:szCs w:val="19"/>
          <w:color w:val="0C0C0C"/>
        </w:rPr>
        <w:t>therewith</w:t>
      </w:r>
      <w:r>
        <w:rPr>
          <w:rFonts w:ascii="Arial" w:cs="Arial" w:eastAsia="Arial" w:hAnsi="Arial"/>
          <w:sz w:val="19"/>
          <w:szCs w:val="19"/>
          <w:color w:val="auto"/>
        </w:rPr>
        <w:t xml:space="preserve"> (but not in excess of </w:t>
      </w:r>
      <w:r>
        <w:rPr>
          <w:rFonts w:ascii="Arial" w:cs="Arial" w:eastAsia="Arial" w:hAnsi="Arial"/>
          <w:sz w:val="19"/>
          <w:szCs w:val="19"/>
          <w:color w:val="363636"/>
        </w:rPr>
        <w:t>$</w:t>
      </w:r>
      <w:r>
        <w:rPr>
          <w:rFonts w:ascii="Arial" w:cs="Arial" w:eastAsia="Arial" w:hAnsi="Arial"/>
          <w:sz w:val="19"/>
          <w:szCs w:val="19"/>
          <w:color w:val="0C0C0C"/>
        </w:rPr>
        <w:t>1.00 per</w:t>
      </w:r>
      <w:r>
        <w:rPr>
          <w:rFonts w:ascii="Arial" w:cs="Arial" w:eastAsia="Arial" w:hAnsi="Arial"/>
          <w:sz w:val="19"/>
          <w:szCs w:val="19"/>
          <w:color w:val="auto"/>
        </w:rPr>
        <w:t xml:space="preserve"> </w:t>
      </w:r>
      <w:r>
        <w:rPr>
          <w:rFonts w:ascii="Arial" w:cs="Arial" w:eastAsia="Arial" w:hAnsi="Arial"/>
          <w:sz w:val="19"/>
          <w:szCs w:val="19"/>
          <w:color w:val="363636"/>
        </w:rPr>
        <w:t xml:space="preserve">rentable </w:t>
      </w:r>
      <w:r>
        <w:rPr>
          <w:rFonts w:ascii="Arial" w:cs="Arial" w:eastAsia="Arial" w:hAnsi="Arial"/>
          <w:sz w:val="19"/>
          <w:szCs w:val="19"/>
          <w:color w:val="000000"/>
        </w:rPr>
        <w:t>square foot of</w:t>
      </w:r>
      <w:r>
        <w:rPr>
          <w:rFonts w:ascii="Arial" w:cs="Arial" w:eastAsia="Arial" w:hAnsi="Arial"/>
          <w:sz w:val="19"/>
          <w:szCs w:val="19"/>
          <w:color w:val="363636"/>
        </w:rPr>
        <w:t xml:space="preserve"> </w:t>
      </w:r>
      <w:r>
        <w:rPr>
          <w:rFonts w:ascii="Arial" w:cs="Arial" w:eastAsia="Arial" w:hAnsi="Arial"/>
          <w:sz w:val="19"/>
          <w:szCs w:val="19"/>
          <w:color w:val="0C0C0C"/>
        </w:rPr>
        <w:t>the</w:t>
      </w:r>
      <w:r>
        <w:rPr>
          <w:rFonts w:ascii="Arial" w:cs="Arial" w:eastAsia="Arial" w:hAnsi="Arial"/>
          <w:sz w:val="19"/>
          <w:szCs w:val="19"/>
          <w:color w:val="363636"/>
        </w:rPr>
        <w:t xml:space="preserve"> </w:t>
      </w:r>
      <w:r>
        <w:rPr>
          <w:rFonts w:ascii="Arial" w:cs="Arial" w:eastAsia="Arial" w:hAnsi="Arial"/>
          <w:sz w:val="19"/>
          <w:szCs w:val="19"/>
          <w:color w:val="000000"/>
        </w:rPr>
        <w:t>Premises),</w:t>
      </w:r>
      <w:r>
        <w:rPr>
          <w:rFonts w:ascii="Arial" w:cs="Arial" w:eastAsia="Arial" w:hAnsi="Arial"/>
          <w:sz w:val="19"/>
          <w:szCs w:val="19"/>
          <w:color w:val="363636"/>
        </w:rPr>
        <w:t xml:space="preserve"> to </w:t>
      </w:r>
      <w:r>
        <w:rPr>
          <w:rFonts w:ascii="Arial" w:cs="Arial" w:eastAsia="Arial" w:hAnsi="Arial"/>
          <w:sz w:val="19"/>
          <w:szCs w:val="19"/>
          <w:color w:val="000000"/>
        </w:rPr>
        <w:t>cover</w:t>
      </w:r>
      <w:r>
        <w:rPr>
          <w:rFonts w:ascii="Arial" w:cs="Arial" w:eastAsia="Arial" w:hAnsi="Arial"/>
          <w:sz w:val="19"/>
          <w:szCs w:val="19"/>
          <w:color w:val="363636"/>
        </w:rPr>
        <w:t xml:space="preserve"> </w:t>
      </w:r>
      <w:r>
        <w:rPr>
          <w:rFonts w:ascii="Arial" w:cs="Arial" w:eastAsia="Arial" w:hAnsi="Arial"/>
          <w:sz w:val="19"/>
          <w:szCs w:val="19"/>
          <w:color w:val="0C0C0C"/>
        </w:rPr>
        <w:t>Landlord</w:t>
      </w:r>
      <w:r>
        <w:rPr>
          <w:rFonts w:ascii="Arial" w:cs="Arial" w:eastAsia="Arial" w:hAnsi="Arial"/>
          <w:sz w:val="19"/>
          <w:szCs w:val="19"/>
          <w:color w:val="363636"/>
        </w:rPr>
        <w:t xml:space="preserve">’s </w:t>
      </w:r>
      <w:r>
        <w:rPr>
          <w:rFonts w:ascii="Arial" w:cs="Arial" w:eastAsia="Arial" w:hAnsi="Arial"/>
          <w:sz w:val="19"/>
          <w:szCs w:val="19"/>
          <w:color w:val="000000"/>
        </w:rPr>
        <w:t>overhead and expenses</w:t>
      </w:r>
      <w:r>
        <w:rPr>
          <w:rFonts w:ascii="Arial" w:cs="Arial" w:eastAsia="Arial" w:hAnsi="Arial"/>
          <w:sz w:val="19"/>
          <w:szCs w:val="19"/>
          <w:color w:val="363636"/>
        </w:rPr>
        <w:t xml:space="preserve"> for </w:t>
      </w:r>
      <w:r>
        <w:rPr>
          <w:rFonts w:ascii="Arial" w:cs="Arial" w:eastAsia="Arial" w:hAnsi="Arial"/>
          <w:sz w:val="19"/>
          <w:szCs w:val="19"/>
          <w:color w:val="000000"/>
        </w:rPr>
        <w:t>plan</w:t>
      </w:r>
      <w:r>
        <w:rPr>
          <w:rFonts w:ascii="Arial" w:cs="Arial" w:eastAsia="Arial" w:hAnsi="Arial"/>
          <w:sz w:val="19"/>
          <w:szCs w:val="19"/>
          <w:color w:val="363636"/>
        </w:rPr>
        <w:t xml:space="preserve"> rev</w:t>
      </w:r>
      <w:r>
        <w:rPr>
          <w:rFonts w:ascii="Arial" w:cs="Arial" w:eastAsia="Arial" w:hAnsi="Arial"/>
          <w:sz w:val="19"/>
          <w:szCs w:val="19"/>
          <w:color w:val="0C0C0C"/>
        </w:rPr>
        <w:t>iew</w:t>
      </w:r>
      <w:r>
        <w:rPr>
          <w:rFonts w:ascii="Arial" w:cs="Arial" w:eastAsia="Arial" w:hAnsi="Arial"/>
          <w:sz w:val="19"/>
          <w:szCs w:val="19"/>
          <w:color w:val="363636"/>
        </w:rPr>
        <w:t xml:space="preserve">, </w:t>
      </w:r>
      <w:r>
        <w:rPr>
          <w:rFonts w:ascii="Arial" w:cs="Arial" w:eastAsia="Arial" w:hAnsi="Arial"/>
          <w:sz w:val="19"/>
          <w:szCs w:val="19"/>
          <w:color w:val="000000"/>
        </w:rPr>
        <w:t>coordination,</w:t>
      </w:r>
      <w:r>
        <w:rPr>
          <w:rFonts w:ascii="Arial" w:cs="Arial" w:eastAsia="Arial" w:hAnsi="Arial"/>
          <w:sz w:val="19"/>
          <w:szCs w:val="19"/>
          <w:color w:val="363636"/>
        </w:rPr>
        <w:t xml:space="preserve"> sched</w:t>
      </w:r>
      <w:r>
        <w:rPr>
          <w:rFonts w:ascii="Arial" w:cs="Arial" w:eastAsia="Arial" w:hAnsi="Arial"/>
          <w:sz w:val="19"/>
          <w:szCs w:val="19"/>
          <w:color w:val="0C0C0C"/>
        </w:rPr>
        <w:t>uling</w:t>
      </w:r>
      <w:r>
        <w:rPr>
          <w:rFonts w:ascii="Arial" w:cs="Arial" w:eastAsia="Arial" w:hAnsi="Arial"/>
          <w:sz w:val="19"/>
          <w:szCs w:val="19"/>
          <w:color w:val="363636"/>
        </w:rPr>
        <w:t xml:space="preserve"> </w:t>
      </w:r>
      <w:r>
        <w:rPr>
          <w:rFonts w:ascii="Arial" w:cs="Arial" w:eastAsia="Arial" w:hAnsi="Arial"/>
          <w:sz w:val="19"/>
          <w:szCs w:val="19"/>
          <w:color w:val="000000"/>
        </w:rPr>
        <w:t>and supervision thereof. For purposes of payment of such sum, Tenant</w:t>
      </w:r>
      <w:r>
        <w:rPr>
          <w:rFonts w:ascii="Arial" w:cs="Arial" w:eastAsia="Arial" w:hAnsi="Arial"/>
          <w:sz w:val="19"/>
          <w:szCs w:val="19"/>
          <w:color w:val="363636"/>
        </w:rPr>
        <w:t xml:space="preserve"> sha</w:t>
      </w:r>
      <w:r>
        <w:rPr>
          <w:rFonts w:ascii="Arial" w:cs="Arial" w:eastAsia="Arial" w:hAnsi="Arial"/>
          <w:sz w:val="19"/>
          <w:szCs w:val="19"/>
          <w:color w:val="0C0C0C"/>
        </w:rPr>
        <w:t>ll</w:t>
      </w:r>
      <w:r>
        <w:rPr>
          <w:rFonts w:ascii="Arial" w:cs="Arial" w:eastAsia="Arial" w:hAnsi="Arial"/>
          <w:sz w:val="19"/>
          <w:szCs w:val="19"/>
          <w:color w:val="363636"/>
        </w:rPr>
        <w:t xml:space="preserve"> </w:t>
      </w:r>
      <w:r>
        <w:rPr>
          <w:rFonts w:ascii="Arial" w:cs="Arial" w:eastAsia="Arial" w:hAnsi="Arial"/>
          <w:sz w:val="19"/>
          <w:szCs w:val="19"/>
          <w:color w:val="000000"/>
        </w:rPr>
        <w:t>submit to Landlord copies</w:t>
      </w:r>
      <w:r>
        <w:rPr>
          <w:rFonts w:ascii="Arial" w:cs="Arial" w:eastAsia="Arial" w:hAnsi="Arial"/>
          <w:sz w:val="19"/>
          <w:szCs w:val="19"/>
          <w:color w:val="363636"/>
        </w:rPr>
        <w:t xml:space="preserve"> </w:t>
      </w:r>
      <w:r>
        <w:rPr>
          <w:rFonts w:ascii="Arial" w:cs="Arial" w:eastAsia="Arial" w:hAnsi="Arial"/>
          <w:sz w:val="19"/>
          <w:szCs w:val="19"/>
          <w:color w:val="000000"/>
        </w:rPr>
        <w:t xml:space="preserve">of all </w:t>
      </w:r>
      <w:r>
        <w:rPr>
          <w:rFonts w:ascii="Arial" w:cs="Arial" w:eastAsia="Arial" w:hAnsi="Arial"/>
          <w:sz w:val="19"/>
          <w:szCs w:val="19"/>
          <w:color w:val="0C0C0C"/>
        </w:rPr>
        <w:t>bills,</w:t>
      </w:r>
      <w:r>
        <w:rPr>
          <w:rFonts w:ascii="Arial" w:cs="Arial" w:eastAsia="Arial" w:hAnsi="Arial"/>
          <w:sz w:val="19"/>
          <w:szCs w:val="19"/>
          <w:color w:val="000000"/>
        </w:rPr>
        <w:t xml:space="preserve"> invoices and </w:t>
      </w:r>
      <w:r>
        <w:rPr>
          <w:rFonts w:ascii="Arial" w:cs="Arial" w:eastAsia="Arial" w:hAnsi="Arial"/>
          <w:sz w:val="19"/>
          <w:szCs w:val="19"/>
          <w:color w:val="363636"/>
        </w:rPr>
        <w:t>statements</w:t>
      </w:r>
      <w:r>
        <w:rPr>
          <w:rFonts w:ascii="Arial" w:cs="Arial" w:eastAsia="Arial" w:hAnsi="Arial"/>
          <w:sz w:val="19"/>
          <w:szCs w:val="19"/>
          <w:color w:val="000000"/>
        </w:rPr>
        <w:t xml:space="preserve"> covering the costs of </w:t>
      </w:r>
      <w:r>
        <w:rPr>
          <w:rFonts w:ascii="Arial" w:cs="Arial" w:eastAsia="Arial" w:hAnsi="Arial"/>
          <w:sz w:val="19"/>
          <w:szCs w:val="19"/>
          <w:color w:val="363636"/>
        </w:rPr>
        <w:t>such charges,</w:t>
      </w:r>
      <w:r>
        <w:rPr>
          <w:rFonts w:ascii="Arial" w:cs="Arial" w:eastAsia="Arial" w:hAnsi="Arial"/>
          <w:sz w:val="19"/>
          <w:szCs w:val="19"/>
          <w:color w:val="000000"/>
        </w:rPr>
        <w:t xml:space="preserve"> accompanied by payment to Landlord of </w:t>
      </w:r>
      <w:r>
        <w:rPr>
          <w:rFonts w:ascii="Arial" w:cs="Arial" w:eastAsia="Arial" w:hAnsi="Arial"/>
          <w:sz w:val="19"/>
          <w:szCs w:val="19"/>
          <w:color w:val="363636"/>
        </w:rPr>
        <w:t>the fee se</w:t>
      </w:r>
      <w:r>
        <w:rPr>
          <w:rFonts w:ascii="Arial" w:cs="Arial" w:eastAsia="Arial" w:hAnsi="Arial"/>
          <w:sz w:val="19"/>
          <w:szCs w:val="19"/>
          <w:color w:val="0C0C0C"/>
        </w:rPr>
        <w:t>t</w:t>
      </w:r>
      <w:r>
        <w:rPr>
          <w:rFonts w:ascii="Arial" w:cs="Arial" w:eastAsia="Arial" w:hAnsi="Arial"/>
          <w:sz w:val="19"/>
          <w:szCs w:val="19"/>
          <w:color w:val="363636"/>
        </w:rPr>
        <w:t xml:space="preserve"> </w:t>
      </w:r>
      <w:r>
        <w:rPr>
          <w:rFonts w:ascii="Arial" w:cs="Arial" w:eastAsia="Arial" w:hAnsi="Arial"/>
          <w:sz w:val="19"/>
          <w:szCs w:val="19"/>
          <w:color w:val="000000"/>
        </w:rPr>
        <w:t>forth</w:t>
      </w:r>
      <w:r>
        <w:rPr>
          <w:rFonts w:ascii="Arial" w:cs="Arial" w:eastAsia="Arial" w:hAnsi="Arial"/>
          <w:sz w:val="19"/>
          <w:szCs w:val="19"/>
          <w:color w:val="363636"/>
        </w:rPr>
        <w:t xml:space="preserve"> </w:t>
      </w:r>
      <w:r>
        <w:rPr>
          <w:rFonts w:ascii="Arial" w:cs="Arial" w:eastAsia="Arial" w:hAnsi="Arial"/>
          <w:sz w:val="19"/>
          <w:szCs w:val="19"/>
          <w:color w:val="0C0C0C"/>
        </w:rPr>
        <w:t>in thi</w:t>
      </w:r>
      <w:r>
        <w:rPr>
          <w:rFonts w:ascii="Arial" w:cs="Arial" w:eastAsia="Arial" w:hAnsi="Arial"/>
          <w:sz w:val="19"/>
          <w:szCs w:val="19"/>
          <w:color w:val="363636"/>
        </w:rPr>
        <w:t xml:space="preserve">s </w:t>
      </w:r>
      <w:r>
        <w:rPr>
          <w:rFonts w:ascii="Arial" w:cs="Arial" w:eastAsia="Arial" w:hAnsi="Arial"/>
          <w:sz w:val="19"/>
          <w:szCs w:val="19"/>
          <w:color w:val="000000"/>
        </w:rPr>
        <w:t>Section. Tenant shall reimburse Landlord</w:t>
      </w:r>
      <w:r>
        <w:rPr>
          <w:rFonts w:ascii="Arial" w:cs="Arial" w:eastAsia="Arial" w:hAnsi="Arial"/>
          <w:sz w:val="19"/>
          <w:szCs w:val="19"/>
          <w:color w:val="363636"/>
        </w:rPr>
        <w:t xml:space="preserve"> for any extra </w:t>
      </w:r>
      <w:r>
        <w:rPr>
          <w:rFonts w:ascii="Arial" w:cs="Arial" w:eastAsia="Arial" w:hAnsi="Arial"/>
          <w:sz w:val="19"/>
          <w:szCs w:val="19"/>
          <w:color w:val="000000"/>
        </w:rPr>
        <w:t>expenses incurred by Landlord</w:t>
      </w:r>
      <w:r>
        <w:rPr>
          <w:rFonts w:ascii="Arial" w:cs="Arial" w:eastAsia="Arial" w:hAnsi="Arial"/>
          <w:sz w:val="19"/>
          <w:szCs w:val="19"/>
          <w:color w:val="363636"/>
        </w:rPr>
        <w:t xml:space="preserve"> </w:t>
      </w:r>
      <w:r>
        <w:rPr>
          <w:rFonts w:ascii="Arial" w:cs="Arial" w:eastAsia="Arial" w:hAnsi="Arial"/>
          <w:sz w:val="19"/>
          <w:szCs w:val="19"/>
          <w:color w:val="0C0C0C"/>
        </w:rPr>
        <w:t>by</w:t>
      </w:r>
      <w:r>
        <w:rPr>
          <w:rFonts w:ascii="Arial" w:cs="Arial" w:eastAsia="Arial" w:hAnsi="Arial"/>
          <w:sz w:val="19"/>
          <w:szCs w:val="19"/>
          <w:color w:val="363636"/>
        </w:rPr>
        <w:t xml:space="preserve"> </w:t>
      </w:r>
      <w:r>
        <w:rPr>
          <w:rFonts w:ascii="Arial" w:cs="Arial" w:eastAsia="Arial" w:hAnsi="Arial"/>
          <w:sz w:val="19"/>
          <w:szCs w:val="19"/>
          <w:color w:val="000000"/>
        </w:rPr>
        <w:t xml:space="preserve">reason of faulty work </w:t>
      </w:r>
      <w:r>
        <w:rPr>
          <w:rFonts w:ascii="Arial" w:cs="Arial" w:eastAsia="Arial" w:hAnsi="Arial"/>
          <w:sz w:val="19"/>
          <w:szCs w:val="19"/>
          <w:color w:val="0C0C0C"/>
        </w:rPr>
        <w:t>done by</w:t>
      </w:r>
      <w:r>
        <w:rPr>
          <w:rFonts w:ascii="Arial" w:cs="Arial" w:eastAsia="Arial" w:hAnsi="Arial"/>
          <w:sz w:val="19"/>
          <w:szCs w:val="19"/>
          <w:color w:val="000000"/>
        </w:rPr>
        <w:t xml:space="preserve"> Tenant or </w:t>
      </w:r>
      <w:r>
        <w:rPr>
          <w:rFonts w:ascii="Arial" w:cs="Arial" w:eastAsia="Arial" w:hAnsi="Arial"/>
          <w:sz w:val="19"/>
          <w:szCs w:val="19"/>
          <w:color w:val="363636"/>
        </w:rPr>
        <w:t>its</w:t>
      </w:r>
      <w:r>
        <w:rPr>
          <w:rFonts w:ascii="Arial" w:cs="Arial" w:eastAsia="Arial" w:hAnsi="Arial"/>
          <w:sz w:val="19"/>
          <w:szCs w:val="19"/>
          <w:color w:val="000000"/>
        </w:rPr>
        <w:t xml:space="preserve"> contractors or by reason of </w:t>
      </w:r>
      <w:r>
        <w:rPr>
          <w:rFonts w:ascii="Arial" w:cs="Arial" w:eastAsia="Arial" w:hAnsi="Arial"/>
          <w:sz w:val="19"/>
          <w:szCs w:val="19"/>
          <w:color w:val="363636"/>
        </w:rPr>
        <w:t>inadequate</w:t>
      </w:r>
      <w:r>
        <w:rPr>
          <w:rFonts w:ascii="Arial" w:cs="Arial" w:eastAsia="Arial" w:hAnsi="Arial"/>
          <w:sz w:val="19"/>
          <w:szCs w:val="19"/>
          <w:color w:val="000000"/>
        </w:rPr>
        <w:t xml:space="preserve"> clean-up.</w:t>
      </w:r>
    </w:p>
    <w:p>
      <w:pPr>
        <w:spacing w:after="0" w:line="152" w:lineRule="exact"/>
        <w:rPr>
          <w:sz w:val="20"/>
          <w:szCs w:val="20"/>
          <w:color w:val="auto"/>
        </w:rPr>
      </w:pPr>
    </w:p>
    <w:p>
      <w:pPr>
        <w:jc w:val="both"/>
        <w:ind w:left="1300" w:hanging="647"/>
        <w:spacing w:after="0" w:line="218" w:lineRule="auto"/>
        <w:rPr>
          <w:sz w:val="20"/>
          <w:szCs w:val="20"/>
          <w:color w:val="auto"/>
        </w:rPr>
      </w:pPr>
      <w:r>
        <w:rPr>
          <w:rFonts w:ascii="Arial" w:cs="Arial" w:eastAsia="Arial" w:hAnsi="Arial"/>
          <w:sz w:val="22"/>
          <w:szCs w:val="22"/>
          <w:color w:val="auto"/>
        </w:rPr>
        <w:t xml:space="preserve">17.11 Within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color w:val="0C0C0C"/>
        </w:rPr>
        <w:t>da</w:t>
      </w:r>
      <w:r>
        <w:rPr>
          <w:rFonts w:ascii="Arial" w:cs="Arial" w:eastAsia="Arial" w:hAnsi="Arial"/>
          <w:sz w:val="22"/>
          <w:szCs w:val="22"/>
          <w:color w:val="363636"/>
        </w:rPr>
        <w:t>ys</w:t>
      </w:r>
      <w:r>
        <w:rPr>
          <w:rFonts w:ascii="Arial" w:cs="Arial" w:eastAsia="Arial" w:hAnsi="Arial"/>
          <w:sz w:val="22"/>
          <w:szCs w:val="22"/>
          <w:color w:val="auto"/>
        </w:rPr>
        <w:t xml:space="preserve"> after final completion of any Alterations performed by </w:t>
      </w:r>
      <w:r>
        <w:rPr>
          <w:rFonts w:ascii="Arial" w:cs="Arial" w:eastAsia="Arial" w:hAnsi="Arial"/>
          <w:sz w:val="22"/>
          <w:szCs w:val="22"/>
          <w:color w:val="0C0C0C"/>
        </w:rPr>
        <w:t>Tenant</w:t>
      </w:r>
      <w:r>
        <w:rPr>
          <w:rFonts w:ascii="Arial" w:cs="Arial" w:eastAsia="Arial" w:hAnsi="Arial"/>
          <w:sz w:val="22"/>
          <w:szCs w:val="22"/>
          <w:color w:val="auto"/>
        </w:rPr>
        <w:t xml:space="preserve"> </w:t>
      </w:r>
      <w:r>
        <w:rPr>
          <w:rFonts w:ascii="Arial" w:cs="Arial" w:eastAsia="Arial" w:hAnsi="Arial"/>
          <w:sz w:val="22"/>
          <w:szCs w:val="22"/>
          <w:color w:val="363636"/>
        </w:rPr>
        <w:t>wi</w:t>
      </w:r>
      <w:r>
        <w:rPr>
          <w:rFonts w:ascii="Arial" w:cs="Arial" w:eastAsia="Arial" w:hAnsi="Arial"/>
          <w:sz w:val="22"/>
          <w:szCs w:val="22"/>
          <w:color w:val="0C0C0C"/>
        </w:rPr>
        <w:t>th</w:t>
      </w:r>
      <w:r>
        <w:rPr>
          <w:rFonts w:ascii="Arial" w:cs="Arial" w:eastAsia="Arial" w:hAnsi="Arial"/>
          <w:sz w:val="22"/>
          <w:szCs w:val="22"/>
          <w:color w:val="auto"/>
        </w:rPr>
        <w:t xml:space="preserve"> </w:t>
      </w:r>
      <w:r>
        <w:rPr>
          <w:rFonts w:ascii="Arial" w:cs="Arial" w:eastAsia="Arial" w:hAnsi="Arial"/>
          <w:sz w:val="22"/>
          <w:szCs w:val="22"/>
          <w:color w:val="363636"/>
        </w:rPr>
        <w:t>respect</w:t>
      </w:r>
      <w:r>
        <w:rPr>
          <w:rFonts w:ascii="Arial" w:cs="Arial" w:eastAsia="Arial" w:hAnsi="Arial"/>
          <w:sz w:val="22"/>
          <w:szCs w:val="22"/>
          <w:color w:val="auto"/>
        </w:rPr>
        <w:t xml:space="preserve"> to the Premises, </w:t>
      </w:r>
      <w:r>
        <w:rPr>
          <w:rFonts w:ascii="Arial" w:cs="Arial" w:eastAsia="Arial" w:hAnsi="Arial"/>
          <w:sz w:val="22"/>
          <w:szCs w:val="22"/>
          <w:color w:val="363636"/>
        </w:rPr>
        <w:t>Te</w:t>
      </w:r>
      <w:r>
        <w:rPr>
          <w:rFonts w:ascii="Arial" w:cs="Arial" w:eastAsia="Arial" w:hAnsi="Arial"/>
          <w:sz w:val="22"/>
          <w:szCs w:val="22"/>
          <w:color w:val="0C0C0C"/>
        </w:rPr>
        <w:t>nant</w:t>
      </w:r>
      <w:r>
        <w:rPr>
          <w:rFonts w:ascii="Arial" w:cs="Arial" w:eastAsia="Arial" w:hAnsi="Arial"/>
          <w:sz w:val="22"/>
          <w:szCs w:val="22"/>
          <w:color w:val="363636"/>
        </w:rPr>
        <w:t xml:space="preserve"> sha</w:t>
      </w:r>
      <w:r>
        <w:rPr>
          <w:rFonts w:ascii="Arial" w:cs="Arial" w:eastAsia="Arial" w:hAnsi="Arial"/>
          <w:sz w:val="22"/>
          <w:szCs w:val="22"/>
          <w:color w:val="0C0C0C"/>
        </w:rPr>
        <w:t>ll</w:t>
      </w:r>
      <w:r>
        <w:rPr>
          <w:rFonts w:ascii="Arial" w:cs="Arial" w:eastAsia="Arial" w:hAnsi="Arial"/>
          <w:sz w:val="22"/>
          <w:szCs w:val="22"/>
          <w:color w:val="363636"/>
        </w:rPr>
        <w:t xml:space="preserve"> submi</w:t>
      </w:r>
      <w:r>
        <w:rPr>
          <w:rFonts w:ascii="Arial" w:cs="Arial" w:eastAsia="Arial" w:hAnsi="Arial"/>
          <w:sz w:val="22"/>
          <w:szCs w:val="22"/>
          <w:color w:val="0C0C0C"/>
        </w:rPr>
        <w:t>t</w:t>
      </w:r>
      <w:r>
        <w:rPr>
          <w:rFonts w:ascii="Arial" w:cs="Arial" w:eastAsia="Arial" w:hAnsi="Arial"/>
          <w:sz w:val="22"/>
          <w:szCs w:val="22"/>
          <w:color w:val="363636"/>
        </w:rPr>
        <w:t xml:space="preserve"> to </w:t>
      </w:r>
      <w:r>
        <w:rPr>
          <w:rFonts w:ascii="Arial" w:cs="Arial" w:eastAsia="Arial" w:hAnsi="Arial"/>
          <w:sz w:val="22"/>
          <w:szCs w:val="22"/>
          <w:color w:val="000000"/>
        </w:rPr>
        <w:t>Landlord documentation</w:t>
      </w:r>
      <w:r>
        <w:rPr>
          <w:rFonts w:ascii="Arial" w:cs="Arial" w:eastAsia="Arial" w:hAnsi="Arial"/>
          <w:sz w:val="22"/>
          <w:szCs w:val="22"/>
          <w:color w:val="363636"/>
        </w:rPr>
        <w:t xml:space="preserve"> s</w:t>
      </w:r>
      <w:r>
        <w:rPr>
          <w:rFonts w:ascii="Arial" w:cs="Arial" w:eastAsia="Arial" w:hAnsi="Arial"/>
          <w:sz w:val="22"/>
          <w:szCs w:val="22"/>
          <w:color w:val="0C0C0C"/>
        </w:rPr>
        <w:t>howing</w:t>
      </w:r>
      <w:r>
        <w:rPr>
          <w:rFonts w:ascii="Arial" w:cs="Arial" w:eastAsia="Arial" w:hAnsi="Arial"/>
          <w:sz w:val="22"/>
          <w:szCs w:val="22"/>
          <w:color w:val="363636"/>
        </w:rPr>
        <w:t xml:space="preserve"> </w:t>
      </w:r>
      <w:r>
        <w:rPr>
          <w:rFonts w:ascii="Arial" w:cs="Arial" w:eastAsia="Arial" w:hAnsi="Arial"/>
          <w:sz w:val="22"/>
          <w:szCs w:val="22"/>
          <w:color w:val="000000"/>
        </w:rPr>
        <w:t>the amounts expended by Tenant</w:t>
      </w:r>
      <w:r>
        <w:rPr>
          <w:rFonts w:ascii="Arial" w:cs="Arial" w:eastAsia="Arial" w:hAnsi="Arial"/>
          <w:sz w:val="22"/>
          <w:szCs w:val="22"/>
          <w:color w:val="363636"/>
        </w:rPr>
        <w:t xml:space="preserve"> with </w:t>
      </w:r>
      <w:r>
        <w:rPr>
          <w:rFonts w:ascii="Arial" w:cs="Arial" w:eastAsia="Arial" w:hAnsi="Arial"/>
          <w:sz w:val="22"/>
          <w:szCs w:val="22"/>
          <w:color w:val="000000"/>
        </w:rPr>
        <w:t>respect to</w:t>
      </w:r>
      <w:r>
        <w:rPr>
          <w:rFonts w:ascii="Arial" w:cs="Arial" w:eastAsia="Arial" w:hAnsi="Arial"/>
          <w:sz w:val="22"/>
          <w:szCs w:val="22"/>
          <w:color w:val="363636"/>
        </w:rPr>
        <w:t xml:space="preserve"> suc</w:t>
      </w:r>
      <w:r>
        <w:rPr>
          <w:rFonts w:ascii="Arial" w:cs="Arial" w:eastAsia="Arial" w:hAnsi="Arial"/>
          <w:sz w:val="22"/>
          <w:szCs w:val="22"/>
          <w:color w:val="0C0C0C"/>
        </w:rPr>
        <w:t>h</w:t>
      </w:r>
      <w:r>
        <w:rPr>
          <w:rFonts w:ascii="Arial" w:cs="Arial" w:eastAsia="Arial" w:hAnsi="Arial"/>
          <w:sz w:val="22"/>
          <w:szCs w:val="22"/>
          <w:color w:val="363636"/>
        </w:rPr>
        <w:t xml:space="preserve"> Al</w:t>
      </w:r>
      <w:r>
        <w:rPr>
          <w:rFonts w:ascii="Arial" w:cs="Arial" w:eastAsia="Arial" w:hAnsi="Arial"/>
          <w:sz w:val="22"/>
          <w:szCs w:val="22"/>
          <w:color w:val="0C0C0C"/>
        </w:rPr>
        <w:t>teratio</w:t>
      </w:r>
      <w:r>
        <w:rPr>
          <w:rFonts w:ascii="Arial" w:cs="Arial" w:eastAsia="Arial" w:hAnsi="Arial"/>
          <w:sz w:val="22"/>
          <w:szCs w:val="22"/>
          <w:color w:val="363636"/>
        </w:rPr>
        <w:t xml:space="preserve">ns </w:t>
      </w:r>
      <w:r>
        <w:rPr>
          <w:rFonts w:ascii="Arial" w:cs="Arial" w:eastAsia="Arial" w:hAnsi="Arial"/>
          <w:sz w:val="22"/>
          <w:szCs w:val="22"/>
          <w:color w:val="000000"/>
        </w:rPr>
        <w:t>performed</w:t>
      </w:r>
      <w:r>
        <w:rPr>
          <w:rFonts w:ascii="Arial" w:cs="Arial" w:eastAsia="Arial" w:hAnsi="Arial"/>
          <w:sz w:val="22"/>
          <w:szCs w:val="22"/>
          <w:color w:val="363636"/>
        </w:rPr>
        <w:t xml:space="preserve"> </w:t>
      </w:r>
      <w:r>
        <w:rPr>
          <w:rFonts w:ascii="Arial" w:cs="Arial" w:eastAsia="Arial" w:hAnsi="Arial"/>
          <w:sz w:val="22"/>
          <w:szCs w:val="22"/>
          <w:color w:val="0C0C0C"/>
        </w:rPr>
        <w:t>by</w:t>
      </w:r>
      <w:r>
        <w:rPr>
          <w:rFonts w:ascii="Arial" w:cs="Arial" w:eastAsia="Arial" w:hAnsi="Arial"/>
          <w:sz w:val="22"/>
          <w:szCs w:val="22"/>
          <w:color w:val="363636"/>
        </w:rPr>
        <w:t xml:space="preserve"> </w:t>
      </w:r>
      <w:r>
        <w:rPr>
          <w:rFonts w:ascii="Arial" w:cs="Arial" w:eastAsia="Arial" w:hAnsi="Arial"/>
          <w:sz w:val="22"/>
          <w:szCs w:val="22"/>
          <w:color w:val="000000"/>
        </w:rPr>
        <w:t>Tenant with respect to the</w:t>
      </w:r>
      <w:r>
        <w:rPr>
          <w:rFonts w:ascii="Arial" w:cs="Arial" w:eastAsia="Arial" w:hAnsi="Arial"/>
          <w:sz w:val="22"/>
          <w:szCs w:val="22"/>
          <w:color w:val="363636"/>
        </w:rPr>
        <w:t xml:space="preserve"> </w:t>
      </w:r>
      <w:r>
        <w:rPr>
          <w:rFonts w:ascii="Arial" w:cs="Arial" w:eastAsia="Arial" w:hAnsi="Arial"/>
          <w:sz w:val="22"/>
          <w:szCs w:val="22"/>
          <w:color w:val="0C0C0C"/>
        </w:rPr>
        <w:t>Premi</w:t>
      </w:r>
      <w:r>
        <w:rPr>
          <w:rFonts w:ascii="Arial" w:cs="Arial" w:eastAsia="Arial" w:hAnsi="Arial"/>
          <w:sz w:val="22"/>
          <w:szCs w:val="22"/>
          <w:color w:val="363636"/>
        </w:rPr>
        <w:t xml:space="preserve">ses, </w:t>
      </w:r>
      <w:r>
        <w:rPr>
          <w:rFonts w:ascii="Arial" w:cs="Arial" w:eastAsia="Arial" w:hAnsi="Arial"/>
          <w:sz w:val="22"/>
          <w:szCs w:val="22"/>
          <w:color w:val="000000"/>
        </w:rPr>
        <w:t>together with</w:t>
      </w:r>
      <w:r>
        <w:rPr>
          <w:rFonts w:ascii="Arial" w:cs="Arial" w:eastAsia="Arial" w:hAnsi="Arial"/>
          <w:sz w:val="22"/>
          <w:szCs w:val="22"/>
          <w:color w:val="363636"/>
        </w:rPr>
        <w:t xml:space="preserve"> support</w:t>
      </w:r>
      <w:r>
        <w:rPr>
          <w:rFonts w:ascii="Arial" w:cs="Arial" w:eastAsia="Arial" w:hAnsi="Arial"/>
          <w:sz w:val="22"/>
          <w:szCs w:val="22"/>
          <w:color w:val="0C0C0C"/>
        </w:rPr>
        <w:t>ing</w:t>
      </w:r>
      <w:r>
        <w:rPr>
          <w:rFonts w:ascii="Arial" w:cs="Arial" w:eastAsia="Arial" w:hAnsi="Arial"/>
          <w:sz w:val="22"/>
          <w:szCs w:val="22"/>
          <w:color w:val="363636"/>
        </w:rPr>
        <w:t xml:space="preserve"> </w:t>
      </w:r>
      <w:r>
        <w:rPr>
          <w:rFonts w:ascii="Arial" w:cs="Arial" w:eastAsia="Arial" w:hAnsi="Arial"/>
          <w:sz w:val="22"/>
          <w:szCs w:val="22"/>
          <w:color w:val="000000"/>
        </w:rPr>
        <w:t>documentation reasonably</w:t>
      </w:r>
      <w:r>
        <w:rPr>
          <w:rFonts w:ascii="Arial" w:cs="Arial" w:eastAsia="Arial" w:hAnsi="Arial"/>
          <w:sz w:val="22"/>
          <w:szCs w:val="22"/>
          <w:color w:val="363636"/>
        </w:rPr>
        <w:t xml:space="preserve"> </w:t>
      </w:r>
      <w:r>
        <w:rPr>
          <w:rFonts w:ascii="Arial" w:cs="Arial" w:eastAsia="Arial" w:hAnsi="Arial"/>
          <w:sz w:val="22"/>
          <w:szCs w:val="22"/>
          <w:color w:val="000000"/>
        </w:rPr>
        <w:t xml:space="preserve">acceptable </w:t>
      </w:r>
      <w:r>
        <w:rPr>
          <w:rFonts w:ascii="Arial" w:cs="Arial" w:eastAsia="Arial" w:hAnsi="Arial"/>
          <w:sz w:val="22"/>
          <w:szCs w:val="22"/>
          <w:color w:val="363636"/>
        </w:rPr>
        <w:t>to</w:t>
      </w:r>
      <w:r>
        <w:rPr>
          <w:rFonts w:ascii="Arial" w:cs="Arial" w:eastAsia="Arial" w:hAnsi="Arial"/>
          <w:sz w:val="22"/>
          <w:szCs w:val="22"/>
          <w:color w:val="000000"/>
        </w:rPr>
        <w:t xml:space="preserve"> Landlord.</w:t>
      </w:r>
    </w:p>
    <w:p>
      <w:pPr>
        <w:spacing w:after="0" w:line="161" w:lineRule="exact"/>
        <w:rPr>
          <w:sz w:val="20"/>
          <w:szCs w:val="20"/>
          <w:color w:val="auto"/>
        </w:rPr>
      </w:pPr>
    </w:p>
    <w:p>
      <w:pPr>
        <w:jc w:val="both"/>
        <w:ind w:left="1300" w:hanging="647"/>
        <w:spacing w:after="0" w:line="232" w:lineRule="auto"/>
        <w:rPr>
          <w:sz w:val="20"/>
          <w:szCs w:val="20"/>
          <w:color w:val="auto"/>
        </w:rPr>
      </w:pPr>
      <w:r>
        <w:rPr>
          <w:rFonts w:ascii="Arial" w:cs="Arial" w:eastAsia="Arial" w:hAnsi="Arial"/>
          <w:sz w:val="22"/>
          <w:szCs w:val="22"/>
          <w:color w:val="auto"/>
        </w:rPr>
        <w:t xml:space="preserve">17.12 </w:t>
      </w:r>
      <w:r>
        <w:rPr>
          <w:rFonts w:ascii="Arial" w:cs="Arial" w:eastAsia="Arial" w:hAnsi="Arial"/>
          <w:sz w:val="22"/>
          <w:szCs w:val="22"/>
          <w:color w:val="363636"/>
        </w:rPr>
        <w:t>Tenan</w:t>
      </w:r>
      <w:r>
        <w:rPr>
          <w:rFonts w:ascii="Arial" w:cs="Arial" w:eastAsia="Arial" w:hAnsi="Arial"/>
          <w:sz w:val="22"/>
          <w:szCs w:val="22"/>
          <w:color w:val="0C0C0C"/>
        </w:rPr>
        <w:t>t</w:t>
      </w:r>
      <w:r>
        <w:rPr>
          <w:rFonts w:ascii="Arial" w:cs="Arial" w:eastAsia="Arial" w:hAnsi="Arial"/>
          <w:sz w:val="22"/>
          <w:szCs w:val="22"/>
          <w:color w:val="auto"/>
        </w:rPr>
        <w:t xml:space="preserve"> shall </w:t>
      </w:r>
      <w:r>
        <w:rPr>
          <w:rFonts w:ascii="Arial" w:cs="Arial" w:eastAsia="Arial" w:hAnsi="Arial"/>
          <w:sz w:val="22"/>
          <w:szCs w:val="22"/>
          <w:color w:val="0C0C0C"/>
        </w:rPr>
        <w:t>requ</w:t>
      </w:r>
      <w:r>
        <w:rPr>
          <w:rFonts w:ascii="Arial" w:cs="Arial" w:eastAsia="Arial" w:hAnsi="Arial"/>
          <w:sz w:val="22"/>
          <w:szCs w:val="22"/>
          <w:color w:val="363636"/>
        </w:rPr>
        <w:t>ire its</w:t>
      </w:r>
      <w:r>
        <w:rPr>
          <w:rFonts w:ascii="Arial" w:cs="Arial" w:eastAsia="Arial" w:hAnsi="Arial"/>
          <w:sz w:val="22"/>
          <w:szCs w:val="22"/>
          <w:color w:val="auto"/>
        </w:rPr>
        <w:t xml:space="preserve"> contractors and </w:t>
      </w:r>
      <w:r>
        <w:rPr>
          <w:rFonts w:ascii="Arial" w:cs="Arial" w:eastAsia="Arial" w:hAnsi="Arial"/>
          <w:sz w:val="22"/>
          <w:szCs w:val="22"/>
          <w:color w:val="363636"/>
        </w:rPr>
        <w:t>su</w:t>
      </w:r>
      <w:r>
        <w:rPr>
          <w:rFonts w:ascii="Arial" w:cs="Arial" w:eastAsia="Arial" w:hAnsi="Arial"/>
          <w:sz w:val="22"/>
          <w:szCs w:val="22"/>
          <w:color w:val="0C0C0C"/>
        </w:rPr>
        <w:t>bcontractors</w:t>
      </w:r>
      <w:r>
        <w:rPr>
          <w:rFonts w:ascii="Arial" w:cs="Arial" w:eastAsia="Arial" w:hAnsi="Arial"/>
          <w:sz w:val="22"/>
          <w:szCs w:val="22"/>
          <w:color w:val="auto"/>
        </w:rPr>
        <w:t xml:space="preserve"> performing work on </w:t>
      </w:r>
      <w:r>
        <w:rPr>
          <w:rFonts w:ascii="Arial" w:cs="Arial" w:eastAsia="Arial" w:hAnsi="Arial"/>
          <w:sz w:val="22"/>
          <w:szCs w:val="22"/>
          <w:color w:val="363636"/>
        </w:rPr>
        <w:t>the</w:t>
      </w:r>
      <w:r>
        <w:rPr>
          <w:rFonts w:ascii="Arial" w:cs="Arial" w:eastAsia="Arial" w:hAnsi="Arial"/>
          <w:sz w:val="22"/>
          <w:szCs w:val="22"/>
          <w:color w:val="auto"/>
        </w:rPr>
        <w:t xml:space="preserve"> Premises </w:t>
      </w:r>
      <w:r>
        <w:rPr>
          <w:rFonts w:ascii="Arial" w:cs="Arial" w:eastAsia="Arial" w:hAnsi="Arial"/>
          <w:sz w:val="22"/>
          <w:szCs w:val="22"/>
          <w:color w:val="363636"/>
        </w:rPr>
        <w:t>t</w:t>
      </w:r>
      <w:r>
        <w:rPr>
          <w:rFonts w:ascii="Arial" w:cs="Arial" w:eastAsia="Arial" w:hAnsi="Arial"/>
          <w:sz w:val="22"/>
          <w:szCs w:val="22"/>
          <w:color w:val="0C0C0C"/>
        </w:rPr>
        <w:t>o name Landlord</w:t>
      </w:r>
      <w:r>
        <w:rPr>
          <w:rFonts w:ascii="Arial" w:cs="Arial" w:eastAsia="Arial" w:hAnsi="Arial"/>
          <w:sz w:val="22"/>
          <w:szCs w:val="22"/>
          <w:color w:val="auto"/>
        </w:rPr>
        <w:t xml:space="preserve"> and </w:t>
      </w:r>
      <w:r>
        <w:rPr>
          <w:rFonts w:ascii="Arial" w:cs="Arial" w:eastAsia="Arial" w:hAnsi="Arial"/>
          <w:sz w:val="22"/>
          <w:szCs w:val="22"/>
          <w:color w:val="0C0C0C"/>
        </w:rPr>
        <w:t>i</w:t>
      </w:r>
      <w:r>
        <w:rPr>
          <w:rFonts w:ascii="Arial" w:cs="Arial" w:eastAsia="Arial" w:hAnsi="Arial"/>
          <w:sz w:val="22"/>
          <w:szCs w:val="22"/>
          <w:color w:val="363636"/>
        </w:rPr>
        <w:t>ts</w:t>
      </w:r>
      <w:r>
        <w:rPr>
          <w:rFonts w:ascii="Arial" w:cs="Arial" w:eastAsia="Arial" w:hAnsi="Arial"/>
          <w:sz w:val="22"/>
          <w:szCs w:val="22"/>
          <w:color w:val="auto"/>
        </w:rPr>
        <w:t xml:space="preserve"> affiliates and Lenders as additional insureds on </w:t>
      </w:r>
      <w:r>
        <w:rPr>
          <w:rFonts w:ascii="Arial" w:cs="Arial" w:eastAsia="Arial" w:hAnsi="Arial"/>
          <w:sz w:val="22"/>
          <w:szCs w:val="22"/>
          <w:color w:val="0C0C0C"/>
        </w:rPr>
        <w:t>their</w:t>
      </w:r>
      <w:r>
        <w:rPr>
          <w:rFonts w:ascii="Arial" w:cs="Arial" w:eastAsia="Arial" w:hAnsi="Arial"/>
          <w:sz w:val="22"/>
          <w:szCs w:val="22"/>
          <w:color w:val="auto"/>
        </w:rPr>
        <w:t xml:space="preserve"> </w:t>
      </w:r>
      <w:r>
        <w:rPr>
          <w:rFonts w:ascii="Arial" w:cs="Arial" w:eastAsia="Arial" w:hAnsi="Arial"/>
          <w:sz w:val="22"/>
          <w:szCs w:val="22"/>
          <w:color w:val="363636"/>
        </w:rPr>
        <w:t>respec</w:t>
      </w:r>
      <w:r>
        <w:rPr>
          <w:rFonts w:ascii="Arial" w:cs="Arial" w:eastAsia="Arial" w:hAnsi="Arial"/>
          <w:sz w:val="22"/>
          <w:szCs w:val="22"/>
          <w:color w:val="0C0C0C"/>
        </w:rPr>
        <w:t>tive</w:t>
      </w:r>
      <w:r>
        <w:rPr>
          <w:rFonts w:ascii="Arial" w:cs="Arial" w:eastAsia="Arial" w:hAnsi="Arial"/>
          <w:sz w:val="22"/>
          <w:szCs w:val="22"/>
          <w:color w:val="auto"/>
        </w:rPr>
        <w:t xml:space="preserve"> insurance </w:t>
      </w:r>
      <w:r>
        <w:rPr>
          <w:rFonts w:ascii="Arial" w:cs="Arial" w:eastAsia="Arial" w:hAnsi="Arial"/>
          <w:sz w:val="22"/>
          <w:szCs w:val="22"/>
          <w:color w:val="0C0C0C"/>
        </w:rPr>
        <w:t>policie</w:t>
      </w:r>
      <w:r>
        <w:rPr>
          <w:rFonts w:ascii="Arial" w:cs="Arial" w:eastAsia="Arial" w:hAnsi="Arial"/>
          <w:sz w:val="22"/>
          <w:szCs w:val="22"/>
          <w:color w:val="363636"/>
        </w:rPr>
        <w:t>s.</w:t>
      </w:r>
    </w:p>
    <w:p>
      <w:pPr>
        <w:spacing w:after="0" w:line="159" w:lineRule="exact"/>
        <w:rPr>
          <w:sz w:val="20"/>
          <w:szCs w:val="20"/>
          <w:color w:val="auto"/>
        </w:rPr>
      </w:pPr>
    </w:p>
    <w:p>
      <w:pPr>
        <w:ind w:left="660" w:hanging="652"/>
        <w:spacing w:after="0"/>
        <w:tabs>
          <w:tab w:leader="none" w:pos="660" w:val="left"/>
        </w:tabs>
        <w:numPr>
          <w:ilvl w:val="0"/>
          <w:numId w:val="292"/>
        </w:numPr>
        <w:rPr>
          <w:rFonts w:ascii="Arial" w:cs="Arial" w:eastAsia="Arial" w:hAnsi="Arial"/>
          <w:sz w:val="22"/>
          <w:szCs w:val="22"/>
          <w:color w:val="auto"/>
        </w:rPr>
      </w:pPr>
      <w:r>
        <w:rPr>
          <w:rFonts w:ascii="Arial" w:cs="Arial" w:eastAsia="Arial" w:hAnsi="Arial"/>
          <w:sz w:val="22"/>
          <w:szCs w:val="22"/>
          <w:u w:val="single" w:color="auto"/>
          <w:color w:val="auto"/>
        </w:rPr>
        <w:t>Repairs and Maintenance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21" w:lineRule="auto"/>
        <w:rPr>
          <w:rFonts w:ascii="Arial" w:cs="Arial" w:eastAsia="Arial" w:hAnsi="Arial"/>
          <w:sz w:val="22"/>
          <w:szCs w:val="22"/>
          <w:color w:val="auto"/>
        </w:rPr>
      </w:pPr>
      <w:r>
        <w:rPr>
          <w:rFonts w:ascii="Arial" w:cs="Arial" w:eastAsia="Arial" w:hAnsi="Arial"/>
          <w:sz w:val="21"/>
          <w:szCs w:val="21"/>
          <w:color w:val="auto"/>
        </w:rPr>
        <w:t xml:space="preserve">18.1 As further detailed on </w:t>
      </w:r>
      <w:r>
        <w:rPr>
          <w:rFonts w:ascii="Arial" w:cs="Arial" w:eastAsia="Arial" w:hAnsi="Arial"/>
          <w:sz w:val="21"/>
          <w:szCs w:val="21"/>
          <w:u w:val="single" w:color="auto"/>
          <w:color w:val="363636"/>
        </w:rPr>
        <w:t>Exhi</w:t>
      </w:r>
      <w:r>
        <w:rPr>
          <w:rFonts w:ascii="Arial" w:cs="Arial" w:eastAsia="Arial" w:hAnsi="Arial"/>
          <w:sz w:val="21"/>
          <w:szCs w:val="21"/>
          <w:u w:val="single" w:color="auto"/>
          <w:color w:val="0C0C0C"/>
        </w:rPr>
        <w:t>bit</w:t>
      </w:r>
      <w:r>
        <w:rPr>
          <w:rFonts w:ascii="Arial" w:cs="Arial" w:eastAsia="Arial" w:hAnsi="Arial"/>
          <w:sz w:val="21"/>
          <w:szCs w:val="21"/>
          <w:color w:val="auto"/>
        </w:rPr>
        <w:t xml:space="preserve"> </w:t>
      </w:r>
      <w:r>
        <w:rPr>
          <w:rFonts w:ascii="Arial" w:cs="Arial" w:eastAsia="Arial" w:hAnsi="Arial"/>
          <w:sz w:val="21"/>
          <w:szCs w:val="21"/>
          <w:u w:val="single" w:color="auto"/>
          <w:color w:val="auto"/>
        </w:rPr>
        <w:t>J</w:t>
      </w:r>
      <w:r>
        <w:rPr>
          <w:rFonts w:ascii="Arial" w:cs="Arial" w:eastAsia="Arial" w:hAnsi="Arial"/>
          <w:sz w:val="21"/>
          <w:szCs w:val="21"/>
          <w:color w:val="auto"/>
        </w:rPr>
        <w:t xml:space="preserve"> attached hereto </w:t>
      </w:r>
      <w:r>
        <w:rPr>
          <w:rFonts w:ascii="Arial" w:cs="Arial" w:eastAsia="Arial" w:hAnsi="Arial"/>
          <w:sz w:val="21"/>
          <w:szCs w:val="21"/>
          <w:color w:val="363636"/>
        </w:rPr>
        <w:t>a</w:t>
      </w:r>
      <w:r>
        <w:rPr>
          <w:rFonts w:ascii="Arial" w:cs="Arial" w:eastAsia="Arial" w:hAnsi="Arial"/>
          <w:sz w:val="21"/>
          <w:szCs w:val="21"/>
          <w:color w:val="0C0C0C"/>
        </w:rPr>
        <w:t>nd</w:t>
      </w:r>
      <w:r>
        <w:rPr>
          <w:rFonts w:ascii="Arial" w:cs="Arial" w:eastAsia="Arial" w:hAnsi="Arial"/>
          <w:sz w:val="21"/>
          <w:szCs w:val="21"/>
          <w:color w:val="auto"/>
        </w:rPr>
        <w:t xml:space="preserve"> incorporated herein by </w:t>
      </w:r>
      <w:r>
        <w:rPr>
          <w:rFonts w:ascii="Arial" w:cs="Arial" w:eastAsia="Arial" w:hAnsi="Arial"/>
          <w:sz w:val="21"/>
          <w:szCs w:val="21"/>
          <w:color w:val="363636"/>
        </w:rPr>
        <w:t>refe</w:t>
      </w:r>
      <w:r>
        <w:rPr>
          <w:rFonts w:ascii="Arial" w:cs="Arial" w:eastAsia="Arial" w:hAnsi="Arial"/>
          <w:sz w:val="21"/>
          <w:szCs w:val="21"/>
          <w:color w:val="0C0C0C"/>
        </w:rPr>
        <w:t>rence</w:t>
      </w:r>
      <w:r>
        <w:rPr>
          <w:rFonts w:ascii="Arial" w:cs="Arial" w:eastAsia="Arial" w:hAnsi="Arial"/>
          <w:sz w:val="21"/>
          <w:szCs w:val="21"/>
          <w:color w:val="363636"/>
        </w:rPr>
        <w:t>,</w:t>
      </w:r>
      <w:r>
        <w:rPr>
          <w:rFonts w:ascii="Arial" w:cs="Arial" w:eastAsia="Arial" w:hAnsi="Arial"/>
          <w:sz w:val="21"/>
          <w:szCs w:val="21"/>
          <w:color w:val="auto"/>
        </w:rPr>
        <w:t xml:space="preserve"> Landlord shall </w:t>
      </w:r>
      <w:r>
        <w:rPr>
          <w:rFonts w:ascii="Arial" w:cs="Arial" w:eastAsia="Arial" w:hAnsi="Arial"/>
          <w:sz w:val="21"/>
          <w:szCs w:val="21"/>
          <w:color w:val="0C0C0C"/>
        </w:rPr>
        <w:t>repair,</w:t>
      </w:r>
      <w:r>
        <w:rPr>
          <w:rFonts w:ascii="Arial" w:cs="Arial" w:eastAsia="Arial" w:hAnsi="Arial"/>
          <w:sz w:val="21"/>
          <w:szCs w:val="21"/>
          <w:color w:val="auto"/>
        </w:rPr>
        <w:t xml:space="preserve"> replace and maintain </w:t>
      </w:r>
      <w:r>
        <w:rPr>
          <w:rFonts w:ascii="Arial" w:cs="Arial" w:eastAsia="Arial" w:hAnsi="Arial"/>
          <w:sz w:val="21"/>
          <w:szCs w:val="21"/>
          <w:color w:val="0C0C0C"/>
        </w:rPr>
        <w:t>in</w:t>
      </w:r>
      <w:r>
        <w:rPr>
          <w:rFonts w:ascii="Arial" w:cs="Arial" w:eastAsia="Arial" w:hAnsi="Arial"/>
          <w:sz w:val="21"/>
          <w:szCs w:val="21"/>
          <w:color w:val="auto"/>
        </w:rPr>
        <w:t xml:space="preserve"> accordance </w:t>
      </w:r>
      <w:r>
        <w:rPr>
          <w:rFonts w:ascii="Arial" w:cs="Arial" w:eastAsia="Arial" w:hAnsi="Arial"/>
          <w:sz w:val="21"/>
          <w:szCs w:val="21"/>
          <w:color w:val="363636"/>
        </w:rPr>
        <w:t>with s</w:t>
      </w:r>
      <w:r>
        <w:rPr>
          <w:rFonts w:ascii="Arial" w:cs="Arial" w:eastAsia="Arial" w:hAnsi="Arial"/>
          <w:sz w:val="21"/>
          <w:szCs w:val="21"/>
          <w:color w:val="0C0C0C"/>
        </w:rPr>
        <w:t>tandard</w:t>
      </w:r>
      <w:r>
        <w:rPr>
          <w:rFonts w:ascii="Arial" w:cs="Arial" w:eastAsia="Arial" w:hAnsi="Arial"/>
          <w:sz w:val="21"/>
          <w:szCs w:val="21"/>
          <w:color w:val="363636"/>
        </w:rPr>
        <w:t>s</w:t>
      </w:r>
      <w:r>
        <w:rPr>
          <w:rFonts w:ascii="Arial" w:cs="Arial" w:eastAsia="Arial" w:hAnsi="Arial"/>
          <w:sz w:val="21"/>
          <w:szCs w:val="21"/>
          <w:color w:val="auto"/>
        </w:rPr>
        <w:t xml:space="preserve"> for comparable first-class buildings in the Rockville, Maryland area and in accordance with all </w:t>
      </w:r>
      <w:r>
        <w:rPr>
          <w:rFonts w:ascii="Arial" w:cs="Arial" w:eastAsia="Arial" w:hAnsi="Arial"/>
          <w:sz w:val="21"/>
          <w:szCs w:val="21"/>
          <w:color w:val="363636"/>
        </w:rPr>
        <w:t>App</w:t>
      </w:r>
      <w:r>
        <w:rPr>
          <w:rFonts w:ascii="Arial" w:cs="Arial" w:eastAsia="Arial" w:hAnsi="Arial"/>
          <w:sz w:val="21"/>
          <w:szCs w:val="21"/>
          <w:color w:val="0C0C0C"/>
        </w:rPr>
        <w:t>licable</w:t>
      </w:r>
      <w:r>
        <w:rPr>
          <w:rFonts w:ascii="Arial" w:cs="Arial" w:eastAsia="Arial" w:hAnsi="Arial"/>
          <w:sz w:val="21"/>
          <w:szCs w:val="21"/>
          <w:color w:val="auto"/>
        </w:rPr>
        <w:t xml:space="preserve"> Laws (a) the Common Areas, (b) the </w:t>
      </w:r>
      <w:r>
        <w:rPr>
          <w:rFonts w:ascii="Arial" w:cs="Arial" w:eastAsia="Arial" w:hAnsi="Arial"/>
          <w:sz w:val="21"/>
          <w:szCs w:val="21"/>
          <w:color w:val="363636"/>
        </w:rPr>
        <w:t>struc</w:t>
      </w:r>
      <w:r>
        <w:rPr>
          <w:rFonts w:ascii="Arial" w:cs="Arial" w:eastAsia="Arial" w:hAnsi="Arial"/>
          <w:sz w:val="21"/>
          <w:szCs w:val="21"/>
          <w:color w:val="0C0C0C"/>
        </w:rPr>
        <w:t>tural</w:t>
      </w:r>
      <w:r>
        <w:rPr>
          <w:rFonts w:ascii="Arial" w:cs="Arial" w:eastAsia="Arial" w:hAnsi="Arial"/>
          <w:sz w:val="21"/>
          <w:szCs w:val="21"/>
          <w:color w:val="auto"/>
        </w:rPr>
        <w:t xml:space="preserve"> and exterior </w:t>
      </w:r>
      <w:r>
        <w:rPr>
          <w:rFonts w:ascii="Arial" w:cs="Arial" w:eastAsia="Arial" w:hAnsi="Arial"/>
          <w:sz w:val="21"/>
          <w:szCs w:val="21"/>
          <w:color w:val="363636"/>
        </w:rPr>
        <w:t>po</w:t>
      </w:r>
      <w:r>
        <w:rPr>
          <w:rFonts w:ascii="Arial" w:cs="Arial" w:eastAsia="Arial" w:hAnsi="Arial"/>
          <w:sz w:val="21"/>
          <w:szCs w:val="21"/>
          <w:color w:val="0C0C0C"/>
        </w:rPr>
        <w:t>rtion</w:t>
      </w:r>
      <w:r>
        <w:rPr>
          <w:rFonts w:ascii="Arial" w:cs="Arial" w:eastAsia="Arial" w:hAnsi="Arial"/>
          <w:sz w:val="21"/>
          <w:szCs w:val="21"/>
          <w:color w:val="363636"/>
        </w:rPr>
        <w:t>s</w:t>
      </w:r>
      <w:r>
        <w:rPr>
          <w:rFonts w:ascii="Arial" w:cs="Arial" w:eastAsia="Arial" w:hAnsi="Arial"/>
          <w:sz w:val="21"/>
          <w:szCs w:val="21"/>
          <w:color w:val="auto"/>
        </w:rPr>
        <w:t xml:space="preserve"> of the Building and </w:t>
      </w:r>
      <w:r>
        <w:rPr>
          <w:rFonts w:ascii="Arial" w:cs="Arial" w:eastAsia="Arial" w:hAnsi="Arial"/>
          <w:sz w:val="21"/>
          <w:szCs w:val="21"/>
          <w:color w:val="0C0C0C"/>
        </w:rPr>
        <w:t>the</w:t>
      </w:r>
      <w:r>
        <w:rPr>
          <w:rFonts w:ascii="Arial" w:cs="Arial" w:eastAsia="Arial" w:hAnsi="Arial"/>
          <w:sz w:val="21"/>
          <w:szCs w:val="21"/>
          <w:color w:val="auto"/>
        </w:rPr>
        <w:t xml:space="preserve"> </w:t>
      </w:r>
      <w:r>
        <w:rPr>
          <w:rFonts w:ascii="Arial" w:cs="Arial" w:eastAsia="Arial" w:hAnsi="Arial"/>
          <w:sz w:val="21"/>
          <w:szCs w:val="21"/>
          <w:color w:val="363636"/>
        </w:rPr>
        <w:t>Pro</w:t>
      </w:r>
      <w:r>
        <w:rPr>
          <w:rFonts w:ascii="Arial" w:cs="Arial" w:eastAsia="Arial" w:hAnsi="Arial"/>
          <w:sz w:val="21"/>
          <w:szCs w:val="21"/>
          <w:color w:val="0C0C0C"/>
        </w:rPr>
        <w:t>jec</w:t>
      </w:r>
      <w:r>
        <w:rPr>
          <w:rFonts w:ascii="Arial" w:cs="Arial" w:eastAsia="Arial" w:hAnsi="Arial"/>
          <w:sz w:val="21"/>
          <w:szCs w:val="21"/>
          <w:color w:val="363636"/>
        </w:rPr>
        <w:t>t,</w:t>
      </w:r>
      <w:r>
        <w:rPr>
          <w:rFonts w:ascii="Arial" w:cs="Arial" w:eastAsia="Arial" w:hAnsi="Arial"/>
          <w:sz w:val="21"/>
          <w:szCs w:val="21"/>
          <w:color w:val="auto"/>
        </w:rPr>
        <w:t xml:space="preserve"> including without </w:t>
      </w:r>
      <w:r>
        <w:rPr>
          <w:rFonts w:ascii="Arial" w:cs="Arial" w:eastAsia="Arial" w:hAnsi="Arial"/>
          <w:sz w:val="21"/>
          <w:szCs w:val="21"/>
          <w:color w:val="0C0C0C"/>
        </w:rPr>
        <w:t>limitation</w:t>
      </w:r>
      <w:r>
        <w:rPr>
          <w:rFonts w:ascii="Arial" w:cs="Arial" w:eastAsia="Arial" w:hAnsi="Arial"/>
          <w:sz w:val="21"/>
          <w:szCs w:val="21"/>
          <w:color w:val="auto"/>
        </w:rPr>
        <w:t xml:space="preserve"> roofing and covering materials, foundations and exterior walls (collectively, the </w:t>
      </w:r>
      <w:r>
        <w:rPr>
          <w:rFonts w:ascii="Arial" w:cs="Arial" w:eastAsia="Arial" w:hAnsi="Arial"/>
          <w:sz w:val="21"/>
          <w:szCs w:val="21"/>
          <w:color w:val="363636"/>
        </w:rPr>
        <w:t>“</w:t>
      </w:r>
      <w:r>
        <w:rPr>
          <w:rFonts w:ascii="Arial" w:cs="Arial" w:eastAsia="Arial" w:hAnsi="Arial"/>
          <w:sz w:val="21"/>
          <w:szCs w:val="21"/>
          <w:u w:val="single" w:color="auto"/>
          <w:color w:val="363636"/>
        </w:rPr>
        <w:t>S</w:t>
      </w:r>
      <w:r>
        <w:rPr>
          <w:rFonts w:ascii="Arial" w:cs="Arial" w:eastAsia="Arial" w:hAnsi="Arial"/>
          <w:sz w:val="21"/>
          <w:szCs w:val="21"/>
          <w:u w:val="single" w:color="auto"/>
          <w:color w:val="0C0C0C"/>
        </w:rPr>
        <w:t>tructura</w:t>
      </w:r>
      <w:r>
        <w:rPr>
          <w:rFonts w:ascii="Arial" w:cs="Arial" w:eastAsia="Arial" w:hAnsi="Arial"/>
          <w:sz w:val="21"/>
          <w:szCs w:val="21"/>
          <w:u w:val="single" w:color="auto"/>
          <w:color w:val="363636"/>
        </w:rPr>
        <w:t>l</w:t>
      </w:r>
      <w:r>
        <w:rPr>
          <w:rFonts w:ascii="Arial" w:cs="Arial" w:eastAsia="Arial" w:hAnsi="Arial"/>
          <w:sz w:val="21"/>
          <w:szCs w:val="21"/>
          <w:color w:val="auto"/>
        </w:rPr>
        <w:t xml:space="preserve"> </w:t>
      </w:r>
      <w:r>
        <w:rPr>
          <w:rFonts w:ascii="Arial" w:cs="Arial" w:eastAsia="Arial" w:hAnsi="Arial"/>
          <w:sz w:val="21"/>
          <w:szCs w:val="21"/>
          <w:u w:val="single" w:color="auto"/>
          <w:color w:val="auto"/>
        </w:rPr>
        <w:t>Building improvements</w:t>
      </w:r>
      <w:r>
        <w:rPr>
          <w:rFonts w:ascii="Arial" w:cs="Arial" w:eastAsia="Arial" w:hAnsi="Arial"/>
          <w:sz w:val="21"/>
          <w:szCs w:val="21"/>
          <w:color w:val="auto"/>
        </w:rPr>
        <w:t xml:space="preserve">”), and (c) upon Tenant’s request for a </w:t>
      </w:r>
      <w:r>
        <w:rPr>
          <w:rFonts w:ascii="Arial" w:cs="Arial" w:eastAsia="Arial" w:hAnsi="Arial"/>
          <w:sz w:val="21"/>
          <w:szCs w:val="21"/>
          <w:color w:val="0C0C0C"/>
        </w:rPr>
        <w:t>Turnover</w:t>
      </w:r>
      <w:r>
        <w:rPr>
          <w:rFonts w:ascii="Arial" w:cs="Arial" w:eastAsia="Arial" w:hAnsi="Arial"/>
          <w:sz w:val="21"/>
          <w:szCs w:val="21"/>
          <w:color w:val="auto"/>
        </w:rPr>
        <w:t xml:space="preserve"> pursuant </w:t>
      </w:r>
      <w:r>
        <w:rPr>
          <w:rFonts w:ascii="Arial" w:cs="Arial" w:eastAsia="Arial" w:hAnsi="Arial"/>
          <w:sz w:val="21"/>
          <w:szCs w:val="21"/>
          <w:color w:val="363636"/>
        </w:rPr>
        <w:t>t</w:t>
      </w:r>
      <w:r>
        <w:rPr>
          <w:rFonts w:ascii="Arial" w:cs="Arial" w:eastAsia="Arial" w:hAnsi="Arial"/>
          <w:sz w:val="21"/>
          <w:szCs w:val="21"/>
          <w:color w:val="0C0C0C"/>
        </w:rPr>
        <w:t>o</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0C0C0C"/>
        </w:rPr>
        <w:t>43</w:t>
      </w:r>
      <w:r>
        <w:rPr>
          <w:rFonts w:ascii="Arial" w:cs="Arial" w:eastAsia="Arial" w:hAnsi="Arial"/>
          <w:sz w:val="21"/>
          <w:szCs w:val="21"/>
          <w:color w:val="363636"/>
        </w:rPr>
        <w:t>,</w:t>
      </w:r>
      <w:r>
        <w:rPr>
          <w:rFonts w:ascii="Arial" w:cs="Arial" w:eastAsia="Arial" w:hAnsi="Arial"/>
          <w:sz w:val="21"/>
          <w:szCs w:val="21"/>
          <w:color w:val="auto"/>
        </w:rPr>
        <w:t xml:space="preserve"> following </w:t>
      </w:r>
      <w:r>
        <w:rPr>
          <w:rFonts w:ascii="Arial" w:cs="Arial" w:eastAsia="Arial" w:hAnsi="Arial"/>
          <w:sz w:val="21"/>
          <w:szCs w:val="21"/>
          <w:color w:val="363636"/>
        </w:rPr>
        <w:t>t</w:t>
      </w:r>
      <w:r>
        <w:rPr>
          <w:rFonts w:ascii="Arial" w:cs="Arial" w:eastAsia="Arial" w:hAnsi="Arial"/>
          <w:sz w:val="21"/>
          <w:szCs w:val="21"/>
          <w:color w:val="0C0C0C"/>
        </w:rPr>
        <w:t>he</w:t>
      </w:r>
      <w:r>
        <w:rPr>
          <w:rFonts w:ascii="Arial" w:cs="Arial" w:eastAsia="Arial" w:hAnsi="Arial"/>
          <w:sz w:val="21"/>
          <w:szCs w:val="21"/>
          <w:color w:val="auto"/>
        </w:rPr>
        <w:t xml:space="preserve"> Turnover </w:t>
      </w:r>
      <w:r>
        <w:rPr>
          <w:rFonts w:ascii="Arial" w:cs="Arial" w:eastAsia="Arial" w:hAnsi="Arial"/>
          <w:sz w:val="21"/>
          <w:szCs w:val="21"/>
          <w:color w:val="0C0C0C"/>
        </w:rPr>
        <w:t>Da</w:t>
      </w:r>
      <w:r>
        <w:rPr>
          <w:rFonts w:ascii="Arial" w:cs="Arial" w:eastAsia="Arial" w:hAnsi="Arial"/>
          <w:sz w:val="21"/>
          <w:szCs w:val="21"/>
          <w:color w:val="363636"/>
        </w:rPr>
        <w:t>te,</w:t>
      </w:r>
      <w:r>
        <w:rPr>
          <w:rFonts w:ascii="Arial" w:cs="Arial" w:eastAsia="Arial" w:hAnsi="Arial"/>
          <w:sz w:val="21"/>
          <w:szCs w:val="21"/>
          <w:color w:val="auto"/>
        </w:rPr>
        <w:t xml:space="preserve"> the elevators </w:t>
      </w:r>
      <w:r>
        <w:rPr>
          <w:rFonts w:ascii="Arial" w:cs="Arial" w:eastAsia="Arial" w:hAnsi="Arial"/>
          <w:sz w:val="21"/>
          <w:szCs w:val="21"/>
          <w:color w:val="0C0C0C"/>
        </w:rPr>
        <w:t>and the</w:t>
      </w:r>
      <w:r>
        <w:rPr>
          <w:rFonts w:ascii="Arial" w:cs="Arial" w:eastAsia="Arial" w:hAnsi="Arial"/>
          <w:sz w:val="21"/>
          <w:szCs w:val="21"/>
          <w:color w:val="auto"/>
        </w:rPr>
        <w:t xml:space="preserve"> base Building </w:t>
      </w:r>
      <w:r>
        <w:rPr>
          <w:rFonts w:ascii="Arial" w:cs="Arial" w:eastAsia="Arial" w:hAnsi="Arial"/>
          <w:sz w:val="21"/>
          <w:szCs w:val="21"/>
          <w:color w:val="0C0C0C"/>
        </w:rPr>
        <w:t>plumb</w:t>
      </w:r>
      <w:r>
        <w:rPr>
          <w:rFonts w:ascii="Arial" w:cs="Arial" w:eastAsia="Arial" w:hAnsi="Arial"/>
          <w:sz w:val="21"/>
          <w:szCs w:val="21"/>
          <w:color w:val="363636"/>
        </w:rPr>
        <w:t>ing,</w:t>
      </w:r>
      <w:r>
        <w:rPr>
          <w:rFonts w:ascii="Arial" w:cs="Arial" w:eastAsia="Arial" w:hAnsi="Arial"/>
          <w:sz w:val="21"/>
          <w:szCs w:val="21"/>
          <w:color w:val="auto"/>
        </w:rPr>
        <w:t xml:space="preserve"> fire </w:t>
      </w:r>
      <w:r>
        <w:rPr>
          <w:rFonts w:ascii="Arial" w:cs="Arial" w:eastAsia="Arial" w:hAnsi="Arial"/>
          <w:sz w:val="21"/>
          <w:szCs w:val="21"/>
          <w:color w:val="0C0C0C"/>
        </w:rPr>
        <w:t>and life</w:t>
      </w:r>
      <w:r>
        <w:rPr>
          <w:rFonts w:ascii="Arial" w:cs="Arial" w:eastAsia="Arial" w:hAnsi="Arial"/>
          <w:sz w:val="21"/>
          <w:szCs w:val="21"/>
          <w:color w:val="auto"/>
        </w:rPr>
        <w:t xml:space="preserve"> </w:t>
      </w:r>
      <w:r>
        <w:rPr>
          <w:rFonts w:ascii="Arial" w:cs="Arial" w:eastAsia="Arial" w:hAnsi="Arial"/>
          <w:sz w:val="21"/>
          <w:szCs w:val="21"/>
          <w:color w:val="363636"/>
        </w:rPr>
        <w:t>safe</w:t>
      </w:r>
      <w:r>
        <w:rPr>
          <w:rFonts w:ascii="Arial" w:cs="Arial" w:eastAsia="Arial" w:hAnsi="Arial"/>
          <w:sz w:val="21"/>
          <w:szCs w:val="21"/>
          <w:color w:val="0C0C0C"/>
        </w:rPr>
        <w:t>ty</w:t>
      </w:r>
      <w:r>
        <w:rPr>
          <w:rFonts w:ascii="Arial" w:cs="Arial" w:eastAsia="Arial" w:hAnsi="Arial"/>
          <w:sz w:val="21"/>
          <w:szCs w:val="21"/>
          <w:color w:val="363636"/>
        </w:rPr>
        <w:t xml:space="preserve">, </w:t>
      </w:r>
      <w:r>
        <w:rPr>
          <w:rFonts w:ascii="Arial" w:cs="Arial" w:eastAsia="Arial" w:hAnsi="Arial"/>
          <w:sz w:val="21"/>
          <w:szCs w:val="21"/>
          <w:color w:val="0C0C0C"/>
        </w:rPr>
        <w:t>hea</w:t>
      </w:r>
      <w:r>
        <w:rPr>
          <w:rFonts w:ascii="Arial" w:cs="Arial" w:eastAsia="Arial" w:hAnsi="Arial"/>
          <w:sz w:val="21"/>
          <w:szCs w:val="21"/>
          <w:color w:val="363636"/>
        </w:rPr>
        <w:t xml:space="preserve">ting, ventilating, </w:t>
      </w:r>
      <w:r>
        <w:rPr>
          <w:rFonts w:ascii="Arial" w:cs="Arial" w:eastAsia="Arial" w:hAnsi="Arial"/>
          <w:sz w:val="21"/>
          <w:szCs w:val="21"/>
          <w:color w:val="000000"/>
        </w:rPr>
        <w:t>air conditioning, electrical,</w:t>
      </w:r>
      <w:r>
        <w:rPr>
          <w:rFonts w:ascii="Arial" w:cs="Arial" w:eastAsia="Arial" w:hAnsi="Arial"/>
          <w:sz w:val="21"/>
          <w:szCs w:val="21"/>
          <w:color w:val="363636"/>
        </w:rPr>
        <w:t xml:space="preserve"> security and </w:t>
      </w:r>
      <w:r>
        <w:rPr>
          <w:rFonts w:ascii="Arial" w:cs="Arial" w:eastAsia="Arial" w:hAnsi="Arial"/>
          <w:sz w:val="21"/>
          <w:szCs w:val="21"/>
          <w:color w:val="000000"/>
        </w:rPr>
        <w:t>mechanical systems</w:t>
      </w:r>
      <w:r>
        <w:rPr>
          <w:rFonts w:ascii="Arial" w:cs="Arial" w:eastAsia="Arial" w:hAnsi="Arial"/>
          <w:sz w:val="21"/>
          <w:szCs w:val="21"/>
          <w:color w:val="363636"/>
        </w:rPr>
        <w:t xml:space="preserve"> </w:t>
      </w:r>
      <w:r>
        <w:rPr>
          <w:rFonts w:ascii="Arial" w:cs="Arial" w:eastAsia="Arial" w:hAnsi="Arial"/>
          <w:sz w:val="21"/>
          <w:szCs w:val="21"/>
          <w:color w:val="0C0C0C"/>
        </w:rPr>
        <w:t>(</w:t>
      </w:r>
      <w:r>
        <w:rPr>
          <w:rFonts w:ascii="Arial" w:cs="Arial" w:eastAsia="Arial" w:hAnsi="Arial"/>
          <w:sz w:val="21"/>
          <w:szCs w:val="21"/>
          <w:color w:val="000000"/>
        </w:rPr>
        <w:t>collectively,</w:t>
      </w:r>
      <w:r>
        <w:rPr>
          <w:rFonts w:ascii="Arial" w:cs="Arial" w:eastAsia="Arial" w:hAnsi="Arial"/>
          <w:sz w:val="21"/>
          <w:szCs w:val="21"/>
          <w:color w:val="363636"/>
        </w:rPr>
        <w:t xml:space="preserve"> </w:t>
      </w:r>
      <w:r>
        <w:rPr>
          <w:rFonts w:ascii="Arial" w:cs="Arial" w:eastAsia="Arial" w:hAnsi="Arial"/>
          <w:sz w:val="21"/>
          <w:szCs w:val="21"/>
          <w:color w:val="0C0C0C"/>
        </w:rPr>
        <w:t>the</w:t>
      </w:r>
      <w:r>
        <w:rPr>
          <w:rFonts w:ascii="Arial" w:cs="Arial" w:eastAsia="Arial" w:hAnsi="Arial"/>
          <w:sz w:val="21"/>
          <w:szCs w:val="21"/>
          <w:color w:val="363636"/>
        </w:rPr>
        <w:t xml:space="preserve"> “</w:t>
      </w:r>
      <w:r>
        <w:rPr>
          <w:rFonts w:ascii="Arial" w:cs="Arial" w:eastAsia="Arial" w:hAnsi="Arial"/>
          <w:sz w:val="21"/>
          <w:szCs w:val="21"/>
          <w:u w:val="single" w:color="auto"/>
          <w:color w:val="363636"/>
        </w:rPr>
        <w:t>Buildin</w:t>
      </w:r>
      <w:r>
        <w:rPr>
          <w:rFonts w:ascii="Arial" w:cs="Arial" w:eastAsia="Arial" w:hAnsi="Arial"/>
          <w:sz w:val="21"/>
          <w:szCs w:val="21"/>
          <w:u w:val="single" w:color="auto"/>
          <w:color w:val="0C0C0C"/>
        </w:rPr>
        <w:t>g</w:t>
      </w:r>
      <w:r>
        <w:rPr>
          <w:rFonts w:ascii="Arial" w:cs="Arial" w:eastAsia="Arial" w:hAnsi="Arial"/>
          <w:sz w:val="21"/>
          <w:szCs w:val="21"/>
          <w:color w:val="363636"/>
        </w:rPr>
        <w:t xml:space="preserve"> </w:t>
      </w:r>
      <w:r>
        <w:rPr>
          <w:rFonts w:ascii="Arial" w:cs="Arial" w:eastAsia="Arial" w:hAnsi="Arial"/>
          <w:sz w:val="21"/>
          <w:szCs w:val="21"/>
          <w:u w:val="single" w:color="auto"/>
          <w:color w:val="363636"/>
        </w:rPr>
        <w:t>System</w:t>
      </w:r>
      <w:r>
        <w:rPr>
          <w:rFonts w:ascii="Arial" w:cs="Arial" w:eastAsia="Arial" w:hAnsi="Arial"/>
          <w:sz w:val="21"/>
          <w:szCs w:val="21"/>
          <w:color w:val="363636"/>
        </w:rPr>
        <w:t xml:space="preserve"> </w:t>
      </w:r>
      <w:r>
        <w:rPr>
          <w:rFonts w:ascii="Arial" w:cs="Arial" w:eastAsia="Arial" w:hAnsi="Arial"/>
          <w:sz w:val="21"/>
          <w:szCs w:val="21"/>
          <w:u w:val="single" w:color="auto"/>
          <w:color w:val="000000"/>
        </w:rPr>
        <w:t>Improvements</w:t>
      </w:r>
      <w:r>
        <w:rPr>
          <w:rFonts w:ascii="Arial" w:cs="Arial" w:eastAsia="Arial" w:hAnsi="Arial"/>
          <w:sz w:val="21"/>
          <w:szCs w:val="21"/>
          <w:color w:val="000000"/>
        </w:rPr>
        <w:t>”).</w:t>
      </w:r>
    </w:p>
    <w:p>
      <w:pPr>
        <w:spacing w:after="0" w:line="165" w:lineRule="exact"/>
        <w:rPr>
          <w:rFonts w:ascii="Arial" w:cs="Arial" w:eastAsia="Arial" w:hAnsi="Arial"/>
          <w:sz w:val="22"/>
          <w:szCs w:val="22"/>
          <w:color w:val="auto"/>
        </w:rPr>
      </w:pPr>
    </w:p>
    <w:p>
      <w:pPr>
        <w:ind w:left="1300" w:hanging="648"/>
        <w:spacing w:after="0" w:line="243" w:lineRule="auto"/>
        <w:rPr>
          <w:rFonts w:ascii="Arial" w:cs="Arial" w:eastAsia="Arial" w:hAnsi="Arial"/>
          <w:sz w:val="22"/>
          <w:szCs w:val="22"/>
          <w:color w:val="auto"/>
        </w:rPr>
      </w:pPr>
      <w:r>
        <w:rPr>
          <w:rFonts w:ascii="Arial" w:cs="Arial" w:eastAsia="Arial" w:hAnsi="Arial"/>
          <w:sz w:val="19"/>
          <w:szCs w:val="19"/>
          <w:color w:val="auto"/>
        </w:rPr>
        <w:t xml:space="preserve">18.2 As </w:t>
      </w:r>
      <w:r>
        <w:rPr>
          <w:rFonts w:ascii="Arial" w:cs="Arial" w:eastAsia="Arial" w:hAnsi="Arial"/>
          <w:sz w:val="19"/>
          <w:szCs w:val="19"/>
          <w:color w:val="0C0C0C"/>
        </w:rPr>
        <w:t>further</w:t>
      </w:r>
      <w:r>
        <w:rPr>
          <w:rFonts w:ascii="Arial" w:cs="Arial" w:eastAsia="Arial" w:hAnsi="Arial"/>
          <w:sz w:val="19"/>
          <w:szCs w:val="19"/>
          <w:color w:val="auto"/>
        </w:rPr>
        <w:t xml:space="preserve"> </w:t>
      </w:r>
      <w:r>
        <w:rPr>
          <w:rFonts w:ascii="Arial" w:cs="Arial" w:eastAsia="Arial" w:hAnsi="Arial"/>
          <w:sz w:val="19"/>
          <w:szCs w:val="19"/>
          <w:color w:val="363636"/>
        </w:rPr>
        <w:t>detailed</w:t>
      </w:r>
      <w:r>
        <w:rPr>
          <w:rFonts w:ascii="Arial" w:cs="Arial" w:eastAsia="Arial" w:hAnsi="Arial"/>
          <w:sz w:val="19"/>
          <w:szCs w:val="19"/>
          <w:color w:val="auto"/>
        </w:rPr>
        <w:t xml:space="preserve"> on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attached hereto and </w:t>
      </w:r>
      <w:r>
        <w:rPr>
          <w:rFonts w:ascii="Arial" w:cs="Arial" w:eastAsia="Arial" w:hAnsi="Arial"/>
          <w:sz w:val="19"/>
          <w:szCs w:val="19"/>
          <w:color w:val="0C0C0C"/>
        </w:rPr>
        <w:t>incorporated herein by</w:t>
      </w:r>
      <w:r>
        <w:rPr>
          <w:rFonts w:ascii="Arial" w:cs="Arial" w:eastAsia="Arial" w:hAnsi="Arial"/>
          <w:sz w:val="19"/>
          <w:szCs w:val="19"/>
          <w:color w:val="auto"/>
        </w:rPr>
        <w:t xml:space="preserve"> reference, Tenant shall at Tenant’s sole cost and </w:t>
      </w:r>
      <w:r>
        <w:rPr>
          <w:rFonts w:ascii="Arial" w:cs="Arial" w:eastAsia="Arial" w:hAnsi="Arial"/>
          <w:sz w:val="19"/>
          <w:szCs w:val="19"/>
          <w:color w:val="363636"/>
        </w:rPr>
        <w:t>ex</w:t>
      </w:r>
      <w:r>
        <w:rPr>
          <w:rFonts w:ascii="Arial" w:cs="Arial" w:eastAsia="Arial" w:hAnsi="Arial"/>
          <w:sz w:val="19"/>
          <w:szCs w:val="19"/>
          <w:color w:val="0C0C0C"/>
        </w:rPr>
        <w:t>pense</w:t>
      </w:r>
      <w:r>
        <w:rPr>
          <w:rFonts w:ascii="Arial" w:cs="Arial" w:eastAsia="Arial" w:hAnsi="Arial"/>
          <w:sz w:val="19"/>
          <w:szCs w:val="19"/>
          <w:color w:val="auto"/>
        </w:rPr>
        <w:t xml:space="preserve"> maintain and </w:t>
      </w:r>
      <w:r>
        <w:rPr>
          <w:rFonts w:ascii="Arial" w:cs="Arial" w:eastAsia="Arial" w:hAnsi="Arial"/>
          <w:sz w:val="19"/>
          <w:szCs w:val="19"/>
          <w:color w:val="0C0C0C"/>
        </w:rPr>
        <w:t>keep</w:t>
      </w:r>
      <w:r>
        <w:rPr>
          <w:rFonts w:ascii="Arial" w:cs="Arial" w:eastAsia="Arial" w:hAnsi="Arial"/>
          <w:sz w:val="19"/>
          <w:szCs w:val="19"/>
          <w:color w:val="auto"/>
        </w:rPr>
        <w:t xml:space="preserve"> the Premises and every part thereof in good condition and repair, damage thereto from ordinary wear </w:t>
      </w:r>
      <w:r>
        <w:rPr>
          <w:rFonts w:ascii="Arial" w:cs="Arial" w:eastAsia="Arial" w:hAnsi="Arial"/>
          <w:sz w:val="19"/>
          <w:szCs w:val="19"/>
          <w:color w:val="363636"/>
        </w:rPr>
        <w:t>and</w:t>
      </w:r>
      <w:r>
        <w:rPr>
          <w:rFonts w:ascii="Arial" w:cs="Arial" w:eastAsia="Arial" w:hAnsi="Arial"/>
          <w:sz w:val="19"/>
          <w:szCs w:val="19"/>
          <w:color w:val="auto"/>
        </w:rPr>
        <w:t xml:space="preserve"> tear excepted, it being </w:t>
      </w:r>
      <w:r>
        <w:rPr>
          <w:rFonts w:ascii="Arial" w:cs="Arial" w:eastAsia="Arial" w:hAnsi="Arial"/>
          <w:sz w:val="19"/>
          <w:szCs w:val="19"/>
          <w:color w:val="363636"/>
        </w:rPr>
        <w:t>understood</w:t>
      </w:r>
      <w:r>
        <w:rPr>
          <w:rFonts w:ascii="Arial" w:cs="Arial" w:eastAsia="Arial" w:hAnsi="Arial"/>
          <w:sz w:val="19"/>
          <w:szCs w:val="19"/>
          <w:color w:val="auto"/>
        </w:rPr>
        <w:t xml:space="preserve"> and agreed by Landlord </w:t>
      </w:r>
      <w:r>
        <w:rPr>
          <w:rFonts w:ascii="Arial" w:cs="Arial" w:eastAsia="Arial" w:hAnsi="Arial"/>
          <w:sz w:val="19"/>
          <w:szCs w:val="19"/>
          <w:color w:val="363636"/>
        </w:rPr>
        <w:t>t</w:t>
      </w:r>
      <w:r>
        <w:rPr>
          <w:rFonts w:ascii="Arial" w:cs="Arial" w:eastAsia="Arial" w:hAnsi="Arial"/>
          <w:sz w:val="19"/>
          <w:szCs w:val="19"/>
          <w:color w:val="0C0C0C"/>
        </w:rPr>
        <w:t>hat o</w:t>
      </w:r>
      <w:r>
        <w:rPr>
          <w:rFonts w:ascii="Arial" w:cs="Arial" w:eastAsia="Arial" w:hAnsi="Arial"/>
          <w:sz w:val="19"/>
          <w:szCs w:val="19"/>
          <w:color w:val="363636"/>
        </w:rPr>
        <w:t>rdi</w:t>
      </w:r>
      <w:r>
        <w:rPr>
          <w:rFonts w:ascii="Arial" w:cs="Arial" w:eastAsia="Arial" w:hAnsi="Arial"/>
          <w:sz w:val="19"/>
          <w:szCs w:val="19"/>
          <w:color w:val="0C0C0C"/>
        </w:rPr>
        <w:t>nary</w:t>
      </w:r>
      <w:r>
        <w:rPr>
          <w:rFonts w:ascii="Arial" w:cs="Arial" w:eastAsia="Arial" w:hAnsi="Arial"/>
          <w:sz w:val="19"/>
          <w:szCs w:val="19"/>
          <w:color w:val="auto"/>
        </w:rPr>
        <w:t xml:space="preserve"> wear and </w:t>
      </w:r>
      <w:r>
        <w:rPr>
          <w:rFonts w:ascii="Arial" w:cs="Arial" w:eastAsia="Arial" w:hAnsi="Arial"/>
          <w:sz w:val="19"/>
          <w:szCs w:val="19"/>
          <w:color w:val="0C0C0C"/>
        </w:rPr>
        <w:t>t</w:t>
      </w:r>
      <w:r>
        <w:rPr>
          <w:rFonts w:ascii="Arial" w:cs="Arial" w:eastAsia="Arial" w:hAnsi="Arial"/>
          <w:sz w:val="19"/>
          <w:szCs w:val="19"/>
          <w:color w:val="363636"/>
        </w:rPr>
        <w:t>ear</w:t>
      </w:r>
      <w:r>
        <w:rPr>
          <w:rFonts w:ascii="Arial" w:cs="Arial" w:eastAsia="Arial" w:hAnsi="Arial"/>
          <w:sz w:val="19"/>
          <w:szCs w:val="19"/>
          <w:color w:val="0C0C0C"/>
        </w:rPr>
        <w:t xml:space="preserve"> </w:t>
      </w:r>
      <w:r>
        <w:rPr>
          <w:rFonts w:ascii="Arial" w:cs="Arial" w:eastAsia="Arial" w:hAnsi="Arial"/>
          <w:sz w:val="19"/>
          <w:szCs w:val="19"/>
          <w:color w:val="000000"/>
        </w:rPr>
        <w:t>for</w:t>
      </w:r>
      <w:r>
        <w:rPr>
          <w:rFonts w:ascii="Arial" w:cs="Arial" w:eastAsia="Arial" w:hAnsi="Arial"/>
          <w:sz w:val="19"/>
          <w:szCs w:val="19"/>
          <w:color w:val="0C0C0C"/>
        </w:rPr>
        <w:t xml:space="preserve"> purpo</w:t>
      </w:r>
      <w:r>
        <w:rPr>
          <w:rFonts w:ascii="Arial" w:cs="Arial" w:eastAsia="Arial" w:hAnsi="Arial"/>
          <w:sz w:val="19"/>
          <w:szCs w:val="19"/>
          <w:color w:val="363636"/>
        </w:rPr>
        <w:t>ses of</w:t>
      </w:r>
      <w:r>
        <w:rPr>
          <w:rFonts w:ascii="Arial" w:cs="Arial" w:eastAsia="Arial" w:hAnsi="Arial"/>
          <w:sz w:val="19"/>
          <w:szCs w:val="19"/>
          <w:color w:val="0C0C0C"/>
        </w:rPr>
        <w:t xml:space="preserve"> </w:t>
      </w:r>
      <w:r>
        <w:rPr>
          <w:rFonts w:ascii="Arial" w:cs="Arial" w:eastAsia="Arial" w:hAnsi="Arial"/>
          <w:sz w:val="19"/>
          <w:szCs w:val="19"/>
          <w:color w:val="000000"/>
        </w:rPr>
        <w:t>this Lease shall mean operation of the Building and the Building</w:t>
      </w:r>
      <w:r>
        <w:rPr>
          <w:rFonts w:ascii="Arial" w:cs="Arial" w:eastAsia="Arial" w:hAnsi="Arial"/>
          <w:sz w:val="19"/>
          <w:szCs w:val="19"/>
          <w:color w:val="0C0C0C"/>
        </w:rPr>
        <w:t xml:space="preserve"> </w:t>
      </w:r>
      <w:r>
        <w:rPr>
          <w:rFonts w:ascii="Arial" w:cs="Arial" w:eastAsia="Arial" w:hAnsi="Arial"/>
          <w:sz w:val="19"/>
          <w:szCs w:val="19"/>
          <w:color w:val="363636"/>
        </w:rPr>
        <w:t>sys</w:t>
      </w:r>
      <w:r>
        <w:rPr>
          <w:rFonts w:ascii="Arial" w:cs="Arial" w:eastAsia="Arial" w:hAnsi="Arial"/>
          <w:sz w:val="19"/>
          <w:szCs w:val="19"/>
          <w:color w:val="0C0C0C"/>
        </w:rPr>
        <w:t>tem</w:t>
      </w:r>
      <w:r>
        <w:rPr>
          <w:rFonts w:ascii="Arial" w:cs="Arial" w:eastAsia="Arial" w:hAnsi="Arial"/>
          <w:sz w:val="19"/>
          <w:szCs w:val="19"/>
          <w:color w:val="363636"/>
        </w:rPr>
        <w:t>s</w:t>
      </w:r>
      <w:r>
        <w:rPr>
          <w:rFonts w:ascii="Arial" w:cs="Arial" w:eastAsia="Arial" w:hAnsi="Arial"/>
          <w:sz w:val="19"/>
          <w:szCs w:val="19"/>
          <w:color w:val="0C0C0C"/>
        </w:rPr>
        <w:t xml:space="preserve"> </w:t>
      </w:r>
      <w:r>
        <w:rPr>
          <w:rFonts w:ascii="Arial" w:cs="Arial" w:eastAsia="Arial" w:hAnsi="Arial"/>
          <w:sz w:val="19"/>
          <w:szCs w:val="19"/>
          <w:color w:val="000000"/>
        </w:rPr>
        <w:t>24</w:t>
      </w:r>
      <w:r>
        <w:rPr>
          <w:rFonts w:ascii="Arial" w:cs="Arial" w:eastAsia="Arial" w:hAnsi="Arial"/>
          <w:sz w:val="19"/>
          <w:szCs w:val="19"/>
          <w:color w:val="0C0C0C"/>
        </w:rPr>
        <w:t xml:space="preserve"> </w:t>
      </w:r>
      <w:r>
        <w:rPr>
          <w:rFonts w:ascii="Arial" w:cs="Arial" w:eastAsia="Arial" w:hAnsi="Arial"/>
          <w:sz w:val="19"/>
          <w:szCs w:val="19"/>
          <w:color w:val="363636"/>
        </w:rPr>
        <w:t>hours</w:t>
      </w:r>
      <w:r>
        <w:rPr>
          <w:rFonts w:ascii="Arial" w:cs="Arial" w:eastAsia="Arial" w:hAnsi="Arial"/>
          <w:sz w:val="19"/>
          <w:szCs w:val="19"/>
          <w:color w:val="0C0C0C"/>
        </w:rPr>
        <w:t xml:space="preserve"> per </w:t>
      </w:r>
      <w:r>
        <w:rPr>
          <w:rFonts w:ascii="Arial" w:cs="Arial" w:eastAsia="Arial" w:hAnsi="Arial"/>
          <w:sz w:val="19"/>
          <w:szCs w:val="19"/>
          <w:color w:val="000000"/>
        </w:rPr>
        <w:t>day,</w:t>
      </w:r>
      <w:r>
        <w:rPr>
          <w:rFonts w:ascii="Arial" w:cs="Arial" w:eastAsia="Arial" w:hAnsi="Arial"/>
          <w:sz w:val="19"/>
          <w:szCs w:val="19"/>
          <w:color w:val="0C0C0C"/>
        </w:rPr>
        <w:t xml:space="preserve"> </w:t>
      </w:r>
      <w:r>
        <w:rPr>
          <w:rFonts w:ascii="Arial" w:cs="Arial" w:eastAsia="Arial" w:hAnsi="Arial"/>
          <w:sz w:val="19"/>
          <w:szCs w:val="19"/>
          <w:color w:val="363636"/>
        </w:rPr>
        <w:t>7</w:t>
      </w:r>
      <w:r>
        <w:rPr>
          <w:rFonts w:ascii="Arial" w:cs="Arial" w:eastAsia="Arial" w:hAnsi="Arial"/>
          <w:sz w:val="19"/>
          <w:szCs w:val="19"/>
          <w:color w:val="0C0C0C"/>
        </w:rPr>
        <w:t xml:space="preserve"> </w:t>
      </w:r>
      <w:r>
        <w:rPr>
          <w:rFonts w:ascii="Arial" w:cs="Arial" w:eastAsia="Arial" w:hAnsi="Arial"/>
          <w:sz w:val="19"/>
          <w:szCs w:val="19"/>
          <w:color w:val="000000"/>
        </w:rPr>
        <w:t xml:space="preserve">days per week, 365 days per year. Tenant </w:t>
      </w:r>
      <w:r>
        <w:rPr>
          <w:rFonts w:ascii="Arial" w:cs="Arial" w:eastAsia="Arial" w:hAnsi="Arial"/>
          <w:sz w:val="19"/>
          <w:szCs w:val="19"/>
          <w:color w:val="363636"/>
        </w:rPr>
        <w:t>sh</w:t>
      </w:r>
      <w:r>
        <w:rPr>
          <w:rFonts w:ascii="Arial" w:cs="Arial" w:eastAsia="Arial" w:hAnsi="Arial"/>
          <w:sz w:val="19"/>
          <w:szCs w:val="19"/>
          <w:color w:val="0C0C0C"/>
        </w:rPr>
        <w:t>al</w:t>
      </w:r>
      <w:r>
        <w:rPr>
          <w:rFonts w:ascii="Arial" w:cs="Arial" w:eastAsia="Arial" w:hAnsi="Arial"/>
          <w:sz w:val="19"/>
          <w:szCs w:val="19"/>
          <w:color w:val="363636"/>
        </w:rPr>
        <w:t>l,</w:t>
      </w:r>
      <w:r>
        <w:rPr>
          <w:rFonts w:ascii="Arial" w:cs="Arial" w:eastAsia="Arial" w:hAnsi="Arial"/>
          <w:sz w:val="19"/>
          <w:szCs w:val="19"/>
          <w:color w:val="000000"/>
        </w:rPr>
        <w:t xml:space="preserve"> upon the expiration or </w:t>
      </w:r>
      <w:r>
        <w:rPr>
          <w:rFonts w:ascii="Arial" w:cs="Arial" w:eastAsia="Arial" w:hAnsi="Arial"/>
          <w:sz w:val="19"/>
          <w:szCs w:val="19"/>
          <w:color w:val="363636"/>
        </w:rPr>
        <w:t>sooner</w:t>
      </w:r>
      <w:r>
        <w:rPr>
          <w:rFonts w:ascii="Arial" w:cs="Arial" w:eastAsia="Arial" w:hAnsi="Arial"/>
          <w:sz w:val="19"/>
          <w:szCs w:val="19"/>
          <w:color w:val="000000"/>
        </w:rPr>
        <w:t xml:space="preserve"> termination of the Term, </w:t>
      </w:r>
      <w:r>
        <w:rPr>
          <w:rFonts w:ascii="Arial" w:cs="Arial" w:eastAsia="Arial" w:hAnsi="Arial"/>
          <w:sz w:val="19"/>
          <w:szCs w:val="19"/>
          <w:color w:val="363636"/>
        </w:rPr>
        <w:t>s</w:t>
      </w:r>
      <w:r>
        <w:rPr>
          <w:rFonts w:ascii="Arial" w:cs="Arial" w:eastAsia="Arial" w:hAnsi="Arial"/>
          <w:sz w:val="19"/>
          <w:szCs w:val="19"/>
          <w:color w:val="0C0C0C"/>
        </w:rPr>
        <w:t>urrender</w:t>
      </w:r>
      <w:r>
        <w:rPr>
          <w:rFonts w:ascii="Arial" w:cs="Arial" w:eastAsia="Arial" w:hAnsi="Arial"/>
          <w:sz w:val="19"/>
          <w:szCs w:val="19"/>
          <w:color w:val="000000"/>
        </w:rPr>
        <w:t xml:space="preserve"> </w:t>
      </w:r>
      <w:r>
        <w:rPr>
          <w:rFonts w:ascii="Arial" w:cs="Arial" w:eastAsia="Arial" w:hAnsi="Arial"/>
          <w:sz w:val="19"/>
          <w:szCs w:val="19"/>
          <w:color w:val="363636"/>
        </w:rPr>
        <w:t xml:space="preserve">the </w:t>
      </w:r>
      <w:r>
        <w:rPr>
          <w:rFonts w:ascii="Arial" w:cs="Arial" w:eastAsia="Arial" w:hAnsi="Arial"/>
          <w:sz w:val="19"/>
          <w:szCs w:val="19"/>
          <w:color w:val="0C0C0C"/>
        </w:rPr>
        <w:t>Premi</w:t>
      </w:r>
      <w:r>
        <w:rPr>
          <w:rFonts w:ascii="Arial" w:cs="Arial" w:eastAsia="Arial" w:hAnsi="Arial"/>
          <w:sz w:val="19"/>
          <w:szCs w:val="19"/>
          <w:color w:val="363636"/>
        </w:rPr>
        <w:t xml:space="preserve">ses </w:t>
      </w:r>
      <w:r>
        <w:rPr>
          <w:rFonts w:ascii="Arial" w:cs="Arial" w:eastAsia="Arial" w:hAnsi="Arial"/>
          <w:sz w:val="19"/>
          <w:szCs w:val="19"/>
          <w:color w:val="000000"/>
        </w:rPr>
        <w:t>to Landlord</w:t>
      </w:r>
      <w:r>
        <w:rPr>
          <w:rFonts w:ascii="Arial" w:cs="Arial" w:eastAsia="Arial" w:hAnsi="Arial"/>
          <w:sz w:val="19"/>
          <w:szCs w:val="19"/>
          <w:color w:val="363636"/>
        </w:rPr>
        <w:t xml:space="preserve"> </w:t>
      </w:r>
      <w:r>
        <w:rPr>
          <w:rFonts w:ascii="Arial" w:cs="Arial" w:eastAsia="Arial" w:hAnsi="Arial"/>
          <w:sz w:val="19"/>
          <w:szCs w:val="19"/>
          <w:color w:val="0C0C0C"/>
        </w:rPr>
        <w:t>i</w:t>
      </w:r>
      <w:r>
        <w:rPr>
          <w:rFonts w:ascii="Arial" w:cs="Arial" w:eastAsia="Arial" w:hAnsi="Arial"/>
          <w:sz w:val="19"/>
          <w:szCs w:val="19"/>
          <w:color w:val="363636"/>
        </w:rPr>
        <w:t xml:space="preserve">n </w:t>
      </w:r>
      <w:r>
        <w:rPr>
          <w:rFonts w:ascii="Arial" w:cs="Arial" w:eastAsia="Arial" w:hAnsi="Arial"/>
          <w:sz w:val="19"/>
          <w:szCs w:val="19"/>
          <w:color w:val="000000"/>
        </w:rPr>
        <w:t>as good a condition as</w:t>
      </w:r>
      <w:r>
        <w:rPr>
          <w:rFonts w:ascii="Arial" w:cs="Arial" w:eastAsia="Arial" w:hAnsi="Arial"/>
          <w:sz w:val="19"/>
          <w:szCs w:val="19"/>
          <w:color w:val="363636"/>
        </w:rPr>
        <w:t xml:space="preserve"> when </w:t>
      </w:r>
      <w:r>
        <w:rPr>
          <w:rFonts w:ascii="Arial" w:cs="Arial" w:eastAsia="Arial" w:hAnsi="Arial"/>
          <w:sz w:val="19"/>
          <w:szCs w:val="19"/>
          <w:color w:val="0C0C0C"/>
        </w:rPr>
        <w:t>received</w:t>
      </w:r>
      <w:r>
        <w:rPr>
          <w:rFonts w:ascii="Arial" w:cs="Arial" w:eastAsia="Arial" w:hAnsi="Arial"/>
          <w:sz w:val="19"/>
          <w:szCs w:val="19"/>
          <w:color w:val="363636"/>
        </w:rPr>
        <w:t xml:space="preserve">, </w:t>
      </w:r>
      <w:r>
        <w:rPr>
          <w:rFonts w:ascii="Arial" w:cs="Arial" w:eastAsia="Arial" w:hAnsi="Arial"/>
          <w:sz w:val="19"/>
          <w:szCs w:val="19"/>
          <w:color w:val="000000"/>
        </w:rPr>
        <w:t>ordinary wear</w:t>
      </w:r>
      <w:r>
        <w:rPr>
          <w:rFonts w:ascii="Arial" w:cs="Arial" w:eastAsia="Arial" w:hAnsi="Arial"/>
          <w:sz w:val="19"/>
          <w:szCs w:val="19"/>
          <w:color w:val="363636"/>
        </w:rPr>
        <w:t xml:space="preserve"> and </w:t>
      </w:r>
      <w:r>
        <w:rPr>
          <w:rFonts w:ascii="Arial" w:cs="Arial" w:eastAsia="Arial" w:hAnsi="Arial"/>
          <w:sz w:val="19"/>
          <w:szCs w:val="19"/>
          <w:color w:val="000000"/>
        </w:rPr>
        <w:t>tear excepted;</w:t>
      </w:r>
      <w:r>
        <w:rPr>
          <w:rFonts w:ascii="Arial" w:cs="Arial" w:eastAsia="Arial" w:hAnsi="Arial"/>
          <w:sz w:val="19"/>
          <w:szCs w:val="19"/>
          <w:color w:val="363636"/>
        </w:rPr>
        <w:t xml:space="preserve"> </w:t>
      </w:r>
      <w:r>
        <w:rPr>
          <w:rFonts w:ascii="Arial" w:cs="Arial" w:eastAsia="Arial" w:hAnsi="Arial"/>
          <w:sz w:val="19"/>
          <w:szCs w:val="19"/>
          <w:color w:val="0C0C0C"/>
        </w:rPr>
        <w:t>and</w:t>
      </w:r>
      <w:r>
        <w:rPr>
          <w:rFonts w:ascii="Arial" w:cs="Arial" w:eastAsia="Arial" w:hAnsi="Arial"/>
          <w:sz w:val="19"/>
          <w:szCs w:val="19"/>
          <w:color w:val="363636"/>
        </w:rPr>
        <w:t xml:space="preserve"> </w:t>
      </w:r>
      <w:r>
        <w:rPr>
          <w:rFonts w:ascii="Arial" w:cs="Arial" w:eastAsia="Arial" w:hAnsi="Arial"/>
          <w:sz w:val="19"/>
          <w:szCs w:val="19"/>
          <w:color w:val="000000"/>
        </w:rPr>
        <w:t>shall</w:t>
      </w:r>
      <w:r>
        <w:rPr>
          <w:rFonts w:ascii="Arial" w:cs="Arial" w:eastAsia="Arial" w:hAnsi="Arial"/>
          <w:sz w:val="19"/>
          <w:szCs w:val="19"/>
          <w:color w:val="363636"/>
        </w:rPr>
        <w:t xml:space="preserve"> </w:t>
      </w:r>
      <w:r>
        <w:rPr>
          <w:rFonts w:ascii="Arial" w:cs="Arial" w:eastAsia="Arial" w:hAnsi="Arial"/>
          <w:sz w:val="19"/>
          <w:szCs w:val="19"/>
          <w:color w:val="000000"/>
        </w:rPr>
        <w:t xml:space="preserve">remove all </w:t>
      </w:r>
      <w:r>
        <w:rPr>
          <w:rFonts w:ascii="Arial" w:cs="Arial" w:eastAsia="Arial" w:hAnsi="Arial"/>
          <w:sz w:val="19"/>
          <w:szCs w:val="19"/>
          <w:color w:val="282828"/>
        </w:rPr>
        <w:t>of Tenant’s personal</w:t>
      </w:r>
      <w:r>
        <w:rPr>
          <w:rFonts w:ascii="Arial" w:cs="Arial" w:eastAsia="Arial" w:hAnsi="Arial"/>
          <w:sz w:val="19"/>
          <w:szCs w:val="19"/>
          <w:color w:val="000000"/>
        </w:rPr>
        <w:t xml:space="preserve"> </w:t>
      </w:r>
      <w:r>
        <w:rPr>
          <w:rFonts w:ascii="Arial" w:cs="Arial" w:eastAsia="Arial" w:hAnsi="Arial"/>
          <w:sz w:val="19"/>
          <w:szCs w:val="19"/>
          <w:color w:val="131313"/>
        </w:rPr>
        <w:t>property listed on</w:t>
      </w:r>
      <w:r>
        <w:rPr>
          <w:rFonts w:ascii="Arial" w:cs="Arial" w:eastAsia="Arial" w:hAnsi="Arial"/>
          <w:sz w:val="19"/>
          <w:szCs w:val="19"/>
          <w:color w:val="000000"/>
        </w:rPr>
        <w:t xml:space="preserve"> </w:t>
      </w:r>
      <w:r>
        <w:rPr>
          <w:rFonts w:ascii="Arial" w:cs="Arial" w:eastAsia="Arial" w:hAnsi="Arial"/>
          <w:sz w:val="19"/>
          <w:szCs w:val="19"/>
          <w:u w:val="single" w:color="auto"/>
          <w:color w:val="282828"/>
        </w:rPr>
        <w:t>Exhibit</w:t>
      </w:r>
      <w:r>
        <w:rPr>
          <w:rFonts w:ascii="Arial" w:cs="Arial" w:eastAsia="Arial" w:hAnsi="Arial"/>
          <w:sz w:val="19"/>
          <w:szCs w:val="19"/>
          <w:color w:val="000000"/>
        </w:rPr>
        <w:t xml:space="preserve"> </w:t>
      </w:r>
      <w:r>
        <w:rPr>
          <w:rFonts w:ascii="Arial" w:cs="Arial" w:eastAsia="Arial" w:hAnsi="Arial"/>
          <w:sz w:val="19"/>
          <w:szCs w:val="19"/>
          <w:u w:val="single" w:color="auto"/>
          <w:color w:val="131313"/>
        </w:rPr>
        <w:t>H</w:t>
      </w:r>
      <w:r>
        <w:rPr>
          <w:rFonts w:ascii="Arial" w:cs="Arial" w:eastAsia="Arial" w:hAnsi="Arial"/>
          <w:sz w:val="19"/>
          <w:szCs w:val="19"/>
          <w:color w:val="000000"/>
        </w:rPr>
        <w:t xml:space="preserve"> </w:t>
      </w:r>
      <w:r>
        <w:rPr>
          <w:rFonts w:ascii="Arial" w:cs="Arial" w:eastAsia="Arial" w:hAnsi="Arial"/>
          <w:sz w:val="19"/>
          <w:szCs w:val="19"/>
          <w:color w:val="282828"/>
        </w:rPr>
        <w:t>attached</w:t>
      </w:r>
      <w:r>
        <w:rPr>
          <w:rFonts w:ascii="Arial" w:cs="Arial" w:eastAsia="Arial" w:hAnsi="Arial"/>
          <w:sz w:val="19"/>
          <w:szCs w:val="19"/>
          <w:color w:val="000000"/>
        </w:rPr>
        <w:t xml:space="preserve"> </w:t>
      </w:r>
      <w:r>
        <w:rPr>
          <w:rFonts w:ascii="Arial" w:cs="Arial" w:eastAsia="Arial" w:hAnsi="Arial"/>
          <w:sz w:val="19"/>
          <w:szCs w:val="19"/>
          <w:color w:val="131313"/>
        </w:rPr>
        <w:t>hereto</w:t>
      </w:r>
      <w:r>
        <w:rPr>
          <w:rFonts w:ascii="Arial" w:cs="Arial" w:eastAsia="Arial" w:hAnsi="Arial"/>
          <w:sz w:val="19"/>
          <w:szCs w:val="19"/>
          <w:color w:val="000000"/>
        </w:rPr>
        <w:t xml:space="preserve"> </w:t>
      </w:r>
      <w:r>
        <w:rPr>
          <w:rFonts w:ascii="Arial" w:cs="Arial" w:eastAsia="Arial" w:hAnsi="Arial"/>
          <w:sz w:val="19"/>
          <w:szCs w:val="19"/>
          <w:color w:val="3F3F3F"/>
        </w:rPr>
        <w:t>a</w:t>
      </w:r>
      <w:r>
        <w:rPr>
          <w:rFonts w:ascii="Arial" w:cs="Arial" w:eastAsia="Arial" w:hAnsi="Arial"/>
          <w:sz w:val="19"/>
          <w:szCs w:val="19"/>
          <w:color w:val="131313"/>
        </w:rPr>
        <w:t>nd incorporated herein</w:t>
      </w:r>
      <w:r>
        <w:rPr>
          <w:rFonts w:ascii="Arial" w:cs="Arial" w:eastAsia="Arial" w:hAnsi="Arial"/>
          <w:sz w:val="19"/>
          <w:szCs w:val="19"/>
          <w:color w:val="000000"/>
        </w:rPr>
        <w:t xml:space="preserve"> </w:t>
      </w:r>
      <w:r>
        <w:rPr>
          <w:rFonts w:ascii="Arial" w:cs="Arial" w:eastAsia="Arial" w:hAnsi="Arial"/>
          <w:sz w:val="19"/>
          <w:szCs w:val="19"/>
          <w:color w:val="282828"/>
        </w:rPr>
        <w:t>by reference</w:t>
      </w:r>
      <w:r>
        <w:rPr>
          <w:rFonts w:ascii="Arial" w:cs="Arial" w:eastAsia="Arial" w:hAnsi="Arial"/>
          <w:sz w:val="19"/>
          <w:szCs w:val="19"/>
          <w:color w:val="000000"/>
        </w:rPr>
        <w:t xml:space="preserve"> </w:t>
      </w:r>
      <w:r>
        <w:rPr>
          <w:rFonts w:ascii="Arial" w:cs="Arial" w:eastAsia="Arial" w:hAnsi="Arial"/>
          <w:sz w:val="19"/>
          <w:szCs w:val="19"/>
          <w:color w:val="131313"/>
        </w:rPr>
        <w:t xml:space="preserve">(which list may be updated from time </w:t>
      </w:r>
      <w:r>
        <w:rPr>
          <w:rFonts w:ascii="Arial" w:cs="Arial" w:eastAsia="Arial" w:hAnsi="Arial"/>
          <w:sz w:val="19"/>
          <w:szCs w:val="19"/>
          <w:color w:val="282828"/>
        </w:rPr>
        <w:t>to time</w:t>
      </w:r>
      <w:r>
        <w:rPr>
          <w:rFonts w:ascii="Arial" w:cs="Arial" w:eastAsia="Arial" w:hAnsi="Arial"/>
          <w:sz w:val="19"/>
          <w:szCs w:val="19"/>
          <w:color w:val="131313"/>
        </w:rPr>
        <w:t xml:space="preserve"> by </w:t>
      </w:r>
      <w:r>
        <w:rPr>
          <w:rFonts w:ascii="Arial" w:cs="Arial" w:eastAsia="Arial" w:hAnsi="Arial"/>
          <w:sz w:val="19"/>
          <w:szCs w:val="19"/>
          <w:color w:val="282828"/>
        </w:rPr>
        <w:t>Tenant</w:t>
      </w:r>
      <w:r>
        <w:rPr>
          <w:rFonts w:ascii="Arial" w:cs="Arial" w:eastAsia="Arial" w:hAnsi="Arial"/>
          <w:sz w:val="19"/>
          <w:szCs w:val="19"/>
          <w:color w:val="5B5B5B"/>
        </w:rPr>
        <w:t>,</w:t>
      </w:r>
      <w:r>
        <w:rPr>
          <w:rFonts w:ascii="Arial" w:cs="Arial" w:eastAsia="Arial" w:hAnsi="Arial"/>
          <w:sz w:val="19"/>
          <w:szCs w:val="19"/>
          <w:color w:val="131313"/>
        </w:rPr>
        <w:t xml:space="preserve"> </w:t>
      </w:r>
      <w:r>
        <w:rPr>
          <w:rFonts w:ascii="Arial" w:cs="Arial" w:eastAsia="Arial" w:hAnsi="Arial"/>
          <w:sz w:val="19"/>
          <w:szCs w:val="19"/>
          <w:color w:val="282828"/>
        </w:rPr>
        <w:t>subject to Landlord’s prior written approval, such</w:t>
      </w:r>
      <w:r>
        <w:rPr>
          <w:rFonts w:ascii="Arial" w:cs="Arial" w:eastAsia="Arial" w:hAnsi="Arial"/>
          <w:sz w:val="19"/>
          <w:szCs w:val="19"/>
          <w:color w:val="131313"/>
        </w:rPr>
        <w:t xml:space="preserve"> </w:t>
      </w:r>
      <w:r>
        <w:rPr>
          <w:rFonts w:ascii="Arial" w:cs="Arial" w:eastAsia="Arial" w:hAnsi="Arial"/>
          <w:sz w:val="19"/>
          <w:szCs w:val="19"/>
          <w:color w:val="282828"/>
        </w:rPr>
        <w:t xml:space="preserve">approval </w:t>
      </w:r>
      <w:r>
        <w:rPr>
          <w:rFonts w:ascii="Arial" w:cs="Arial" w:eastAsia="Arial" w:hAnsi="Arial"/>
          <w:sz w:val="19"/>
          <w:szCs w:val="19"/>
          <w:color w:val="131313"/>
        </w:rPr>
        <w:t>not to b</w:t>
      </w:r>
      <w:r>
        <w:rPr>
          <w:rFonts w:ascii="Arial" w:cs="Arial" w:eastAsia="Arial" w:hAnsi="Arial"/>
          <w:sz w:val="19"/>
          <w:szCs w:val="19"/>
          <w:color w:val="3F3F3F"/>
        </w:rPr>
        <w:t>e</w:t>
      </w:r>
      <w:r>
        <w:rPr>
          <w:rFonts w:ascii="Arial" w:cs="Arial" w:eastAsia="Arial" w:hAnsi="Arial"/>
          <w:sz w:val="19"/>
          <w:szCs w:val="19"/>
          <w:color w:val="282828"/>
        </w:rPr>
        <w:t xml:space="preserve"> unreasonably withheld, </w:t>
      </w:r>
      <w:r>
        <w:rPr>
          <w:rFonts w:ascii="Arial" w:cs="Arial" w:eastAsia="Arial" w:hAnsi="Arial"/>
          <w:sz w:val="19"/>
          <w:szCs w:val="19"/>
          <w:color w:val="131313"/>
        </w:rPr>
        <w:t>conditioned</w:t>
      </w:r>
      <w:r>
        <w:rPr>
          <w:rFonts w:ascii="Arial" w:cs="Arial" w:eastAsia="Arial" w:hAnsi="Arial"/>
          <w:sz w:val="19"/>
          <w:szCs w:val="19"/>
          <w:color w:val="282828"/>
        </w:rPr>
        <w:t xml:space="preserve"> or </w:t>
      </w:r>
      <w:r>
        <w:rPr>
          <w:rFonts w:ascii="Arial" w:cs="Arial" w:eastAsia="Arial" w:hAnsi="Arial"/>
          <w:sz w:val="19"/>
          <w:szCs w:val="19"/>
          <w:color w:val="131313"/>
        </w:rPr>
        <w:t>delayed),</w:t>
      </w:r>
      <w:r>
        <w:rPr>
          <w:rFonts w:ascii="Arial" w:cs="Arial" w:eastAsia="Arial" w:hAnsi="Arial"/>
          <w:sz w:val="19"/>
          <w:szCs w:val="19"/>
          <w:color w:val="282828"/>
        </w:rPr>
        <w:t xml:space="preserve"> and </w:t>
      </w:r>
      <w:r>
        <w:rPr>
          <w:rFonts w:ascii="Arial" w:cs="Arial" w:eastAsia="Arial" w:hAnsi="Arial"/>
          <w:sz w:val="19"/>
          <w:szCs w:val="19"/>
          <w:color w:val="131313"/>
        </w:rPr>
        <w:t>repair</w:t>
      </w:r>
      <w:r>
        <w:rPr>
          <w:rFonts w:ascii="Arial" w:cs="Arial" w:eastAsia="Arial" w:hAnsi="Arial"/>
          <w:sz w:val="19"/>
          <w:szCs w:val="19"/>
          <w:color w:val="282828"/>
        </w:rPr>
        <w:t xml:space="preserve"> any </w:t>
      </w:r>
      <w:r>
        <w:rPr>
          <w:rFonts w:ascii="Arial" w:cs="Arial" w:eastAsia="Arial" w:hAnsi="Arial"/>
          <w:sz w:val="19"/>
          <w:szCs w:val="19"/>
          <w:color w:val="131313"/>
        </w:rPr>
        <w:t>damage</w:t>
      </w:r>
      <w:r>
        <w:rPr>
          <w:rFonts w:ascii="Arial" w:cs="Arial" w:eastAsia="Arial" w:hAnsi="Arial"/>
          <w:sz w:val="19"/>
          <w:szCs w:val="19"/>
          <w:color w:val="282828"/>
        </w:rPr>
        <w:t xml:space="preserve"> to </w:t>
      </w:r>
      <w:r>
        <w:rPr>
          <w:rFonts w:ascii="Arial" w:cs="Arial" w:eastAsia="Arial" w:hAnsi="Arial"/>
          <w:sz w:val="19"/>
          <w:szCs w:val="19"/>
          <w:color w:val="131313"/>
        </w:rPr>
        <w:t>the Pre</w:t>
      </w:r>
      <w:r>
        <w:rPr>
          <w:rFonts w:ascii="Arial" w:cs="Arial" w:eastAsia="Arial" w:hAnsi="Arial"/>
          <w:sz w:val="19"/>
          <w:szCs w:val="19"/>
          <w:color w:val="3F3F3F"/>
        </w:rPr>
        <w:t>mises</w:t>
      </w:r>
      <w:r>
        <w:rPr>
          <w:rFonts w:ascii="Arial" w:cs="Arial" w:eastAsia="Arial" w:hAnsi="Arial"/>
          <w:sz w:val="19"/>
          <w:szCs w:val="19"/>
          <w:color w:val="282828"/>
        </w:rPr>
        <w:t xml:space="preserve"> caused </w:t>
      </w:r>
      <w:r>
        <w:rPr>
          <w:rFonts w:ascii="Arial" w:cs="Arial" w:eastAsia="Arial" w:hAnsi="Arial"/>
          <w:sz w:val="19"/>
          <w:szCs w:val="19"/>
          <w:color w:val="131313"/>
        </w:rPr>
        <w:t>t</w:t>
      </w:r>
      <w:r>
        <w:rPr>
          <w:rFonts w:ascii="Arial" w:cs="Arial" w:eastAsia="Arial" w:hAnsi="Arial"/>
          <w:sz w:val="19"/>
          <w:szCs w:val="19"/>
          <w:color w:val="3F3F3F"/>
        </w:rPr>
        <w:t>her</w:t>
      </w:r>
      <w:r>
        <w:rPr>
          <w:rFonts w:ascii="Arial" w:cs="Arial" w:eastAsia="Arial" w:hAnsi="Arial"/>
          <w:sz w:val="19"/>
          <w:szCs w:val="19"/>
          <w:color w:val="131313"/>
        </w:rPr>
        <w:t xml:space="preserve">eby. Upon </w:t>
      </w:r>
      <w:r>
        <w:rPr>
          <w:rFonts w:ascii="Arial" w:cs="Arial" w:eastAsia="Arial" w:hAnsi="Arial"/>
          <w:sz w:val="19"/>
          <w:szCs w:val="19"/>
          <w:color w:val="282828"/>
        </w:rPr>
        <w:t>such surrender, Landlord shall have</w:t>
      </w:r>
      <w:r>
        <w:rPr>
          <w:rFonts w:ascii="Arial" w:cs="Arial" w:eastAsia="Arial" w:hAnsi="Arial"/>
          <w:sz w:val="19"/>
          <w:szCs w:val="19"/>
          <w:color w:val="131313"/>
        </w:rPr>
        <w:t xml:space="preserve"> no </w:t>
      </w:r>
      <w:r>
        <w:rPr>
          <w:rFonts w:ascii="Arial" w:cs="Arial" w:eastAsia="Arial" w:hAnsi="Arial"/>
          <w:sz w:val="19"/>
          <w:szCs w:val="19"/>
          <w:color w:val="282828"/>
        </w:rPr>
        <w:t>obligation to alter</w:t>
      </w:r>
      <w:r>
        <w:rPr>
          <w:rFonts w:ascii="Arial" w:cs="Arial" w:eastAsia="Arial" w:hAnsi="Arial"/>
          <w:sz w:val="19"/>
          <w:szCs w:val="19"/>
          <w:color w:val="5B5B5B"/>
        </w:rPr>
        <w:t>,</w:t>
      </w:r>
      <w:r>
        <w:rPr>
          <w:rFonts w:ascii="Arial" w:cs="Arial" w:eastAsia="Arial" w:hAnsi="Arial"/>
          <w:sz w:val="19"/>
          <w:szCs w:val="19"/>
          <w:color w:val="131313"/>
        </w:rPr>
        <w:t xml:space="preserve"> </w:t>
      </w:r>
      <w:r>
        <w:rPr>
          <w:rFonts w:ascii="Arial" w:cs="Arial" w:eastAsia="Arial" w:hAnsi="Arial"/>
          <w:sz w:val="19"/>
          <w:szCs w:val="19"/>
          <w:color w:val="282828"/>
        </w:rPr>
        <w:t>remodel, improve, repair,</w:t>
      </w:r>
      <w:r>
        <w:rPr>
          <w:rFonts w:ascii="Arial" w:cs="Arial" w:eastAsia="Arial" w:hAnsi="Arial"/>
          <w:sz w:val="19"/>
          <w:szCs w:val="19"/>
          <w:color w:val="131313"/>
        </w:rPr>
        <w:t xml:space="preserve"> decorate </w:t>
      </w:r>
      <w:r>
        <w:rPr>
          <w:rFonts w:ascii="Arial" w:cs="Arial" w:eastAsia="Arial" w:hAnsi="Arial"/>
          <w:sz w:val="19"/>
          <w:szCs w:val="19"/>
          <w:color w:val="282828"/>
        </w:rPr>
        <w:t>or</w:t>
      </w:r>
      <w:r>
        <w:rPr>
          <w:rFonts w:ascii="Arial" w:cs="Arial" w:eastAsia="Arial" w:hAnsi="Arial"/>
          <w:sz w:val="19"/>
          <w:szCs w:val="19"/>
          <w:color w:val="131313"/>
        </w:rPr>
        <w:t xml:space="preserve"> paint the Premises </w:t>
      </w:r>
      <w:r>
        <w:rPr>
          <w:rFonts w:ascii="Arial" w:cs="Arial" w:eastAsia="Arial" w:hAnsi="Arial"/>
          <w:sz w:val="19"/>
          <w:szCs w:val="19"/>
          <w:color w:val="282828"/>
        </w:rPr>
        <w:t>or any</w:t>
      </w:r>
      <w:r>
        <w:rPr>
          <w:rFonts w:ascii="Arial" w:cs="Arial" w:eastAsia="Arial" w:hAnsi="Arial"/>
          <w:sz w:val="19"/>
          <w:szCs w:val="19"/>
          <w:color w:val="131313"/>
        </w:rPr>
        <w:t xml:space="preserve"> part </w:t>
      </w:r>
      <w:r>
        <w:rPr>
          <w:rFonts w:ascii="Arial" w:cs="Arial" w:eastAsia="Arial" w:hAnsi="Arial"/>
          <w:sz w:val="19"/>
          <w:szCs w:val="19"/>
          <w:color w:val="3F3F3F"/>
        </w:rPr>
        <w:t>the</w:t>
      </w:r>
      <w:r>
        <w:rPr>
          <w:rFonts w:ascii="Arial" w:cs="Arial" w:eastAsia="Arial" w:hAnsi="Arial"/>
          <w:sz w:val="19"/>
          <w:szCs w:val="19"/>
          <w:color w:val="131313"/>
        </w:rPr>
        <w:t>reof.</w:t>
      </w:r>
    </w:p>
    <w:p>
      <w:pPr>
        <w:spacing w:after="0" w:line="158" w:lineRule="exact"/>
        <w:rPr>
          <w:rFonts w:ascii="Arial" w:cs="Arial" w:eastAsia="Arial" w:hAnsi="Arial"/>
          <w:sz w:val="22"/>
          <w:szCs w:val="22"/>
          <w:color w:val="auto"/>
        </w:rPr>
      </w:pPr>
    </w:p>
    <w:p>
      <w:pPr>
        <w:ind w:left="1300" w:hanging="648"/>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18.3 Except as otherwise set forth herein, </w:t>
      </w:r>
      <w:r>
        <w:rPr>
          <w:rFonts w:ascii="Arial" w:cs="Arial" w:eastAsia="Arial" w:hAnsi="Arial"/>
          <w:sz w:val="22"/>
          <w:szCs w:val="22"/>
          <w:color w:val="131313"/>
        </w:rPr>
        <w:t>Landlord</w:t>
      </w:r>
      <w:r>
        <w:rPr>
          <w:rFonts w:ascii="Arial" w:cs="Arial" w:eastAsia="Arial" w:hAnsi="Arial"/>
          <w:sz w:val="22"/>
          <w:szCs w:val="22"/>
          <w:color w:val="auto"/>
        </w:rPr>
        <w:t xml:space="preserve"> sha</w:t>
      </w:r>
      <w:r>
        <w:rPr>
          <w:rFonts w:ascii="Arial" w:cs="Arial" w:eastAsia="Arial" w:hAnsi="Arial"/>
          <w:sz w:val="22"/>
          <w:szCs w:val="22"/>
          <w:color w:val="5B5B5B"/>
        </w:rPr>
        <w:t>ll</w:t>
      </w:r>
      <w:r>
        <w:rPr>
          <w:rFonts w:ascii="Arial" w:cs="Arial" w:eastAsia="Arial" w:hAnsi="Arial"/>
          <w:sz w:val="22"/>
          <w:szCs w:val="22"/>
          <w:color w:val="auto"/>
        </w:rPr>
        <w:t xml:space="preserve"> not </w:t>
      </w:r>
      <w:r>
        <w:rPr>
          <w:rFonts w:ascii="Arial" w:cs="Arial" w:eastAsia="Arial" w:hAnsi="Arial"/>
          <w:sz w:val="22"/>
          <w:szCs w:val="22"/>
          <w:color w:val="131313"/>
        </w:rPr>
        <w:t>be liable</w:t>
      </w:r>
      <w:r>
        <w:rPr>
          <w:rFonts w:ascii="Arial" w:cs="Arial" w:eastAsia="Arial" w:hAnsi="Arial"/>
          <w:sz w:val="22"/>
          <w:szCs w:val="22"/>
          <w:color w:val="auto"/>
        </w:rPr>
        <w:t xml:space="preserve"> for any failure </w:t>
      </w:r>
      <w:r>
        <w:rPr>
          <w:rFonts w:ascii="Arial" w:cs="Arial" w:eastAsia="Arial" w:hAnsi="Arial"/>
          <w:sz w:val="22"/>
          <w:szCs w:val="22"/>
          <w:color w:val="3F3F3F"/>
        </w:rPr>
        <w:t>t</w:t>
      </w:r>
      <w:r>
        <w:rPr>
          <w:rFonts w:ascii="Arial" w:cs="Arial" w:eastAsia="Arial" w:hAnsi="Arial"/>
          <w:sz w:val="22"/>
          <w:szCs w:val="22"/>
          <w:color w:val="131313"/>
        </w:rPr>
        <w:t>o</w:t>
      </w:r>
      <w:r>
        <w:rPr>
          <w:rFonts w:ascii="Arial" w:cs="Arial" w:eastAsia="Arial" w:hAnsi="Arial"/>
          <w:sz w:val="22"/>
          <w:szCs w:val="22"/>
          <w:color w:val="auto"/>
        </w:rPr>
        <w:t xml:space="preserve"> make any </w:t>
      </w:r>
      <w:r>
        <w:rPr>
          <w:rFonts w:ascii="Arial" w:cs="Arial" w:eastAsia="Arial" w:hAnsi="Arial"/>
          <w:sz w:val="22"/>
          <w:szCs w:val="22"/>
          <w:color w:val="131313"/>
        </w:rPr>
        <w:t>repairs</w:t>
      </w:r>
      <w:r>
        <w:rPr>
          <w:rFonts w:ascii="Arial" w:cs="Arial" w:eastAsia="Arial" w:hAnsi="Arial"/>
          <w:sz w:val="22"/>
          <w:szCs w:val="22"/>
          <w:color w:val="auto"/>
        </w:rPr>
        <w:t xml:space="preserve"> or </w:t>
      </w:r>
      <w:r>
        <w:rPr>
          <w:rFonts w:ascii="Arial" w:cs="Arial" w:eastAsia="Arial" w:hAnsi="Arial"/>
          <w:sz w:val="22"/>
          <w:szCs w:val="22"/>
          <w:color w:val="131313"/>
        </w:rPr>
        <w:t>to</w:t>
      </w:r>
      <w:r>
        <w:rPr>
          <w:rFonts w:ascii="Arial" w:cs="Arial" w:eastAsia="Arial" w:hAnsi="Arial"/>
          <w:sz w:val="22"/>
          <w:szCs w:val="22"/>
          <w:color w:val="auto"/>
        </w:rPr>
        <w:t xml:space="preserve"> perform any </w:t>
      </w:r>
      <w:r>
        <w:rPr>
          <w:rFonts w:ascii="Arial" w:cs="Arial" w:eastAsia="Arial" w:hAnsi="Arial"/>
          <w:sz w:val="22"/>
          <w:szCs w:val="22"/>
          <w:color w:val="131313"/>
        </w:rPr>
        <w:t>maintenance that is an obligation</w:t>
      </w:r>
      <w:r>
        <w:rPr>
          <w:rFonts w:ascii="Arial" w:cs="Arial" w:eastAsia="Arial" w:hAnsi="Arial"/>
          <w:sz w:val="22"/>
          <w:szCs w:val="22"/>
          <w:color w:val="auto"/>
        </w:rPr>
        <w:t xml:space="preserve"> of </w:t>
      </w:r>
      <w:r>
        <w:rPr>
          <w:rFonts w:ascii="Arial" w:cs="Arial" w:eastAsia="Arial" w:hAnsi="Arial"/>
          <w:sz w:val="22"/>
          <w:szCs w:val="22"/>
          <w:color w:val="131313"/>
        </w:rPr>
        <w:t>Landlord</w:t>
      </w:r>
      <w:r>
        <w:rPr>
          <w:rFonts w:ascii="Arial" w:cs="Arial" w:eastAsia="Arial" w:hAnsi="Arial"/>
          <w:sz w:val="22"/>
          <w:szCs w:val="22"/>
          <w:color w:val="auto"/>
        </w:rPr>
        <w:t xml:space="preserve"> except as set </w:t>
      </w:r>
      <w:r>
        <w:rPr>
          <w:rFonts w:ascii="Arial" w:cs="Arial" w:eastAsia="Arial" w:hAnsi="Arial"/>
          <w:sz w:val="22"/>
          <w:szCs w:val="22"/>
          <w:color w:val="131313"/>
        </w:rPr>
        <w:t>forth</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31.14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01" w:right="339" w:bottom="1440" w:gutter="0" w:footer="0" w:header="0"/>
        </w:sectPr>
      </w:pPr>
    </w:p>
    <w:bookmarkStart w:id="342" w:name="page343"/>
    <w:bookmarkEnd w:id="342"/>
    <w:p>
      <w:pPr>
        <w:jc w:val="both"/>
        <w:ind w:left="1300" w:hanging="647"/>
        <w:spacing w:after="0" w:line="249" w:lineRule="auto"/>
        <w:tabs>
          <w:tab w:leader="none" w:pos="128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color w:val="auto"/>
        </w:rPr>
        <w:t xml:space="preserve">If any excavation shall </w:t>
      </w:r>
      <w:r>
        <w:rPr>
          <w:rFonts w:ascii="Arial" w:cs="Arial" w:eastAsia="Arial" w:hAnsi="Arial"/>
          <w:sz w:val="19"/>
          <w:szCs w:val="19"/>
          <w:color w:val="131313"/>
        </w:rPr>
        <w:t>be</w:t>
      </w:r>
      <w:r>
        <w:rPr>
          <w:rFonts w:ascii="Arial" w:cs="Arial" w:eastAsia="Arial" w:hAnsi="Arial"/>
          <w:sz w:val="19"/>
          <w:szCs w:val="19"/>
          <w:color w:val="auto"/>
        </w:rPr>
        <w:t xml:space="preserve"> made </w:t>
      </w:r>
      <w:r>
        <w:rPr>
          <w:rFonts w:ascii="Arial" w:cs="Arial" w:eastAsia="Arial" w:hAnsi="Arial"/>
          <w:sz w:val="19"/>
          <w:szCs w:val="19"/>
          <w:color w:val="131313"/>
        </w:rPr>
        <w:t>upon land</w:t>
      </w:r>
      <w:r>
        <w:rPr>
          <w:rFonts w:ascii="Arial" w:cs="Arial" w:eastAsia="Arial" w:hAnsi="Arial"/>
          <w:sz w:val="19"/>
          <w:szCs w:val="19"/>
          <w:color w:val="auto"/>
        </w:rPr>
        <w:t xml:space="preserve"> adjacent </w:t>
      </w:r>
      <w:r>
        <w:rPr>
          <w:rFonts w:ascii="Arial" w:cs="Arial" w:eastAsia="Arial" w:hAnsi="Arial"/>
          <w:sz w:val="19"/>
          <w:szCs w:val="19"/>
          <w:color w:val="131313"/>
        </w:rPr>
        <w:t>to</w:t>
      </w:r>
      <w:r>
        <w:rPr>
          <w:rFonts w:ascii="Arial" w:cs="Arial" w:eastAsia="Arial" w:hAnsi="Arial"/>
          <w:sz w:val="19"/>
          <w:szCs w:val="19"/>
          <w:color w:val="auto"/>
        </w:rPr>
        <w:t xml:space="preserve"> the </w:t>
      </w:r>
      <w:r>
        <w:rPr>
          <w:rFonts w:ascii="Arial" w:cs="Arial" w:eastAsia="Arial" w:hAnsi="Arial"/>
          <w:sz w:val="19"/>
          <w:szCs w:val="19"/>
          <w:color w:val="131313"/>
        </w:rPr>
        <w:t>Bu</w:t>
      </w:r>
      <w:r>
        <w:rPr>
          <w:rFonts w:ascii="Arial" w:cs="Arial" w:eastAsia="Arial" w:hAnsi="Arial"/>
          <w:sz w:val="19"/>
          <w:szCs w:val="19"/>
          <w:color w:val="3F3F3F"/>
        </w:rPr>
        <w:t>i</w:t>
      </w:r>
      <w:r>
        <w:rPr>
          <w:rFonts w:ascii="Arial" w:cs="Arial" w:eastAsia="Arial" w:hAnsi="Arial"/>
          <w:sz w:val="19"/>
          <w:szCs w:val="19"/>
          <w:color w:val="131313"/>
        </w:rPr>
        <w:t>lding</w:t>
      </w:r>
      <w:r>
        <w:rPr>
          <w:rFonts w:ascii="Arial" w:cs="Arial" w:eastAsia="Arial" w:hAnsi="Arial"/>
          <w:sz w:val="19"/>
          <w:szCs w:val="19"/>
          <w:color w:val="3F3F3F"/>
        </w:rPr>
        <w:t>,</w:t>
      </w:r>
      <w:r>
        <w:rPr>
          <w:rFonts w:ascii="Arial" w:cs="Arial" w:eastAsia="Arial" w:hAnsi="Arial"/>
          <w:sz w:val="19"/>
          <w:szCs w:val="19"/>
          <w:color w:val="auto"/>
        </w:rPr>
        <w:t xml:space="preserve"> or shall </w:t>
      </w:r>
      <w:r>
        <w:rPr>
          <w:rFonts w:ascii="Arial" w:cs="Arial" w:eastAsia="Arial" w:hAnsi="Arial"/>
          <w:sz w:val="19"/>
          <w:szCs w:val="19"/>
          <w:color w:val="131313"/>
        </w:rPr>
        <w:t>be</w:t>
      </w:r>
      <w:r>
        <w:rPr>
          <w:rFonts w:ascii="Arial" w:cs="Arial" w:eastAsia="Arial" w:hAnsi="Arial"/>
          <w:sz w:val="19"/>
          <w:szCs w:val="19"/>
          <w:color w:val="auto"/>
        </w:rPr>
        <w:t xml:space="preserve"> authorized </w:t>
      </w:r>
      <w:r>
        <w:rPr>
          <w:rFonts w:ascii="Arial" w:cs="Arial" w:eastAsia="Arial" w:hAnsi="Arial"/>
          <w:sz w:val="19"/>
          <w:szCs w:val="19"/>
          <w:color w:val="131313"/>
        </w:rPr>
        <w:t>to be</w:t>
      </w:r>
      <w:r>
        <w:rPr>
          <w:rFonts w:ascii="Arial" w:cs="Arial" w:eastAsia="Arial" w:hAnsi="Arial"/>
          <w:sz w:val="19"/>
          <w:szCs w:val="19"/>
          <w:color w:val="auto"/>
        </w:rPr>
        <w:t xml:space="preserve"> made, Tenant </w:t>
      </w:r>
      <w:r>
        <w:rPr>
          <w:rFonts w:ascii="Arial" w:cs="Arial" w:eastAsia="Arial" w:hAnsi="Arial"/>
          <w:sz w:val="19"/>
          <w:szCs w:val="19"/>
          <w:color w:val="3F3F3F"/>
        </w:rPr>
        <w:t>shall</w:t>
      </w:r>
      <w:r>
        <w:rPr>
          <w:rFonts w:ascii="Arial" w:cs="Arial" w:eastAsia="Arial" w:hAnsi="Arial"/>
          <w:sz w:val="19"/>
          <w:szCs w:val="19"/>
          <w:color w:val="auto"/>
        </w:rPr>
        <w:t xml:space="preserve"> afford to the person causing or authorized </w:t>
      </w:r>
      <w:r>
        <w:rPr>
          <w:rFonts w:ascii="Arial" w:cs="Arial" w:eastAsia="Arial" w:hAnsi="Arial"/>
          <w:sz w:val="19"/>
          <w:szCs w:val="19"/>
          <w:color w:val="3F3F3F"/>
        </w:rPr>
        <w:t>to</w:t>
      </w:r>
      <w:r>
        <w:rPr>
          <w:rFonts w:ascii="Arial" w:cs="Arial" w:eastAsia="Arial" w:hAnsi="Arial"/>
          <w:sz w:val="19"/>
          <w:szCs w:val="19"/>
          <w:color w:val="auto"/>
        </w:rPr>
        <w:t xml:space="preserve"> cause such excavation, </w:t>
      </w:r>
      <w:r>
        <w:rPr>
          <w:rFonts w:ascii="Arial" w:cs="Arial" w:eastAsia="Arial" w:hAnsi="Arial"/>
          <w:sz w:val="19"/>
          <w:szCs w:val="19"/>
          <w:color w:val="131313"/>
        </w:rPr>
        <w:t>license</w:t>
      </w:r>
      <w:r>
        <w:rPr>
          <w:rFonts w:ascii="Arial" w:cs="Arial" w:eastAsia="Arial" w:hAnsi="Arial"/>
          <w:sz w:val="19"/>
          <w:szCs w:val="19"/>
          <w:color w:val="auto"/>
        </w:rPr>
        <w:t xml:space="preserve"> to </w:t>
      </w:r>
      <w:r>
        <w:rPr>
          <w:rFonts w:ascii="Arial" w:cs="Arial" w:eastAsia="Arial" w:hAnsi="Arial"/>
          <w:sz w:val="19"/>
          <w:szCs w:val="19"/>
          <w:color w:val="131313"/>
        </w:rPr>
        <w:t>enter the Premises</w:t>
      </w:r>
      <w:r>
        <w:rPr>
          <w:rFonts w:ascii="Arial" w:cs="Arial" w:eastAsia="Arial" w:hAnsi="Arial"/>
          <w:sz w:val="19"/>
          <w:szCs w:val="19"/>
          <w:color w:val="auto"/>
        </w:rPr>
        <w:t xml:space="preserve"> for the </w:t>
      </w:r>
      <w:r>
        <w:rPr>
          <w:rFonts w:ascii="Arial" w:cs="Arial" w:eastAsia="Arial" w:hAnsi="Arial"/>
          <w:sz w:val="19"/>
          <w:szCs w:val="19"/>
          <w:color w:val="131313"/>
        </w:rPr>
        <w:t>purpo</w:t>
      </w:r>
      <w:r>
        <w:rPr>
          <w:rFonts w:ascii="Arial" w:cs="Arial" w:eastAsia="Arial" w:hAnsi="Arial"/>
          <w:sz w:val="19"/>
          <w:szCs w:val="19"/>
          <w:color w:val="3F3F3F"/>
        </w:rPr>
        <w:t>se</w:t>
      </w:r>
      <w:r>
        <w:rPr>
          <w:rFonts w:ascii="Arial" w:cs="Arial" w:eastAsia="Arial" w:hAnsi="Arial"/>
          <w:sz w:val="19"/>
          <w:szCs w:val="19"/>
          <w:color w:val="auto"/>
        </w:rPr>
        <w:t xml:space="preserve"> of </w:t>
      </w:r>
      <w:r>
        <w:rPr>
          <w:rFonts w:ascii="Arial" w:cs="Arial" w:eastAsia="Arial" w:hAnsi="Arial"/>
          <w:sz w:val="19"/>
          <w:szCs w:val="19"/>
          <w:color w:val="131313"/>
        </w:rPr>
        <w:t>performing</w:t>
      </w:r>
      <w:r>
        <w:rPr>
          <w:rFonts w:ascii="Arial" w:cs="Arial" w:eastAsia="Arial" w:hAnsi="Arial"/>
          <w:sz w:val="19"/>
          <w:szCs w:val="19"/>
          <w:color w:val="auto"/>
        </w:rPr>
        <w:t xml:space="preserve"> such work as said </w:t>
      </w:r>
      <w:r>
        <w:rPr>
          <w:rFonts w:ascii="Arial" w:cs="Arial" w:eastAsia="Arial" w:hAnsi="Arial"/>
          <w:sz w:val="19"/>
          <w:szCs w:val="19"/>
          <w:color w:val="131313"/>
        </w:rPr>
        <w:t>person</w:t>
      </w:r>
      <w:r>
        <w:rPr>
          <w:rFonts w:ascii="Arial" w:cs="Arial" w:eastAsia="Arial" w:hAnsi="Arial"/>
          <w:sz w:val="19"/>
          <w:szCs w:val="19"/>
          <w:color w:val="auto"/>
        </w:rPr>
        <w:t xml:space="preserve"> shall deem </w:t>
      </w:r>
      <w:r>
        <w:rPr>
          <w:rFonts w:ascii="Arial" w:cs="Arial" w:eastAsia="Arial" w:hAnsi="Arial"/>
          <w:sz w:val="19"/>
          <w:szCs w:val="19"/>
          <w:color w:val="131313"/>
        </w:rPr>
        <w:t>necessary</w:t>
      </w:r>
      <w:r>
        <w:rPr>
          <w:rFonts w:ascii="Arial" w:cs="Arial" w:eastAsia="Arial" w:hAnsi="Arial"/>
          <w:sz w:val="19"/>
          <w:szCs w:val="19"/>
          <w:color w:val="auto"/>
        </w:rPr>
        <w:t xml:space="preserve"> or </w:t>
      </w:r>
      <w:r>
        <w:rPr>
          <w:rFonts w:ascii="Arial" w:cs="Arial" w:eastAsia="Arial" w:hAnsi="Arial"/>
          <w:sz w:val="19"/>
          <w:szCs w:val="19"/>
          <w:color w:val="131313"/>
        </w:rPr>
        <w:t>desirable to preserve</w:t>
      </w:r>
      <w:r>
        <w:rPr>
          <w:rFonts w:ascii="Arial" w:cs="Arial" w:eastAsia="Arial" w:hAnsi="Arial"/>
          <w:sz w:val="19"/>
          <w:szCs w:val="19"/>
          <w:color w:val="auto"/>
        </w:rPr>
        <w:t xml:space="preserve"> and </w:t>
      </w:r>
      <w:r>
        <w:rPr>
          <w:rFonts w:ascii="Arial" w:cs="Arial" w:eastAsia="Arial" w:hAnsi="Arial"/>
          <w:sz w:val="19"/>
          <w:szCs w:val="19"/>
          <w:color w:val="131313"/>
        </w:rPr>
        <w:t>pro</w:t>
      </w:r>
      <w:r>
        <w:rPr>
          <w:rFonts w:ascii="Arial" w:cs="Arial" w:eastAsia="Arial" w:hAnsi="Arial"/>
          <w:sz w:val="19"/>
          <w:szCs w:val="19"/>
          <w:color w:val="3F3F3F"/>
        </w:rPr>
        <w:t>tec</w:t>
      </w:r>
      <w:r>
        <w:rPr>
          <w:rFonts w:ascii="Arial" w:cs="Arial" w:eastAsia="Arial" w:hAnsi="Arial"/>
          <w:sz w:val="19"/>
          <w:szCs w:val="19"/>
          <w:color w:val="131313"/>
        </w:rPr>
        <w:t>t</w:t>
      </w:r>
      <w:r>
        <w:rPr>
          <w:rFonts w:ascii="Arial" w:cs="Arial" w:eastAsia="Arial" w:hAnsi="Arial"/>
          <w:sz w:val="19"/>
          <w:szCs w:val="19"/>
          <w:color w:val="auto"/>
        </w:rPr>
        <w:t xml:space="preserve"> the </w:t>
      </w:r>
      <w:r>
        <w:rPr>
          <w:rFonts w:ascii="Arial" w:cs="Arial" w:eastAsia="Arial" w:hAnsi="Arial"/>
          <w:sz w:val="19"/>
          <w:szCs w:val="19"/>
          <w:color w:val="131313"/>
        </w:rPr>
        <w:t>Building</w:t>
      </w:r>
      <w:r>
        <w:rPr>
          <w:rFonts w:ascii="Arial" w:cs="Arial" w:eastAsia="Arial" w:hAnsi="Arial"/>
          <w:sz w:val="19"/>
          <w:szCs w:val="19"/>
          <w:color w:val="auto"/>
        </w:rPr>
        <w:t xml:space="preserve"> </w:t>
      </w:r>
      <w:r>
        <w:rPr>
          <w:rFonts w:ascii="Arial" w:cs="Arial" w:eastAsia="Arial" w:hAnsi="Arial"/>
          <w:sz w:val="19"/>
          <w:szCs w:val="19"/>
          <w:color w:val="131313"/>
        </w:rPr>
        <w:t xml:space="preserve">from injury </w:t>
      </w:r>
      <w:r>
        <w:rPr>
          <w:rFonts w:ascii="Arial" w:cs="Arial" w:eastAsia="Arial" w:hAnsi="Arial"/>
          <w:sz w:val="19"/>
          <w:szCs w:val="19"/>
          <w:color w:val="000000"/>
        </w:rPr>
        <w:t>or</w:t>
      </w:r>
      <w:r>
        <w:rPr>
          <w:rFonts w:ascii="Arial" w:cs="Arial" w:eastAsia="Arial" w:hAnsi="Arial"/>
          <w:sz w:val="19"/>
          <w:szCs w:val="19"/>
          <w:color w:val="131313"/>
        </w:rPr>
        <w:t xml:space="preserve"> damage and </w:t>
      </w:r>
      <w:r>
        <w:rPr>
          <w:rFonts w:ascii="Arial" w:cs="Arial" w:eastAsia="Arial" w:hAnsi="Arial"/>
          <w:sz w:val="19"/>
          <w:szCs w:val="19"/>
          <w:color w:val="000000"/>
        </w:rPr>
        <w:t>to support the same</w:t>
      </w:r>
      <w:r>
        <w:rPr>
          <w:rFonts w:ascii="Arial" w:cs="Arial" w:eastAsia="Arial" w:hAnsi="Arial"/>
          <w:sz w:val="19"/>
          <w:szCs w:val="19"/>
          <w:color w:val="131313"/>
        </w:rPr>
        <w:t xml:space="preserve"> by </w:t>
      </w:r>
      <w:r>
        <w:rPr>
          <w:rFonts w:ascii="Arial" w:cs="Arial" w:eastAsia="Arial" w:hAnsi="Arial"/>
          <w:sz w:val="19"/>
          <w:szCs w:val="19"/>
          <w:color w:val="000000"/>
        </w:rPr>
        <w:t>proper foundations, without any claim for damages or</w:t>
      </w:r>
      <w:r>
        <w:rPr>
          <w:rFonts w:ascii="Arial" w:cs="Arial" w:eastAsia="Arial" w:hAnsi="Arial"/>
          <w:sz w:val="19"/>
          <w:szCs w:val="19"/>
          <w:color w:val="131313"/>
        </w:rPr>
        <w:t xml:space="preserve"> liability </w:t>
      </w:r>
      <w:r>
        <w:rPr>
          <w:rFonts w:ascii="Arial" w:cs="Arial" w:eastAsia="Arial" w:hAnsi="Arial"/>
          <w:sz w:val="19"/>
          <w:szCs w:val="19"/>
          <w:color w:val="000000"/>
        </w:rPr>
        <w:t xml:space="preserve">against Landlord and without reducing or </w:t>
      </w:r>
      <w:r>
        <w:rPr>
          <w:rFonts w:ascii="Arial" w:cs="Arial" w:eastAsia="Arial" w:hAnsi="Arial"/>
          <w:sz w:val="19"/>
          <w:szCs w:val="19"/>
          <w:color w:val="131313"/>
        </w:rPr>
        <w:t>otherwise</w:t>
      </w:r>
      <w:r>
        <w:rPr>
          <w:rFonts w:ascii="Arial" w:cs="Arial" w:eastAsia="Arial" w:hAnsi="Arial"/>
          <w:sz w:val="19"/>
          <w:szCs w:val="19"/>
          <w:color w:val="000000"/>
        </w:rPr>
        <w:t xml:space="preserve"> affecting </w:t>
      </w:r>
      <w:r>
        <w:rPr>
          <w:rFonts w:ascii="Arial" w:cs="Arial" w:eastAsia="Arial" w:hAnsi="Arial"/>
          <w:sz w:val="19"/>
          <w:szCs w:val="19"/>
          <w:color w:val="131313"/>
        </w:rPr>
        <w:t>Tenant’s obligations under this</w:t>
      </w:r>
      <w:r>
        <w:rPr>
          <w:rFonts w:ascii="Arial" w:cs="Arial" w:eastAsia="Arial" w:hAnsi="Arial"/>
          <w:sz w:val="19"/>
          <w:szCs w:val="19"/>
          <w:color w:val="000000"/>
        </w:rPr>
        <w:t xml:space="preserve"> Lease, </w:t>
      </w:r>
      <w:r>
        <w:rPr>
          <w:rFonts w:ascii="Arial" w:cs="Arial" w:eastAsia="Arial" w:hAnsi="Arial"/>
          <w:sz w:val="19"/>
          <w:szCs w:val="19"/>
          <w:color w:val="131313"/>
        </w:rPr>
        <w:t>pro</w:t>
      </w:r>
      <w:r>
        <w:rPr>
          <w:rFonts w:ascii="Arial" w:cs="Arial" w:eastAsia="Arial" w:hAnsi="Arial"/>
          <w:sz w:val="19"/>
          <w:szCs w:val="19"/>
          <w:color w:val="3F3F3F"/>
        </w:rPr>
        <w:t>v</w:t>
      </w:r>
      <w:r>
        <w:rPr>
          <w:rFonts w:ascii="Arial" w:cs="Arial" w:eastAsia="Arial" w:hAnsi="Arial"/>
          <w:sz w:val="19"/>
          <w:szCs w:val="19"/>
          <w:color w:val="131313"/>
        </w:rPr>
        <w:t>ided</w:t>
      </w:r>
      <w:r>
        <w:rPr>
          <w:rFonts w:ascii="Arial" w:cs="Arial" w:eastAsia="Arial" w:hAnsi="Arial"/>
          <w:sz w:val="19"/>
          <w:szCs w:val="19"/>
          <w:color w:val="000000"/>
        </w:rPr>
        <w:t xml:space="preserve"> </w:t>
      </w:r>
      <w:r>
        <w:rPr>
          <w:rFonts w:ascii="Arial" w:cs="Arial" w:eastAsia="Arial" w:hAnsi="Arial"/>
          <w:sz w:val="19"/>
          <w:szCs w:val="19"/>
          <w:color w:val="131313"/>
        </w:rPr>
        <w:t>Tenant</w:t>
      </w:r>
      <w:r>
        <w:rPr>
          <w:rFonts w:ascii="Arial" w:cs="Arial" w:eastAsia="Arial" w:hAnsi="Arial"/>
          <w:sz w:val="19"/>
          <w:szCs w:val="19"/>
          <w:color w:val="3F3F3F"/>
        </w:rPr>
        <w:t>’s</w:t>
      </w:r>
      <w:r>
        <w:rPr>
          <w:rFonts w:ascii="Arial" w:cs="Arial" w:eastAsia="Arial" w:hAnsi="Arial"/>
          <w:sz w:val="19"/>
          <w:szCs w:val="19"/>
          <w:color w:val="131313"/>
        </w:rPr>
        <w:t xml:space="preserve"> </w:t>
      </w:r>
      <w:r>
        <w:rPr>
          <w:rFonts w:ascii="Arial" w:cs="Arial" w:eastAsia="Arial" w:hAnsi="Arial"/>
          <w:sz w:val="19"/>
          <w:szCs w:val="19"/>
          <w:color w:val="000000"/>
        </w:rPr>
        <w:t>use</w:t>
      </w:r>
      <w:r>
        <w:rPr>
          <w:rFonts w:ascii="Arial" w:cs="Arial" w:eastAsia="Arial" w:hAnsi="Arial"/>
          <w:sz w:val="19"/>
          <w:szCs w:val="19"/>
          <w:color w:val="131313"/>
        </w:rPr>
        <w:t xml:space="preserve"> o</w:t>
      </w:r>
      <w:r>
        <w:rPr>
          <w:rFonts w:ascii="Arial" w:cs="Arial" w:eastAsia="Arial" w:hAnsi="Arial"/>
          <w:sz w:val="19"/>
          <w:szCs w:val="19"/>
          <w:color w:val="3F3F3F"/>
        </w:rPr>
        <w:t>f</w:t>
      </w:r>
      <w:r>
        <w:rPr>
          <w:rFonts w:ascii="Arial" w:cs="Arial" w:eastAsia="Arial" w:hAnsi="Arial"/>
          <w:sz w:val="19"/>
          <w:szCs w:val="19"/>
          <w:color w:val="131313"/>
        </w:rPr>
        <w:t xml:space="preserve"> the Premises </w:t>
      </w:r>
      <w:r>
        <w:rPr>
          <w:rFonts w:ascii="Arial" w:cs="Arial" w:eastAsia="Arial" w:hAnsi="Arial"/>
          <w:sz w:val="19"/>
          <w:szCs w:val="19"/>
          <w:color w:val="000000"/>
        </w:rPr>
        <w:t>will</w:t>
      </w:r>
      <w:r>
        <w:rPr>
          <w:rFonts w:ascii="Arial" w:cs="Arial" w:eastAsia="Arial" w:hAnsi="Arial"/>
          <w:sz w:val="19"/>
          <w:szCs w:val="19"/>
          <w:color w:val="131313"/>
        </w:rPr>
        <w:t xml:space="preserve"> not be </w:t>
      </w:r>
      <w:r>
        <w:rPr>
          <w:rFonts w:ascii="Arial" w:cs="Arial" w:eastAsia="Arial" w:hAnsi="Arial"/>
          <w:sz w:val="19"/>
          <w:szCs w:val="19"/>
          <w:color w:val="000000"/>
        </w:rPr>
        <w:t>materially and adversely interfered with</w:t>
      </w:r>
      <w:r>
        <w:rPr>
          <w:rFonts w:ascii="Arial" w:cs="Arial" w:eastAsia="Arial" w:hAnsi="Arial"/>
          <w:sz w:val="19"/>
          <w:szCs w:val="19"/>
          <w:color w:val="131313"/>
        </w:rPr>
        <w:t xml:space="preserve"> in </w:t>
      </w:r>
      <w:r>
        <w:rPr>
          <w:rFonts w:ascii="Arial" w:cs="Arial" w:eastAsia="Arial" w:hAnsi="Arial"/>
          <w:sz w:val="19"/>
          <w:szCs w:val="19"/>
          <w:color w:val="000000"/>
        </w:rPr>
        <w:t>connection</w:t>
      </w:r>
      <w:r>
        <w:rPr>
          <w:rFonts w:ascii="Arial" w:cs="Arial" w:eastAsia="Arial" w:hAnsi="Arial"/>
          <w:sz w:val="19"/>
          <w:szCs w:val="19"/>
          <w:color w:val="131313"/>
        </w:rPr>
        <w:t xml:space="preserve"> therewith.</w:t>
      </w:r>
    </w:p>
    <w:p>
      <w:pPr>
        <w:spacing w:after="0" w:line="152"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18.5</w:t>
      </w:r>
      <w:r>
        <w:rPr>
          <w:rFonts w:ascii="Arial" w:cs="Arial" w:eastAsia="Arial" w:hAnsi="Arial"/>
          <w:sz w:val="22"/>
          <w:szCs w:val="22"/>
          <w:color w:val="3F3F3F"/>
        </w:rPr>
        <w:tab/>
        <w:t>T</w:t>
      </w:r>
      <w:r>
        <w:rPr>
          <w:rFonts w:ascii="Arial" w:cs="Arial" w:eastAsia="Arial" w:hAnsi="Arial"/>
          <w:sz w:val="22"/>
          <w:szCs w:val="22"/>
          <w:color w:val="131313"/>
        </w:rPr>
        <w:t>his Article relates to repa</w:t>
      </w:r>
      <w:r>
        <w:rPr>
          <w:rFonts w:ascii="Arial" w:cs="Arial" w:eastAsia="Arial" w:hAnsi="Arial"/>
          <w:sz w:val="22"/>
          <w:szCs w:val="22"/>
          <w:color w:val="3F3F3F"/>
        </w:rPr>
        <w:t xml:space="preserve">irs </w:t>
      </w:r>
      <w:r>
        <w:rPr>
          <w:rFonts w:ascii="Arial" w:cs="Arial" w:eastAsia="Arial" w:hAnsi="Arial"/>
          <w:sz w:val="22"/>
          <w:szCs w:val="22"/>
          <w:color w:val="000000"/>
        </w:rPr>
        <w:t>and</w:t>
      </w:r>
      <w:r>
        <w:rPr>
          <w:rFonts w:ascii="Arial" w:cs="Arial" w:eastAsia="Arial" w:hAnsi="Arial"/>
          <w:sz w:val="22"/>
          <w:szCs w:val="22"/>
          <w:color w:val="3F3F3F"/>
        </w:rPr>
        <w:t xml:space="preserve"> </w:t>
      </w:r>
      <w:r>
        <w:rPr>
          <w:rFonts w:ascii="Arial" w:cs="Arial" w:eastAsia="Arial" w:hAnsi="Arial"/>
          <w:sz w:val="22"/>
          <w:szCs w:val="22"/>
          <w:color w:val="131313"/>
        </w:rPr>
        <w:t>maintenance</w:t>
      </w:r>
      <w:r>
        <w:rPr>
          <w:rFonts w:ascii="Arial" w:cs="Arial" w:eastAsia="Arial" w:hAnsi="Arial"/>
          <w:sz w:val="22"/>
          <w:szCs w:val="22"/>
          <w:color w:val="3F3F3F"/>
        </w:rPr>
        <w:t xml:space="preserve"> </w:t>
      </w:r>
      <w:r>
        <w:rPr>
          <w:rFonts w:ascii="Arial" w:cs="Arial" w:eastAsia="Arial" w:hAnsi="Arial"/>
          <w:sz w:val="22"/>
          <w:szCs w:val="22"/>
          <w:color w:val="000000"/>
        </w:rPr>
        <w:t>arising</w:t>
      </w:r>
      <w:r>
        <w:rPr>
          <w:rFonts w:ascii="Arial" w:cs="Arial" w:eastAsia="Arial" w:hAnsi="Arial"/>
          <w:sz w:val="22"/>
          <w:szCs w:val="22"/>
          <w:color w:val="3F3F3F"/>
        </w:rPr>
        <w:t xml:space="preserve"> </w:t>
      </w:r>
      <w:r>
        <w:rPr>
          <w:rFonts w:ascii="Arial" w:cs="Arial" w:eastAsia="Arial" w:hAnsi="Arial"/>
          <w:sz w:val="22"/>
          <w:szCs w:val="22"/>
          <w:color w:val="131313"/>
        </w:rPr>
        <w:t>in the</w:t>
      </w:r>
      <w:r>
        <w:rPr>
          <w:rFonts w:ascii="Arial" w:cs="Arial" w:eastAsia="Arial" w:hAnsi="Arial"/>
          <w:sz w:val="22"/>
          <w:szCs w:val="22"/>
          <w:color w:val="3F3F3F"/>
        </w:rPr>
        <w:t xml:space="preserve"> </w:t>
      </w:r>
      <w:r>
        <w:rPr>
          <w:rFonts w:ascii="Arial" w:cs="Arial" w:eastAsia="Arial" w:hAnsi="Arial"/>
          <w:sz w:val="22"/>
          <w:szCs w:val="22"/>
          <w:color w:val="000000"/>
        </w:rPr>
        <w:t>ordinary course of operation of</w:t>
      </w:r>
      <w:r>
        <w:rPr>
          <w:rFonts w:ascii="Arial" w:cs="Arial" w:eastAsia="Arial" w:hAnsi="Arial"/>
          <w:sz w:val="22"/>
          <w:szCs w:val="22"/>
          <w:color w:val="3F3F3F"/>
        </w:rPr>
        <w:t xml:space="preserve"> </w:t>
      </w:r>
      <w:r>
        <w:rPr>
          <w:rFonts w:ascii="Arial" w:cs="Arial" w:eastAsia="Arial" w:hAnsi="Arial"/>
          <w:sz w:val="22"/>
          <w:szCs w:val="22"/>
          <w:color w:val="131313"/>
        </w:rPr>
        <w:t>the Building and</w:t>
      </w:r>
      <w:r>
        <w:rPr>
          <w:rFonts w:ascii="Arial" w:cs="Arial" w:eastAsia="Arial" w:hAnsi="Arial"/>
          <w:sz w:val="22"/>
          <w:szCs w:val="22"/>
          <w:color w:val="3F3F3F"/>
        </w:rPr>
        <w:t xml:space="preserve"> </w:t>
      </w:r>
      <w:r>
        <w:rPr>
          <w:rFonts w:ascii="Arial" w:cs="Arial" w:eastAsia="Arial" w:hAnsi="Arial"/>
          <w:sz w:val="22"/>
          <w:szCs w:val="22"/>
          <w:color w:val="000000"/>
        </w:rPr>
        <w:t>the</w:t>
      </w:r>
      <w:r>
        <w:rPr>
          <w:rFonts w:ascii="Arial" w:cs="Arial" w:eastAsia="Arial" w:hAnsi="Arial"/>
          <w:sz w:val="22"/>
          <w:szCs w:val="22"/>
          <w:color w:val="3F3F3F"/>
        </w:rPr>
        <w:t xml:space="preserve"> </w:t>
      </w:r>
      <w:r>
        <w:rPr>
          <w:rFonts w:ascii="Arial" w:cs="Arial" w:eastAsia="Arial" w:hAnsi="Arial"/>
          <w:sz w:val="22"/>
          <w:szCs w:val="22"/>
          <w:color w:val="131313"/>
        </w:rPr>
        <w:t xml:space="preserve">Project. </w:t>
      </w:r>
      <w:r>
        <w:rPr>
          <w:rFonts w:ascii="Arial" w:cs="Arial" w:eastAsia="Arial" w:hAnsi="Arial"/>
          <w:sz w:val="22"/>
          <w:szCs w:val="22"/>
          <w:color w:val="000000"/>
        </w:rPr>
        <w:t>In the event of a casualty described in</w:t>
      </w:r>
      <w:r>
        <w:rPr>
          <w:rFonts w:ascii="Arial" w:cs="Arial" w:eastAsia="Arial" w:hAnsi="Arial"/>
          <w:sz w:val="22"/>
          <w:szCs w:val="22"/>
          <w:color w:val="131313"/>
        </w:rPr>
        <w:t xml:space="preserve"> </w:t>
      </w:r>
      <w:r>
        <w:rPr>
          <w:rFonts w:ascii="Arial" w:cs="Arial" w:eastAsia="Arial" w:hAnsi="Arial"/>
          <w:sz w:val="22"/>
          <w:szCs w:val="22"/>
          <w:u w:val="single" w:color="auto"/>
          <w:color w:val="000000"/>
        </w:rPr>
        <w:t>Article</w:t>
      </w:r>
      <w:r>
        <w:rPr>
          <w:rFonts w:ascii="Arial" w:cs="Arial" w:eastAsia="Arial" w:hAnsi="Arial"/>
          <w:sz w:val="22"/>
          <w:szCs w:val="22"/>
          <w:color w:val="131313"/>
        </w:rPr>
        <w:t xml:space="preserve"> </w:t>
      </w:r>
      <w:r>
        <w:rPr>
          <w:rFonts w:ascii="Arial" w:cs="Arial" w:eastAsia="Arial" w:hAnsi="Arial"/>
          <w:sz w:val="22"/>
          <w:szCs w:val="22"/>
          <w:u w:val="single" w:color="auto"/>
          <w:color w:val="131313"/>
        </w:rPr>
        <w:t>24</w:t>
      </w:r>
      <w:r>
        <w:rPr>
          <w:rFonts w:ascii="Arial" w:cs="Arial" w:eastAsia="Arial" w:hAnsi="Arial"/>
          <w:sz w:val="22"/>
          <w:szCs w:val="22"/>
          <w:color w:val="131313"/>
        </w:rPr>
        <w:t xml:space="preserve">, </w:t>
      </w:r>
      <w:r>
        <w:rPr>
          <w:rFonts w:ascii="Arial" w:cs="Arial" w:eastAsia="Arial" w:hAnsi="Arial"/>
          <w:sz w:val="22"/>
          <w:szCs w:val="22"/>
          <w:u w:val="single" w:color="auto"/>
          <w:color w:val="000000"/>
        </w:rPr>
        <w:t>Article 24</w:t>
      </w:r>
      <w:r>
        <w:rPr>
          <w:rFonts w:ascii="Arial" w:cs="Arial" w:eastAsia="Arial" w:hAnsi="Arial"/>
          <w:sz w:val="22"/>
          <w:szCs w:val="22"/>
          <w:color w:val="131313"/>
        </w:rPr>
        <w:t xml:space="preserve"> </w:t>
      </w:r>
      <w:r>
        <w:rPr>
          <w:rFonts w:ascii="Arial" w:cs="Arial" w:eastAsia="Arial" w:hAnsi="Arial"/>
          <w:sz w:val="22"/>
          <w:szCs w:val="22"/>
          <w:color w:val="3F3F3F"/>
        </w:rPr>
        <w:t>s</w:t>
      </w:r>
      <w:r>
        <w:rPr>
          <w:rFonts w:ascii="Arial" w:cs="Arial" w:eastAsia="Arial" w:hAnsi="Arial"/>
          <w:sz w:val="22"/>
          <w:szCs w:val="22"/>
          <w:color w:val="131313"/>
        </w:rPr>
        <w:t xml:space="preserve">hall </w:t>
      </w:r>
      <w:r>
        <w:rPr>
          <w:rFonts w:ascii="Arial" w:cs="Arial" w:eastAsia="Arial" w:hAnsi="Arial"/>
          <w:sz w:val="22"/>
          <w:szCs w:val="22"/>
          <w:color w:val="000000"/>
        </w:rPr>
        <w:t>apply</w:t>
      </w:r>
      <w:r>
        <w:rPr>
          <w:rFonts w:ascii="Arial" w:cs="Arial" w:eastAsia="Arial" w:hAnsi="Arial"/>
          <w:sz w:val="22"/>
          <w:szCs w:val="22"/>
          <w:color w:val="131313"/>
        </w:rPr>
        <w:t xml:space="preserve"> in l</w:t>
      </w:r>
      <w:r>
        <w:rPr>
          <w:rFonts w:ascii="Arial" w:cs="Arial" w:eastAsia="Arial" w:hAnsi="Arial"/>
          <w:sz w:val="22"/>
          <w:szCs w:val="22"/>
          <w:color w:val="3F3F3F"/>
        </w:rPr>
        <w:t>ieu</w:t>
      </w:r>
      <w:r>
        <w:rPr>
          <w:rFonts w:ascii="Arial" w:cs="Arial" w:eastAsia="Arial" w:hAnsi="Arial"/>
          <w:sz w:val="22"/>
          <w:szCs w:val="22"/>
          <w:color w:val="131313"/>
        </w:rPr>
        <w:t xml:space="preserve"> </w:t>
      </w:r>
      <w:r>
        <w:rPr>
          <w:rFonts w:ascii="Arial" w:cs="Arial" w:eastAsia="Arial" w:hAnsi="Arial"/>
          <w:sz w:val="22"/>
          <w:szCs w:val="22"/>
          <w:color w:val="000000"/>
        </w:rPr>
        <w:t>of</w:t>
      </w:r>
      <w:r>
        <w:rPr>
          <w:rFonts w:ascii="Arial" w:cs="Arial" w:eastAsia="Arial" w:hAnsi="Arial"/>
          <w:sz w:val="22"/>
          <w:szCs w:val="22"/>
          <w:color w:val="131313"/>
        </w:rPr>
        <w:t xml:space="preserve"> this Article</w:t>
      </w:r>
      <w:r>
        <w:rPr>
          <w:rFonts w:ascii="Arial" w:cs="Arial" w:eastAsia="Arial" w:hAnsi="Arial"/>
          <w:sz w:val="22"/>
          <w:szCs w:val="22"/>
          <w:color w:val="3F3F3F"/>
        </w:rPr>
        <w:t>.</w:t>
      </w:r>
      <w:r>
        <w:rPr>
          <w:rFonts w:ascii="Arial" w:cs="Arial" w:eastAsia="Arial" w:hAnsi="Arial"/>
          <w:sz w:val="22"/>
          <w:szCs w:val="22"/>
          <w:color w:val="131313"/>
        </w:rPr>
        <w:t xml:space="preserve"> </w:t>
      </w:r>
      <w:r>
        <w:rPr>
          <w:rFonts w:ascii="Arial" w:cs="Arial" w:eastAsia="Arial" w:hAnsi="Arial"/>
          <w:sz w:val="22"/>
          <w:szCs w:val="22"/>
          <w:color w:val="000000"/>
        </w:rPr>
        <w:t>In the event</w:t>
      </w:r>
      <w:r>
        <w:rPr>
          <w:rFonts w:ascii="Arial" w:cs="Arial" w:eastAsia="Arial" w:hAnsi="Arial"/>
          <w:sz w:val="22"/>
          <w:szCs w:val="22"/>
          <w:color w:val="131313"/>
        </w:rPr>
        <w:t xml:space="preserve"> </w:t>
      </w:r>
      <w:r>
        <w:rPr>
          <w:rFonts w:ascii="Arial" w:cs="Arial" w:eastAsia="Arial" w:hAnsi="Arial"/>
          <w:sz w:val="22"/>
          <w:szCs w:val="22"/>
          <w:color w:val="000000"/>
        </w:rPr>
        <w:t xml:space="preserve">of eminent </w:t>
      </w:r>
      <w:r>
        <w:rPr>
          <w:rFonts w:ascii="Arial" w:cs="Arial" w:eastAsia="Arial" w:hAnsi="Arial"/>
          <w:sz w:val="22"/>
          <w:szCs w:val="22"/>
          <w:color w:val="131313"/>
        </w:rPr>
        <w:t>domain</w:t>
      </w:r>
      <w:r>
        <w:rPr>
          <w:rFonts w:ascii="Arial" w:cs="Arial" w:eastAsia="Arial" w:hAnsi="Arial"/>
          <w:sz w:val="22"/>
          <w:szCs w:val="22"/>
          <w:color w:val="3F3F3F"/>
        </w:rPr>
        <w:t>,</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Article 25</w:t>
      </w:r>
      <w:r>
        <w:rPr>
          <w:rFonts w:ascii="Arial" w:cs="Arial" w:eastAsia="Arial" w:hAnsi="Arial"/>
          <w:sz w:val="22"/>
          <w:szCs w:val="22"/>
          <w:color w:val="000000"/>
        </w:rPr>
        <w:t xml:space="preserve"> shall apply in </w:t>
      </w:r>
      <w:r>
        <w:rPr>
          <w:rFonts w:ascii="Arial" w:cs="Arial" w:eastAsia="Arial" w:hAnsi="Arial"/>
          <w:sz w:val="22"/>
          <w:szCs w:val="22"/>
          <w:color w:val="3F3F3F"/>
        </w:rPr>
        <w:t>l</w:t>
      </w:r>
      <w:r>
        <w:rPr>
          <w:rFonts w:ascii="Arial" w:cs="Arial" w:eastAsia="Arial" w:hAnsi="Arial"/>
          <w:sz w:val="22"/>
          <w:szCs w:val="22"/>
          <w:color w:val="131313"/>
        </w:rPr>
        <w:t>ieu</w:t>
      </w:r>
      <w:r>
        <w:rPr>
          <w:rFonts w:ascii="Arial" w:cs="Arial" w:eastAsia="Arial" w:hAnsi="Arial"/>
          <w:sz w:val="22"/>
          <w:szCs w:val="22"/>
          <w:color w:val="000000"/>
        </w:rPr>
        <w:t xml:space="preserve"> of </w:t>
      </w:r>
      <w:r>
        <w:rPr>
          <w:rFonts w:ascii="Arial" w:cs="Arial" w:eastAsia="Arial" w:hAnsi="Arial"/>
          <w:sz w:val="22"/>
          <w:szCs w:val="22"/>
          <w:color w:val="131313"/>
        </w:rPr>
        <w:t>this</w:t>
      </w:r>
      <w:r>
        <w:rPr>
          <w:rFonts w:ascii="Arial" w:cs="Arial" w:eastAsia="Arial" w:hAnsi="Arial"/>
          <w:sz w:val="22"/>
          <w:szCs w:val="22"/>
          <w:color w:val="000000"/>
        </w:rPr>
        <w:t xml:space="preserve"> Article.</w:t>
      </w:r>
    </w:p>
    <w:p>
      <w:pPr>
        <w:spacing w:after="0" w:line="159"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 xml:space="preserve">Costs </w:t>
      </w:r>
      <w:r>
        <w:rPr>
          <w:rFonts w:ascii="Arial" w:cs="Arial" w:eastAsia="Arial" w:hAnsi="Arial"/>
          <w:sz w:val="19"/>
          <w:szCs w:val="19"/>
          <w:color w:val="131313"/>
        </w:rPr>
        <w:t>incurred by</w:t>
      </w:r>
      <w:r>
        <w:rPr>
          <w:rFonts w:ascii="Arial" w:cs="Arial" w:eastAsia="Arial" w:hAnsi="Arial"/>
          <w:sz w:val="19"/>
          <w:szCs w:val="19"/>
          <w:color w:val="auto"/>
        </w:rPr>
        <w:t xml:space="preserve"> Landlord </w:t>
      </w:r>
      <w:r>
        <w:rPr>
          <w:rFonts w:ascii="Arial" w:cs="Arial" w:eastAsia="Arial" w:hAnsi="Arial"/>
          <w:sz w:val="19"/>
          <w:szCs w:val="19"/>
          <w:color w:val="131313"/>
        </w:rPr>
        <w:t>pursuant to</w:t>
      </w:r>
      <w:r>
        <w:rPr>
          <w:rFonts w:ascii="Arial" w:cs="Arial" w:eastAsia="Arial" w:hAnsi="Arial"/>
          <w:sz w:val="19"/>
          <w:szCs w:val="19"/>
          <w:color w:val="auto"/>
        </w:rPr>
        <w:t xml:space="preserve"> this Article </w:t>
      </w:r>
      <w:r>
        <w:rPr>
          <w:rFonts w:ascii="Arial" w:cs="Arial" w:eastAsia="Arial" w:hAnsi="Arial"/>
          <w:sz w:val="19"/>
          <w:szCs w:val="19"/>
          <w:color w:val="3F3F3F"/>
        </w:rPr>
        <w:t>shall</w:t>
      </w:r>
      <w:r>
        <w:rPr>
          <w:rFonts w:ascii="Arial" w:cs="Arial" w:eastAsia="Arial" w:hAnsi="Arial"/>
          <w:sz w:val="19"/>
          <w:szCs w:val="19"/>
          <w:color w:val="auto"/>
        </w:rPr>
        <w:t xml:space="preserve"> constitute Operating Expenses, unless such costs are incurred </w:t>
      </w:r>
      <w:r>
        <w:rPr>
          <w:rFonts w:ascii="Arial" w:cs="Arial" w:eastAsia="Arial" w:hAnsi="Arial"/>
          <w:sz w:val="19"/>
          <w:szCs w:val="19"/>
          <w:color w:val="131313"/>
        </w:rPr>
        <w:t>due</w:t>
      </w:r>
      <w:r>
        <w:rPr>
          <w:rFonts w:ascii="Arial" w:cs="Arial" w:eastAsia="Arial" w:hAnsi="Arial"/>
          <w:sz w:val="19"/>
          <w:szCs w:val="19"/>
          <w:color w:val="auto"/>
        </w:rPr>
        <w:t xml:space="preserve"> </w:t>
      </w:r>
      <w:r>
        <w:rPr>
          <w:rFonts w:ascii="Arial" w:cs="Arial" w:eastAsia="Arial" w:hAnsi="Arial"/>
          <w:sz w:val="19"/>
          <w:szCs w:val="19"/>
          <w:color w:val="3F3F3F"/>
        </w:rPr>
        <w:t>in</w:t>
      </w:r>
      <w:r>
        <w:rPr>
          <w:rFonts w:ascii="Arial" w:cs="Arial" w:eastAsia="Arial" w:hAnsi="Arial"/>
          <w:sz w:val="19"/>
          <w:szCs w:val="19"/>
          <w:color w:val="auto"/>
        </w:rPr>
        <w:t xml:space="preserve"> whole or </w:t>
      </w:r>
      <w:r>
        <w:rPr>
          <w:rFonts w:ascii="Arial" w:cs="Arial" w:eastAsia="Arial" w:hAnsi="Arial"/>
          <w:sz w:val="19"/>
          <w:szCs w:val="19"/>
          <w:color w:val="3F3F3F"/>
        </w:rPr>
        <w:t>i</w:t>
      </w:r>
      <w:r>
        <w:rPr>
          <w:rFonts w:ascii="Arial" w:cs="Arial" w:eastAsia="Arial" w:hAnsi="Arial"/>
          <w:sz w:val="19"/>
          <w:szCs w:val="19"/>
          <w:color w:val="131313"/>
        </w:rPr>
        <w:t>n part to</w:t>
      </w:r>
      <w:r>
        <w:rPr>
          <w:rFonts w:ascii="Arial" w:cs="Arial" w:eastAsia="Arial" w:hAnsi="Arial"/>
          <w:sz w:val="19"/>
          <w:szCs w:val="19"/>
          <w:color w:val="auto"/>
        </w:rPr>
        <w:t xml:space="preserve"> any act, neglect, fault or </w:t>
      </w:r>
      <w:r>
        <w:rPr>
          <w:rFonts w:ascii="Arial" w:cs="Arial" w:eastAsia="Arial" w:hAnsi="Arial"/>
          <w:sz w:val="19"/>
          <w:szCs w:val="19"/>
          <w:color w:val="131313"/>
        </w:rPr>
        <w:t>omissions</w:t>
      </w:r>
      <w:r>
        <w:rPr>
          <w:rFonts w:ascii="Arial" w:cs="Arial" w:eastAsia="Arial" w:hAnsi="Arial"/>
          <w:sz w:val="19"/>
          <w:szCs w:val="19"/>
          <w:color w:val="auto"/>
        </w:rPr>
        <w:t xml:space="preserve"> of </w:t>
      </w:r>
      <w:r>
        <w:rPr>
          <w:rFonts w:ascii="Arial" w:cs="Arial" w:eastAsia="Arial" w:hAnsi="Arial"/>
          <w:sz w:val="19"/>
          <w:szCs w:val="19"/>
          <w:color w:val="131313"/>
        </w:rPr>
        <w:t>Tenant</w:t>
      </w:r>
      <w:r>
        <w:rPr>
          <w:rFonts w:ascii="Arial" w:cs="Arial" w:eastAsia="Arial" w:hAnsi="Arial"/>
          <w:sz w:val="19"/>
          <w:szCs w:val="19"/>
          <w:color w:val="auto"/>
        </w:rPr>
        <w:t xml:space="preserve"> or </w:t>
      </w:r>
      <w:r>
        <w:rPr>
          <w:rFonts w:ascii="Arial" w:cs="Arial" w:eastAsia="Arial" w:hAnsi="Arial"/>
          <w:sz w:val="19"/>
          <w:szCs w:val="19"/>
          <w:color w:val="131313"/>
        </w:rPr>
        <w:t>i</w:t>
      </w:r>
      <w:r>
        <w:rPr>
          <w:rFonts w:ascii="Arial" w:cs="Arial" w:eastAsia="Arial" w:hAnsi="Arial"/>
          <w:sz w:val="19"/>
          <w:szCs w:val="19"/>
          <w:color w:val="3F3F3F"/>
        </w:rPr>
        <w:t>ts</w:t>
      </w:r>
      <w:r>
        <w:rPr>
          <w:rFonts w:ascii="Arial" w:cs="Arial" w:eastAsia="Arial" w:hAnsi="Arial"/>
          <w:sz w:val="19"/>
          <w:szCs w:val="19"/>
          <w:color w:val="auto"/>
        </w:rPr>
        <w:t xml:space="preserve"> employees, </w:t>
      </w:r>
      <w:r>
        <w:rPr>
          <w:rFonts w:ascii="Arial" w:cs="Arial" w:eastAsia="Arial" w:hAnsi="Arial"/>
          <w:sz w:val="19"/>
          <w:szCs w:val="19"/>
          <w:color w:val="131313"/>
        </w:rPr>
        <w:t>agent</w:t>
      </w:r>
      <w:r>
        <w:rPr>
          <w:rFonts w:ascii="Arial" w:cs="Arial" w:eastAsia="Arial" w:hAnsi="Arial"/>
          <w:sz w:val="19"/>
          <w:szCs w:val="19"/>
          <w:color w:val="3F3F3F"/>
        </w:rPr>
        <w:t>s,</w:t>
      </w:r>
      <w:r>
        <w:rPr>
          <w:rFonts w:ascii="Arial" w:cs="Arial" w:eastAsia="Arial" w:hAnsi="Arial"/>
          <w:sz w:val="19"/>
          <w:szCs w:val="19"/>
          <w:color w:val="auto"/>
        </w:rPr>
        <w:t xml:space="preserve"> contractors or </w:t>
      </w:r>
      <w:r>
        <w:rPr>
          <w:rFonts w:ascii="Arial" w:cs="Arial" w:eastAsia="Arial" w:hAnsi="Arial"/>
          <w:sz w:val="19"/>
          <w:szCs w:val="19"/>
          <w:color w:val="3F3F3F"/>
        </w:rPr>
        <w:t>i</w:t>
      </w:r>
      <w:r>
        <w:rPr>
          <w:rFonts w:ascii="Arial" w:cs="Arial" w:eastAsia="Arial" w:hAnsi="Arial"/>
          <w:sz w:val="19"/>
          <w:szCs w:val="19"/>
          <w:color w:val="131313"/>
        </w:rPr>
        <w:t>nvitees</w:t>
      </w:r>
      <w:r>
        <w:rPr>
          <w:rFonts w:ascii="Arial" w:cs="Arial" w:eastAsia="Arial" w:hAnsi="Arial"/>
          <w:sz w:val="19"/>
          <w:szCs w:val="19"/>
          <w:color w:val="3F3F3F"/>
        </w:rPr>
        <w:t>,</w:t>
      </w:r>
      <w:r>
        <w:rPr>
          <w:rFonts w:ascii="Arial" w:cs="Arial" w:eastAsia="Arial" w:hAnsi="Arial"/>
          <w:sz w:val="19"/>
          <w:szCs w:val="19"/>
          <w:color w:val="auto"/>
        </w:rPr>
        <w:t xml:space="preserve"> </w:t>
      </w:r>
      <w:r>
        <w:rPr>
          <w:rFonts w:ascii="Arial" w:cs="Arial" w:eastAsia="Arial" w:hAnsi="Arial"/>
          <w:sz w:val="19"/>
          <w:szCs w:val="19"/>
          <w:color w:val="131313"/>
        </w:rPr>
        <w:t>in</w:t>
      </w:r>
      <w:r>
        <w:rPr>
          <w:rFonts w:ascii="Arial" w:cs="Arial" w:eastAsia="Arial" w:hAnsi="Arial"/>
          <w:sz w:val="19"/>
          <w:szCs w:val="19"/>
          <w:color w:val="auto"/>
        </w:rPr>
        <w:t xml:space="preserve"> which case Tenant shall pay </w:t>
      </w:r>
      <w:r>
        <w:rPr>
          <w:rFonts w:ascii="Arial" w:cs="Arial" w:eastAsia="Arial" w:hAnsi="Arial"/>
          <w:sz w:val="19"/>
          <w:szCs w:val="19"/>
          <w:color w:val="3F3F3F"/>
        </w:rPr>
        <w:t>to</w:t>
      </w:r>
      <w:r>
        <w:rPr>
          <w:rFonts w:ascii="Arial" w:cs="Arial" w:eastAsia="Arial" w:hAnsi="Arial"/>
          <w:sz w:val="19"/>
          <w:szCs w:val="19"/>
          <w:color w:val="auto"/>
        </w:rPr>
        <w:t xml:space="preserve"> </w:t>
      </w:r>
      <w:r>
        <w:rPr>
          <w:rFonts w:ascii="Arial" w:cs="Arial" w:eastAsia="Arial" w:hAnsi="Arial"/>
          <w:sz w:val="19"/>
          <w:szCs w:val="19"/>
          <w:color w:val="131313"/>
        </w:rPr>
        <w:t>Land</w:t>
      </w:r>
      <w:r>
        <w:rPr>
          <w:rFonts w:ascii="Arial" w:cs="Arial" w:eastAsia="Arial" w:hAnsi="Arial"/>
          <w:sz w:val="19"/>
          <w:szCs w:val="19"/>
          <w:color w:val="3F3F3F"/>
        </w:rPr>
        <w:t>lo</w:t>
      </w:r>
      <w:r>
        <w:rPr>
          <w:rFonts w:ascii="Arial" w:cs="Arial" w:eastAsia="Arial" w:hAnsi="Arial"/>
          <w:sz w:val="19"/>
          <w:szCs w:val="19"/>
          <w:color w:val="131313"/>
        </w:rPr>
        <w:t>rd the</w:t>
      </w:r>
      <w:r>
        <w:rPr>
          <w:rFonts w:ascii="Arial" w:cs="Arial" w:eastAsia="Arial" w:hAnsi="Arial"/>
          <w:sz w:val="19"/>
          <w:szCs w:val="19"/>
          <w:color w:val="auto"/>
        </w:rPr>
        <w:t xml:space="preserve"> cost of such </w:t>
      </w:r>
      <w:r>
        <w:rPr>
          <w:rFonts w:ascii="Arial" w:cs="Arial" w:eastAsia="Arial" w:hAnsi="Arial"/>
          <w:sz w:val="19"/>
          <w:szCs w:val="19"/>
          <w:color w:val="131313"/>
        </w:rPr>
        <w:t>repairs</w:t>
      </w:r>
      <w:r>
        <w:rPr>
          <w:rFonts w:ascii="Arial" w:cs="Arial" w:eastAsia="Arial" w:hAnsi="Arial"/>
          <w:sz w:val="19"/>
          <w:szCs w:val="19"/>
          <w:color w:val="auto"/>
        </w:rPr>
        <w:t xml:space="preserve"> and maintenance.</w:t>
      </w:r>
    </w:p>
    <w:p>
      <w:pPr>
        <w:spacing w:after="0" w:line="132" w:lineRule="exact"/>
        <w:rPr>
          <w:sz w:val="20"/>
          <w:szCs w:val="20"/>
          <w:color w:val="auto"/>
        </w:rPr>
      </w:pPr>
    </w:p>
    <w:p>
      <w:pPr>
        <w:ind w:left="660" w:hanging="652"/>
        <w:spacing w:after="0"/>
        <w:tabs>
          <w:tab w:leader="none" w:pos="660" w:val="left"/>
        </w:tabs>
        <w:numPr>
          <w:ilvl w:val="0"/>
          <w:numId w:val="293"/>
        </w:numPr>
        <w:rPr>
          <w:rFonts w:ascii="Arial" w:cs="Arial" w:eastAsia="Arial" w:hAnsi="Arial"/>
          <w:sz w:val="22"/>
          <w:szCs w:val="22"/>
          <w:color w:val="auto"/>
        </w:rPr>
      </w:pPr>
      <w:r>
        <w:rPr>
          <w:rFonts w:ascii="Arial" w:cs="Arial" w:eastAsia="Arial" w:hAnsi="Arial"/>
          <w:sz w:val="22"/>
          <w:szCs w:val="22"/>
          <w:u w:val="single" w:color="auto"/>
          <w:color w:val="auto"/>
        </w:rPr>
        <w:t>Liens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26" w:lineRule="auto"/>
        <w:rPr>
          <w:rFonts w:ascii="Arial" w:cs="Arial" w:eastAsia="Arial" w:hAnsi="Arial"/>
          <w:sz w:val="22"/>
          <w:szCs w:val="22"/>
          <w:color w:val="auto"/>
        </w:rPr>
      </w:pPr>
      <w:r>
        <w:rPr>
          <w:rFonts w:ascii="Arial" w:cs="Arial" w:eastAsia="Arial" w:hAnsi="Arial"/>
          <w:sz w:val="21"/>
          <w:szCs w:val="21"/>
          <w:color w:val="auto"/>
        </w:rPr>
        <w:t xml:space="preserve">19.1 </w:t>
      </w:r>
      <w:r>
        <w:rPr>
          <w:rFonts w:ascii="Arial" w:cs="Arial" w:eastAsia="Arial" w:hAnsi="Arial"/>
          <w:sz w:val="21"/>
          <w:szCs w:val="21"/>
          <w:color w:val="3F3F3F"/>
        </w:rPr>
        <w:t>Te</w:t>
      </w:r>
      <w:r>
        <w:rPr>
          <w:rFonts w:ascii="Arial" w:cs="Arial" w:eastAsia="Arial" w:hAnsi="Arial"/>
          <w:sz w:val="21"/>
          <w:szCs w:val="21"/>
          <w:color w:val="131313"/>
        </w:rPr>
        <w:t>nant</w:t>
      </w:r>
      <w:r>
        <w:rPr>
          <w:rFonts w:ascii="Arial" w:cs="Arial" w:eastAsia="Arial" w:hAnsi="Arial"/>
          <w:sz w:val="21"/>
          <w:szCs w:val="21"/>
          <w:color w:val="auto"/>
        </w:rPr>
        <w:t xml:space="preserve"> </w:t>
      </w:r>
      <w:r>
        <w:rPr>
          <w:rFonts w:ascii="Arial" w:cs="Arial" w:eastAsia="Arial" w:hAnsi="Arial"/>
          <w:sz w:val="21"/>
          <w:szCs w:val="21"/>
          <w:color w:val="3F3F3F"/>
        </w:rPr>
        <w:t>s</w:t>
      </w:r>
      <w:r>
        <w:rPr>
          <w:rFonts w:ascii="Arial" w:cs="Arial" w:eastAsia="Arial" w:hAnsi="Arial"/>
          <w:sz w:val="21"/>
          <w:szCs w:val="21"/>
          <w:color w:val="131313"/>
        </w:rPr>
        <w:t>hall keep the</w:t>
      </w:r>
      <w:r>
        <w:rPr>
          <w:rFonts w:ascii="Arial" w:cs="Arial" w:eastAsia="Arial" w:hAnsi="Arial"/>
          <w:sz w:val="21"/>
          <w:szCs w:val="21"/>
          <w:color w:val="auto"/>
        </w:rPr>
        <w:t xml:space="preserve"> Premises, </w:t>
      </w:r>
      <w:r>
        <w:rPr>
          <w:rFonts w:ascii="Arial" w:cs="Arial" w:eastAsia="Arial" w:hAnsi="Arial"/>
          <w:sz w:val="21"/>
          <w:szCs w:val="21"/>
          <w:color w:val="131313"/>
        </w:rPr>
        <w:t>the Building</w:t>
      </w:r>
      <w:r>
        <w:rPr>
          <w:rFonts w:ascii="Arial" w:cs="Arial" w:eastAsia="Arial" w:hAnsi="Arial"/>
          <w:sz w:val="21"/>
          <w:szCs w:val="21"/>
          <w:color w:val="auto"/>
        </w:rPr>
        <w:t xml:space="preserve"> and the </w:t>
      </w:r>
      <w:r>
        <w:rPr>
          <w:rFonts w:ascii="Arial" w:cs="Arial" w:eastAsia="Arial" w:hAnsi="Arial"/>
          <w:sz w:val="21"/>
          <w:szCs w:val="21"/>
          <w:color w:val="131313"/>
        </w:rPr>
        <w:t>P</w:t>
      </w:r>
      <w:r>
        <w:rPr>
          <w:rFonts w:ascii="Arial" w:cs="Arial" w:eastAsia="Arial" w:hAnsi="Arial"/>
          <w:sz w:val="21"/>
          <w:szCs w:val="21"/>
          <w:color w:val="3F3F3F"/>
        </w:rPr>
        <w:t>r</w:t>
      </w:r>
      <w:r>
        <w:rPr>
          <w:rFonts w:ascii="Arial" w:cs="Arial" w:eastAsia="Arial" w:hAnsi="Arial"/>
          <w:sz w:val="21"/>
          <w:szCs w:val="21"/>
          <w:color w:val="131313"/>
        </w:rPr>
        <w:t>ojec</w:t>
      </w:r>
      <w:r>
        <w:rPr>
          <w:rFonts w:ascii="Arial" w:cs="Arial" w:eastAsia="Arial" w:hAnsi="Arial"/>
          <w:sz w:val="21"/>
          <w:szCs w:val="21"/>
          <w:color w:val="3F3F3F"/>
        </w:rPr>
        <w:t>t</w:t>
      </w:r>
      <w:r>
        <w:rPr>
          <w:rFonts w:ascii="Arial" w:cs="Arial" w:eastAsia="Arial" w:hAnsi="Arial"/>
          <w:sz w:val="21"/>
          <w:szCs w:val="21"/>
          <w:color w:val="auto"/>
        </w:rPr>
        <w:t xml:space="preserve"> </w:t>
      </w:r>
      <w:r>
        <w:rPr>
          <w:rFonts w:ascii="Arial" w:cs="Arial" w:eastAsia="Arial" w:hAnsi="Arial"/>
          <w:sz w:val="21"/>
          <w:szCs w:val="21"/>
          <w:color w:val="131313"/>
        </w:rPr>
        <w:t>free</w:t>
      </w:r>
      <w:r>
        <w:rPr>
          <w:rFonts w:ascii="Arial" w:cs="Arial" w:eastAsia="Arial" w:hAnsi="Arial"/>
          <w:sz w:val="21"/>
          <w:szCs w:val="21"/>
          <w:color w:val="auto"/>
        </w:rPr>
        <w:t xml:space="preserve"> from any liens arising </w:t>
      </w:r>
      <w:r>
        <w:rPr>
          <w:rFonts w:ascii="Arial" w:cs="Arial" w:eastAsia="Arial" w:hAnsi="Arial"/>
          <w:sz w:val="21"/>
          <w:szCs w:val="21"/>
          <w:color w:val="131313"/>
        </w:rPr>
        <w:t>out</w:t>
      </w:r>
      <w:r>
        <w:rPr>
          <w:rFonts w:ascii="Arial" w:cs="Arial" w:eastAsia="Arial" w:hAnsi="Arial"/>
          <w:sz w:val="21"/>
          <w:szCs w:val="21"/>
          <w:color w:val="auto"/>
        </w:rPr>
        <w:t xml:space="preserve"> of work performed </w:t>
      </w:r>
      <w:r>
        <w:rPr>
          <w:rFonts w:ascii="Arial" w:cs="Arial" w:eastAsia="Arial" w:hAnsi="Arial"/>
          <w:sz w:val="21"/>
          <w:szCs w:val="21"/>
          <w:color w:val="131313"/>
        </w:rPr>
        <w:t>by,</w:t>
      </w:r>
      <w:r>
        <w:rPr>
          <w:rFonts w:ascii="Arial" w:cs="Arial" w:eastAsia="Arial" w:hAnsi="Arial"/>
          <w:sz w:val="21"/>
          <w:szCs w:val="21"/>
          <w:color w:val="auto"/>
        </w:rPr>
        <w:t xml:space="preserve"> </w:t>
      </w:r>
      <w:r>
        <w:rPr>
          <w:rFonts w:ascii="Arial" w:cs="Arial" w:eastAsia="Arial" w:hAnsi="Arial"/>
          <w:sz w:val="21"/>
          <w:szCs w:val="21"/>
          <w:color w:val="131313"/>
        </w:rPr>
        <w:t>material</w:t>
      </w:r>
      <w:r>
        <w:rPr>
          <w:rFonts w:ascii="Arial" w:cs="Arial" w:eastAsia="Arial" w:hAnsi="Arial"/>
          <w:sz w:val="21"/>
          <w:szCs w:val="21"/>
          <w:color w:val="3F3F3F"/>
        </w:rPr>
        <w:t>s</w:t>
      </w:r>
      <w:r>
        <w:rPr>
          <w:rFonts w:ascii="Arial" w:cs="Arial" w:eastAsia="Arial" w:hAnsi="Arial"/>
          <w:sz w:val="21"/>
          <w:szCs w:val="21"/>
          <w:color w:val="131313"/>
        </w:rPr>
        <w:t xml:space="preserve"> </w:t>
      </w:r>
      <w:r>
        <w:rPr>
          <w:rFonts w:ascii="Arial" w:cs="Arial" w:eastAsia="Arial" w:hAnsi="Arial"/>
          <w:sz w:val="21"/>
          <w:szCs w:val="21"/>
          <w:color w:val="000000"/>
        </w:rPr>
        <w:t>furnished</w:t>
      </w:r>
      <w:r>
        <w:rPr>
          <w:rFonts w:ascii="Arial" w:cs="Arial" w:eastAsia="Arial" w:hAnsi="Arial"/>
          <w:sz w:val="21"/>
          <w:szCs w:val="21"/>
          <w:color w:val="131313"/>
        </w:rPr>
        <w:t xml:space="preserve"> to or </w:t>
      </w:r>
      <w:r>
        <w:rPr>
          <w:rFonts w:ascii="Arial" w:cs="Arial" w:eastAsia="Arial" w:hAnsi="Arial"/>
          <w:sz w:val="21"/>
          <w:szCs w:val="21"/>
          <w:color w:val="000000"/>
        </w:rPr>
        <w:t>obligations</w:t>
      </w:r>
      <w:r>
        <w:rPr>
          <w:rFonts w:ascii="Arial" w:cs="Arial" w:eastAsia="Arial" w:hAnsi="Arial"/>
          <w:sz w:val="21"/>
          <w:szCs w:val="21"/>
          <w:color w:val="131313"/>
        </w:rPr>
        <w:t xml:space="preserve"> incurred by </w:t>
      </w:r>
      <w:r>
        <w:rPr>
          <w:rFonts w:ascii="Arial" w:cs="Arial" w:eastAsia="Arial" w:hAnsi="Arial"/>
          <w:sz w:val="21"/>
          <w:szCs w:val="21"/>
          <w:color w:val="000000"/>
        </w:rPr>
        <w:t>Tenant.</w:t>
      </w:r>
      <w:r>
        <w:rPr>
          <w:rFonts w:ascii="Arial" w:cs="Arial" w:eastAsia="Arial" w:hAnsi="Arial"/>
          <w:sz w:val="21"/>
          <w:szCs w:val="21"/>
          <w:color w:val="131313"/>
        </w:rPr>
        <w:t xml:space="preserve"> </w:t>
      </w:r>
      <w:r>
        <w:rPr>
          <w:rFonts w:ascii="Arial" w:cs="Arial" w:eastAsia="Arial" w:hAnsi="Arial"/>
          <w:sz w:val="21"/>
          <w:szCs w:val="21"/>
          <w:color w:val="3F3F3F"/>
        </w:rPr>
        <w:t>Ten</w:t>
      </w:r>
      <w:r>
        <w:rPr>
          <w:rFonts w:ascii="Arial" w:cs="Arial" w:eastAsia="Arial" w:hAnsi="Arial"/>
          <w:sz w:val="21"/>
          <w:szCs w:val="21"/>
          <w:color w:val="131313"/>
        </w:rPr>
        <w:t xml:space="preserve">ant further </w:t>
      </w:r>
      <w:r>
        <w:rPr>
          <w:rFonts w:ascii="Arial" w:cs="Arial" w:eastAsia="Arial" w:hAnsi="Arial"/>
          <w:sz w:val="21"/>
          <w:szCs w:val="21"/>
          <w:color w:val="000000"/>
        </w:rPr>
        <w:t>covenants and agrees</w:t>
      </w:r>
      <w:r>
        <w:rPr>
          <w:rFonts w:ascii="Arial" w:cs="Arial" w:eastAsia="Arial" w:hAnsi="Arial"/>
          <w:sz w:val="21"/>
          <w:szCs w:val="21"/>
          <w:color w:val="131313"/>
        </w:rPr>
        <w:t xml:space="preserve"> th</w:t>
      </w:r>
      <w:r>
        <w:rPr>
          <w:rFonts w:ascii="Arial" w:cs="Arial" w:eastAsia="Arial" w:hAnsi="Arial"/>
          <w:sz w:val="21"/>
          <w:szCs w:val="21"/>
          <w:color w:val="3F3F3F"/>
        </w:rPr>
        <w:t>a</w:t>
      </w:r>
      <w:r>
        <w:rPr>
          <w:rFonts w:ascii="Arial" w:cs="Arial" w:eastAsia="Arial" w:hAnsi="Arial"/>
          <w:sz w:val="21"/>
          <w:szCs w:val="21"/>
          <w:color w:val="131313"/>
        </w:rPr>
        <w:t xml:space="preserve">t </w:t>
      </w:r>
      <w:r>
        <w:rPr>
          <w:rFonts w:ascii="Arial" w:cs="Arial" w:eastAsia="Arial" w:hAnsi="Arial"/>
          <w:sz w:val="21"/>
          <w:szCs w:val="21"/>
          <w:color w:val="000000"/>
        </w:rPr>
        <w:t>any</w:t>
      </w:r>
      <w:r>
        <w:rPr>
          <w:rFonts w:ascii="Arial" w:cs="Arial" w:eastAsia="Arial" w:hAnsi="Arial"/>
          <w:sz w:val="21"/>
          <w:szCs w:val="21"/>
          <w:color w:val="131313"/>
        </w:rPr>
        <w:t xml:space="preserve"> mechanic’</w:t>
      </w:r>
      <w:r>
        <w:rPr>
          <w:rFonts w:ascii="Arial" w:cs="Arial" w:eastAsia="Arial" w:hAnsi="Arial"/>
          <w:sz w:val="21"/>
          <w:szCs w:val="21"/>
          <w:color w:val="3F3F3F"/>
        </w:rPr>
        <w:t>s</w:t>
      </w:r>
      <w:r>
        <w:rPr>
          <w:rFonts w:ascii="Arial" w:cs="Arial" w:eastAsia="Arial" w:hAnsi="Arial"/>
          <w:sz w:val="21"/>
          <w:szCs w:val="21"/>
          <w:color w:val="131313"/>
        </w:rPr>
        <w:t xml:space="preserve"> lien </w:t>
      </w:r>
      <w:r>
        <w:rPr>
          <w:rFonts w:ascii="Arial" w:cs="Arial" w:eastAsia="Arial" w:hAnsi="Arial"/>
          <w:sz w:val="21"/>
          <w:szCs w:val="21"/>
          <w:color w:val="000000"/>
        </w:rPr>
        <w:t>filed against</w:t>
      </w:r>
      <w:r>
        <w:rPr>
          <w:rFonts w:ascii="Arial" w:cs="Arial" w:eastAsia="Arial" w:hAnsi="Arial"/>
          <w:sz w:val="21"/>
          <w:szCs w:val="21"/>
          <w:color w:val="131313"/>
        </w:rPr>
        <w:t xml:space="preserve"> the </w:t>
      </w:r>
      <w:r>
        <w:rPr>
          <w:rFonts w:ascii="Arial" w:cs="Arial" w:eastAsia="Arial" w:hAnsi="Arial"/>
          <w:sz w:val="21"/>
          <w:szCs w:val="21"/>
          <w:color w:val="000000"/>
        </w:rPr>
        <w:t>Premises, the</w:t>
      </w:r>
      <w:r>
        <w:rPr>
          <w:rFonts w:ascii="Arial" w:cs="Arial" w:eastAsia="Arial" w:hAnsi="Arial"/>
          <w:sz w:val="21"/>
          <w:szCs w:val="21"/>
          <w:color w:val="131313"/>
        </w:rPr>
        <w:t xml:space="preserve"> Bu</w:t>
      </w:r>
      <w:r>
        <w:rPr>
          <w:rFonts w:ascii="Arial" w:cs="Arial" w:eastAsia="Arial" w:hAnsi="Arial"/>
          <w:sz w:val="21"/>
          <w:szCs w:val="21"/>
          <w:color w:val="3F3F3F"/>
        </w:rPr>
        <w:t>i</w:t>
      </w:r>
      <w:r>
        <w:rPr>
          <w:rFonts w:ascii="Arial" w:cs="Arial" w:eastAsia="Arial" w:hAnsi="Arial"/>
          <w:sz w:val="21"/>
          <w:szCs w:val="21"/>
          <w:color w:val="131313"/>
        </w:rPr>
        <w:t xml:space="preserve">lding or the Project </w:t>
      </w:r>
      <w:r>
        <w:rPr>
          <w:rFonts w:ascii="Arial" w:cs="Arial" w:eastAsia="Arial" w:hAnsi="Arial"/>
          <w:sz w:val="21"/>
          <w:szCs w:val="21"/>
          <w:color w:val="000000"/>
        </w:rPr>
        <w:t>for work</w:t>
      </w:r>
      <w:r>
        <w:rPr>
          <w:rFonts w:ascii="Arial" w:cs="Arial" w:eastAsia="Arial" w:hAnsi="Arial"/>
          <w:sz w:val="21"/>
          <w:szCs w:val="21"/>
          <w:color w:val="131313"/>
        </w:rPr>
        <w:t xml:space="preserve"> claimed to have been </w:t>
      </w:r>
      <w:r>
        <w:rPr>
          <w:rFonts w:ascii="Arial" w:cs="Arial" w:eastAsia="Arial" w:hAnsi="Arial"/>
          <w:sz w:val="21"/>
          <w:szCs w:val="21"/>
          <w:color w:val="000000"/>
        </w:rPr>
        <w:t>done for, or materials</w:t>
      </w:r>
      <w:r>
        <w:rPr>
          <w:rFonts w:ascii="Arial" w:cs="Arial" w:eastAsia="Arial" w:hAnsi="Arial"/>
          <w:sz w:val="21"/>
          <w:szCs w:val="21"/>
          <w:color w:val="131313"/>
        </w:rPr>
        <w:t xml:space="preserve"> claimed to </w:t>
      </w:r>
      <w:r>
        <w:rPr>
          <w:rFonts w:ascii="Arial" w:cs="Arial" w:eastAsia="Arial" w:hAnsi="Arial"/>
          <w:sz w:val="21"/>
          <w:szCs w:val="21"/>
          <w:color w:val="000000"/>
        </w:rPr>
        <w:t>have been furnished to, Tenant shall</w:t>
      </w:r>
      <w:r>
        <w:rPr>
          <w:rFonts w:ascii="Arial" w:cs="Arial" w:eastAsia="Arial" w:hAnsi="Arial"/>
          <w:sz w:val="21"/>
          <w:szCs w:val="21"/>
          <w:color w:val="131313"/>
        </w:rPr>
        <w:t xml:space="preserve"> be </w:t>
      </w:r>
      <w:r>
        <w:rPr>
          <w:rFonts w:ascii="Arial" w:cs="Arial" w:eastAsia="Arial" w:hAnsi="Arial"/>
          <w:sz w:val="21"/>
          <w:szCs w:val="21"/>
          <w:color w:val="000000"/>
        </w:rPr>
        <w:t>discharged or bonded</w:t>
      </w:r>
      <w:r>
        <w:rPr>
          <w:rFonts w:ascii="Arial" w:cs="Arial" w:eastAsia="Arial" w:hAnsi="Arial"/>
          <w:sz w:val="21"/>
          <w:szCs w:val="21"/>
          <w:color w:val="131313"/>
        </w:rPr>
        <w:t xml:space="preserve"> by Tenant </w:t>
      </w:r>
      <w:r>
        <w:rPr>
          <w:rFonts w:ascii="Arial" w:cs="Arial" w:eastAsia="Arial" w:hAnsi="Arial"/>
          <w:sz w:val="21"/>
          <w:szCs w:val="21"/>
          <w:color w:val="000000"/>
        </w:rPr>
        <w:t>within</w:t>
      </w:r>
      <w:r>
        <w:rPr>
          <w:rFonts w:ascii="Arial" w:cs="Arial" w:eastAsia="Arial" w:hAnsi="Arial"/>
          <w:sz w:val="21"/>
          <w:szCs w:val="21"/>
          <w:color w:val="131313"/>
        </w:rPr>
        <w:t xml:space="preserve"> </w:t>
      </w:r>
      <w:r>
        <w:rPr>
          <w:rFonts w:ascii="Arial" w:cs="Arial" w:eastAsia="Arial" w:hAnsi="Arial"/>
          <w:sz w:val="21"/>
          <w:szCs w:val="21"/>
          <w:u w:val="single" w:color="auto"/>
          <w:color w:val="000000"/>
        </w:rPr>
        <w:t>[***]</w:t>
      </w:r>
      <w:r>
        <w:rPr>
          <w:rFonts w:ascii="Arial" w:cs="Arial" w:eastAsia="Arial" w:hAnsi="Arial"/>
          <w:sz w:val="21"/>
          <w:szCs w:val="21"/>
          <w:color w:val="131313"/>
        </w:rPr>
        <w:t xml:space="preserve"> </w:t>
      </w:r>
      <w:r>
        <w:rPr>
          <w:rFonts w:ascii="Arial" w:cs="Arial" w:eastAsia="Arial" w:hAnsi="Arial"/>
          <w:sz w:val="21"/>
          <w:szCs w:val="21"/>
          <w:color w:val="000000"/>
        </w:rPr>
        <w:t>days after the</w:t>
      </w:r>
      <w:r>
        <w:rPr>
          <w:rFonts w:ascii="Arial" w:cs="Arial" w:eastAsia="Arial" w:hAnsi="Arial"/>
          <w:sz w:val="21"/>
          <w:szCs w:val="21"/>
          <w:color w:val="131313"/>
        </w:rPr>
        <w:t xml:space="preserve"> </w:t>
      </w:r>
      <w:r>
        <w:rPr>
          <w:rFonts w:ascii="Arial" w:cs="Arial" w:eastAsia="Arial" w:hAnsi="Arial"/>
          <w:sz w:val="21"/>
          <w:szCs w:val="21"/>
          <w:color w:val="000000"/>
        </w:rPr>
        <w:t xml:space="preserve">filing </w:t>
      </w:r>
      <w:r>
        <w:rPr>
          <w:rFonts w:ascii="Arial" w:cs="Arial" w:eastAsia="Arial" w:hAnsi="Arial"/>
          <w:sz w:val="21"/>
          <w:szCs w:val="21"/>
          <w:color w:val="131313"/>
        </w:rPr>
        <w:t>thereof,</w:t>
      </w:r>
      <w:r>
        <w:rPr>
          <w:rFonts w:ascii="Arial" w:cs="Arial" w:eastAsia="Arial" w:hAnsi="Arial"/>
          <w:sz w:val="21"/>
          <w:szCs w:val="21"/>
          <w:color w:val="000000"/>
        </w:rPr>
        <w:t xml:space="preserve"> at </w:t>
      </w:r>
      <w:r>
        <w:rPr>
          <w:rFonts w:ascii="Arial" w:cs="Arial" w:eastAsia="Arial" w:hAnsi="Arial"/>
          <w:sz w:val="21"/>
          <w:szCs w:val="21"/>
          <w:color w:val="131313"/>
        </w:rPr>
        <w:t>Tenant</w:t>
      </w:r>
      <w:r>
        <w:rPr>
          <w:rFonts w:ascii="Arial" w:cs="Arial" w:eastAsia="Arial" w:hAnsi="Arial"/>
          <w:sz w:val="21"/>
          <w:szCs w:val="21"/>
          <w:color w:val="3F3F3F"/>
        </w:rPr>
        <w:t>’s</w:t>
      </w:r>
      <w:r>
        <w:rPr>
          <w:rFonts w:ascii="Arial" w:cs="Arial" w:eastAsia="Arial" w:hAnsi="Arial"/>
          <w:sz w:val="21"/>
          <w:szCs w:val="21"/>
          <w:color w:val="000000"/>
        </w:rPr>
        <w:t xml:space="preserve"> sole cost </w:t>
      </w:r>
      <w:r>
        <w:rPr>
          <w:rFonts w:ascii="Arial" w:cs="Arial" w:eastAsia="Arial" w:hAnsi="Arial"/>
          <w:sz w:val="21"/>
          <w:szCs w:val="21"/>
          <w:color w:val="131313"/>
        </w:rPr>
        <w:t>and</w:t>
      </w:r>
      <w:r>
        <w:rPr>
          <w:rFonts w:ascii="Arial" w:cs="Arial" w:eastAsia="Arial" w:hAnsi="Arial"/>
          <w:sz w:val="21"/>
          <w:szCs w:val="21"/>
          <w:color w:val="000000"/>
        </w:rPr>
        <w:t xml:space="preserve"> expense.</w:t>
      </w:r>
    </w:p>
    <w:p>
      <w:pPr>
        <w:spacing w:after="0" w:line="159" w:lineRule="exact"/>
        <w:rPr>
          <w:rFonts w:ascii="Arial" w:cs="Arial" w:eastAsia="Arial" w:hAnsi="Arial"/>
          <w:sz w:val="22"/>
          <w:szCs w:val="22"/>
          <w:color w:val="auto"/>
        </w:rPr>
      </w:pPr>
    </w:p>
    <w:p>
      <w:pPr>
        <w:ind w:left="1300" w:hanging="648"/>
        <w:spacing w:after="0" w:line="224" w:lineRule="auto"/>
        <w:rPr>
          <w:rFonts w:ascii="Arial" w:cs="Arial" w:eastAsia="Arial" w:hAnsi="Arial"/>
          <w:sz w:val="22"/>
          <w:szCs w:val="22"/>
          <w:color w:val="auto"/>
        </w:rPr>
      </w:pPr>
      <w:r>
        <w:rPr>
          <w:rFonts w:ascii="Arial" w:cs="Arial" w:eastAsia="Arial" w:hAnsi="Arial"/>
          <w:sz w:val="21"/>
          <w:szCs w:val="21"/>
          <w:color w:val="auto"/>
        </w:rPr>
        <w:t xml:space="preserve">19.2 Should </w:t>
      </w:r>
      <w:r>
        <w:rPr>
          <w:rFonts w:ascii="Arial" w:cs="Arial" w:eastAsia="Arial" w:hAnsi="Arial"/>
          <w:sz w:val="21"/>
          <w:szCs w:val="21"/>
          <w:color w:val="131313"/>
        </w:rPr>
        <w:t>Tenant fail to</w:t>
      </w:r>
      <w:r>
        <w:rPr>
          <w:rFonts w:ascii="Arial" w:cs="Arial" w:eastAsia="Arial" w:hAnsi="Arial"/>
          <w:sz w:val="21"/>
          <w:szCs w:val="21"/>
          <w:color w:val="auto"/>
        </w:rPr>
        <w:t xml:space="preserve"> discharge or </w:t>
      </w:r>
      <w:r>
        <w:rPr>
          <w:rFonts w:ascii="Arial" w:cs="Arial" w:eastAsia="Arial" w:hAnsi="Arial"/>
          <w:sz w:val="21"/>
          <w:szCs w:val="21"/>
          <w:color w:val="131313"/>
        </w:rPr>
        <w:t>bond</w:t>
      </w:r>
      <w:r>
        <w:rPr>
          <w:rFonts w:ascii="Arial" w:cs="Arial" w:eastAsia="Arial" w:hAnsi="Arial"/>
          <w:sz w:val="21"/>
          <w:szCs w:val="21"/>
          <w:color w:val="auto"/>
        </w:rPr>
        <w:t xml:space="preserve"> against any </w:t>
      </w:r>
      <w:r>
        <w:rPr>
          <w:rFonts w:ascii="Arial" w:cs="Arial" w:eastAsia="Arial" w:hAnsi="Arial"/>
          <w:sz w:val="21"/>
          <w:szCs w:val="21"/>
          <w:color w:val="131313"/>
        </w:rPr>
        <w:t>lien</w:t>
      </w:r>
      <w:r>
        <w:rPr>
          <w:rFonts w:ascii="Arial" w:cs="Arial" w:eastAsia="Arial" w:hAnsi="Arial"/>
          <w:sz w:val="21"/>
          <w:szCs w:val="21"/>
          <w:color w:val="auto"/>
        </w:rPr>
        <w:t xml:space="preserve"> of the </w:t>
      </w:r>
      <w:r>
        <w:rPr>
          <w:rFonts w:ascii="Arial" w:cs="Arial" w:eastAsia="Arial" w:hAnsi="Arial"/>
          <w:sz w:val="21"/>
          <w:szCs w:val="21"/>
          <w:color w:val="131313"/>
        </w:rPr>
        <w:t>nature described in</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131313"/>
        </w:rPr>
        <w:t>19</w:t>
      </w:r>
      <w:r>
        <w:rPr>
          <w:rFonts w:ascii="Arial" w:cs="Arial" w:eastAsia="Arial" w:hAnsi="Arial"/>
          <w:sz w:val="21"/>
          <w:szCs w:val="21"/>
          <w:u w:val="single" w:color="auto"/>
          <w:color w:val="3F3F3F"/>
        </w:rPr>
        <w:t>.1</w:t>
      </w:r>
      <w:r>
        <w:rPr>
          <w:rFonts w:ascii="Arial" w:cs="Arial" w:eastAsia="Arial" w:hAnsi="Arial"/>
          <w:sz w:val="21"/>
          <w:szCs w:val="21"/>
          <w:color w:val="3F3F3F"/>
        </w:rPr>
        <w:t>, Lan</w:t>
      </w:r>
      <w:r>
        <w:rPr>
          <w:rFonts w:ascii="Arial" w:cs="Arial" w:eastAsia="Arial" w:hAnsi="Arial"/>
          <w:sz w:val="21"/>
          <w:szCs w:val="21"/>
          <w:color w:val="131313"/>
        </w:rPr>
        <w:t>d</w:t>
      </w:r>
      <w:r>
        <w:rPr>
          <w:rFonts w:ascii="Arial" w:cs="Arial" w:eastAsia="Arial" w:hAnsi="Arial"/>
          <w:sz w:val="21"/>
          <w:szCs w:val="21"/>
          <w:color w:val="3F3F3F"/>
        </w:rPr>
        <w:t>l</w:t>
      </w:r>
      <w:r>
        <w:rPr>
          <w:rFonts w:ascii="Arial" w:cs="Arial" w:eastAsia="Arial" w:hAnsi="Arial"/>
          <w:sz w:val="21"/>
          <w:szCs w:val="21"/>
          <w:color w:val="131313"/>
        </w:rPr>
        <w:t>ord</w:t>
      </w:r>
      <w:r>
        <w:rPr>
          <w:rFonts w:ascii="Arial" w:cs="Arial" w:eastAsia="Arial" w:hAnsi="Arial"/>
          <w:sz w:val="21"/>
          <w:szCs w:val="21"/>
          <w:color w:val="auto"/>
        </w:rPr>
        <w:t xml:space="preserve"> may, at </w:t>
      </w:r>
      <w:r>
        <w:rPr>
          <w:rFonts w:ascii="Arial" w:cs="Arial" w:eastAsia="Arial" w:hAnsi="Arial"/>
          <w:sz w:val="21"/>
          <w:szCs w:val="21"/>
          <w:color w:val="3F3F3F"/>
        </w:rPr>
        <w:t>Lan</w:t>
      </w:r>
      <w:r>
        <w:rPr>
          <w:rFonts w:ascii="Arial" w:cs="Arial" w:eastAsia="Arial" w:hAnsi="Arial"/>
          <w:sz w:val="21"/>
          <w:szCs w:val="21"/>
          <w:color w:val="131313"/>
        </w:rPr>
        <w:t>dlord’s</w:t>
      </w:r>
      <w:r>
        <w:rPr>
          <w:rFonts w:ascii="Arial" w:cs="Arial" w:eastAsia="Arial" w:hAnsi="Arial"/>
          <w:sz w:val="21"/>
          <w:szCs w:val="21"/>
          <w:color w:val="3F3F3F"/>
        </w:rPr>
        <w:t xml:space="preserve"> </w:t>
      </w:r>
      <w:r>
        <w:rPr>
          <w:rFonts w:ascii="Arial" w:cs="Arial" w:eastAsia="Arial" w:hAnsi="Arial"/>
          <w:sz w:val="21"/>
          <w:szCs w:val="21"/>
          <w:color w:val="000000"/>
        </w:rPr>
        <w:t>election, pay such claim or</w:t>
      </w:r>
      <w:r>
        <w:rPr>
          <w:rFonts w:ascii="Arial" w:cs="Arial" w:eastAsia="Arial" w:hAnsi="Arial"/>
          <w:sz w:val="21"/>
          <w:szCs w:val="21"/>
          <w:color w:val="3F3F3F"/>
        </w:rPr>
        <w:t xml:space="preserve"> </w:t>
      </w:r>
      <w:r>
        <w:rPr>
          <w:rFonts w:ascii="Arial" w:cs="Arial" w:eastAsia="Arial" w:hAnsi="Arial"/>
          <w:sz w:val="21"/>
          <w:szCs w:val="21"/>
          <w:color w:val="131313"/>
        </w:rPr>
        <w:t>post a bond</w:t>
      </w:r>
      <w:r>
        <w:rPr>
          <w:rFonts w:ascii="Arial" w:cs="Arial" w:eastAsia="Arial" w:hAnsi="Arial"/>
          <w:sz w:val="21"/>
          <w:szCs w:val="21"/>
          <w:color w:val="3F3F3F"/>
        </w:rPr>
        <w:t xml:space="preserve"> </w:t>
      </w:r>
      <w:r>
        <w:rPr>
          <w:rFonts w:ascii="Arial" w:cs="Arial" w:eastAsia="Arial" w:hAnsi="Arial"/>
          <w:sz w:val="21"/>
          <w:szCs w:val="21"/>
          <w:color w:val="000000"/>
        </w:rPr>
        <w:t>or otherwise</w:t>
      </w:r>
      <w:r>
        <w:rPr>
          <w:rFonts w:ascii="Arial" w:cs="Arial" w:eastAsia="Arial" w:hAnsi="Arial"/>
          <w:sz w:val="21"/>
          <w:szCs w:val="21"/>
          <w:color w:val="3F3F3F"/>
        </w:rPr>
        <w:t xml:space="preserve"> </w:t>
      </w:r>
      <w:r>
        <w:rPr>
          <w:rFonts w:ascii="Arial" w:cs="Arial" w:eastAsia="Arial" w:hAnsi="Arial"/>
          <w:sz w:val="21"/>
          <w:szCs w:val="21"/>
          <w:color w:val="131313"/>
        </w:rPr>
        <w:t>provide</w:t>
      </w:r>
      <w:r>
        <w:rPr>
          <w:rFonts w:ascii="Arial" w:cs="Arial" w:eastAsia="Arial" w:hAnsi="Arial"/>
          <w:sz w:val="21"/>
          <w:szCs w:val="21"/>
          <w:color w:val="3F3F3F"/>
        </w:rPr>
        <w:t xml:space="preserve"> </w:t>
      </w:r>
      <w:r>
        <w:rPr>
          <w:rFonts w:ascii="Arial" w:cs="Arial" w:eastAsia="Arial" w:hAnsi="Arial"/>
          <w:sz w:val="21"/>
          <w:szCs w:val="21"/>
          <w:color w:val="000000"/>
        </w:rPr>
        <w:t>security</w:t>
      </w:r>
      <w:r>
        <w:rPr>
          <w:rFonts w:ascii="Arial" w:cs="Arial" w:eastAsia="Arial" w:hAnsi="Arial"/>
          <w:sz w:val="21"/>
          <w:szCs w:val="21"/>
          <w:color w:val="3F3F3F"/>
        </w:rPr>
        <w:t xml:space="preserve"> </w:t>
      </w:r>
      <w:r>
        <w:rPr>
          <w:rFonts w:ascii="Arial" w:cs="Arial" w:eastAsia="Arial" w:hAnsi="Arial"/>
          <w:sz w:val="21"/>
          <w:szCs w:val="21"/>
          <w:color w:val="131313"/>
        </w:rPr>
        <w:t>to elim</w:t>
      </w:r>
      <w:r>
        <w:rPr>
          <w:rFonts w:ascii="Arial" w:cs="Arial" w:eastAsia="Arial" w:hAnsi="Arial"/>
          <w:sz w:val="21"/>
          <w:szCs w:val="21"/>
          <w:color w:val="3F3F3F"/>
        </w:rPr>
        <w:t>ina</w:t>
      </w:r>
      <w:r>
        <w:rPr>
          <w:rFonts w:ascii="Arial" w:cs="Arial" w:eastAsia="Arial" w:hAnsi="Arial"/>
          <w:sz w:val="21"/>
          <w:szCs w:val="21"/>
          <w:color w:val="131313"/>
        </w:rPr>
        <w:t>te the lien</w:t>
      </w:r>
      <w:r>
        <w:rPr>
          <w:rFonts w:ascii="Arial" w:cs="Arial" w:eastAsia="Arial" w:hAnsi="Arial"/>
          <w:sz w:val="21"/>
          <w:szCs w:val="21"/>
          <w:color w:val="3F3F3F"/>
        </w:rPr>
        <w:t xml:space="preserve"> </w:t>
      </w:r>
      <w:r>
        <w:rPr>
          <w:rFonts w:ascii="Arial" w:cs="Arial" w:eastAsia="Arial" w:hAnsi="Arial"/>
          <w:sz w:val="21"/>
          <w:szCs w:val="21"/>
          <w:color w:val="000000"/>
        </w:rPr>
        <w:t>as a</w:t>
      </w:r>
      <w:r>
        <w:rPr>
          <w:rFonts w:ascii="Arial" w:cs="Arial" w:eastAsia="Arial" w:hAnsi="Arial"/>
          <w:sz w:val="21"/>
          <w:szCs w:val="21"/>
          <w:color w:val="3F3F3F"/>
        </w:rPr>
        <w:t xml:space="preserve"> </w:t>
      </w:r>
      <w:r>
        <w:rPr>
          <w:rFonts w:ascii="Arial" w:cs="Arial" w:eastAsia="Arial" w:hAnsi="Arial"/>
          <w:sz w:val="21"/>
          <w:szCs w:val="21"/>
          <w:color w:val="131313"/>
        </w:rPr>
        <w:t>claim</w:t>
      </w:r>
      <w:r>
        <w:rPr>
          <w:rFonts w:ascii="Arial" w:cs="Arial" w:eastAsia="Arial" w:hAnsi="Arial"/>
          <w:sz w:val="21"/>
          <w:szCs w:val="21"/>
          <w:color w:val="3F3F3F"/>
        </w:rPr>
        <w:t xml:space="preserve"> </w:t>
      </w:r>
      <w:r>
        <w:rPr>
          <w:rFonts w:ascii="Arial" w:cs="Arial" w:eastAsia="Arial" w:hAnsi="Arial"/>
          <w:sz w:val="21"/>
          <w:szCs w:val="21"/>
          <w:color w:val="000000"/>
        </w:rPr>
        <w:t xml:space="preserve">against </w:t>
      </w:r>
      <w:r>
        <w:rPr>
          <w:rFonts w:ascii="Arial" w:cs="Arial" w:eastAsia="Arial" w:hAnsi="Arial"/>
          <w:sz w:val="21"/>
          <w:szCs w:val="21"/>
          <w:color w:val="131313"/>
        </w:rPr>
        <w:t>title,</w:t>
      </w:r>
      <w:r>
        <w:rPr>
          <w:rFonts w:ascii="Arial" w:cs="Arial" w:eastAsia="Arial" w:hAnsi="Arial"/>
          <w:sz w:val="21"/>
          <w:szCs w:val="21"/>
          <w:color w:val="000000"/>
        </w:rPr>
        <w:t xml:space="preserve"> and Tenant shall </w:t>
      </w:r>
      <w:r>
        <w:rPr>
          <w:rFonts w:ascii="Arial" w:cs="Arial" w:eastAsia="Arial" w:hAnsi="Arial"/>
          <w:sz w:val="21"/>
          <w:szCs w:val="21"/>
          <w:color w:val="131313"/>
        </w:rPr>
        <w:t>immediate</w:t>
      </w:r>
      <w:r>
        <w:rPr>
          <w:rFonts w:ascii="Arial" w:cs="Arial" w:eastAsia="Arial" w:hAnsi="Arial"/>
          <w:sz w:val="21"/>
          <w:szCs w:val="21"/>
          <w:color w:val="3F3F3F"/>
        </w:rPr>
        <w:t>ly</w:t>
      </w:r>
      <w:r>
        <w:rPr>
          <w:rFonts w:ascii="Arial" w:cs="Arial" w:eastAsia="Arial" w:hAnsi="Arial"/>
          <w:sz w:val="21"/>
          <w:szCs w:val="21"/>
          <w:color w:val="000000"/>
        </w:rPr>
        <w:t xml:space="preserve"> reimburse Landlord </w:t>
      </w:r>
      <w:r>
        <w:rPr>
          <w:rFonts w:ascii="Arial" w:cs="Arial" w:eastAsia="Arial" w:hAnsi="Arial"/>
          <w:sz w:val="21"/>
          <w:szCs w:val="21"/>
          <w:color w:val="131313"/>
        </w:rPr>
        <w:t>for the costs thereof</w:t>
      </w:r>
      <w:r>
        <w:rPr>
          <w:rFonts w:ascii="Arial" w:cs="Arial" w:eastAsia="Arial" w:hAnsi="Arial"/>
          <w:sz w:val="21"/>
          <w:szCs w:val="21"/>
          <w:color w:val="000000"/>
        </w:rPr>
        <w:t xml:space="preserve"> as Additional Rent. Tenant </w:t>
      </w:r>
      <w:r>
        <w:rPr>
          <w:rFonts w:ascii="Arial" w:cs="Arial" w:eastAsia="Arial" w:hAnsi="Arial"/>
          <w:sz w:val="21"/>
          <w:szCs w:val="21"/>
          <w:color w:val="3F3F3F"/>
        </w:rPr>
        <w:t>s</w:t>
      </w:r>
      <w:r>
        <w:rPr>
          <w:rFonts w:ascii="Arial" w:cs="Arial" w:eastAsia="Arial" w:hAnsi="Arial"/>
          <w:sz w:val="21"/>
          <w:szCs w:val="21"/>
          <w:color w:val="131313"/>
        </w:rPr>
        <w:t>hall indemnify,</w:t>
      </w:r>
      <w:r>
        <w:rPr>
          <w:rFonts w:ascii="Arial" w:cs="Arial" w:eastAsia="Arial" w:hAnsi="Arial"/>
          <w:sz w:val="21"/>
          <w:szCs w:val="21"/>
          <w:color w:val="3F3F3F"/>
        </w:rPr>
        <w:t xml:space="preserve"> </w:t>
      </w:r>
      <w:r>
        <w:rPr>
          <w:rFonts w:ascii="Arial" w:cs="Arial" w:eastAsia="Arial" w:hAnsi="Arial"/>
          <w:sz w:val="21"/>
          <w:szCs w:val="21"/>
          <w:color w:val="000000"/>
        </w:rPr>
        <w:t>save,</w:t>
      </w:r>
      <w:r>
        <w:rPr>
          <w:rFonts w:ascii="Arial" w:cs="Arial" w:eastAsia="Arial" w:hAnsi="Arial"/>
          <w:sz w:val="21"/>
          <w:szCs w:val="21"/>
          <w:color w:val="3F3F3F"/>
        </w:rPr>
        <w:t xml:space="preserve"> </w:t>
      </w:r>
      <w:r>
        <w:rPr>
          <w:rFonts w:ascii="Arial" w:cs="Arial" w:eastAsia="Arial" w:hAnsi="Arial"/>
          <w:sz w:val="21"/>
          <w:szCs w:val="21"/>
          <w:color w:val="131313"/>
        </w:rPr>
        <w:t>defend</w:t>
      </w:r>
      <w:r>
        <w:rPr>
          <w:rFonts w:ascii="Arial" w:cs="Arial" w:eastAsia="Arial" w:hAnsi="Arial"/>
          <w:sz w:val="21"/>
          <w:szCs w:val="21"/>
          <w:color w:val="3F3F3F"/>
        </w:rPr>
        <w:t xml:space="preserve"> </w:t>
      </w:r>
      <w:r>
        <w:rPr>
          <w:rFonts w:ascii="Arial" w:cs="Arial" w:eastAsia="Arial" w:hAnsi="Arial"/>
          <w:sz w:val="21"/>
          <w:szCs w:val="21"/>
          <w:color w:val="000000"/>
        </w:rPr>
        <w:t>(at</w:t>
      </w:r>
      <w:r>
        <w:rPr>
          <w:rFonts w:ascii="Arial" w:cs="Arial" w:eastAsia="Arial" w:hAnsi="Arial"/>
          <w:sz w:val="21"/>
          <w:szCs w:val="21"/>
          <w:color w:val="3F3F3F"/>
        </w:rPr>
        <w:t xml:space="preserve"> Lan</w:t>
      </w:r>
      <w:r>
        <w:rPr>
          <w:rFonts w:ascii="Arial" w:cs="Arial" w:eastAsia="Arial" w:hAnsi="Arial"/>
          <w:sz w:val="21"/>
          <w:szCs w:val="21"/>
          <w:color w:val="131313"/>
        </w:rPr>
        <w:t>d</w:t>
      </w:r>
      <w:r>
        <w:rPr>
          <w:rFonts w:ascii="Arial" w:cs="Arial" w:eastAsia="Arial" w:hAnsi="Arial"/>
          <w:sz w:val="21"/>
          <w:szCs w:val="21"/>
          <w:color w:val="3F3F3F"/>
        </w:rPr>
        <w:t>lo</w:t>
      </w:r>
      <w:r>
        <w:rPr>
          <w:rFonts w:ascii="Arial" w:cs="Arial" w:eastAsia="Arial" w:hAnsi="Arial"/>
          <w:sz w:val="21"/>
          <w:szCs w:val="21"/>
          <w:color w:val="131313"/>
        </w:rPr>
        <w:t>rd’</w:t>
      </w:r>
      <w:r>
        <w:rPr>
          <w:rFonts w:ascii="Arial" w:cs="Arial" w:eastAsia="Arial" w:hAnsi="Arial"/>
          <w:sz w:val="21"/>
          <w:szCs w:val="21"/>
          <w:color w:val="3F3F3F"/>
        </w:rPr>
        <w:t xml:space="preserve">s </w:t>
      </w:r>
      <w:r>
        <w:rPr>
          <w:rFonts w:ascii="Arial" w:cs="Arial" w:eastAsia="Arial" w:hAnsi="Arial"/>
          <w:sz w:val="21"/>
          <w:szCs w:val="21"/>
          <w:color w:val="000000"/>
        </w:rPr>
        <w:t>option and with counsel</w:t>
      </w:r>
      <w:r>
        <w:rPr>
          <w:rFonts w:ascii="Arial" w:cs="Arial" w:eastAsia="Arial" w:hAnsi="Arial"/>
          <w:sz w:val="21"/>
          <w:szCs w:val="21"/>
          <w:color w:val="3F3F3F"/>
        </w:rPr>
        <w:t xml:space="preserve"> </w:t>
      </w:r>
      <w:r>
        <w:rPr>
          <w:rFonts w:ascii="Arial" w:cs="Arial" w:eastAsia="Arial" w:hAnsi="Arial"/>
          <w:sz w:val="21"/>
          <w:szCs w:val="21"/>
          <w:color w:val="131313"/>
        </w:rPr>
        <w:t>reasonably</w:t>
      </w:r>
      <w:r>
        <w:rPr>
          <w:rFonts w:ascii="Arial" w:cs="Arial" w:eastAsia="Arial" w:hAnsi="Arial"/>
          <w:sz w:val="21"/>
          <w:szCs w:val="21"/>
          <w:color w:val="3F3F3F"/>
        </w:rPr>
        <w:t xml:space="preserve"> </w:t>
      </w:r>
      <w:r>
        <w:rPr>
          <w:rFonts w:ascii="Arial" w:cs="Arial" w:eastAsia="Arial" w:hAnsi="Arial"/>
          <w:sz w:val="21"/>
          <w:szCs w:val="21"/>
          <w:color w:val="000000"/>
        </w:rPr>
        <w:t>acceptable</w:t>
      </w:r>
      <w:r>
        <w:rPr>
          <w:rFonts w:ascii="Arial" w:cs="Arial" w:eastAsia="Arial" w:hAnsi="Arial"/>
          <w:sz w:val="21"/>
          <w:szCs w:val="21"/>
          <w:color w:val="3F3F3F"/>
        </w:rPr>
        <w:t xml:space="preserve"> </w:t>
      </w:r>
      <w:r>
        <w:rPr>
          <w:rFonts w:ascii="Arial" w:cs="Arial" w:eastAsia="Arial" w:hAnsi="Arial"/>
          <w:sz w:val="21"/>
          <w:szCs w:val="21"/>
          <w:color w:val="131313"/>
        </w:rPr>
        <w:t>to Landlo</w:t>
      </w:r>
      <w:r>
        <w:rPr>
          <w:rFonts w:ascii="Arial" w:cs="Arial" w:eastAsia="Arial" w:hAnsi="Arial"/>
          <w:sz w:val="21"/>
          <w:szCs w:val="21"/>
          <w:color w:val="3F3F3F"/>
        </w:rPr>
        <w:t>r</w:t>
      </w:r>
      <w:r>
        <w:rPr>
          <w:rFonts w:ascii="Arial" w:cs="Arial" w:eastAsia="Arial" w:hAnsi="Arial"/>
          <w:sz w:val="21"/>
          <w:szCs w:val="21"/>
          <w:color w:val="131313"/>
        </w:rPr>
        <w:t>d)</w:t>
      </w:r>
      <w:r>
        <w:rPr>
          <w:rFonts w:ascii="Arial" w:cs="Arial" w:eastAsia="Arial" w:hAnsi="Arial"/>
          <w:sz w:val="21"/>
          <w:szCs w:val="21"/>
          <w:color w:val="3F3F3F"/>
        </w:rPr>
        <w:t xml:space="preserve"> </w:t>
      </w:r>
      <w:r>
        <w:rPr>
          <w:rFonts w:ascii="Arial" w:cs="Arial" w:eastAsia="Arial" w:hAnsi="Arial"/>
          <w:sz w:val="21"/>
          <w:szCs w:val="21"/>
          <w:color w:val="000000"/>
        </w:rPr>
        <w:t>and</w:t>
      </w:r>
      <w:r>
        <w:rPr>
          <w:rFonts w:ascii="Arial" w:cs="Arial" w:eastAsia="Arial" w:hAnsi="Arial"/>
          <w:sz w:val="21"/>
          <w:szCs w:val="21"/>
          <w:color w:val="3F3F3F"/>
        </w:rPr>
        <w:t xml:space="preserve"> </w:t>
      </w:r>
      <w:r>
        <w:rPr>
          <w:rFonts w:ascii="Arial" w:cs="Arial" w:eastAsia="Arial" w:hAnsi="Arial"/>
          <w:sz w:val="21"/>
          <w:szCs w:val="21"/>
          <w:color w:val="131313"/>
        </w:rPr>
        <w:t>ho</w:t>
      </w:r>
      <w:r>
        <w:rPr>
          <w:rFonts w:ascii="Arial" w:cs="Arial" w:eastAsia="Arial" w:hAnsi="Arial"/>
          <w:sz w:val="21"/>
          <w:szCs w:val="21"/>
          <w:color w:val="3F3F3F"/>
        </w:rPr>
        <w:t xml:space="preserve">ld </w:t>
      </w:r>
      <w:r>
        <w:rPr>
          <w:rFonts w:ascii="Arial" w:cs="Arial" w:eastAsia="Arial" w:hAnsi="Arial"/>
          <w:sz w:val="21"/>
          <w:szCs w:val="21"/>
          <w:color w:val="000000"/>
        </w:rPr>
        <w:t xml:space="preserve">the Landlord Indemnitees </w:t>
      </w:r>
      <w:r>
        <w:rPr>
          <w:rFonts w:ascii="Arial" w:cs="Arial" w:eastAsia="Arial" w:hAnsi="Arial"/>
          <w:sz w:val="21"/>
          <w:szCs w:val="21"/>
          <w:color w:val="131313"/>
        </w:rPr>
        <w:t>harmless from</w:t>
      </w:r>
      <w:r>
        <w:rPr>
          <w:rFonts w:ascii="Arial" w:cs="Arial" w:eastAsia="Arial" w:hAnsi="Arial"/>
          <w:sz w:val="21"/>
          <w:szCs w:val="21"/>
          <w:color w:val="000000"/>
        </w:rPr>
        <w:t xml:space="preserve"> and against any Claims </w:t>
      </w:r>
      <w:r>
        <w:rPr>
          <w:rFonts w:ascii="Arial" w:cs="Arial" w:eastAsia="Arial" w:hAnsi="Arial"/>
          <w:sz w:val="21"/>
          <w:szCs w:val="21"/>
          <w:color w:val="262626"/>
        </w:rPr>
        <w:t>arising</w:t>
      </w:r>
      <w:r>
        <w:rPr>
          <w:rFonts w:ascii="Arial" w:cs="Arial" w:eastAsia="Arial" w:hAnsi="Arial"/>
          <w:sz w:val="21"/>
          <w:szCs w:val="21"/>
          <w:color w:val="000000"/>
        </w:rPr>
        <w:t xml:space="preserve"> </w:t>
      </w:r>
      <w:r>
        <w:rPr>
          <w:rFonts w:ascii="Arial" w:cs="Arial" w:eastAsia="Arial" w:hAnsi="Arial"/>
          <w:sz w:val="21"/>
          <w:szCs w:val="21"/>
          <w:color w:val="131313"/>
        </w:rPr>
        <w:t>from</w:t>
      </w:r>
      <w:r>
        <w:rPr>
          <w:rFonts w:ascii="Arial" w:cs="Arial" w:eastAsia="Arial" w:hAnsi="Arial"/>
          <w:sz w:val="21"/>
          <w:szCs w:val="21"/>
          <w:color w:val="000000"/>
        </w:rPr>
        <w:t xml:space="preserve"> </w:t>
      </w:r>
      <w:r>
        <w:rPr>
          <w:rFonts w:ascii="Arial" w:cs="Arial" w:eastAsia="Arial" w:hAnsi="Arial"/>
          <w:sz w:val="21"/>
          <w:szCs w:val="21"/>
          <w:color w:val="262626"/>
        </w:rPr>
        <w:t>any such</w:t>
      </w:r>
      <w:r>
        <w:rPr>
          <w:rFonts w:ascii="Arial" w:cs="Arial" w:eastAsia="Arial" w:hAnsi="Arial"/>
          <w:sz w:val="21"/>
          <w:szCs w:val="21"/>
          <w:color w:val="000000"/>
        </w:rPr>
        <w:t xml:space="preserve"> </w:t>
      </w:r>
      <w:r>
        <w:rPr>
          <w:rFonts w:ascii="Arial" w:cs="Arial" w:eastAsia="Arial" w:hAnsi="Arial"/>
          <w:sz w:val="21"/>
          <w:szCs w:val="21"/>
          <w:color w:val="131313"/>
        </w:rPr>
        <w:t>liens, including</w:t>
      </w:r>
      <w:r>
        <w:rPr>
          <w:rFonts w:ascii="Arial" w:cs="Arial" w:eastAsia="Arial" w:hAnsi="Arial"/>
          <w:sz w:val="21"/>
          <w:szCs w:val="21"/>
          <w:color w:val="000000"/>
        </w:rPr>
        <w:t xml:space="preserve"> </w:t>
      </w:r>
      <w:r>
        <w:rPr>
          <w:rFonts w:ascii="Arial" w:cs="Arial" w:eastAsia="Arial" w:hAnsi="Arial"/>
          <w:sz w:val="21"/>
          <w:szCs w:val="21"/>
          <w:color w:val="262626"/>
        </w:rPr>
        <w:t>any</w:t>
      </w:r>
      <w:r>
        <w:rPr>
          <w:rFonts w:ascii="Arial" w:cs="Arial" w:eastAsia="Arial" w:hAnsi="Arial"/>
          <w:sz w:val="21"/>
          <w:szCs w:val="21"/>
          <w:color w:val="000000"/>
        </w:rPr>
        <w:t xml:space="preserve"> </w:t>
      </w:r>
      <w:r>
        <w:rPr>
          <w:rFonts w:ascii="Arial" w:cs="Arial" w:eastAsia="Arial" w:hAnsi="Arial"/>
          <w:sz w:val="21"/>
          <w:szCs w:val="21"/>
          <w:color w:val="131313"/>
        </w:rPr>
        <w:t xml:space="preserve">administrative, </w:t>
      </w:r>
      <w:r>
        <w:rPr>
          <w:rFonts w:ascii="Arial" w:cs="Arial" w:eastAsia="Arial" w:hAnsi="Arial"/>
          <w:sz w:val="21"/>
          <w:szCs w:val="21"/>
          <w:color w:val="262626"/>
        </w:rPr>
        <w:t>court</w:t>
      </w:r>
      <w:r>
        <w:rPr>
          <w:rFonts w:ascii="Arial" w:cs="Arial" w:eastAsia="Arial" w:hAnsi="Arial"/>
          <w:sz w:val="21"/>
          <w:szCs w:val="21"/>
          <w:color w:val="131313"/>
        </w:rPr>
        <w:t xml:space="preserve"> or other leg</w:t>
      </w:r>
      <w:r>
        <w:rPr>
          <w:rFonts w:ascii="Arial" w:cs="Arial" w:eastAsia="Arial" w:hAnsi="Arial"/>
          <w:sz w:val="21"/>
          <w:szCs w:val="21"/>
          <w:color w:val="3D3D3D"/>
        </w:rPr>
        <w:t>a</w:t>
      </w:r>
      <w:r>
        <w:rPr>
          <w:rFonts w:ascii="Arial" w:cs="Arial" w:eastAsia="Arial" w:hAnsi="Arial"/>
          <w:sz w:val="21"/>
          <w:szCs w:val="21"/>
          <w:color w:val="131313"/>
        </w:rPr>
        <w:t xml:space="preserve">l </w:t>
      </w:r>
      <w:r>
        <w:rPr>
          <w:rFonts w:ascii="Arial" w:cs="Arial" w:eastAsia="Arial" w:hAnsi="Arial"/>
          <w:sz w:val="21"/>
          <w:szCs w:val="21"/>
          <w:color w:val="262626"/>
        </w:rPr>
        <w:t>proceedings</w:t>
      </w:r>
      <w:r>
        <w:rPr>
          <w:rFonts w:ascii="Arial" w:cs="Arial" w:eastAsia="Arial" w:hAnsi="Arial"/>
          <w:sz w:val="21"/>
          <w:szCs w:val="21"/>
          <w:color w:val="131313"/>
        </w:rPr>
        <w:t xml:space="preserve"> related </w:t>
      </w:r>
      <w:r>
        <w:rPr>
          <w:rFonts w:ascii="Arial" w:cs="Arial" w:eastAsia="Arial" w:hAnsi="Arial"/>
          <w:sz w:val="21"/>
          <w:szCs w:val="21"/>
          <w:color w:val="3D3D3D"/>
        </w:rPr>
        <w:t>to</w:t>
      </w:r>
      <w:r>
        <w:rPr>
          <w:rFonts w:ascii="Arial" w:cs="Arial" w:eastAsia="Arial" w:hAnsi="Arial"/>
          <w:sz w:val="21"/>
          <w:szCs w:val="21"/>
          <w:color w:val="131313"/>
        </w:rPr>
        <w:t xml:space="preserve"> </w:t>
      </w:r>
      <w:r>
        <w:rPr>
          <w:rFonts w:ascii="Arial" w:cs="Arial" w:eastAsia="Arial" w:hAnsi="Arial"/>
          <w:sz w:val="21"/>
          <w:szCs w:val="21"/>
          <w:color w:val="262626"/>
        </w:rPr>
        <w:t>such liens.</w:t>
      </w:r>
    </w:p>
    <w:p>
      <w:pPr>
        <w:spacing w:after="0" w:line="159" w:lineRule="exact"/>
        <w:rPr>
          <w:rFonts w:ascii="Arial" w:cs="Arial" w:eastAsia="Arial" w:hAnsi="Arial"/>
          <w:sz w:val="22"/>
          <w:szCs w:val="22"/>
          <w:color w:val="auto"/>
        </w:rPr>
      </w:pPr>
    </w:p>
    <w:p>
      <w:pPr>
        <w:ind w:left="1300" w:hanging="648"/>
        <w:spacing w:after="0" w:line="244" w:lineRule="auto"/>
        <w:rPr>
          <w:rFonts w:ascii="Arial" w:cs="Arial" w:eastAsia="Arial" w:hAnsi="Arial"/>
          <w:sz w:val="22"/>
          <w:szCs w:val="22"/>
          <w:color w:val="auto"/>
        </w:rPr>
      </w:pPr>
      <w:r>
        <w:rPr>
          <w:rFonts w:ascii="Arial" w:cs="Arial" w:eastAsia="Arial" w:hAnsi="Arial"/>
          <w:sz w:val="19"/>
          <w:szCs w:val="19"/>
          <w:color w:val="auto"/>
        </w:rPr>
        <w:t xml:space="preserve">19.3 </w:t>
      </w:r>
      <w:r>
        <w:rPr>
          <w:rFonts w:ascii="Arial" w:cs="Arial" w:eastAsia="Arial" w:hAnsi="Arial"/>
          <w:sz w:val="19"/>
          <w:szCs w:val="19"/>
          <w:color w:val="010101"/>
        </w:rPr>
        <w:t>In</w:t>
      </w:r>
      <w:r>
        <w:rPr>
          <w:rFonts w:ascii="Arial" w:cs="Arial" w:eastAsia="Arial" w:hAnsi="Arial"/>
          <w:sz w:val="19"/>
          <w:szCs w:val="19"/>
          <w:color w:val="auto"/>
        </w:rPr>
        <w:t xml:space="preserve"> the event </w:t>
      </w:r>
      <w:r>
        <w:rPr>
          <w:rFonts w:ascii="Arial" w:cs="Arial" w:eastAsia="Arial" w:hAnsi="Arial"/>
          <w:sz w:val="19"/>
          <w:szCs w:val="19"/>
          <w:color w:val="262626"/>
        </w:rPr>
        <w:t>that Tenant</w:t>
      </w:r>
      <w:r>
        <w:rPr>
          <w:rFonts w:ascii="Arial" w:cs="Arial" w:eastAsia="Arial" w:hAnsi="Arial"/>
          <w:sz w:val="19"/>
          <w:szCs w:val="19"/>
          <w:color w:val="auto"/>
        </w:rPr>
        <w:t xml:space="preserve"> leases </w:t>
      </w:r>
      <w:r>
        <w:rPr>
          <w:rFonts w:ascii="Arial" w:cs="Arial" w:eastAsia="Arial" w:hAnsi="Arial"/>
          <w:sz w:val="19"/>
          <w:szCs w:val="19"/>
          <w:color w:val="262626"/>
        </w:rPr>
        <w:t>or</w:t>
      </w:r>
      <w:r>
        <w:rPr>
          <w:rFonts w:ascii="Arial" w:cs="Arial" w:eastAsia="Arial" w:hAnsi="Arial"/>
          <w:sz w:val="19"/>
          <w:szCs w:val="19"/>
          <w:color w:val="auto"/>
        </w:rPr>
        <w:t xml:space="preserve"> finance</w:t>
      </w:r>
      <w:r>
        <w:rPr>
          <w:rFonts w:ascii="Arial" w:cs="Arial" w:eastAsia="Arial" w:hAnsi="Arial"/>
          <w:sz w:val="19"/>
          <w:szCs w:val="19"/>
          <w:color w:val="3D3D3D"/>
        </w:rPr>
        <w:t>s t</w:t>
      </w:r>
      <w:r>
        <w:rPr>
          <w:rFonts w:ascii="Arial" w:cs="Arial" w:eastAsia="Arial" w:hAnsi="Arial"/>
          <w:sz w:val="19"/>
          <w:szCs w:val="19"/>
          <w:color w:val="auto"/>
        </w:rPr>
        <w:t xml:space="preserve">he </w:t>
      </w:r>
      <w:r>
        <w:rPr>
          <w:rFonts w:ascii="Arial" w:cs="Arial" w:eastAsia="Arial" w:hAnsi="Arial"/>
          <w:sz w:val="19"/>
          <w:szCs w:val="19"/>
          <w:color w:val="262626"/>
        </w:rPr>
        <w:t>acquisition</w:t>
      </w:r>
      <w:r>
        <w:rPr>
          <w:rFonts w:ascii="Arial" w:cs="Arial" w:eastAsia="Arial" w:hAnsi="Arial"/>
          <w:sz w:val="19"/>
          <w:szCs w:val="19"/>
          <w:color w:val="auto"/>
        </w:rPr>
        <w:t xml:space="preserve"> of </w:t>
      </w:r>
      <w:r>
        <w:rPr>
          <w:rFonts w:ascii="Arial" w:cs="Arial" w:eastAsia="Arial" w:hAnsi="Arial"/>
          <w:sz w:val="19"/>
          <w:szCs w:val="19"/>
          <w:color w:val="262626"/>
        </w:rPr>
        <w:t>trade fixtures, office</w:t>
      </w:r>
      <w:r>
        <w:rPr>
          <w:rFonts w:ascii="Arial" w:cs="Arial" w:eastAsia="Arial" w:hAnsi="Arial"/>
          <w:sz w:val="19"/>
          <w:szCs w:val="19"/>
          <w:color w:val="auto"/>
        </w:rPr>
        <w:t xml:space="preserve"> equipment, furni</w:t>
      </w:r>
      <w:r>
        <w:rPr>
          <w:rFonts w:ascii="Arial" w:cs="Arial" w:eastAsia="Arial" w:hAnsi="Arial"/>
          <w:sz w:val="19"/>
          <w:szCs w:val="19"/>
          <w:color w:val="3D3D3D"/>
        </w:rPr>
        <w:t>sh</w:t>
      </w:r>
      <w:r>
        <w:rPr>
          <w:rFonts w:ascii="Arial" w:cs="Arial" w:eastAsia="Arial" w:hAnsi="Arial"/>
          <w:sz w:val="19"/>
          <w:szCs w:val="19"/>
          <w:color w:val="auto"/>
        </w:rPr>
        <w:t xml:space="preserve">ings or </w:t>
      </w:r>
      <w:r>
        <w:rPr>
          <w:rFonts w:ascii="Arial" w:cs="Arial" w:eastAsia="Arial" w:hAnsi="Arial"/>
          <w:sz w:val="19"/>
          <w:szCs w:val="19"/>
          <w:color w:val="262626"/>
        </w:rPr>
        <w:t>other</w:t>
      </w:r>
      <w:r>
        <w:rPr>
          <w:rFonts w:ascii="Arial" w:cs="Arial" w:eastAsia="Arial" w:hAnsi="Arial"/>
          <w:sz w:val="19"/>
          <w:szCs w:val="19"/>
          <w:color w:val="auto"/>
        </w:rPr>
        <w:t xml:space="preserve"> personal property of </w:t>
      </w:r>
      <w:r>
        <w:rPr>
          <w:rFonts w:ascii="Arial" w:cs="Arial" w:eastAsia="Arial" w:hAnsi="Arial"/>
          <w:sz w:val="19"/>
          <w:szCs w:val="19"/>
          <w:color w:val="262626"/>
        </w:rPr>
        <w:t>a removable</w:t>
      </w:r>
      <w:r>
        <w:rPr>
          <w:rFonts w:ascii="Arial" w:cs="Arial" w:eastAsia="Arial" w:hAnsi="Arial"/>
          <w:sz w:val="19"/>
          <w:szCs w:val="19"/>
          <w:color w:val="auto"/>
        </w:rPr>
        <w:t xml:space="preserve"> nature utilized by </w:t>
      </w:r>
      <w:r>
        <w:rPr>
          <w:rFonts w:ascii="Arial" w:cs="Arial" w:eastAsia="Arial" w:hAnsi="Arial"/>
          <w:sz w:val="19"/>
          <w:szCs w:val="19"/>
          <w:color w:val="262626"/>
        </w:rPr>
        <w:t>Tenant</w:t>
      </w:r>
      <w:r>
        <w:rPr>
          <w:rFonts w:ascii="Arial" w:cs="Arial" w:eastAsia="Arial" w:hAnsi="Arial"/>
          <w:sz w:val="19"/>
          <w:szCs w:val="19"/>
          <w:color w:val="auto"/>
        </w:rPr>
        <w:t xml:space="preserve"> in the </w:t>
      </w:r>
      <w:r>
        <w:rPr>
          <w:rFonts w:ascii="Arial" w:cs="Arial" w:eastAsia="Arial" w:hAnsi="Arial"/>
          <w:sz w:val="19"/>
          <w:szCs w:val="19"/>
          <w:color w:val="262626"/>
        </w:rPr>
        <w:t>operation</w:t>
      </w:r>
      <w:r>
        <w:rPr>
          <w:rFonts w:ascii="Arial" w:cs="Arial" w:eastAsia="Arial" w:hAnsi="Arial"/>
          <w:sz w:val="19"/>
          <w:szCs w:val="19"/>
          <w:color w:val="auto"/>
        </w:rPr>
        <w:t xml:space="preserve"> of Tenant’s business, Tenant </w:t>
      </w:r>
      <w:r>
        <w:rPr>
          <w:rFonts w:ascii="Arial" w:cs="Arial" w:eastAsia="Arial" w:hAnsi="Arial"/>
          <w:sz w:val="19"/>
          <w:szCs w:val="19"/>
          <w:color w:val="262626"/>
        </w:rPr>
        <w:t>warrants</w:t>
      </w:r>
      <w:r>
        <w:rPr>
          <w:rFonts w:ascii="Arial" w:cs="Arial" w:eastAsia="Arial" w:hAnsi="Arial"/>
          <w:sz w:val="19"/>
          <w:szCs w:val="19"/>
          <w:color w:val="auto"/>
        </w:rPr>
        <w:t xml:space="preserve"> </w:t>
      </w:r>
      <w:r>
        <w:rPr>
          <w:rFonts w:ascii="Arial" w:cs="Arial" w:eastAsia="Arial" w:hAnsi="Arial"/>
          <w:sz w:val="19"/>
          <w:szCs w:val="19"/>
          <w:color w:val="262626"/>
        </w:rPr>
        <w:t xml:space="preserve">that any Uniform Commercial </w:t>
      </w:r>
      <w:r>
        <w:rPr>
          <w:rFonts w:ascii="Arial" w:cs="Arial" w:eastAsia="Arial" w:hAnsi="Arial"/>
          <w:sz w:val="19"/>
          <w:szCs w:val="19"/>
          <w:color w:val="000000"/>
        </w:rPr>
        <w:t>Code financing</w:t>
      </w:r>
      <w:r>
        <w:rPr>
          <w:rFonts w:ascii="Arial" w:cs="Arial" w:eastAsia="Arial" w:hAnsi="Arial"/>
          <w:sz w:val="19"/>
          <w:szCs w:val="19"/>
          <w:color w:val="262626"/>
        </w:rPr>
        <w:t xml:space="preserve"> statement shall, </w:t>
      </w:r>
      <w:r>
        <w:rPr>
          <w:rFonts w:ascii="Arial" w:cs="Arial" w:eastAsia="Arial" w:hAnsi="Arial"/>
          <w:sz w:val="19"/>
          <w:szCs w:val="19"/>
          <w:color w:val="000000"/>
        </w:rPr>
        <w:t>upon</w:t>
      </w:r>
      <w:r>
        <w:rPr>
          <w:rFonts w:ascii="Arial" w:cs="Arial" w:eastAsia="Arial" w:hAnsi="Arial"/>
          <w:sz w:val="19"/>
          <w:szCs w:val="19"/>
          <w:color w:val="262626"/>
        </w:rPr>
        <w:t xml:space="preserve"> </w:t>
      </w:r>
      <w:r>
        <w:rPr>
          <w:rFonts w:ascii="Arial" w:cs="Arial" w:eastAsia="Arial" w:hAnsi="Arial"/>
          <w:sz w:val="19"/>
          <w:szCs w:val="19"/>
          <w:color w:val="3D3D3D"/>
        </w:rPr>
        <w:t>its</w:t>
      </w:r>
      <w:r>
        <w:rPr>
          <w:rFonts w:ascii="Arial" w:cs="Arial" w:eastAsia="Arial" w:hAnsi="Arial"/>
          <w:sz w:val="19"/>
          <w:szCs w:val="19"/>
          <w:color w:val="262626"/>
        </w:rPr>
        <w:t xml:space="preserve"> face </w:t>
      </w:r>
      <w:r>
        <w:rPr>
          <w:rFonts w:ascii="Arial" w:cs="Arial" w:eastAsia="Arial" w:hAnsi="Arial"/>
          <w:sz w:val="19"/>
          <w:szCs w:val="19"/>
          <w:color w:val="000000"/>
        </w:rPr>
        <w:t>or by exhibit</w:t>
      </w:r>
      <w:r>
        <w:rPr>
          <w:rFonts w:ascii="Arial" w:cs="Arial" w:eastAsia="Arial" w:hAnsi="Arial"/>
          <w:sz w:val="19"/>
          <w:szCs w:val="19"/>
          <w:color w:val="262626"/>
        </w:rPr>
        <w:t xml:space="preserve"> thereto, indicate </w:t>
      </w:r>
      <w:r>
        <w:rPr>
          <w:rFonts w:ascii="Arial" w:cs="Arial" w:eastAsia="Arial" w:hAnsi="Arial"/>
          <w:sz w:val="19"/>
          <w:szCs w:val="19"/>
          <w:color w:val="000000"/>
        </w:rPr>
        <w:t>that</w:t>
      </w:r>
      <w:r>
        <w:rPr>
          <w:rFonts w:ascii="Arial" w:cs="Arial" w:eastAsia="Arial" w:hAnsi="Arial"/>
          <w:sz w:val="19"/>
          <w:szCs w:val="19"/>
          <w:color w:val="262626"/>
        </w:rPr>
        <w:t xml:space="preserve"> such financing statement </w:t>
      </w:r>
      <w:r>
        <w:rPr>
          <w:rFonts w:ascii="Arial" w:cs="Arial" w:eastAsia="Arial" w:hAnsi="Arial"/>
          <w:sz w:val="19"/>
          <w:szCs w:val="19"/>
          <w:color w:val="000000"/>
        </w:rPr>
        <w:t>i</w:t>
      </w:r>
      <w:r>
        <w:rPr>
          <w:rFonts w:ascii="Arial" w:cs="Arial" w:eastAsia="Arial" w:hAnsi="Arial"/>
          <w:sz w:val="19"/>
          <w:szCs w:val="19"/>
          <w:color w:val="3D3D3D"/>
        </w:rPr>
        <w:t>s</w:t>
      </w:r>
      <w:r>
        <w:rPr>
          <w:rFonts w:ascii="Arial" w:cs="Arial" w:eastAsia="Arial" w:hAnsi="Arial"/>
          <w:sz w:val="19"/>
          <w:szCs w:val="19"/>
          <w:color w:val="262626"/>
        </w:rPr>
        <w:t xml:space="preserve"> applicable only </w:t>
      </w:r>
      <w:r>
        <w:rPr>
          <w:rFonts w:ascii="Arial" w:cs="Arial" w:eastAsia="Arial" w:hAnsi="Arial"/>
          <w:sz w:val="19"/>
          <w:szCs w:val="19"/>
          <w:color w:val="3D3D3D"/>
        </w:rPr>
        <w:t>to</w:t>
      </w:r>
      <w:r>
        <w:rPr>
          <w:rFonts w:ascii="Arial" w:cs="Arial" w:eastAsia="Arial" w:hAnsi="Arial"/>
          <w:sz w:val="19"/>
          <w:szCs w:val="19"/>
          <w:color w:val="262626"/>
        </w:rPr>
        <w:t xml:space="preserve"> </w:t>
      </w:r>
      <w:r>
        <w:rPr>
          <w:rFonts w:ascii="Arial" w:cs="Arial" w:eastAsia="Arial" w:hAnsi="Arial"/>
          <w:sz w:val="19"/>
          <w:szCs w:val="19"/>
          <w:color w:val="000000"/>
        </w:rPr>
        <w:t>re</w:t>
      </w:r>
      <w:r>
        <w:rPr>
          <w:rFonts w:ascii="Arial" w:cs="Arial" w:eastAsia="Arial" w:hAnsi="Arial"/>
          <w:sz w:val="19"/>
          <w:szCs w:val="19"/>
          <w:color w:val="3D3D3D"/>
        </w:rPr>
        <w:t>mova</w:t>
      </w:r>
      <w:r>
        <w:rPr>
          <w:rFonts w:ascii="Arial" w:cs="Arial" w:eastAsia="Arial" w:hAnsi="Arial"/>
          <w:sz w:val="19"/>
          <w:szCs w:val="19"/>
          <w:color w:val="000000"/>
        </w:rPr>
        <w:t>ble per</w:t>
      </w:r>
      <w:r>
        <w:rPr>
          <w:rFonts w:ascii="Arial" w:cs="Arial" w:eastAsia="Arial" w:hAnsi="Arial"/>
          <w:sz w:val="19"/>
          <w:szCs w:val="19"/>
          <w:color w:val="3D3D3D"/>
        </w:rPr>
        <w:t>s</w:t>
      </w:r>
      <w:r>
        <w:rPr>
          <w:rFonts w:ascii="Arial" w:cs="Arial" w:eastAsia="Arial" w:hAnsi="Arial"/>
          <w:sz w:val="19"/>
          <w:szCs w:val="19"/>
          <w:color w:val="000000"/>
        </w:rPr>
        <w:t>onal property of</w:t>
      </w:r>
      <w:r>
        <w:rPr>
          <w:rFonts w:ascii="Arial" w:cs="Arial" w:eastAsia="Arial" w:hAnsi="Arial"/>
          <w:sz w:val="19"/>
          <w:szCs w:val="19"/>
          <w:color w:val="262626"/>
        </w:rPr>
        <w:t xml:space="preserve"> Tenant located within </w:t>
      </w:r>
      <w:r>
        <w:rPr>
          <w:rFonts w:ascii="Arial" w:cs="Arial" w:eastAsia="Arial" w:hAnsi="Arial"/>
          <w:sz w:val="19"/>
          <w:szCs w:val="19"/>
          <w:color w:val="000000"/>
        </w:rPr>
        <w:t>the Premises.</w:t>
      </w:r>
      <w:r>
        <w:rPr>
          <w:rFonts w:ascii="Arial" w:cs="Arial" w:eastAsia="Arial" w:hAnsi="Arial"/>
          <w:sz w:val="19"/>
          <w:szCs w:val="19"/>
          <w:color w:val="262626"/>
        </w:rPr>
        <w:t xml:space="preserve"> </w:t>
      </w:r>
      <w:r>
        <w:rPr>
          <w:rFonts w:ascii="Arial" w:cs="Arial" w:eastAsia="Arial" w:hAnsi="Arial"/>
          <w:sz w:val="19"/>
          <w:szCs w:val="19"/>
          <w:color w:val="000000"/>
        </w:rPr>
        <w:t xml:space="preserve">In no event </w:t>
      </w:r>
      <w:r>
        <w:rPr>
          <w:rFonts w:ascii="Arial" w:cs="Arial" w:eastAsia="Arial" w:hAnsi="Arial"/>
          <w:sz w:val="19"/>
          <w:szCs w:val="19"/>
          <w:color w:val="262626"/>
        </w:rPr>
        <w:t>shall the</w:t>
      </w:r>
      <w:r>
        <w:rPr>
          <w:rFonts w:ascii="Arial" w:cs="Arial" w:eastAsia="Arial" w:hAnsi="Arial"/>
          <w:sz w:val="19"/>
          <w:szCs w:val="19"/>
          <w:color w:val="000000"/>
        </w:rPr>
        <w:t xml:space="preserve"> address of the Premises, the Building </w:t>
      </w:r>
      <w:r>
        <w:rPr>
          <w:rFonts w:ascii="Arial" w:cs="Arial" w:eastAsia="Arial" w:hAnsi="Arial"/>
          <w:sz w:val="19"/>
          <w:szCs w:val="19"/>
          <w:color w:val="262626"/>
        </w:rPr>
        <w:t>or the</w:t>
      </w:r>
      <w:r>
        <w:rPr>
          <w:rFonts w:ascii="Arial" w:cs="Arial" w:eastAsia="Arial" w:hAnsi="Arial"/>
          <w:sz w:val="19"/>
          <w:szCs w:val="19"/>
          <w:color w:val="000000"/>
        </w:rPr>
        <w:t xml:space="preserve"> Project be furnished </w:t>
      </w:r>
      <w:r>
        <w:rPr>
          <w:rFonts w:ascii="Arial" w:cs="Arial" w:eastAsia="Arial" w:hAnsi="Arial"/>
          <w:sz w:val="19"/>
          <w:szCs w:val="19"/>
          <w:color w:val="262626"/>
        </w:rPr>
        <w:t>on</w:t>
      </w:r>
      <w:r>
        <w:rPr>
          <w:rFonts w:ascii="Arial" w:cs="Arial" w:eastAsia="Arial" w:hAnsi="Arial"/>
          <w:sz w:val="19"/>
          <w:szCs w:val="19"/>
          <w:color w:val="000000"/>
        </w:rPr>
        <w:t xml:space="preserve"> a </w:t>
      </w:r>
      <w:r>
        <w:rPr>
          <w:rFonts w:ascii="Arial" w:cs="Arial" w:eastAsia="Arial" w:hAnsi="Arial"/>
          <w:sz w:val="19"/>
          <w:szCs w:val="19"/>
          <w:color w:val="262626"/>
        </w:rPr>
        <w:t>financing statement</w:t>
      </w:r>
      <w:r>
        <w:rPr>
          <w:rFonts w:ascii="Arial" w:cs="Arial" w:eastAsia="Arial" w:hAnsi="Arial"/>
          <w:sz w:val="19"/>
          <w:szCs w:val="19"/>
          <w:color w:val="000000"/>
        </w:rPr>
        <w:t xml:space="preserve"> </w:t>
      </w:r>
      <w:r>
        <w:rPr>
          <w:rFonts w:ascii="Arial" w:cs="Arial" w:eastAsia="Arial" w:hAnsi="Arial"/>
          <w:sz w:val="19"/>
          <w:szCs w:val="19"/>
          <w:color w:val="262626"/>
        </w:rPr>
        <w:t xml:space="preserve">without qualifying </w:t>
      </w:r>
      <w:r>
        <w:rPr>
          <w:rFonts w:ascii="Arial" w:cs="Arial" w:eastAsia="Arial" w:hAnsi="Arial"/>
          <w:sz w:val="19"/>
          <w:szCs w:val="19"/>
          <w:color w:val="3D3D3D"/>
        </w:rPr>
        <w:t>lan</w:t>
      </w:r>
      <w:r>
        <w:rPr>
          <w:rFonts w:ascii="Arial" w:cs="Arial" w:eastAsia="Arial" w:hAnsi="Arial"/>
          <w:sz w:val="19"/>
          <w:szCs w:val="19"/>
          <w:color w:val="000000"/>
        </w:rPr>
        <w:t>guage</w:t>
      </w:r>
      <w:r>
        <w:rPr>
          <w:rFonts w:ascii="Arial" w:cs="Arial" w:eastAsia="Arial" w:hAnsi="Arial"/>
          <w:sz w:val="19"/>
          <w:szCs w:val="19"/>
          <w:color w:val="262626"/>
        </w:rPr>
        <w:t xml:space="preserve"> as to </w:t>
      </w:r>
      <w:r>
        <w:rPr>
          <w:rFonts w:ascii="Arial" w:cs="Arial" w:eastAsia="Arial" w:hAnsi="Arial"/>
          <w:sz w:val="19"/>
          <w:szCs w:val="19"/>
          <w:color w:val="000000"/>
        </w:rPr>
        <w:t>applicabilit</w:t>
      </w:r>
      <w:r>
        <w:rPr>
          <w:rFonts w:ascii="Arial" w:cs="Arial" w:eastAsia="Arial" w:hAnsi="Arial"/>
          <w:sz w:val="19"/>
          <w:szCs w:val="19"/>
          <w:color w:val="3D3D3D"/>
        </w:rPr>
        <w:t>y</w:t>
      </w:r>
      <w:r>
        <w:rPr>
          <w:rFonts w:ascii="Arial" w:cs="Arial" w:eastAsia="Arial" w:hAnsi="Arial"/>
          <w:sz w:val="19"/>
          <w:szCs w:val="19"/>
          <w:color w:val="262626"/>
        </w:rPr>
        <w:t xml:space="preserve"> of </w:t>
      </w:r>
      <w:r>
        <w:rPr>
          <w:rFonts w:ascii="Arial" w:cs="Arial" w:eastAsia="Arial" w:hAnsi="Arial"/>
          <w:sz w:val="19"/>
          <w:szCs w:val="19"/>
          <w:color w:val="000000"/>
        </w:rPr>
        <w:t>the lien only to</w:t>
      </w:r>
      <w:r>
        <w:rPr>
          <w:rFonts w:ascii="Arial" w:cs="Arial" w:eastAsia="Arial" w:hAnsi="Arial"/>
          <w:sz w:val="19"/>
          <w:szCs w:val="19"/>
          <w:color w:val="262626"/>
        </w:rPr>
        <w:t xml:space="preserve"> removable personal </w:t>
      </w:r>
      <w:r>
        <w:rPr>
          <w:rFonts w:ascii="Arial" w:cs="Arial" w:eastAsia="Arial" w:hAnsi="Arial"/>
          <w:sz w:val="19"/>
          <w:szCs w:val="19"/>
          <w:color w:val="000000"/>
        </w:rPr>
        <w:t>property</w:t>
      </w:r>
      <w:r>
        <w:rPr>
          <w:rFonts w:ascii="Arial" w:cs="Arial" w:eastAsia="Arial" w:hAnsi="Arial"/>
          <w:sz w:val="19"/>
          <w:szCs w:val="19"/>
          <w:color w:val="262626"/>
        </w:rPr>
        <w:t xml:space="preserve"> located </w:t>
      </w:r>
      <w:r>
        <w:rPr>
          <w:rFonts w:ascii="Arial" w:cs="Arial" w:eastAsia="Arial" w:hAnsi="Arial"/>
          <w:sz w:val="19"/>
          <w:szCs w:val="19"/>
          <w:color w:val="000000"/>
        </w:rPr>
        <w:t>in an</w:t>
      </w:r>
      <w:r>
        <w:rPr>
          <w:rFonts w:ascii="Arial" w:cs="Arial" w:eastAsia="Arial" w:hAnsi="Arial"/>
          <w:sz w:val="19"/>
          <w:szCs w:val="19"/>
          <w:color w:val="262626"/>
        </w:rPr>
        <w:t xml:space="preserve"> identified </w:t>
      </w:r>
      <w:r>
        <w:rPr>
          <w:rFonts w:ascii="Arial" w:cs="Arial" w:eastAsia="Arial" w:hAnsi="Arial"/>
          <w:sz w:val="19"/>
          <w:szCs w:val="19"/>
          <w:color w:val="3D3D3D"/>
        </w:rPr>
        <w:t>sui</w:t>
      </w:r>
      <w:r>
        <w:rPr>
          <w:rFonts w:ascii="Arial" w:cs="Arial" w:eastAsia="Arial" w:hAnsi="Arial"/>
          <w:sz w:val="19"/>
          <w:szCs w:val="19"/>
          <w:color w:val="000000"/>
        </w:rPr>
        <w:t>t</w:t>
      </w:r>
      <w:r>
        <w:rPr>
          <w:rFonts w:ascii="Arial" w:cs="Arial" w:eastAsia="Arial" w:hAnsi="Arial"/>
          <w:sz w:val="19"/>
          <w:szCs w:val="19"/>
          <w:color w:val="3D3D3D"/>
        </w:rPr>
        <w:t>e</w:t>
      </w:r>
      <w:r>
        <w:rPr>
          <w:rFonts w:ascii="Arial" w:cs="Arial" w:eastAsia="Arial" w:hAnsi="Arial"/>
          <w:sz w:val="19"/>
          <w:szCs w:val="19"/>
          <w:color w:val="262626"/>
        </w:rPr>
        <w:t xml:space="preserve"> </w:t>
      </w:r>
      <w:r>
        <w:rPr>
          <w:rFonts w:ascii="Arial" w:cs="Arial" w:eastAsia="Arial" w:hAnsi="Arial"/>
          <w:sz w:val="19"/>
          <w:szCs w:val="19"/>
          <w:color w:val="000000"/>
        </w:rPr>
        <w:t>leased by</w:t>
      </w:r>
      <w:r>
        <w:rPr>
          <w:rFonts w:ascii="Arial" w:cs="Arial" w:eastAsia="Arial" w:hAnsi="Arial"/>
          <w:sz w:val="19"/>
          <w:szCs w:val="19"/>
          <w:color w:val="262626"/>
        </w:rPr>
        <w:t xml:space="preserve"> Tenant. Should </w:t>
      </w:r>
      <w:r>
        <w:rPr>
          <w:rFonts w:ascii="Arial" w:cs="Arial" w:eastAsia="Arial" w:hAnsi="Arial"/>
          <w:sz w:val="19"/>
          <w:szCs w:val="19"/>
          <w:color w:val="000000"/>
        </w:rPr>
        <w:t>any</w:t>
      </w:r>
      <w:r>
        <w:rPr>
          <w:rFonts w:ascii="Arial" w:cs="Arial" w:eastAsia="Arial" w:hAnsi="Arial"/>
          <w:sz w:val="19"/>
          <w:szCs w:val="19"/>
          <w:color w:val="262626"/>
        </w:rPr>
        <w:t xml:space="preserve"> holder </w:t>
      </w:r>
      <w:r>
        <w:rPr>
          <w:rFonts w:ascii="Arial" w:cs="Arial" w:eastAsia="Arial" w:hAnsi="Arial"/>
          <w:sz w:val="19"/>
          <w:szCs w:val="19"/>
          <w:color w:val="000000"/>
        </w:rPr>
        <w:t>of</w:t>
      </w:r>
      <w:r>
        <w:rPr>
          <w:rFonts w:ascii="Arial" w:cs="Arial" w:eastAsia="Arial" w:hAnsi="Arial"/>
          <w:sz w:val="19"/>
          <w:szCs w:val="19"/>
          <w:color w:val="262626"/>
        </w:rPr>
        <w:t xml:space="preserve"> a financing statement record </w:t>
      </w:r>
      <w:r>
        <w:rPr>
          <w:rFonts w:ascii="Arial" w:cs="Arial" w:eastAsia="Arial" w:hAnsi="Arial"/>
          <w:sz w:val="19"/>
          <w:szCs w:val="19"/>
          <w:color w:val="000000"/>
        </w:rPr>
        <w:t>or</w:t>
      </w:r>
      <w:r>
        <w:rPr>
          <w:rFonts w:ascii="Arial" w:cs="Arial" w:eastAsia="Arial" w:hAnsi="Arial"/>
          <w:sz w:val="19"/>
          <w:szCs w:val="19"/>
          <w:color w:val="262626"/>
        </w:rPr>
        <w:t xml:space="preserve"> place of </w:t>
      </w:r>
      <w:r>
        <w:rPr>
          <w:rFonts w:ascii="Arial" w:cs="Arial" w:eastAsia="Arial" w:hAnsi="Arial"/>
          <w:sz w:val="19"/>
          <w:szCs w:val="19"/>
          <w:color w:val="000000"/>
        </w:rPr>
        <w:t>record</w:t>
      </w:r>
      <w:r>
        <w:rPr>
          <w:rFonts w:ascii="Arial" w:cs="Arial" w:eastAsia="Arial" w:hAnsi="Arial"/>
          <w:sz w:val="19"/>
          <w:szCs w:val="19"/>
          <w:color w:val="262626"/>
        </w:rPr>
        <w:t xml:space="preserve"> a financing statement </w:t>
      </w:r>
      <w:r>
        <w:rPr>
          <w:rFonts w:ascii="Arial" w:cs="Arial" w:eastAsia="Arial" w:hAnsi="Arial"/>
          <w:sz w:val="19"/>
          <w:szCs w:val="19"/>
          <w:color w:val="000000"/>
        </w:rPr>
        <w:t>that appears to</w:t>
      </w:r>
      <w:r>
        <w:rPr>
          <w:rFonts w:ascii="Arial" w:cs="Arial" w:eastAsia="Arial" w:hAnsi="Arial"/>
          <w:sz w:val="19"/>
          <w:szCs w:val="19"/>
          <w:color w:val="262626"/>
        </w:rPr>
        <w:t xml:space="preserve"> constitute </w:t>
      </w:r>
      <w:r>
        <w:rPr>
          <w:rFonts w:ascii="Arial" w:cs="Arial" w:eastAsia="Arial" w:hAnsi="Arial"/>
          <w:sz w:val="19"/>
          <w:szCs w:val="19"/>
          <w:color w:val="000000"/>
        </w:rPr>
        <w:t>a lien</w:t>
      </w:r>
      <w:r>
        <w:rPr>
          <w:rFonts w:ascii="Arial" w:cs="Arial" w:eastAsia="Arial" w:hAnsi="Arial"/>
          <w:sz w:val="19"/>
          <w:szCs w:val="19"/>
          <w:color w:val="262626"/>
        </w:rPr>
        <w:t xml:space="preserve"> against any </w:t>
      </w:r>
      <w:r>
        <w:rPr>
          <w:rFonts w:ascii="Arial" w:cs="Arial" w:eastAsia="Arial" w:hAnsi="Arial"/>
          <w:sz w:val="19"/>
          <w:szCs w:val="19"/>
          <w:color w:val="000000"/>
        </w:rPr>
        <w:t>interest o</w:t>
      </w:r>
      <w:r>
        <w:rPr>
          <w:rFonts w:ascii="Arial" w:cs="Arial" w:eastAsia="Arial" w:hAnsi="Arial"/>
          <w:sz w:val="19"/>
          <w:szCs w:val="19"/>
          <w:color w:val="3D3D3D"/>
        </w:rPr>
        <w:t>f</w:t>
      </w:r>
      <w:r>
        <w:rPr>
          <w:rFonts w:ascii="Arial" w:cs="Arial" w:eastAsia="Arial" w:hAnsi="Arial"/>
          <w:sz w:val="19"/>
          <w:szCs w:val="19"/>
          <w:color w:val="262626"/>
        </w:rPr>
        <w:t xml:space="preserve"> </w:t>
      </w:r>
      <w:r>
        <w:rPr>
          <w:rFonts w:ascii="Arial" w:cs="Arial" w:eastAsia="Arial" w:hAnsi="Arial"/>
          <w:sz w:val="19"/>
          <w:szCs w:val="19"/>
          <w:color w:val="000000"/>
        </w:rPr>
        <w:t>Landlord</w:t>
      </w:r>
      <w:r>
        <w:rPr>
          <w:rFonts w:ascii="Arial" w:cs="Arial" w:eastAsia="Arial" w:hAnsi="Arial"/>
          <w:sz w:val="19"/>
          <w:szCs w:val="19"/>
          <w:color w:val="262626"/>
        </w:rPr>
        <w:t xml:space="preserve"> or against </w:t>
      </w:r>
      <w:r>
        <w:rPr>
          <w:rFonts w:ascii="Arial" w:cs="Arial" w:eastAsia="Arial" w:hAnsi="Arial"/>
          <w:sz w:val="19"/>
          <w:szCs w:val="19"/>
          <w:color w:val="000000"/>
        </w:rPr>
        <w:t>equipment that may be</w:t>
      </w:r>
      <w:r>
        <w:rPr>
          <w:rFonts w:ascii="Arial" w:cs="Arial" w:eastAsia="Arial" w:hAnsi="Arial"/>
          <w:sz w:val="19"/>
          <w:szCs w:val="19"/>
          <w:color w:val="262626"/>
        </w:rPr>
        <w:t xml:space="preserve"> </w:t>
      </w:r>
      <w:r>
        <w:rPr>
          <w:rFonts w:ascii="Arial" w:cs="Arial" w:eastAsia="Arial" w:hAnsi="Arial"/>
          <w:sz w:val="19"/>
          <w:szCs w:val="19"/>
          <w:color w:val="010101"/>
        </w:rPr>
        <w:t xml:space="preserve">located </w:t>
      </w:r>
      <w:r>
        <w:rPr>
          <w:rFonts w:ascii="Arial" w:cs="Arial" w:eastAsia="Arial" w:hAnsi="Arial"/>
          <w:sz w:val="19"/>
          <w:szCs w:val="19"/>
          <w:color w:val="000000"/>
        </w:rPr>
        <w:t>other than</w:t>
      </w:r>
      <w:r>
        <w:rPr>
          <w:rFonts w:ascii="Arial" w:cs="Arial" w:eastAsia="Arial" w:hAnsi="Arial"/>
          <w:sz w:val="19"/>
          <w:szCs w:val="19"/>
          <w:color w:val="010101"/>
        </w:rPr>
        <w:t xml:space="preserve"> </w:t>
      </w:r>
      <w:r>
        <w:rPr>
          <w:rFonts w:ascii="Arial" w:cs="Arial" w:eastAsia="Arial" w:hAnsi="Arial"/>
          <w:sz w:val="19"/>
          <w:szCs w:val="19"/>
          <w:color w:val="262626"/>
        </w:rPr>
        <w:t>within an</w:t>
      </w:r>
      <w:r>
        <w:rPr>
          <w:rFonts w:ascii="Arial" w:cs="Arial" w:eastAsia="Arial" w:hAnsi="Arial"/>
          <w:sz w:val="19"/>
          <w:szCs w:val="19"/>
          <w:color w:val="010101"/>
        </w:rPr>
        <w:t xml:space="preserve"> </w:t>
      </w:r>
      <w:r>
        <w:rPr>
          <w:rFonts w:ascii="Arial" w:cs="Arial" w:eastAsia="Arial" w:hAnsi="Arial"/>
          <w:sz w:val="19"/>
          <w:szCs w:val="19"/>
          <w:color w:val="000000"/>
        </w:rPr>
        <w:t>identified</w:t>
      </w:r>
      <w:r>
        <w:rPr>
          <w:rFonts w:ascii="Arial" w:cs="Arial" w:eastAsia="Arial" w:hAnsi="Arial"/>
          <w:sz w:val="19"/>
          <w:szCs w:val="19"/>
          <w:color w:val="010101"/>
        </w:rPr>
        <w:t xml:space="preserve"> </w:t>
      </w:r>
      <w:r>
        <w:rPr>
          <w:rFonts w:ascii="Arial" w:cs="Arial" w:eastAsia="Arial" w:hAnsi="Arial"/>
          <w:sz w:val="19"/>
          <w:szCs w:val="19"/>
          <w:color w:val="262626"/>
        </w:rPr>
        <w:t>suite</w:t>
      </w:r>
      <w:r>
        <w:rPr>
          <w:rFonts w:ascii="Arial" w:cs="Arial" w:eastAsia="Arial" w:hAnsi="Arial"/>
          <w:sz w:val="19"/>
          <w:szCs w:val="19"/>
          <w:color w:val="010101"/>
        </w:rPr>
        <w:t xml:space="preserve"> leased </w:t>
      </w:r>
      <w:r>
        <w:rPr>
          <w:rFonts w:ascii="Arial" w:cs="Arial" w:eastAsia="Arial" w:hAnsi="Arial"/>
          <w:sz w:val="19"/>
          <w:szCs w:val="19"/>
          <w:color w:val="000000"/>
        </w:rPr>
        <w:t>by</w:t>
      </w:r>
      <w:r>
        <w:rPr>
          <w:rFonts w:ascii="Arial" w:cs="Arial" w:eastAsia="Arial" w:hAnsi="Arial"/>
          <w:sz w:val="19"/>
          <w:szCs w:val="19"/>
          <w:color w:val="010101"/>
        </w:rPr>
        <w:t xml:space="preserve"> </w:t>
      </w:r>
      <w:r>
        <w:rPr>
          <w:rFonts w:ascii="Arial" w:cs="Arial" w:eastAsia="Arial" w:hAnsi="Arial"/>
          <w:sz w:val="19"/>
          <w:szCs w:val="19"/>
          <w:color w:val="262626"/>
        </w:rPr>
        <w:t>Tenant, Tenant shall, within</w:t>
      </w:r>
      <w:r>
        <w:rPr>
          <w:rFonts w:ascii="Arial" w:cs="Arial" w:eastAsia="Arial" w:hAnsi="Arial"/>
          <w:sz w:val="19"/>
          <w:szCs w:val="19"/>
          <w:color w:val="010101"/>
        </w:rPr>
        <w:t xml:space="preserve"> </w:t>
      </w:r>
      <w:r>
        <w:rPr>
          <w:rFonts w:ascii="Arial" w:cs="Arial" w:eastAsia="Arial" w:hAnsi="Arial"/>
          <w:sz w:val="19"/>
          <w:szCs w:val="19"/>
          <w:u w:val="single" w:color="auto"/>
          <w:color w:val="000000"/>
        </w:rPr>
        <w:t>[***]</w:t>
      </w:r>
      <w:r>
        <w:rPr>
          <w:rFonts w:ascii="Arial" w:cs="Arial" w:eastAsia="Arial" w:hAnsi="Arial"/>
          <w:sz w:val="19"/>
          <w:szCs w:val="19"/>
          <w:color w:val="010101"/>
        </w:rPr>
        <w:t xml:space="preserve"> </w:t>
      </w:r>
      <w:r>
        <w:rPr>
          <w:rFonts w:ascii="Arial" w:cs="Arial" w:eastAsia="Arial" w:hAnsi="Arial"/>
          <w:sz w:val="19"/>
          <w:szCs w:val="19"/>
          <w:color w:val="000000"/>
        </w:rPr>
        <w:t>days</w:t>
      </w:r>
      <w:r>
        <w:rPr>
          <w:rFonts w:ascii="Arial" w:cs="Arial" w:eastAsia="Arial" w:hAnsi="Arial"/>
          <w:sz w:val="19"/>
          <w:szCs w:val="19"/>
          <w:color w:val="010101"/>
        </w:rPr>
        <w:t xml:space="preserve"> </w:t>
      </w:r>
      <w:r>
        <w:rPr>
          <w:rFonts w:ascii="Arial" w:cs="Arial" w:eastAsia="Arial" w:hAnsi="Arial"/>
          <w:sz w:val="19"/>
          <w:szCs w:val="19"/>
          <w:color w:val="262626"/>
        </w:rPr>
        <w:t>after filing such</w:t>
      </w:r>
      <w:r>
        <w:rPr>
          <w:rFonts w:ascii="Arial" w:cs="Arial" w:eastAsia="Arial" w:hAnsi="Arial"/>
          <w:sz w:val="19"/>
          <w:szCs w:val="19"/>
          <w:color w:val="010101"/>
        </w:rPr>
        <w:t xml:space="preserve"> </w:t>
      </w:r>
      <w:r>
        <w:rPr>
          <w:rFonts w:ascii="Arial" w:cs="Arial" w:eastAsia="Arial" w:hAnsi="Arial"/>
          <w:sz w:val="19"/>
          <w:szCs w:val="19"/>
          <w:color w:val="000000"/>
        </w:rPr>
        <w:t xml:space="preserve">financing </w:t>
      </w:r>
      <w:r>
        <w:rPr>
          <w:rFonts w:ascii="Arial" w:cs="Arial" w:eastAsia="Arial" w:hAnsi="Arial"/>
          <w:sz w:val="19"/>
          <w:szCs w:val="19"/>
          <w:color w:val="262626"/>
        </w:rPr>
        <w:t>statement, cause (a) a</w:t>
      </w:r>
      <w:r>
        <w:rPr>
          <w:rFonts w:ascii="Arial" w:cs="Arial" w:eastAsia="Arial" w:hAnsi="Arial"/>
          <w:sz w:val="19"/>
          <w:szCs w:val="19"/>
          <w:color w:val="000000"/>
        </w:rPr>
        <w:t xml:space="preserve"> copy </w:t>
      </w:r>
      <w:r>
        <w:rPr>
          <w:rFonts w:ascii="Arial" w:cs="Arial" w:eastAsia="Arial" w:hAnsi="Arial"/>
          <w:sz w:val="19"/>
          <w:szCs w:val="19"/>
          <w:color w:val="262626"/>
        </w:rPr>
        <w:t>of</w:t>
      </w:r>
      <w:r>
        <w:rPr>
          <w:rFonts w:ascii="Arial" w:cs="Arial" w:eastAsia="Arial" w:hAnsi="Arial"/>
          <w:sz w:val="19"/>
          <w:szCs w:val="19"/>
          <w:color w:val="000000"/>
        </w:rPr>
        <w:t xml:space="preserve"> the Lender </w:t>
      </w:r>
      <w:r>
        <w:rPr>
          <w:rFonts w:ascii="Arial" w:cs="Arial" w:eastAsia="Arial" w:hAnsi="Arial"/>
          <w:sz w:val="19"/>
          <w:szCs w:val="19"/>
          <w:color w:val="262626"/>
        </w:rPr>
        <w:t>security agreement or other</w:t>
      </w:r>
      <w:r>
        <w:rPr>
          <w:rFonts w:ascii="Arial" w:cs="Arial" w:eastAsia="Arial" w:hAnsi="Arial"/>
          <w:sz w:val="19"/>
          <w:szCs w:val="19"/>
          <w:color w:val="000000"/>
        </w:rPr>
        <w:t xml:space="preserve"> document</w:t>
      </w:r>
      <w:r>
        <w:rPr>
          <w:rFonts w:ascii="Arial" w:cs="Arial" w:eastAsia="Arial" w:hAnsi="Arial"/>
          <w:sz w:val="19"/>
          <w:szCs w:val="19"/>
          <w:color w:val="3D3D3D"/>
        </w:rPr>
        <w:t>s</w:t>
      </w:r>
      <w:r>
        <w:rPr>
          <w:rFonts w:ascii="Arial" w:cs="Arial" w:eastAsia="Arial" w:hAnsi="Arial"/>
          <w:sz w:val="19"/>
          <w:szCs w:val="19"/>
          <w:color w:val="000000"/>
        </w:rPr>
        <w:t xml:space="preserve"> to </w:t>
      </w:r>
      <w:r>
        <w:rPr>
          <w:rFonts w:ascii="Arial" w:cs="Arial" w:eastAsia="Arial" w:hAnsi="Arial"/>
          <w:sz w:val="19"/>
          <w:szCs w:val="19"/>
          <w:color w:val="262626"/>
        </w:rPr>
        <w:t>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01" w:right="339" w:bottom="1440" w:gutter="0" w:footer="0" w:header="0"/>
        </w:sectPr>
      </w:pPr>
    </w:p>
    <w:bookmarkStart w:id="343" w:name="page344"/>
    <w:bookmarkEnd w:id="343"/>
    <w:p>
      <w:pPr>
        <w:jc w:val="both"/>
        <w:ind w:left="1300"/>
        <w:spacing w:after="0" w:line="229" w:lineRule="auto"/>
        <w:rPr>
          <w:sz w:val="20"/>
          <w:szCs w:val="20"/>
          <w:color w:val="auto"/>
        </w:rPr>
      </w:pPr>
      <w:r>
        <w:rPr>
          <w:rFonts w:ascii="Arial" w:cs="Arial" w:eastAsia="Arial" w:hAnsi="Arial"/>
          <w:sz w:val="21"/>
          <w:szCs w:val="21"/>
          <w:color w:val="262626"/>
        </w:rPr>
        <w:t xml:space="preserve">the </w:t>
      </w:r>
      <w:r>
        <w:rPr>
          <w:rFonts w:ascii="Arial" w:cs="Arial" w:eastAsia="Arial" w:hAnsi="Arial"/>
          <w:sz w:val="21"/>
          <w:szCs w:val="21"/>
          <w:color w:val="3D3D3D"/>
        </w:rPr>
        <w:t>financi</w:t>
      </w:r>
      <w:r>
        <w:rPr>
          <w:rFonts w:ascii="Arial" w:cs="Arial" w:eastAsia="Arial" w:hAnsi="Arial"/>
          <w:sz w:val="21"/>
          <w:szCs w:val="21"/>
          <w:color w:val="000000"/>
        </w:rPr>
        <w:t>ng</w:t>
      </w:r>
      <w:r>
        <w:rPr>
          <w:rFonts w:ascii="Arial" w:cs="Arial" w:eastAsia="Arial" w:hAnsi="Arial"/>
          <w:sz w:val="21"/>
          <w:szCs w:val="21"/>
          <w:color w:val="262626"/>
        </w:rPr>
        <w:t xml:space="preserve"> statement </w:t>
      </w:r>
      <w:r>
        <w:rPr>
          <w:rFonts w:ascii="Arial" w:cs="Arial" w:eastAsia="Arial" w:hAnsi="Arial"/>
          <w:sz w:val="21"/>
          <w:szCs w:val="21"/>
          <w:color w:val="000000"/>
        </w:rPr>
        <w:t>pertains</w:t>
      </w:r>
      <w:r>
        <w:rPr>
          <w:rFonts w:ascii="Arial" w:cs="Arial" w:eastAsia="Arial" w:hAnsi="Arial"/>
          <w:sz w:val="21"/>
          <w:szCs w:val="21"/>
          <w:color w:val="262626"/>
        </w:rPr>
        <w:t xml:space="preserve"> to </w:t>
      </w:r>
      <w:r>
        <w:rPr>
          <w:rFonts w:ascii="Arial" w:cs="Arial" w:eastAsia="Arial" w:hAnsi="Arial"/>
          <w:sz w:val="21"/>
          <w:szCs w:val="21"/>
          <w:color w:val="000000"/>
        </w:rPr>
        <w:t>be furnished</w:t>
      </w:r>
      <w:r>
        <w:rPr>
          <w:rFonts w:ascii="Arial" w:cs="Arial" w:eastAsia="Arial" w:hAnsi="Arial"/>
          <w:sz w:val="21"/>
          <w:szCs w:val="21"/>
          <w:color w:val="262626"/>
        </w:rPr>
        <w:t xml:space="preserve"> to Landlord to facilitate </w:t>
      </w:r>
      <w:r>
        <w:rPr>
          <w:rFonts w:ascii="Arial" w:cs="Arial" w:eastAsia="Arial" w:hAnsi="Arial"/>
          <w:sz w:val="21"/>
          <w:szCs w:val="21"/>
          <w:color w:val="000000"/>
        </w:rPr>
        <w:t>Land</w:t>
      </w:r>
      <w:r>
        <w:rPr>
          <w:rFonts w:ascii="Arial" w:cs="Arial" w:eastAsia="Arial" w:hAnsi="Arial"/>
          <w:sz w:val="21"/>
          <w:szCs w:val="21"/>
          <w:color w:val="3D3D3D"/>
        </w:rPr>
        <w:t>lo</w:t>
      </w:r>
      <w:r>
        <w:rPr>
          <w:rFonts w:ascii="Arial" w:cs="Arial" w:eastAsia="Arial" w:hAnsi="Arial"/>
          <w:sz w:val="21"/>
          <w:szCs w:val="21"/>
          <w:color w:val="000000"/>
        </w:rPr>
        <w:t>rd’s</w:t>
      </w:r>
      <w:r>
        <w:rPr>
          <w:rFonts w:ascii="Arial" w:cs="Arial" w:eastAsia="Arial" w:hAnsi="Arial"/>
          <w:sz w:val="21"/>
          <w:szCs w:val="21"/>
          <w:color w:val="262626"/>
        </w:rPr>
        <w:t xml:space="preserve"> ability </w:t>
      </w:r>
      <w:r>
        <w:rPr>
          <w:rFonts w:ascii="Arial" w:cs="Arial" w:eastAsia="Arial" w:hAnsi="Arial"/>
          <w:sz w:val="21"/>
          <w:szCs w:val="21"/>
          <w:color w:val="000000"/>
        </w:rPr>
        <w:t>to demonstrate that the</w:t>
      </w:r>
      <w:r>
        <w:rPr>
          <w:rFonts w:ascii="Arial" w:cs="Arial" w:eastAsia="Arial" w:hAnsi="Arial"/>
          <w:sz w:val="21"/>
          <w:szCs w:val="21"/>
          <w:color w:val="262626"/>
        </w:rPr>
        <w:t xml:space="preserve"> </w:t>
      </w:r>
      <w:r>
        <w:rPr>
          <w:rFonts w:ascii="Arial" w:cs="Arial" w:eastAsia="Arial" w:hAnsi="Arial"/>
          <w:sz w:val="21"/>
          <w:szCs w:val="21"/>
          <w:color w:val="000000"/>
        </w:rPr>
        <w:t xml:space="preserve">lien </w:t>
      </w:r>
      <w:r>
        <w:rPr>
          <w:rFonts w:ascii="Arial" w:cs="Arial" w:eastAsia="Arial" w:hAnsi="Arial"/>
          <w:sz w:val="21"/>
          <w:szCs w:val="21"/>
          <w:color w:val="262626"/>
        </w:rPr>
        <w:t>of</w:t>
      </w:r>
      <w:r>
        <w:rPr>
          <w:rFonts w:ascii="Arial" w:cs="Arial" w:eastAsia="Arial" w:hAnsi="Arial"/>
          <w:sz w:val="21"/>
          <w:szCs w:val="21"/>
          <w:color w:val="000000"/>
        </w:rPr>
        <w:t xml:space="preserve"> </w:t>
      </w:r>
      <w:r>
        <w:rPr>
          <w:rFonts w:ascii="Arial" w:cs="Arial" w:eastAsia="Arial" w:hAnsi="Arial"/>
          <w:sz w:val="21"/>
          <w:szCs w:val="21"/>
          <w:color w:val="3D3D3D"/>
        </w:rPr>
        <w:t>such</w:t>
      </w:r>
      <w:r>
        <w:rPr>
          <w:rFonts w:ascii="Arial" w:cs="Arial" w:eastAsia="Arial" w:hAnsi="Arial"/>
          <w:sz w:val="21"/>
          <w:szCs w:val="21"/>
          <w:color w:val="000000"/>
        </w:rPr>
        <w:t xml:space="preserve"> </w:t>
      </w:r>
      <w:r>
        <w:rPr>
          <w:rFonts w:ascii="Arial" w:cs="Arial" w:eastAsia="Arial" w:hAnsi="Arial"/>
          <w:sz w:val="21"/>
          <w:szCs w:val="21"/>
          <w:color w:val="262626"/>
        </w:rPr>
        <w:t>financing statement is</w:t>
      </w:r>
      <w:r>
        <w:rPr>
          <w:rFonts w:ascii="Arial" w:cs="Arial" w:eastAsia="Arial" w:hAnsi="Arial"/>
          <w:sz w:val="21"/>
          <w:szCs w:val="21"/>
          <w:color w:val="000000"/>
        </w:rPr>
        <w:t xml:space="preserve"> not </w:t>
      </w:r>
      <w:r>
        <w:rPr>
          <w:rFonts w:ascii="Arial" w:cs="Arial" w:eastAsia="Arial" w:hAnsi="Arial"/>
          <w:sz w:val="21"/>
          <w:szCs w:val="21"/>
          <w:color w:val="262626"/>
        </w:rPr>
        <w:t>applicable to</w:t>
      </w:r>
      <w:r>
        <w:rPr>
          <w:rFonts w:ascii="Arial" w:cs="Arial" w:eastAsia="Arial" w:hAnsi="Arial"/>
          <w:sz w:val="21"/>
          <w:szCs w:val="21"/>
          <w:color w:val="000000"/>
        </w:rPr>
        <w:t xml:space="preserve"> Land</w:t>
      </w:r>
      <w:r>
        <w:rPr>
          <w:rFonts w:ascii="Arial" w:cs="Arial" w:eastAsia="Arial" w:hAnsi="Arial"/>
          <w:sz w:val="21"/>
          <w:szCs w:val="21"/>
          <w:color w:val="3D3D3D"/>
        </w:rPr>
        <w:t>lo</w:t>
      </w:r>
      <w:r>
        <w:rPr>
          <w:rFonts w:ascii="Arial" w:cs="Arial" w:eastAsia="Arial" w:hAnsi="Arial"/>
          <w:sz w:val="21"/>
          <w:szCs w:val="21"/>
          <w:color w:val="000000"/>
        </w:rPr>
        <w:t xml:space="preserve">rd’s interest and </w:t>
      </w:r>
      <w:r>
        <w:rPr>
          <w:rFonts w:ascii="Arial" w:cs="Arial" w:eastAsia="Arial" w:hAnsi="Arial"/>
          <w:sz w:val="21"/>
          <w:szCs w:val="21"/>
          <w:color w:val="262626"/>
        </w:rPr>
        <w:t>(b) Tenant’s</w:t>
      </w:r>
      <w:r>
        <w:rPr>
          <w:rFonts w:ascii="Arial" w:cs="Arial" w:eastAsia="Arial" w:hAnsi="Arial"/>
          <w:sz w:val="21"/>
          <w:szCs w:val="21"/>
          <w:color w:val="000000"/>
        </w:rPr>
        <w:t xml:space="preserve"> Lender </w:t>
      </w:r>
      <w:r>
        <w:rPr>
          <w:rFonts w:ascii="Arial" w:cs="Arial" w:eastAsia="Arial" w:hAnsi="Arial"/>
          <w:sz w:val="21"/>
          <w:szCs w:val="21"/>
          <w:color w:val="262626"/>
        </w:rPr>
        <w:t>to amend such</w:t>
      </w:r>
      <w:r>
        <w:rPr>
          <w:rFonts w:ascii="Arial" w:cs="Arial" w:eastAsia="Arial" w:hAnsi="Arial"/>
          <w:sz w:val="21"/>
          <w:szCs w:val="21"/>
          <w:color w:val="000000"/>
        </w:rPr>
        <w:t xml:space="preserve"> </w:t>
      </w:r>
      <w:r>
        <w:rPr>
          <w:rFonts w:ascii="Arial" w:cs="Arial" w:eastAsia="Arial" w:hAnsi="Arial"/>
          <w:sz w:val="21"/>
          <w:szCs w:val="21"/>
          <w:color w:val="262626"/>
        </w:rPr>
        <w:t xml:space="preserve">financing statement and any other documents of </w:t>
      </w:r>
      <w:r>
        <w:rPr>
          <w:rFonts w:ascii="Arial" w:cs="Arial" w:eastAsia="Arial" w:hAnsi="Arial"/>
          <w:sz w:val="21"/>
          <w:szCs w:val="21"/>
          <w:color w:val="000000"/>
        </w:rPr>
        <w:t>record</w:t>
      </w:r>
      <w:r>
        <w:rPr>
          <w:rFonts w:ascii="Arial" w:cs="Arial" w:eastAsia="Arial" w:hAnsi="Arial"/>
          <w:sz w:val="21"/>
          <w:szCs w:val="21"/>
          <w:color w:val="262626"/>
        </w:rPr>
        <w:t xml:space="preserve"> to </w:t>
      </w:r>
      <w:r>
        <w:rPr>
          <w:rFonts w:ascii="Arial" w:cs="Arial" w:eastAsia="Arial" w:hAnsi="Arial"/>
          <w:sz w:val="21"/>
          <w:szCs w:val="21"/>
          <w:color w:val="000000"/>
        </w:rPr>
        <w:t>clarify</w:t>
      </w:r>
      <w:r>
        <w:rPr>
          <w:rFonts w:ascii="Arial" w:cs="Arial" w:eastAsia="Arial" w:hAnsi="Arial"/>
          <w:sz w:val="21"/>
          <w:szCs w:val="21"/>
          <w:color w:val="262626"/>
        </w:rPr>
        <w:t xml:space="preserve"> that any </w:t>
      </w:r>
      <w:r>
        <w:rPr>
          <w:rFonts w:ascii="Arial" w:cs="Arial" w:eastAsia="Arial" w:hAnsi="Arial"/>
          <w:sz w:val="21"/>
          <w:szCs w:val="21"/>
          <w:color w:val="000000"/>
        </w:rPr>
        <w:t>liens</w:t>
      </w:r>
      <w:r>
        <w:rPr>
          <w:rFonts w:ascii="Arial" w:cs="Arial" w:eastAsia="Arial" w:hAnsi="Arial"/>
          <w:sz w:val="21"/>
          <w:szCs w:val="21"/>
          <w:color w:val="262626"/>
        </w:rPr>
        <w:t xml:space="preserve"> imposed </w:t>
      </w:r>
      <w:r>
        <w:rPr>
          <w:rFonts w:ascii="Arial" w:cs="Arial" w:eastAsia="Arial" w:hAnsi="Arial"/>
          <w:sz w:val="21"/>
          <w:szCs w:val="21"/>
          <w:color w:val="000000"/>
        </w:rPr>
        <w:t>thereby</w:t>
      </w:r>
      <w:r>
        <w:rPr>
          <w:rFonts w:ascii="Arial" w:cs="Arial" w:eastAsia="Arial" w:hAnsi="Arial"/>
          <w:sz w:val="21"/>
          <w:szCs w:val="21"/>
          <w:color w:val="262626"/>
        </w:rPr>
        <w:t xml:space="preserve"> are not </w:t>
      </w:r>
      <w:r>
        <w:rPr>
          <w:rFonts w:ascii="Arial" w:cs="Arial" w:eastAsia="Arial" w:hAnsi="Arial"/>
          <w:sz w:val="21"/>
          <w:szCs w:val="21"/>
          <w:color w:val="000000"/>
        </w:rPr>
        <w:t>applicable</w:t>
      </w:r>
      <w:r>
        <w:rPr>
          <w:rFonts w:ascii="Arial" w:cs="Arial" w:eastAsia="Arial" w:hAnsi="Arial"/>
          <w:sz w:val="21"/>
          <w:szCs w:val="21"/>
          <w:color w:val="262626"/>
        </w:rPr>
        <w:t xml:space="preserve"> </w:t>
      </w:r>
      <w:r>
        <w:rPr>
          <w:rFonts w:ascii="Arial" w:cs="Arial" w:eastAsia="Arial" w:hAnsi="Arial"/>
          <w:sz w:val="21"/>
          <w:szCs w:val="21"/>
          <w:color w:val="000000"/>
        </w:rPr>
        <w:t xml:space="preserve">to </w:t>
      </w:r>
      <w:r>
        <w:rPr>
          <w:rFonts w:ascii="Arial" w:cs="Arial" w:eastAsia="Arial" w:hAnsi="Arial"/>
          <w:sz w:val="21"/>
          <w:szCs w:val="21"/>
          <w:color w:val="262626"/>
        </w:rPr>
        <w:t>any</w:t>
      </w:r>
      <w:r>
        <w:rPr>
          <w:rFonts w:ascii="Arial" w:cs="Arial" w:eastAsia="Arial" w:hAnsi="Arial"/>
          <w:sz w:val="21"/>
          <w:szCs w:val="21"/>
          <w:color w:val="000000"/>
        </w:rPr>
        <w:t xml:space="preserve"> intere</w:t>
      </w:r>
      <w:r>
        <w:rPr>
          <w:rFonts w:ascii="Arial" w:cs="Arial" w:eastAsia="Arial" w:hAnsi="Arial"/>
          <w:sz w:val="21"/>
          <w:szCs w:val="21"/>
          <w:color w:val="3D3D3D"/>
        </w:rPr>
        <w:t>s</w:t>
      </w:r>
      <w:r>
        <w:rPr>
          <w:rFonts w:ascii="Arial" w:cs="Arial" w:eastAsia="Arial" w:hAnsi="Arial"/>
          <w:sz w:val="21"/>
          <w:szCs w:val="21"/>
          <w:color w:val="000000"/>
        </w:rPr>
        <w:t xml:space="preserve">t </w:t>
      </w:r>
      <w:r>
        <w:rPr>
          <w:rFonts w:ascii="Arial" w:cs="Arial" w:eastAsia="Arial" w:hAnsi="Arial"/>
          <w:sz w:val="21"/>
          <w:szCs w:val="21"/>
          <w:color w:val="262626"/>
        </w:rPr>
        <w:t>of Landlord in</w:t>
      </w:r>
      <w:r>
        <w:rPr>
          <w:rFonts w:ascii="Arial" w:cs="Arial" w:eastAsia="Arial" w:hAnsi="Arial"/>
          <w:sz w:val="21"/>
          <w:szCs w:val="21"/>
          <w:color w:val="000000"/>
        </w:rPr>
        <w:t xml:space="preserve"> the </w:t>
      </w:r>
      <w:r>
        <w:rPr>
          <w:rFonts w:ascii="Arial" w:cs="Arial" w:eastAsia="Arial" w:hAnsi="Arial"/>
          <w:sz w:val="21"/>
          <w:szCs w:val="21"/>
          <w:color w:val="262626"/>
        </w:rPr>
        <w:t>Premises, the Building or</w:t>
      </w:r>
      <w:r>
        <w:rPr>
          <w:rFonts w:ascii="Arial" w:cs="Arial" w:eastAsia="Arial" w:hAnsi="Arial"/>
          <w:sz w:val="21"/>
          <w:szCs w:val="21"/>
          <w:color w:val="000000"/>
        </w:rPr>
        <w:t xml:space="preserve"> the Pro</w:t>
      </w:r>
      <w:r>
        <w:rPr>
          <w:rFonts w:ascii="Arial" w:cs="Arial" w:eastAsia="Arial" w:hAnsi="Arial"/>
          <w:sz w:val="21"/>
          <w:szCs w:val="21"/>
          <w:color w:val="3D3D3D"/>
        </w:rPr>
        <w:t>jec</w:t>
      </w:r>
      <w:r>
        <w:rPr>
          <w:rFonts w:ascii="Arial" w:cs="Arial" w:eastAsia="Arial" w:hAnsi="Arial"/>
          <w:sz w:val="21"/>
          <w:szCs w:val="21"/>
          <w:color w:val="000000"/>
        </w:rPr>
        <w:t>t.</w:t>
      </w:r>
    </w:p>
    <w:p>
      <w:pPr>
        <w:spacing w:after="0" w:line="158" w:lineRule="exact"/>
        <w:rPr>
          <w:sz w:val="20"/>
          <w:szCs w:val="20"/>
          <w:color w:val="auto"/>
        </w:rPr>
      </w:pPr>
    </w:p>
    <w:p>
      <w:pPr>
        <w:jc w:val="both"/>
        <w:ind w:left="660" w:hanging="652"/>
        <w:spacing w:after="0" w:line="241" w:lineRule="auto"/>
        <w:tabs>
          <w:tab w:leader="none" w:pos="660"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Estoppel Certificate</w:t>
      </w:r>
      <w:r>
        <w:rPr>
          <w:rFonts w:ascii="Arial" w:cs="Arial" w:eastAsia="Arial" w:hAnsi="Arial"/>
          <w:sz w:val="19"/>
          <w:szCs w:val="19"/>
          <w:color w:val="auto"/>
        </w:rPr>
        <w:t xml:space="preserve">. </w:t>
      </w:r>
      <w:r>
        <w:rPr>
          <w:rFonts w:ascii="Arial" w:cs="Arial" w:eastAsia="Arial" w:hAnsi="Arial"/>
          <w:sz w:val="19"/>
          <w:szCs w:val="19"/>
          <w:color w:val="131313"/>
        </w:rPr>
        <w:t>Tenan</w:t>
      </w:r>
      <w:r>
        <w:rPr>
          <w:rFonts w:ascii="Arial" w:cs="Arial" w:eastAsia="Arial" w:hAnsi="Arial"/>
          <w:sz w:val="19"/>
          <w:szCs w:val="19"/>
          <w:color w:val="3D3D3D"/>
        </w:rPr>
        <w:t>t</w:t>
      </w:r>
      <w:r>
        <w:rPr>
          <w:rFonts w:ascii="Arial" w:cs="Arial" w:eastAsia="Arial" w:hAnsi="Arial"/>
          <w:sz w:val="19"/>
          <w:szCs w:val="19"/>
          <w:color w:val="auto"/>
        </w:rPr>
        <w:t xml:space="preserve"> shall, within </w:t>
      </w:r>
      <w:r>
        <w:rPr>
          <w:rFonts w:ascii="Arial" w:cs="Arial" w:eastAsia="Arial" w:hAnsi="Arial"/>
          <w:sz w:val="19"/>
          <w:szCs w:val="19"/>
          <w:u w:val="single" w:color="auto"/>
          <w:color w:val="auto"/>
        </w:rPr>
        <w:t>[***]</w:t>
      </w:r>
      <w:r>
        <w:rPr>
          <w:rFonts w:ascii="Arial" w:cs="Arial" w:eastAsia="Arial" w:hAnsi="Arial"/>
          <w:sz w:val="19"/>
          <w:szCs w:val="19"/>
          <w:color w:val="auto"/>
        </w:rPr>
        <w:t xml:space="preserve"> days after </w:t>
      </w:r>
      <w:r>
        <w:rPr>
          <w:rFonts w:ascii="Arial" w:cs="Arial" w:eastAsia="Arial" w:hAnsi="Arial"/>
          <w:sz w:val="19"/>
          <w:szCs w:val="19"/>
          <w:color w:val="131313"/>
        </w:rPr>
        <w:t>receipt</w:t>
      </w:r>
      <w:r>
        <w:rPr>
          <w:rFonts w:ascii="Arial" w:cs="Arial" w:eastAsia="Arial" w:hAnsi="Arial"/>
          <w:sz w:val="19"/>
          <w:szCs w:val="19"/>
          <w:color w:val="auto"/>
        </w:rPr>
        <w:t xml:space="preserve"> of written </w:t>
      </w:r>
      <w:r>
        <w:rPr>
          <w:rFonts w:ascii="Arial" w:cs="Arial" w:eastAsia="Arial" w:hAnsi="Arial"/>
          <w:sz w:val="19"/>
          <w:szCs w:val="19"/>
          <w:color w:val="131313"/>
        </w:rPr>
        <w:t>notice</w:t>
      </w:r>
      <w:r>
        <w:rPr>
          <w:rFonts w:ascii="Arial" w:cs="Arial" w:eastAsia="Arial" w:hAnsi="Arial"/>
          <w:sz w:val="19"/>
          <w:szCs w:val="19"/>
          <w:color w:val="auto"/>
        </w:rPr>
        <w:t xml:space="preserve"> from Landlord, execute, acknowledge </w:t>
      </w:r>
      <w:r>
        <w:rPr>
          <w:rFonts w:ascii="Arial" w:cs="Arial" w:eastAsia="Arial" w:hAnsi="Arial"/>
          <w:sz w:val="19"/>
          <w:szCs w:val="19"/>
          <w:color w:val="131313"/>
        </w:rPr>
        <w:t>and deli</w:t>
      </w:r>
      <w:r>
        <w:rPr>
          <w:rFonts w:ascii="Arial" w:cs="Arial" w:eastAsia="Arial" w:hAnsi="Arial"/>
          <w:sz w:val="19"/>
          <w:szCs w:val="19"/>
          <w:color w:val="3D3D3D"/>
        </w:rPr>
        <w:t>v</w:t>
      </w:r>
      <w:r>
        <w:rPr>
          <w:rFonts w:ascii="Arial" w:cs="Arial" w:eastAsia="Arial" w:hAnsi="Arial"/>
          <w:sz w:val="19"/>
          <w:szCs w:val="19"/>
          <w:color w:val="131313"/>
        </w:rPr>
        <w:t xml:space="preserve">er </w:t>
      </w:r>
      <w:r>
        <w:rPr>
          <w:rFonts w:ascii="Arial" w:cs="Arial" w:eastAsia="Arial" w:hAnsi="Arial"/>
          <w:sz w:val="19"/>
          <w:szCs w:val="19"/>
          <w:color w:val="000000"/>
        </w:rPr>
        <w:t>a</w:t>
      </w:r>
      <w:r>
        <w:rPr>
          <w:rFonts w:ascii="Arial" w:cs="Arial" w:eastAsia="Arial" w:hAnsi="Arial"/>
          <w:sz w:val="19"/>
          <w:szCs w:val="19"/>
          <w:color w:val="131313"/>
        </w:rPr>
        <w:t xml:space="preserve"> </w:t>
      </w:r>
      <w:r>
        <w:rPr>
          <w:rFonts w:ascii="Arial" w:cs="Arial" w:eastAsia="Arial" w:hAnsi="Arial"/>
          <w:sz w:val="19"/>
          <w:szCs w:val="19"/>
          <w:color w:val="3D3D3D"/>
        </w:rPr>
        <w:t>sta</w:t>
      </w:r>
      <w:r>
        <w:rPr>
          <w:rFonts w:ascii="Arial" w:cs="Arial" w:eastAsia="Arial" w:hAnsi="Arial"/>
          <w:sz w:val="19"/>
          <w:szCs w:val="19"/>
          <w:color w:val="131313"/>
        </w:rPr>
        <w:t xml:space="preserve">tement in </w:t>
      </w:r>
      <w:r>
        <w:rPr>
          <w:rFonts w:ascii="Arial" w:cs="Arial" w:eastAsia="Arial" w:hAnsi="Arial"/>
          <w:sz w:val="19"/>
          <w:szCs w:val="19"/>
          <w:color w:val="000000"/>
        </w:rPr>
        <w:t>Writing</w:t>
      </w:r>
      <w:r>
        <w:rPr>
          <w:rFonts w:ascii="Arial" w:cs="Arial" w:eastAsia="Arial" w:hAnsi="Arial"/>
          <w:sz w:val="19"/>
          <w:szCs w:val="19"/>
          <w:color w:val="131313"/>
        </w:rPr>
        <w:t xml:space="preserve"> </w:t>
      </w:r>
      <w:r>
        <w:rPr>
          <w:rFonts w:ascii="Arial" w:cs="Arial" w:eastAsia="Arial" w:hAnsi="Arial"/>
          <w:sz w:val="19"/>
          <w:szCs w:val="19"/>
          <w:color w:val="3D3D3D"/>
        </w:rPr>
        <w:t>s</w:t>
      </w:r>
      <w:r>
        <w:rPr>
          <w:rFonts w:ascii="Arial" w:cs="Arial" w:eastAsia="Arial" w:hAnsi="Arial"/>
          <w:sz w:val="19"/>
          <w:szCs w:val="19"/>
          <w:color w:val="131313"/>
        </w:rPr>
        <w:t xml:space="preserve">ubstantially in </w:t>
      </w:r>
      <w:r>
        <w:rPr>
          <w:rFonts w:ascii="Arial" w:cs="Arial" w:eastAsia="Arial" w:hAnsi="Arial"/>
          <w:sz w:val="19"/>
          <w:szCs w:val="19"/>
          <w:color w:val="3D3D3D"/>
        </w:rPr>
        <w:t>t</w:t>
      </w:r>
      <w:r>
        <w:rPr>
          <w:rFonts w:ascii="Arial" w:cs="Arial" w:eastAsia="Arial" w:hAnsi="Arial"/>
          <w:sz w:val="19"/>
          <w:szCs w:val="19"/>
          <w:color w:val="131313"/>
        </w:rPr>
        <w:t xml:space="preserve">he form attached to </w:t>
      </w:r>
      <w:r>
        <w:rPr>
          <w:rFonts w:ascii="Arial" w:cs="Arial" w:eastAsia="Arial" w:hAnsi="Arial"/>
          <w:sz w:val="19"/>
          <w:szCs w:val="19"/>
          <w:color w:val="000000"/>
        </w:rPr>
        <w:t>this</w:t>
      </w:r>
      <w:r>
        <w:rPr>
          <w:rFonts w:ascii="Arial" w:cs="Arial" w:eastAsia="Arial" w:hAnsi="Arial"/>
          <w:sz w:val="19"/>
          <w:szCs w:val="19"/>
          <w:color w:val="131313"/>
        </w:rPr>
        <w:t xml:space="preserve"> Lease </w:t>
      </w:r>
      <w:r>
        <w:rPr>
          <w:rFonts w:ascii="Arial" w:cs="Arial" w:eastAsia="Arial" w:hAnsi="Arial"/>
          <w:sz w:val="19"/>
          <w:szCs w:val="19"/>
          <w:color w:val="000000"/>
        </w:rPr>
        <w:t>as</w:t>
      </w:r>
      <w:r>
        <w:rPr>
          <w:rFonts w:ascii="Arial" w:cs="Arial" w:eastAsia="Arial" w:hAnsi="Arial"/>
          <w:sz w:val="19"/>
          <w:szCs w:val="19"/>
          <w:color w:val="131313"/>
        </w:rPr>
        <w:t xml:space="preserve"> </w:t>
      </w:r>
      <w:r>
        <w:rPr>
          <w:rFonts w:ascii="Arial" w:cs="Arial" w:eastAsia="Arial" w:hAnsi="Arial"/>
          <w:sz w:val="19"/>
          <w:szCs w:val="19"/>
          <w:u w:val="single" w:color="auto"/>
          <w:color w:val="000000"/>
        </w:rPr>
        <w:t>Exhibit</w:t>
      </w:r>
      <w:r>
        <w:rPr>
          <w:rFonts w:ascii="Arial" w:cs="Arial" w:eastAsia="Arial" w:hAnsi="Arial"/>
          <w:sz w:val="19"/>
          <w:szCs w:val="19"/>
          <w:color w:val="131313"/>
        </w:rPr>
        <w:t xml:space="preserve"> </w:t>
      </w:r>
      <w:r>
        <w:rPr>
          <w:rFonts w:ascii="Arial" w:cs="Arial" w:eastAsia="Arial" w:hAnsi="Arial"/>
          <w:sz w:val="19"/>
          <w:szCs w:val="19"/>
          <w:u w:val="single" w:color="auto"/>
          <w:color w:val="131313"/>
        </w:rPr>
        <w:t>I</w:t>
      </w:r>
      <w:r>
        <w:rPr>
          <w:rFonts w:ascii="Arial" w:cs="Arial" w:eastAsia="Arial" w:hAnsi="Arial"/>
          <w:sz w:val="19"/>
          <w:szCs w:val="19"/>
          <w:color w:val="131313"/>
        </w:rPr>
        <w:t xml:space="preserve">, </w:t>
      </w:r>
      <w:r>
        <w:rPr>
          <w:rFonts w:ascii="Arial" w:cs="Arial" w:eastAsia="Arial" w:hAnsi="Arial"/>
          <w:sz w:val="19"/>
          <w:szCs w:val="19"/>
          <w:color w:val="000000"/>
        </w:rPr>
        <w:t>or</w:t>
      </w:r>
      <w:r>
        <w:rPr>
          <w:rFonts w:ascii="Arial" w:cs="Arial" w:eastAsia="Arial" w:hAnsi="Arial"/>
          <w:sz w:val="19"/>
          <w:szCs w:val="19"/>
          <w:color w:val="131313"/>
        </w:rPr>
        <w:t xml:space="preserve"> on </w:t>
      </w:r>
      <w:r>
        <w:rPr>
          <w:rFonts w:ascii="Arial" w:cs="Arial" w:eastAsia="Arial" w:hAnsi="Arial"/>
          <w:sz w:val="19"/>
          <w:szCs w:val="19"/>
          <w:color w:val="000000"/>
        </w:rPr>
        <w:t>any other form</w:t>
      </w:r>
      <w:r>
        <w:rPr>
          <w:rFonts w:ascii="Arial" w:cs="Arial" w:eastAsia="Arial" w:hAnsi="Arial"/>
          <w:sz w:val="19"/>
          <w:szCs w:val="19"/>
          <w:color w:val="131313"/>
        </w:rPr>
        <w:t xml:space="preserve"> reasonably requested by </w:t>
      </w:r>
      <w:r>
        <w:rPr>
          <w:rFonts w:ascii="Arial" w:cs="Arial" w:eastAsia="Arial" w:hAnsi="Arial"/>
          <w:sz w:val="19"/>
          <w:szCs w:val="19"/>
          <w:color w:val="000000"/>
        </w:rPr>
        <w:t>a proposed</w:t>
      </w:r>
      <w:r>
        <w:rPr>
          <w:rFonts w:ascii="Arial" w:cs="Arial" w:eastAsia="Arial" w:hAnsi="Arial"/>
          <w:sz w:val="19"/>
          <w:szCs w:val="19"/>
          <w:color w:val="131313"/>
        </w:rPr>
        <w:t xml:space="preserve"> Lender or purchaser</w:t>
      </w:r>
      <w:r>
        <w:rPr>
          <w:rFonts w:ascii="Arial" w:cs="Arial" w:eastAsia="Arial" w:hAnsi="Arial"/>
          <w:sz w:val="19"/>
          <w:szCs w:val="19"/>
          <w:color w:val="3D3D3D"/>
        </w:rPr>
        <w:t>,</w:t>
      </w:r>
      <w:r>
        <w:rPr>
          <w:rFonts w:ascii="Arial" w:cs="Arial" w:eastAsia="Arial" w:hAnsi="Arial"/>
          <w:sz w:val="19"/>
          <w:szCs w:val="19"/>
          <w:color w:val="131313"/>
        </w:rPr>
        <w:t xml:space="preserve"> </w:t>
      </w:r>
      <w:r>
        <w:rPr>
          <w:rFonts w:ascii="Arial" w:cs="Arial" w:eastAsia="Arial" w:hAnsi="Arial"/>
          <w:sz w:val="19"/>
          <w:szCs w:val="19"/>
          <w:color w:val="000000"/>
        </w:rPr>
        <w:t>(a) certifying</w:t>
      </w:r>
      <w:r>
        <w:rPr>
          <w:rFonts w:ascii="Arial" w:cs="Arial" w:eastAsia="Arial" w:hAnsi="Arial"/>
          <w:sz w:val="19"/>
          <w:szCs w:val="19"/>
          <w:color w:val="131313"/>
        </w:rPr>
        <w:t xml:space="preserve"> that </w:t>
      </w:r>
      <w:r>
        <w:rPr>
          <w:rFonts w:ascii="Arial" w:cs="Arial" w:eastAsia="Arial" w:hAnsi="Arial"/>
          <w:sz w:val="19"/>
          <w:szCs w:val="19"/>
          <w:color w:val="000000"/>
        </w:rPr>
        <w:t>this</w:t>
      </w:r>
      <w:r>
        <w:rPr>
          <w:rFonts w:ascii="Arial" w:cs="Arial" w:eastAsia="Arial" w:hAnsi="Arial"/>
          <w:sz w:val="19"/>
          <w:szCs w:val="19"/>
          <w:color w:val="131313"/>
        </w:rPr>
        <w:t xml:space="preserve"> Lease </w:t>
      </w:r>
      <w:r>
        <w:rPr>
          <w:rFonts w:ascii="Arial" w:cs="Arial" w:eastAsia="Arial" w:hAnsi="Arial"/>
          <w:sz w:val="19"/>
          <w:szCs w:val="19"/>
          <w:color w:val="3D3D3D"/>
        </w:rPr>
        <w:t>is</w:t>
      </w:r>
      <w:r>
        <w:rPr>
          <w:rFonts w:ascii="Arial" w:cs="Arial" w:eastAsia="Arial" w:hAnsi="Arial"/>
          <w:sz w:val="19"/>
          <w:szCs w:val="19"/>
          <w:color w:val="131313"/>
        </w:rPr>
        <w:t xml:space="preserve"> </w:t>
      </w:r>
      <w:r>
        <w:rPr>
          <w:rFonts w:ascii="Arial" w:cs="Arial" w:eastAsia="Arial" w:hAnsi="Arial"/>
          <w:sz w:val="19"/>
          <w:szCs w:val="19"/>
          <w:color w:val="000000"/>
        </w:rPr>
        <w:t>unmodified and</w:t>
      </w:r>
      <w:r>
        <w:rPr>
          <w:rFonts w:ascii="Arial" w:cs="Arial" w:eastAsia="Arial" w:hAnsi="Arial"/>
          <w:sz w:val="19"/>
          <w:szCs w:val="19"/>
          <w:color w:val="131313"/>
        </w:rPr>
        <w:t xml:space="preserve"> in </w:t>
      </w:r>
      <w:r>
        <w:rPr>
          <w:rFonts w:ascii="Arial" w:cs="Arial" w:eastAsia="Arial" w:hAnsi="Arial"/>
          <w:sz w:val="19"/>
          <w:szCs w:val="19"/>
          <w:color w:val="000000"/>
        </w:rPr>
        <w:t>full force and</w:t>
      </w:r>
      <w:r>
        <w:rPr>
          <w:rFonts w:ascii="Arial" w:cs="Arial" w:eastAsia="Arial" w:hAnsi="Arial"/>
          <w:sz w:val="19"/>
          <w:szCs w:val="19"/>
          <w:color w:val="131313"/>
        </w:rPr>
        <w:t xml:space="preserve"> effect </w:t>
      </w:r>
      <w:r>
        <w:rPr>
          <w:rFonts w:ascii="Arial" w:cs="Arial" w:eastAsia="Arial" w:hAnsi="Arial"/>
          <w:sz w:val="19"/>
          <w:szCs w:val="19"/>
          <w:color w:val="000000"/>
        </w:rPr>
        <w:t>(</w:t>
      </w:r>
      <w:r>
        <w:rPr>
          <w:rFonts w:ascii="Arial" w:cs="Arial" w:eastAsia="Arial" w:hAnsi="Arial"/>
          <w:sz w:val="19"/>
          <w:szCs w:val="19"/>
          <w:color w:val="131313"/>
        </w:rPr>
        <w:t xml:space="preserve">or, </w:t>
      </w:r>
      <w:r>
        <w:rPr>
          <w:rFonts w:ascii="Arial" w:cs="Arial" w:eastAsia="Arial" w:hAnsi="Arial"/>
          <w:sz w:val="19"/>
          <w:szCs w:val="19"/>
          <w:color w:val="000000"/>
        </w:rPr>
        <w:t>if</w:t>
      </w:r>
      <w:r>
        <w:rPr>
          <w:rFonts w:ascii="Arial" w:cs="Arial" w:eastAsia="Arial" w:hAnsi="Arial"/>
          <w:sz w:val="19"/>
          <w:szCs w:val="19"/>
          <w:color w:val="131313"/>
        </w:rPr>
        <w:t xml:space="preserve"> modified, </w:t>
      </w:r>
      <w:r>
        <w:rPr>
          <w:rFonts w:ascii="Arial" w:cs="Arial" w:eastAsia="Arial" w:hAnsi="Arial"/>
          <w:sz w:val="19"/>
          <w:szCs w:val="19"/>
          <w:color w:val="000000"/>
        </w:rPr>
        <w:t>stating</w:t>
      </w:r>
      <w:r>
        <w:rPr>
          <w:rFonts w:ascii="Arial" w:cs="Arial" w:eastAsia="Arial" w:hAnsi="Arial"/>
          <w:sz w:val="19"/>
          <w:szCs w:val="19"/>
          <w:color w:val="131313"/>
        </w:rPr>
        <w:t xml:space="preserve"> the </w:t>
      </w:r>
      <w:r>
        <w:rPr>
          <w:rFonts w:ascii="Arial" w:cs="Arial" w:eastAsia="Arial" w:hAnsi="Arial"/>
          <w:sz w:val="19"/>
          <w:szCs w:val="19"/>
          <w:color w:val="000000"/>
        </w:rPr>
        <w:t>nature</w:t>
      </w:r>
      <w:r>
        <w:rPr>
          <w:rFonts w:ascii="Arial" w:cs="Arial" w:eastAsia="Arial" w:hAnsi="Arial"/>
          <w:sz w:val="19"/>
          <w:szCs w:val="19"/>
          <w:color w:val="131313"/>
        </w:rPr>
        <w:t xml:space="preserve"> of </w:t>
      </w:r>
      <w:r>
        <w:rPr>
          <w:rFonts w:ascii="Arial" w:cs="Arial" w:eastAsia="Arial" w:hAnsi="Arial"/>
          <w:sz w:val="19"/>
          <w:szCs w:val="19"/>
          <w:color w:val="3D3D3D"/>
        </w:rPr>
        <w:t>such</w:t>
      </w:r>
      <w:r>
        <w:rPr>
          <w:rFonts w:ascii="Arial" w:cs="Arial" w:eastAsia="Arial" w:hAnsi="Arial"/>
          <w:sz w:val="19"/>
          <w:szCs w:val="19"/>
          <w:color w:val="131313"/>
        </w:rPr>
        <w:t xml:space="preserve"> modification </w:t>
      </w:r>
      <w:r>
        <w:rPr>
          <w:rFonts w:ascii="Arial" w:cs="Arial" w:eastAsia="Arial" w:hAnsi="Arial"/>
          <w:sz w:val="19"/>
          <w:szCs w:val="19"/>
          <w:color w:val="000000"/>
        </w:rPr>
        <w:t>and certifying</w:t>
      </w:r>
      <w:r>
        <w:rPr>
          <w:rFonts w:ascii="Arial" w:cs="Arial" w:eastAsia="Arial" w:hAnsi="Arial"/>
          <w:sz w:val="19"/>
          <w:szCs w:val="19"/>
          <w:color w:val="131313"/>
        </w:rPr>
        <w:t xml:space="preserve"> that this Lea</w:t>
      </w:r>
      <w:r>
        <w:rPr>
          <w:rFonts w:ascii="Arial" w:cs="Arial" w:eastAsia="Arial" w:hAnsi="Arial"/>
          <w:sz w:val="19"/>
          <w:szCs w:val="19"/>
          <w:color w:val="3D3D3D"/>
        </w:rPr>
        <w:t>se</w:t>
      </w:r>
      <w:r>
        <w:rPr>
          <w:rFonts w:ascii="Arial" w:cs="Arial" w:eastAsia="Arial" w:hAnsi="Arial"/>
          <w:sz w:val="19"/>
          <w:szCs w:val="19"/>
          <w:color w:val="131313"/>
        </w:rPr>
        <w:t xml:space="preserve"> </w:t>
      </w:r>
      <w:r>
        <w:rPr>
          <w:rFonts w:ascii="Arial" w:cs="Arial" w:eastAsia="Arial" w:hAnsi="Arial"/>
          <w:sz w:val="19"/>
          <w:szCs w:val="19"/>
          <w:color w:val="000000"/>
        </w:rPr>
        <w:t>as</w:t>
      </w:r>
      <w:r>
        <w:rPr>
          <w:rFonts w:ascii="Arial" w:cs="Arial" w:eastAsia="Arial" w:hAnsi="Arial"/>
          <w:sz w:val="19"/>
          <w:szCs w:val="19"/>
          <w:color w:val="131313"/>
        </w:rPr>
        <w:t xml:space="preserve"> </w:t>
      </w:r>
      <w:r>
        <w:rPr>
          <w:rFonts w:ascii="Arial" w:cs="Arial" w:eastAsia="Arial" w:hAnsi="Arial"/>
          <w:sz w:val="19"/>
          <w:szCs w:val="19"/>
          <w:color w:val="3D3D3D"/>
        </w:rPr>
        <w:t>s</w:t>
      </w:r>
      <w:r>
        <w:rPr>
          <w:rFonts w:ascii="Arial" w:cs="Arial" w:eastAsia="Arial" w:hAnsi="Arial"/>
          <w:sz w:val="19"/>
          <w:szCs w:val="19"/>
          <w:color w:val="131313"/>
        </w:rPr>
        <w:t xml:space="preserve">o modified is in </w:t>
      </w:r>
      <w:r>
        <w:rPr>
          <w:rFonts w:ascii="Arial" w:cs="Arial" w:eastAsia="Arial" w:hAnsi="Arial"/>
          <w:sz w:val="19"/>
          <w:szCs w:val="19"/>
          <w:color w:val="000000"/>
        </w:rPr>
        <w:t>full</w:t>
      </w:r>
      <w:r>
        <w:rPr>
          <w:rFonts w:ascii="Arial" w:cs="Arial" w:eastAsia="Arial" w:hAnsi="Arial"/>
          <w:sz w:val="19"/>
          <w:szCs w:val="19"/>
          <w:color w:val="131313"/>
        </w:rPr>
        <w:t xml:space="preserve"> force </w:t>
      </w:r>
      <w:r>
        <w:rPr>
          <w:rFonts w:ascii="Arial" w:cs="Arial" w:eastAsia="Arial" w:hAnsi="Arial"/>
          <w:sz w:val="19"/>
          <w:szCs w:val="19"/>
          <w:color w:val="000000"/>
        </w:rPr>
        <w:t xml:space="preserve">and effect) and the </w:t>
      </w:r>
      <w:r>
        <w:rPr>
          <w:rFonts w:ascii="Arial" w:cs="Arial" w:eastAsia="Arial" w:hAnsi="Arial"/>
          <w:sz w:val="19"/>
          <w:szCs w:val="19"/>
          <w:color w:val="131313"/>
        </w:rPr>
        <w:t>date</w:t>
      </w:r>
      <w:r>
        <w:rPr>
          <w:rFonts w:ascii="Arial" w:cs="Arial" w:eastAsia="Arial" w:hAnsi="Arial"/>
          <w:sz w:val="19"/>
          <w:szCs w:val="19"/>
          <w:color w:val="3D3D3D"/>
        </w:rPr>
        <w:t>s to</w:t>
      </w:r>
      <w:r>
        <w:rPr>
          <w:rFonts w:ascii="Arial" w:cs="Arial" w:eastAsia="Arial" w:hAnsi="Arial"/>
          <w:sz w:val="19"/>
          <w:szCs w:val="19"/>
          <w:color w:val="000000"/>
        </w:rPr>
        <w:t xml:space="preserve"> which </w:t>
      </w:r>
      <w:r>
        <w:rPr>
          <w:rFonts w:ascii="Arial" w:cs="Arial" w:eastAsia="Arial" w:hAnsi="Arial"/>
          <w:sz w:val="19"/>
          <w:szCs w:val="19"/>
          <w:color w:val="131313"/>
        </w:rPr>
        <w:t>rental</w:t>
      </w:r>
      <w:r>
        <w:rPr>
          <w:rFonts w:ascii="Arial" w:cs="Arial" w:eastAsia="Arial" w:hAnsi="Arial"/>
          <w:sz w:val="19"/>
          <w:szCs w:val="19"/>
          <w:color w:val="000000"/>
        </w:rPr>
        <w:t xml:space="preserve"> and other charges </w:t>
      </w:r>
      <w:r>
        <w:rPr>
          <w:rFonts w:ascii="Arial" w:cs="Arial" w:eastAsia="Arial" w:hAnsi="Arial"/>
          <w:sz w:val="19"/>
          <w:szCs w:val="19"/>
          <w:color w:val="131313"/>
        </w:rPr>
        <w:t>are</w:t>
      </w:r>
      <w:r>
        <w:rPr>
          <w:rFonts w:ascii="Arial" w:cs="Arial" w:eastAsia="Arial" w:hAnsi="Arial"/>
          <w:sz w:val="19"/>
          <w:szCs w:val="19"/>
          <w:color w:val="000000"/>
        </w:rPr>
        <w:t xml:space="preserve"> paid </w:t>
      </w:r>
      <w:r>
        <w:rPr>
          <w:rFonts w:ascii="Arial" w:cs="Arial" w:eastAsia="Arial" w:hAnsi="Arial"/>
          <w:sz w:val="19"/>
          <w:szCs w:val="19"/>
          <w:color w:val="131313"/>
        </w:rPr>
        <w:t>in</w:t>
      </w:r>
      <w:r>
        <w:rPr>
          <w:rFonts w:ascii="Arial" w:cs="Arial" w:eastAsia="Arial" w:hAnsi="Arial"/>
          <w:sz w:val="19"/>
          <w:szCs w:val="19"/>
          <w:color w:val="000000"/>
        </w:rPr>
        <w:t xml:space="preserve"> advance, </w:t>
      </w:r>
      <w:r>
        <w:rPr>
          <w:rFonts w:ascii="Arial" w:cs="Arial" w:eastAsia="Arial" w:hAnsi="Arial"/>
          <w:sz w:val="19"/>
          <w:szCs w:val="19"/>
          <w:color w:val="131313"/>
        </w:rPr>
        <w:t>if</w:t>
      </w:r>
      <w:r>
        <w:rPr>
          <w:rFonts w:ascii="Arial" w:cs="Arial" w:eastAsia="Arial" w:hAnsi="Arial"/>
          <w:sz w:val="19"/>
          <w:szCs w:val="19"/>
          <w:color w:val="000000"/>
        </w:rPr>
        <w:t xml:space="preserve"> any, </w:t>
      </w:r>
      <w:r>
        <w:rPr>
          <w:rFonts w:ascii="Arial" w:cs="Arial" w:eastAsia="Arial" w:hAnsi="Arial"/>
          <w:sz w:val="19"/>
          <w:szCs w:val="19"/>
          <w:color w:val="131313"/>
        </w:rPr>
        <w:t>(b)</w:t>
      </w:r>
      <w:r>
        <w:rPr>
          <w:rFonts w:ascii="Arial" w:cs="Arial" w:eastAsia="Arial" w:hAnsi="Arial"/>
          <w:sz w:val="19"/>
          <w:szCs w:val="19"/>
          <w:color w:val="000000"/>
        </w:rPr>
        <w:t xml:space="preserve"> acknowledging </w:t>
      </w:r>
      <w:r>
        <w:rPr>
          <w:rFonts w:ascii="Arial" w:cs="Arial" w:eastAsia="Arial" w:hAnsi="Arial"/>
          <w:sz w:val="19"/>
          <w:szCs w:val="19"/>
          <w:color w:val="131313"/>
        </w:rPr>
        <w:t>that</w:t>
      </w:r>
      <w:r>
        <w:rPr>
          <w:rFonts w:ascii="Arial" w:cs="Arial" w:eastAsia="Arial" w:hAnsi="Arial"/>
          <w:sz w:val="19"/>
          <w:szCs w:val="19"/>
          <w:color w:val="000000"/>
        </w:rPr>
        <w:t xml:space="preserve"> there are </w:t>
      </w:r>
      <w:r>
        <w:rPr>
          <w:rFonts w:ascii="Arial" w:cs="Arial" w:eastAsia="Arial" w:hAnsi="Arial"/>
          <w:sz w:val="19"/>
          <w:szCs w:val="19"/>
          <w:color w:val="131313"/>
        </w:rPr>
        <w:t xml:space="preserve">not, </w:t>
      </w:r>
      <w:r>
        <w:rPr>
          <w:rFonts w:ascii="Arial" w:cs="Arial" w:eastAsia="Arial" w:hAnsi="Arial"/>
          <w:sz w:val="19"/>
          <w:szCs w:val="19"/>
          <w:color w:val="000000"/>
        </w:rPr>
        <w:t>to</w:t>
      </w:r>
      <w:r>
        <w:rPr>
          <w:rFonts w:ascii="Arial" w:cs="Arial" w:eastAsia="Arial" w:hAnsi="Arial"/>
          <w:sz w:val="19"/>
          <w:szCs w:val="19"/>
          <w:color w:val="131313"/>
        </w:rPr>
        <w:t xml:space="preserve"> Tenant’s </w:t>
      </w:r>
      <w:r>
        <w:rPr>
          <w:rFonts w:ascii="Arial" w:cs="Arial" w:eastAsia="Arial" w:hAnsi="Arial"/>
          <w:sz w:val="19"/>
          <w:szCs w:val="19"/>
          <w:color w:val="000000"/>
        </w:rPr>
        <w:t>knowledge, any uncured defaults on the</w:t>
      </w:r>
      <w:r>
        <w:rPr>
          <w:rFonts w:ascii="Arial" w:cs="Arial" w:eastAsia="Arial" w:hAnsi="Arial"/>
          <w:sz w:val="19"/>
          <w:szCs w:val="19"/>
          <w:color w:val="131313"/>
        </w:rPr>
        <w:t xml:space="preserve"> part </w:t>
      </w:r>
      <w:r>
        <w:rPr>
          <w:rFonts w:ascii="Arial" w:cs="Arial" w:eastAsia="Arial" w:hAnsi="Arial"/>
          <w:sz w:val="19"/>
          <w:szCs w:val="19"/>
          <w:color w:val="000000"/>
        </w:rPr>
        <w:t>of Landlord</w:t>
      </w:r>
      <w:r>
        <w:rPr>
          <w:rFonts w:ascii="Arial" w:cs="Arial" w:eastAsia="Arial" w:hAnsi="Arial"/>
          <w:sz w:val="19"/>
          <w:szCs w:val="19"/>
          <w:color w:val="131313"/>
        </w:rPr>
        <w:t xml:space="preserve"> hereunder, or </w:t>
      </w:r>
      <w:r>
        <w:rPr>
          <w:rFonts w:ascii="Arial" w:cs="Arial" w:eastAsia="Arial" w:hAnsi="Arial"/>
          <w:sz w:val="19"/>
          <w:szCs w:val="19"/>
          <w:color w:val="000000"/>
        </w:rPr>
        <w:t>specifying</w:t>
      </w:r>
      <w:r>
        <w:rPr>
          <w:rFonts w:ascii="Arial" w:cs="Arial" w:eastAsia="Arial" w:hAnsi="Arial"/>
          <w:sz w:val="19"/>
          <w:szCs w:val="19"/>
          <w:color w:val="131313"/>
        </w:rPr>
        <w:t xml:space="preserve"> such </w:t>
      </w:r>
      <w:r>
        <w:rPr>
          <w:rFonts w:ascii="Arial" w:cs="Arial" w:eastAsia="Arial" w:hAnsi="Arial"/>
          <w:sz w:val="19"/>
          <w:szCs w:val="19"/>
          <w:color w:val="000000"/>
        </w:rPr>
        <w:t>defaults</w:t>
      </w:r>
      <w:r>
        <w:rPr>
          <w:rFonts w:ascii="Arial" w:cs="Arial" w:eastAsia="Arial" w:hAnsi="Arial"/>
          <w:sz w:val="19"/>
          <w:szCs w:val="19"/>
          <w:color w:val="131313"/>
        </w:rPr>
        <w:t xml:space="preserve"> i</w:t>
      </w:r>
      <w:r>
        <w:rPr>
          <w:rFonts w:ascii="Arial" w:cs="Arial" w:eastAsia="Arial" w:hAnsi="Arial"/>
          <w:sz w:val="19"/>
          <w:szCs w:val="19"/>
          <w:color w:val="3D3D3D"/>
        </w:rPr>
        <w:t>f</w:t>
      </w:r>
      <w:r>
        <w:rPr>
          <w:rFonts w:ascii="Arial" w:cs="Arial" w:eastAsia="Arial" w:hAnsi="Arial"/>
          <w:sz w:val="19"/>
          <w:szCs w:val="19"/>
          <w:color w:val="131313"/>
        </w:rPr>
        <w:t xml:space="preserve"> any </w:t>
      </w:r>
      <w:r>
        <w:rPr>
          <w:rFonts w:ascii="Arial" w:cs="Arial" w:eastAsia="Arial" w:hAnsi="Arial"/>
          <w:sz w:val="19"/>
          <w:szCs w:val="19"/>
          <w:color w:val="000000"/>
        </w:rPr>
        <w:t>are</w:t>
      </w:r>
      <w:r>
        <w:rPr>
          <w:rFonts w:ascii="Arial" w:cs="Arial" w:eastAsia="Arial" w:hAnsi="Arial"/>
          <w:sz w:val="19"/>
          <w:szCs w:val="19"/>
          <w:color w:val="131313"/>
        </w:rPr>
        <w:t xml:space="preserve"> claimed, </w:t>
      </w:r>
      <w:r>
        <w:rPr>
          <w:rFonts w:ascii="Arial" w:cs="Arial" w:eastAsia="Arial" w:hAnsi="Arial"/>
          <w:sz w:val="19"/>
          <w:szCs w:val="19"/>
          <w:color w:val="000000"/>
        </w:rPr>
        <w:t>and</w:t>
      </w:r>
      <w:r>
        <w:rPr>
          <w:rFonts w:ascii="Arial" w:cs="Arial" w:eastAsia="Arial" w:hAnsi="Arial"/>
          <w:sz w:val="19"/>
          <w:szCs w:val="19"/>
          <w:color w:val="131313"/>
        </w:rPr>
        <w:t xml:space="preserve"> (c) </w:t>
      </w:r>
      <w:r>
        <w:rPr>
          <w:rFonts w:ascii="Arial" w:cs="Arial" w:eastAsia="Arial" w:hAnsi="Arial"/>
          <w:sz w:val="19"/>
          <w:szCs w:val="19"/>
          <w:color w:val="3D3D3D"/>
        </w:rPr>
        <w:t>se</w:t>
      </w:r>
      <w:r>
        <w:rPr>
          <w:rFonts w:ascii="Arial" w:cs="Arial" w:eastAsia="Arial" w:hAnsi="Arial"/>
          <w:sz w:val="19"/>
          <w:szCs w:val="19"/>
          <w:color w:val="131313"/>
        </w:rPr>
        <w:t xml:space="preserve">tting </w:t>
      </w:r>
      <w:r>
        <w:rPr>
          <w:rFonts w:ascii="Arial" w:cs="Arial" w:eastAsia="Arial" w:hAnsi="Arial"/>
          <w:sz w:val="19"/>
          <w:szCs w:val="19"/>
          <w:color w:val="000000"/>
        </w:rPr>
        <w:t>forth such further factual information with respect to this</w:t>
      </w:r>
      <w:r>
        <w:rPr>
          <w:rFonts w:ascii="Arial" w:cs="Arial" w:eastAsia="Arial" w:hAnsi="Arial"/>
          <w:sz w:val="19"/>
          <w:szCs w:val="19"/>
          <w:color w:val="131313"/>
        </w:rPr>
        <w:t xml:space="preserve"> Lease or </w:t>
      </w:r>
      <w:r>
        <w:rPr>
          <w:rFonts w:ascii="Arial" w:cs="Arial" w:eastAsia="Arial" w:hAnsi="Arial"/>
          <w:sz w:val="19"/>
          <w:szCs w:val="19"/>
          <w:color w:val="3D3D3D"/>
        </w:rPr>
        <w:t>t</w:t>
      </w:r>
      <w:r>
        <w:rPr>
          <w:rFonts w:ascii="Arial" w:cs="Arial" w:eastAsia="Arial" w:hAnsi="Arial"/>
          <w:sz w:val="19"/>
          <w:szCs w:val="19"/>
          <w:color w:val="131313"/>
        </w:rPr>
        <w:t>he Pr</w:t>
      </w:r>
      <w:r>
        <w:rPr>
          <w:rFonts w:ascii="Arial" w:cs="Arial" w:eastAsia="Arial" w:hAnsi="Arial"/>
          <w:sz w:val="19"/>
          <w:szCs w:val="19"/>
          <w:color w:val="3D3D3D"/>
        </w:rPr>
        <w:t>emises</w:t>
      </w:r>
      <w:r>
        <w:rPr>
          <w:rFonts w:ascii="Arial" w:cs="Arial" w:eastAsia="Arial" w:hAnsi="Arial"/>
          <w:sz w:val="19"/>
          <w:szCs w:val="19"/>
          <w:color w:val="131313"/>
        </w:rPr>
        <w:t xml:space="preserve"> </w:t>
      </w:r>
      <w:r>
        <w:rPr>
          <w:rFonts w:ascii="Arial" w:cs="Arial" w:eastAsia="Arial" w:hAnsi="Arial"/>
          <w:sz w:val="19"/>
          <w:szCs w:val="19"/>
          <w:color w:val="000000"/>
        </w:rPr>
        <w:t>as</w:t>
      </w:r>
      <w:r>
        <w:rPr>
          <w:rFonts w:ascii="Arial" w:cs="Arial" w:eastAsia="Arial" w:hAnsi="Arial"/>
          <w:sz w:val="19"/>
          <w:szCs w:val="19"/>
          <w:color w:val="131313"/>
        </w:rPr>
        <w:t xml:space="preserve"> may </w:t>
      </w:r>
      <w:r>
        <w:rPr>
          <w:rFonts w:ascii="Arial" w:cs="Arial" w:eastAsia="Arial" w:hAnsi="Arial"/>
          <w:sz w:val="19"/>
          <w:szCs w:val="19"/>
          <w:color w:val="000000"/>
        </w:rPr>
        <w:t>be</w:t>
      </w:r>
      <w:r>
        <w:rPr>
          <w:rFonts w:ascii="Arial" w:cs="Arial" w:eastAsia="Arial" w:hAnsi="Arial"/>
          <w:sz w:val="19"/>
          <w:szCs w:val="19"/>
          <w:color w:val="131313"/>
        </w:rPr>
        <w:t xml:space="preserve"> </w:t>
      </w:r>
      <w:r>
        <w:rPr>
          <w:rFonts w:ascii="Arial" w:cs="Arial" w:eastAsia="Arial" w:hAnsi="Arial"/>
          <w:sz w:val="19"/>
          <w:szCs w:val="19"/>
          <w:color w:val="000000"/>
        </w:rPr>
        <w:t xml:space="preserve">reasonably </w:t>
      </w:r>
      <w:r>
        <w:rPr>
          <w:rFonts w:ascii="Arial" w:cs="Arial" w:eastAsia="Arial" w:hAnsi="Arial"/>
          <w:sz w:val="19"/>
          <w:szCs w:val="19"/>
          <w:color w:val="131313"/>
        </w:rPr>
        <w:t>requested</w:t>
      </w:r>
      <w:r>
        <w:rPr>
          <w:rFonts w:ascii="Arial" w:cs="Arial" w:eastAsia="Arial" w:hAnsi="Arial"/>
          <w:sz w:val="19"/>
          <w:szCs w:val="19"/>
          <w:color w:val="000000"/>
        </w:rPr>
        <w:t xml:space="preserve"> thereon. </w:t>
      </w:r>
      <w:r>
        <w:rPr>
          <w:rFonts w:ascii="Arial" w:cs="Arial" w:eastAsia="Arial" w:hAnsi="Arial"/>
          <w:sz w:val="19"/>
          <w:szCs w:val="19"/>
          <w:color w:val="131313"/>
        </w:rPr>
        <w:t>Any</w:t>
      </w:r>
      <w:r>
        <w:rPr>
          <w:rFonts w:ascii="Arial" w:cs="Arial" w:eastAsia="Arial" w:hAnsi="Arial"/>
          <w:sz w:val="19"/>
          <w:szCs w:val="19"/>
          <w:color w:val="000000"/>
        </w:rPr>
        <w:t xml:space="preserve"> such statement may be </w:t>
      </w:r>
      <w:r>
        <w:rPr>
          <w:rFonts w:ascii="Arial" w:cs="Arial" w:eastAsia="Arial" w:hAnsi="Arial"/>
          <w:sz w:val="19"/>
          <w:szCs w:val="19"/>
          <w:color w:val="131313"/>
        </w:rPr>
        <w:t>relied</w:t>
      </w:r>
      <w:r>
        <w:rPr>
          <w:rFonts w:ascii="Arial" w:cs="Arial" w:eastAsia="Arial" w:hAnsi="Arial"/>
          <w:sz w:val="19"/>
          <w:szCs w:val="19"/>
          <w:color w:val="000000"/>
        </w:rPr>
        <w:t xml:space="preserve"> upon </w:t>
      </w:r>
      <w:r>
        <w:rPr>
          <w:rFonts w:ascii="Arial" w:cs="Arial" w:eastAsia="Arial" w:hAnsi="Arial"/>
          <w:sz w:val="19"/>
          <w:szCs w:val="19"/>
          <w:color w:val="131313"/>
        </w:rPr>
        <w:t>by</w:t>
      </w:r>
      <w:r>
        <w:rPr>
          <w:rFonts w:ascii="Arial" w:cs="Arial" w:eastAsia="Arial" w:hAnsi="Arial"/>
          <w:sz w:val="19"/>
          <w:szCs w:val="19"/>
          <w:color w:val="000000"/>
        </w:rPr>
        <w:t xml:space="preserve"> any </w:t>
      </w:r>
      <w:r>
        <w:rPr>
          <w:rFonts w:ascii="Arial" w:cs="Arial" w:eastAsia="Arial" w:hAnsi="Arial"/>
          <w:sz w:val="19"/>
          <w:szCs w:val="19"/>
          <w:color w:val="131313"/>
        </w:rPr>
        <w:t>prospective</w:t>
      </w:r>
      <w:r>
        <w:rPr>
          <w:rFonts w:ascii="Arial" w:cs="Arial" w:eastAsia="Arial" w:hAnsi="Arial"/>
          <w:sz w:val="19"/>
          <w:szCs w:val="19"/>
          <w:color w:val="000000"/>
        </w:rPr>
        <w:t xml:space="preserve"> purchaser or encumbrancer of </w:t>
      </w:r>
      <w:r>
        <w:rPr>
          <w:rFonts w:ascii="Arial" w:cs="Arial" w:eastAsia="Arial" w:hAnsi="Arial"/>
          <w:sz w:val="19"/>
          <w:szCs w:val="19"/>
          <w:color w:val="131313"/>
        </w:rPr>
        <w:t xml:space="preserve">all or </w:t>
      </w:r>
      <w:r>
        <w:rPr>
          <w:rFonts w:ascii="Arial" w:cs="Arial" w:eastAsia="Arial" w:hAnsi="Arial"/>
          <w:sz w:val="19"/>
          <w:szCs w:val="19"/>
          <w:color w:val="000000"/>
        </w:rPr>
        <w:t>any portion of the real property</w:t>
      </w:r>
      <w:r>
        <w:rPr>
          <w:rFonts w:ascii="Arial" w:cs="Arial" w:eastAsia="Arial" w:hAnsi="Arial"/>
          <w:sz w:val="19"/>
          <w:szCs w:val="19"/>
          <w:color w:val="131313"/>
        </w:rPr>
        <w:t xml:space="preserve"> of </w:t>
      </w:r>
      <w:r>
        <w:rPr>
          <w:rFonts w:ascii="Arial" w:cs="Arial" w:eastAsia="Arial" w:hAnsi="Arial"/>
          <w:sz w:val="19"/>
          <w:szCs w:val="19"/>
          <w:color w:val="000000"/>
        </w:rPr>
        <w:t>which the Premises are a part.</w:t>
      </w:r>
      <w:r>
        <w:rPr>
          <w:rFonts w:ascii="Arial" w:cs="Arial" w:eastAsia="Arial" w:hAnsi="Arial"/>
          <w:sz w:val="19"/>
          <w:szCs w:val="19"/>
          <w:color w:val="131313"/>
        </w:rPr>
        <w:t xml:space="preserve"> Tenant’s </w:t>
      </w:r>
      <w:r>
        <w:rPr>
          <w:rFonts w:ascii="Arial" w:cs="Arial" w:eastAsia="Arial" w:hAnsi="Arial"/>
          <w:sz w:val="19"/>
          <w:szCs w:val="19"/>
          <w:color w:val="3D3D3D"/>
        </w:rPr>
        <w:t>fa</w:t>
      </w:r>
      <w:r>
        <w:rPr>
          <w:rFonts w:ascii="Arial" w:cs="Arial" w:eastAsia="Arial" w:hAnsi="Arial"/>
          <w:sz w:val="19"/>
          <w:szCs w:val="19"/>
          <w:color w:val="131313"/>
        </w:rPr>
        <w:t>i</w:t>
      </w:r>
      <w:r>
        <w:rPr>
          <w:rFonts w:ascii="Arial" w:cs="Arial" w:eastAsia="Arial" w:hAnsi="Arial"/>
          <w:sz w:val="19"/>
          <w:szCs w:val="19"/>
          <w:color w:val="3D3D3D"/>
        </w:rPr>
        <w:t>lure</w:t>
      </w:r>
      <w:r>
        <w:rPr>
          <w:rFonts w:ascii="Arial" w:cs="Arial" w:eastAsia="Arial" w:hAnsi="Arial"/>
          <w:sz w:val="19"/>
          <w:szCs w:val="19"/>
          <w:color w:val="131313"/>
        </w:rPr>
        <w:t xml:space="preserve"> </w:t>
      </w:r>
      <w:r>
        <w:rPr>
          <w:rFonts w:ascii="Arial" w:cs="Arial" w:eastAsia="Arial" w:hAnsi="Arial"/>
          <w:sz w:val="19"/>
          <w:szCs w:val="19"/>
          <w:color w:val="000000"/>
        </w:rPr>
        <w:t>to</w:t>
      </w:r>
      <w:r>
        <w:rPr>
          <w:rFonts w:ascii="Arial" w:cs="Arial" w:eastAsia="Arial" w:hAnsi="Arial"/>
          <w:sz w:val="19"/>
          <w:szCs w:val="19"/>
          <w:color w:val="131313"/>
        </w:rPr>
        <w:t xml:space="preserve"> delive</w:t>
      </w:r>
      <w:r>
        <w:rPr>
          <w:rFonts w:ascii="Arial" w:cs="Arial" w:eastAsia="Arial" w:hAnsi="Arial"/>
          <w:sz w:val="19"/>
          <w:szCs w:val="19"/>
          <w:color w:val="3D3D3D"/>
        </w:rPr>
        <w:t>r</w:t>
      </w:r>
      <w:r>
        <w:rPr>
          <w:rFonts w:ascii="Arial" w:cs="Arial" w:eastAsia="Arial" w:hAnsi="Arial"/>
          <w:sz w:val="19"/>
          <w:szCs w:val="19"/>
          <w:color w:val="131313"/>
        </w:rPr>
        <w:t xml:space="preserve"> </w:t>
      </w:r>
      <w:r>
        <w:rPr>
          <w:rFonts w:ascii="Arial" w:cs="Arial" w:eastAsia="Arial" w:hAnsi="Arial"/>
          <w:sz w:val="19"/>
          <w:szCs w:val="19"/>
          <w:color w:val="000000"/>
        </w:rPr>
        <w:t>such statement within</w:t>
      </w:r>
      <w:r>
        <w:rPr>
          <w:rFonts w:ascii="Arial" w:cs="Arial" w:eastAsia="Arial" w:hAnsi="Arial"/>
          <w:sz w:val="19"/>
          <w:szCs w:val="19"/>
          <w:color w:val="131313"/>
        </w:rPr>
        <w:t xml:space="preserve"> </w:t>
      </w:r>
      <w:r>
        <w:rPr>
          <w:rFonts w:ascii="Arial" w:cs="Arial" w:eastAsia="Arial" w:hAnsi="Arial"/>
          <w:sz w:val="19"/>
          <w:szCs w:val="19"/>
          <w:color w:val="000000"/>
        </w:rPr>
        <w:t xml:space="preserve">such </w:t>
      </w:r>
      <w:r>
        <w:rPr>
          <w:rFonts w:ascii="Arial" w:cs="Arial" w:eastAsia="Arial" w:hAnsi="Arial"/>
          <w:sz w:val="19"/>
          <w:szCs w:val="19"/>
          <w:color w:val="131313"/>
        </w:rPr>
        <w:t>the</w:t>
      </w:r>
      <w:r>
        <w:rPr>
          <w:rFonts w:ascii="Arial" w:cs="Arial" w:eastAsia="Arial" w:hAnsi="Arial"/>
          <w:sz w:val="19"/>
          <w:szCs w:val="19"/>
          <w:color w:val="000000"/>
        </w:rPr>
        <w:t xml:space="preserve"> prescribed time shall, at </w:t>
      </w:r>
      <w:r>
        <w:rPr>
          <w:rFonts w:ascii="Arial" w:cs="Arial" w:eastAsia="Arial" w:hAnsi="Arial"/>
          <w:sz w:val="19"/>
          <w:szCs w:val="19"/>
          <w:color w:val="131313"/>
        </w:rPr>
        <w:t>Landlord’</w:t>
      </w:r>
      <w:r>
        <w:rPr>
          <w:rFonts w:ascii="Arial" w:cs="Arial" w:eastAsia="Arial" w:hAnsi="Arial"/>
          <w:sz w:val="19"/>
          <w:szCs w:val="19"/>
          <w:color w:val="3D3D3D"/>
        </w:rPr>
        <w:t>s</w:t>
      </w:r>
      <w:r>
        <w:rPr>
          <w:rFonts w:ascii="Arial" w:cs="Arial" w:eastAsia="Arial" w:hAnsi="Arial"/>
          <w:sz w:val="19"/>
          <w:szCs w:val="19"/>
          <w:color w:val="000000"/>
        </w:rPr>
        <w:t xml:space="preserve"> option, constitute a </w:t>
      </w:r>
      <w:r>
        <w:rPr>
          <w:rFonts w:ascii="Arial" w:cs="Arial" w:eastAsia="Arial" w:hAnsi="Arial"/>
          <w:sz w:val="19"/>
          <w:szCs w:val="19"/>
          <w:color w:val="131313"/>
        </w:rPr>
        <w:t>Default (a</w:t>
      </w:r>
      <w:r>
        <w:rPr>
          <w:rFonts w:ascii="Arial" w:cs="Arial" w:eastAsia="Arial" w:hAnsi="Arial"/>
          <w:sz w:val="19"/>
          <w:szCs w:val="19"/>
          <w:color w:val="3D3D3D"/>
        </w:rPr>
        <w:t>s</w:t>
      </w:r>
      <w:r>
        <w:rPr>
          <w:rFonts w:ascii="Arial" w:cs="Arial" w:eastAsia="Arial" w:hAnsi="Arial"/>
          <w:sz w:val="19"/>
          <w:szCs w:val="19"/>
          <w:color w:val="000000"/>
        </w:rPr>
        <w:t xml:space="preserve"> </w:t>
      </w:r>
      <w:r>
        <w:rPr>
          <w:rFonts w:ascii="Arial" w:cs="Arial" w:eastAsia="Arial" w:hAnsi="Arial"/>
          <w:sz w:val="19"/>
          <w:szCs w:val="19"/>
          <w:color w:val="131313"/>
        </w:rPr>
        <w:t>defined below) under this</w:t>
      </w:r>
      <w:r>
        <w:rPr>
          <w:rFonts w:ascii="Arial" w:cs="Arial" w:eastAsia="Arial" w:hAnsi="Arial"/>
          <w:sz w:val="19"/>
          <w:szCs w:val="19"/>
          <w:color w:val="000000"/>
        </w:rPr>
        <w:t xml:space="preserve"> Lease, and, in </w:t>
      </w:r>
      <w:r>
        <w:rPr>
          <w:rFonts w:ascii="Arial" w:cs="Arial" w:eastAsia="Arial" w:hAnsi="Arial"/>
          <w:sz w:val="19"/>
          <w:szCs w:val="19"/>
          <w:color w:val="131313"/>
        </w:rPr>
        <w:t>any</w:t>
      </w:r>
      <w:r>
        <w:rPr>
          <w:rFonts w:ascii="Arial" w:cs="Arial" w:eastAsia="Arial" w:hAnsi="Arial"/>
          <w:sz w:val="19"/>
          <w:szCs w:val="19"/>
          <w:color w:val="000000"/>
        </w:rPr>
        <w:t xml:space="preserve"> event, shall </w:t>
      </w:r>
      <w:r>
        <w:rPr>
          <w:rFonts w:ascii="Arial" w:cs="Arial" w:eastAsia="Arial" w:hAnsi="Arial"/>
          <w:sz w:val="19"/>
          <w:szCs w:val="19"/>
          <w:color w:val="131313"/>
        </w:rPr>
        <w:t>be</w:t>
      </w:r>
      <w:r>
        <w:rPr>
          <w:rFonts w:ascii="Arial" w:cs="Arial" w:eastAsia="Arial" w:hAnsi="Arial"/>
          <w:sz w:val="19"/>
          <w:szCs w:val="19"/>
          <w:color w:val="000000"/>
        </w:rPr>
        <w:t xml:space="preserve"> binding upon Tenant </w:t>
      </w:r>
      <w:r>
        <w:rPr>
          <w:rFonts w:ascii="Arial" w:cs="Arial" w:eastAsia="Arial" w:hAnsi="Arial"/>
          <w:sz w:val="19"/>
          <w:szCs w:val="19"/>
          <w:color w:val="131313"/>
        </w:rPr>
        <w:t>that the</w:t>
      </w:r>
      <w:r>
        <w:rPr>
          <w:rFonts w:ascii="Arial" w:cs="Arial" w:eastAsia="Arial" w:hAnsi="Arial"/>
          <w:sz w:val="19"/>
          <w:szCs w:val="19"/>
          <w:color w:val="000000"/>
        </w:rPr>
        <w:t xml:space="preserve"> Lease </w:t>
      </w:r>
      <w:r>
        <w:rPr>
          <w:rFonts w:ascii="Arial" w:cs="Arial" w:eastAsia="Arial" w:hAnsi="Arial"/>
          <w:sz w:val="19"/>
          <w:szCs w:val="19"/>
          <w:color w:val="131313"/>
        </w:rPr>
        <w:t>i</w:t>
      </w:r>
      <w:r>
        <w:rPr>
          <w:rFonts w:ascii="Arial" w:cs="Arial" w:eastAsia="Arial" w:hAnsi="Arial"/>
          <w:sz w:val="19"/>
          <w:szCs w:val="19"/>
          <w:color w:val="3D3D3D"/>
        </w:rPr>
        <w:t>s</w:t>
      </w:r>
      <w:r>
        <w:rPr>
          <w:rFonts w:ascii="Arial" w:cs="Arial" w:eastAsia="Arial" w:hAnsi="Arial"/>
          <w:sz w:val="19"/>
          <w:szCs w:val="19"/>
          <w:color w:val="000000"/>
        </w:rPr>
        <w:t xml:space="preserve"> in full force </w:t>
      </w:r>
      <w:r>
        <w:rPr>
          <w:rFonts w:ascii="Arial" w:cs="Arial" w:eastAsia="Arial" w:hAnsi="Arial"/>
          <w:sz w:val="19"/>
          <w:szCs w:val="19"/>
          <w:color w:val="131313"/>
        </w:rPr>
        <w:t>and effect</w:t>
      </w:r>
      <w:r>
        <w:rPr>
          <w:rFonts w:ascii="Arial" w:cs="Arial" w:eastAsia="Arial" w:hAnsi="Arial"/>
          <w:sz w:val="19"/>
          <w:szCs w:val="19"/>
          <w:color w:val="000000"/>
        </w:rPr>
        <w:t xml:space="preserve"> and without modification except as may be represented </w:t>
      </w:r>
      <w:r>
        <w:rPr>
          <w:rFonts w:ascii="Arial" w:cs="Arial" w:eastAsia="Arial" w:hAnsi="Arial"/>
          <w:sz w:val="19"/>
          <w:szCs w:val="19"/>
          <w:color w:val="131313"/>
        </w:rPr>
        <w:t>by Landlord</w:t>
      </w:r>
      <w:r>
        <w:rPr>
          <w:rFonts w:ascii="Arial" w:cs="Arial" w:eastAsia="Arial" w:hAnsi="Arial"/>
          <w:sz w:val="19"/>
          <w:szCs w:val="19"/>
          <w:color w:val="000000"/>
        </w:rPr>
        <w:t xml:space="preserve"> </w:t>
      </w:r>
      <w:r>
        <w:rPr>
          <w:rFonts w:ascii="Arial" w:cs="Arial" w:eastAsia="Arial" w:hAnsi="Arial"/>
          <w:sz w:val="19"/>
          <w:szCs w:val="19"/>
          <w:color w:val="3D3D3D"/>
        </w:rPr>
        <w:t>i</w:t>
      </w:r>
      <w:r>
        <w:rPr>
          <w:rFonts w:ascii="Arial" w:cs="Arial" w:eastAsia="Arial" w:hAnsi="Arial"/>
          <w:sz w:val="19"/>
          <w:szCs w:val="19"/>
          <w:color w:val="131313"/>
        </w:rPr>
        <w:t>n</w:t>
      </w:r>
      <w:r>
        <w:rPr>
          <w:rFonts w:ascii="Arial" w:cs="Arial" w:eastAsia="Arial" w:hAnsi="Arial"/>
          <w:sz w:val="19"/>
          <w:szCs w:val="19"/>
          <w:color w:val="000000"/>
        </w:rPr>
        <w:t xml:space="preserve"> any certificate </w:t>
      </w:r>
      <w:r>
        <w:rPr>
          <w:rFonts w:ascii="Arial" w:cs="Arial" w:eastAsia="Arial" w:hAnsi="Arial"/>
          <w:sz w:val="19"/>
          <w:szCs w:val="19"/>
          <w:color w:val="131313"/>
        </w:rPr>
        <w:t>prepared by Land</w:t>
      </w:r>
      <w:r>
        <w:rPr>
          <w:rFonts w:ascii="Arial" w:cs="Arial" w:eastAsia="Arial" w:hAnsi="Arial"/>
          <w:sz w:val="19"/>
          <w:szCs w:val="19"/>
          <w:color w:val="3D3D3D"/>
        </w:rPr>
        <w:t>lo</w:t>
      </w:r>
      <w:r>
        <w:rPr>
          <w:rFonts w:ascii="Arial" w:cs="Arial" w:eastAsia="Arial" w:hAnsi="Arial"/>
          <w:sz w:val="19"/>
          <w:szCs w:val="19"/>
          <w:color w:val="131313"/>
        </w:rPr>
        <w:t>rd and delivered to</w:t>
      </w:r>
      <w:r>
        <w:rPr>
          <w:rFonts w:ascii="Arial" w:cs="Arial" w:eastAsia="Arial" w:hAnsi="Arial"/>
          <w:sz w:val="19"/>
          <w:szCs w:val="19"/>
          <w:color w:val="000000"/>
        </w:rPr>
        <w:t xml:space="preserve"> Tenant for </w:t>
      </w:r>
      <w:r>
        <w:rPr>
          <w:rFonts w:ascii="Arial" w:cs="Arial" w:eastAsia="Arial" w:hAnsi="Arial"/>
          <w:sz w:val="19"/>
          <w:szCs w:val="19"/>
          <w:color w:val="131313"/>
        </w:rPr>
        <w:t>execution. Landlo</w:t>
      </w:r>
      <w:r>
        <w:rPr>
          <w:rFonts w:ascii="Arial" w:cs="Arial" w:eastAsia="Arial" w:hAnsi="Arial"/>
          <w:sz w:val="19"/>
          <w:szCs w:val="19"/>
          <w:color w:val="3D3D3D"/>
        </w:rPr>
        <w:t>r</w:t>
      </w:r>
      <w:r>
        <w:rPr>
          <w:rFonts w:ascii="Arial" w:cs="Arial" w:eastAsia="Arial" w:hAnsi="Arial"/>
          <w:sz w:val="19"/>
          <w:szCs w:val="19"/>
          <w:color w:val="131313"/>
        </w:rPr>
        <w:t>d</w:t>
      </w:r>
      <w:r>
        <w:rPr>
          <w:rFonts w:ascii="Arial" w:cs="Arial" w:eastAsia="Arial" w:hAnsi="Arial"/>
          <w:sz w:val="19"/>
          <w:szCs w:val="19"/>
          <w:color w:val="000000"/>
        </w:rPr>
        <w:t xml:space="preserve"> </w:t>
      </w:r>
      <w:r>
        <w:rPr>
          <w:rFonts w:ascii="Arial" w:cs="Arial" w:eastAsia="Arial" w:hAnsi="Arial"/>
          <w:sz w:val="19"/>
          <w:szCs w:val="19"/>
          <w:color w:val="3D3D3D"/>
        </w:rPr>
        <w:t>s</w:t>
      </w:r>
      <w:r>
        <w:rPr>
          <w:rFonts w:ascii="Arial" w:cs="Arial" w:eastAsia="Arial" w:hAnsi="Arial"/>
          <w:sz w:val="19"/>
          <w:szCs w:val="19"/>
          <w:color w:val="131313"/>
        </w:rPr>
        <w:t>hall,</w:t>
      </w:r>
      <w:r>
        <w:rPr>
          <w:rFonts w:ascii="Arial" w:cs="Arial" w:eastAsia="Arial" w:hAnsi="Arial"/>
          <w:sz w:val="19"/>
          <w:szCs w:val="19"/>
          <w:color w:val="000000"/>
        </w:rPr>
        <w:t xml:space="preserve"> 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131313"/>
        </w:rPr>
        <w:t>days</w:t>
      </w:r>
      <w:r>
        <w:rPr>
          <w:rFonts w:ascii="Arial" w:cs="Arial" w:eastAsia="Arial" w:hAnsi="Arial"/>
          <w:sz w:val="19"/>
          <w:szCs w:val="19"/>
          <w:color w:val="000000"/>
        </w:rPr>
        <w:t xml:space="preserve"> after receipt of written </w:t>
      </w:r>
      <w:r>
        <w:rPr>
          <w:rFonts w:ascii="Arial" w:cs="Arial" w:eastAsia="Arial" w:hAnsi="Arial"/>
          <w:sz w:val="19"/>
          <w:szCs w:val="19"/>
          <w:color w:val="131313"/>
        </w:rPr>
        <w:t>notice</w:t>
      </w:r>
      <w:r>
        <w:rPr>
          <w:rFonts w:ascii="Arial" w:cs="Arial" w:eastAsia="Arial" w:hAnsi="Arial"/>
          <w:sz w:val="19"/>
          <w:szCs w:val="19"/>
          <w:color w:val="000000"/>
        </w:rPr>
        <w:t xml:space="preserve"> from </w:t>
      </w:r>
      <w:r>
        <w:rPr>
          <w:rFonts w:ascii="Arial" w:cs="Arial" w:eastAsia="Arial" w:hAnsi="Arial"/>
          <w:sz w:val="19"/>
          <w:szCs w:val="19"/>
          <w:color w:val="131313"/>
        </w:rPr>
        <w:t>Tenant</w:t>
      </w:r>
      <w:r>
        <w:rPr>
          <w:rFonts w:ascii="Arial" w:cs="Arial" w:eastAsia="Arial" w:hAnsi="Arial"/>
          <w:sz w:val="19"/>
          <w:szCs w:val="19"/>
          <w:color w:val="3D3D3D"/>
        </w:rPr>
        <w:t>,</w:t>
      </w:r>
      <w:r>
        <w:rPr>
          <w:rFonts w:ascii="Arial" w:cs="Arial" w:eastAsia="Arial" w:hAnsi="Arial"/>
          <w:sz w:val="19"/>
          <w:szCs w:val="19"/>
          <w:color w:val="000000"/>
        </w:rPr>
        <w:t xml:space="preserve"> execute, acknowledge and </w:t>
      </w:r>
      <w:r>
        <w:rPr>
          <w:rFonts w:ascii="Arial" w:cs="Arial" w:eastAsia="Arial" w:hAnsi="Arial"/>
          <w:sz w:val="19"/>
          <w:szCs w:val="19"/>
          <w:color w:val="131313"/>
        </w:rPr>
        <w:t>del</w:t>
      </w:r>
      <w:r>
        <w:rPr>
          <w:rFonts w:ascii="Arial" w:cs="Arial" w:eastAsia="Arial" w:hAnsi="Arial"/>
          <w:sz w:val="19"/>
          <w:szCs w:val="19"/>
          <w:color w:val="3D3D3D"/>
        </w:rPr>
        <w:t>ive</w:t>
      </w:r>
      <w:r>
        <w:rPr>
          <w:rFonts w:ascii="Arial" w:cs="Arial" w:eastAsia="Arial" w:hAnsi="Arial"/>
          <w:sz w:val="19"/>
          <w:szCs w:val="19"/>
          <w:color w:val="131313"/>
        </w:rPr>
        <w:t>r</w:t>
      </w:r>
      <w:r>
        <w:rPr>
          <w:rFonts w:ascii="Arial" w:cs="Arial" w:eastAsia="Arial" w:hAnsi="Arial"/>
          <w:sz w:val="19"/>
          <w:szCs w:val="19"/>
          <w:color w:val="000000"/>
        </w:rPr>
        <w:t xml:space="preserve"> a </w:t>
      </w:r>
      <w:r>
        <w:rPr>
          <w:rFonts w:ascii="Arial" w:cs="Arial" w:eastAsia="Arial" w:hAnsi="Arial"/>
          <w:sz w:val="19"/>
          <w:szCs w:val="19"/>
          <w:color w:val="131313"/>
        </w:rPr>
        <w:t>comparable</w:t>
      </w:r>
      <w:r>
        <w:rPr>
          <w:rFonts w:ascii="Arial" w:cs="Arial" w:eastAsia="Arial" w:hAnsi="Arial"/>
          <w:sz w:val="19"/>
          <w:szCs w:val="19"/>
          <w:color w:val="000000"/>
        </w:rPr>
        <w:t xml:space="preserve"> certificate to </w:t>
      </w:r>
      <w:r>
        <w:rPr>
          <w:rFonts w:ascii="Arial" w:cs="Arial" w:eastAsia="Arial" w:hAnsi="Arial"/>
          <w:sz w:val="19"/>
          <w:szCs w:val="19"/>
          <w:color w:val="131313"/>
        </w:rPr>
        <w:t>Tenant</w:t>
      </w:r>
      <w:r>
        <w:rPr>
          <w:rFonts w:ascii="Arial" w:cs="Arial" w:eastAsia="Arial" w:hAnsi="Arial"/>
          <w:sz w:val="19"/>
          <w:szCs w:val="19"/>
          <w:color w:val="000000"/>
        </w:rPr>
        <w:t xml:space="preserve"> as set forth above, provided </w:t>
      </w:r>
      <w:r>
        <w:rPr>
          <w:rFonts w:ascii="Arial" w:cs="Arial" w:eastAsia="Arial" w:hAnsi="Arial"/>
          <w:sz w:val="19"/>
          <w:szCs w:val="19"/>
          <w:color w:val="131313"/>
        </w:rPr>
        <w:t>Land</w:t>
      </w:r>
      <w:r>
        <w:rPr>
          <w:rFonts w:ascii="Arial" w:cs="Arial" w:eastAsia="Arial" w:hAnsi="Arial"/>
          <w:sz w:val="19"/>
          <w:szCs w:val="19"/>
          <w:color w:val="3D3D3D"/>
        </w:rPr>
        <w:t>lo</w:t>
      </w:r>
      <w:r>
        <w:rPr>
          <w:rFonts w:ascii="Arial" w:cs="Arial" w:eastAsia="Arial" w:hAnsi="Arial"/>
          <w:sz w:val="19"/>
          <w:szCs w:val="19"/>
          <w:color w:val="131313"/>
        </w:rPr>
        <w:t>rd’s</w:t>
      </w:r>
      <w:r>
        <w:rPr>
          <w:rFonts w:ascii="Arial" w:cs="Arial" w:eastAsia="Arial" w:hAnsi="Arial"/>
          <w:sz w:val="19"/>
          <w:szCs w:val="19"/>
          <w:color w:val="000000"/>
        </w:rPr>
        <w:t xml:space="preserve"> failure to </w:t>
      </w:r>
      <w:r>
        <w:rPr>
          <w:rFonts w:ascii="Arial" w:cs="Arial" w:eastAsia="Arial" w:hAnsi="Arial"/>
          <w:sz w:val="19"/>
          <w:szCs w:val="19"/>
          <w:color w:val="131313"/>
        </w:rPr>
        <w:t>deliver</w:t>
      </w:r>
      <w:r>
        <w:rPr>
          <w:rFonts w:ascii="Arial" w:cs="Arial" w:eastAsia="Arial" w:hAnsi="Arial"/>
          <w:sz w:val="19"/>
          <w:szCs w:val="19"/>
          <w:color w:val="000000"/>
        </w:rPr>
        <w:t xml:space="preserve"> such </w:t>
      </w:r>
      <w:r>
        <w:rPr>
          <w:rFonts w:ascii="Arial" w:cs="Arial" w:eastAsia="Arial" w:hAnsi="Arial"/>
          <w:sz w:val="19"/>
          <w:szCs w:val="19"/>
          <w:color w:val="3D3D3D"/>
        </w:rPr>
        <w:t>s</w:t>
      </w:r>
      <w:r>
        <w:rPr>
          <w:rFonts w:ascii="Arial" w:cs="Arial" w:eastAsia="Arial" w:hAnsi="Arial"/>
          <w:sz w:val="19"/>
          <w:szCs w:val="19"/>
          <w:color w:val="131313"/>
        </w:rPr>
        <w:t>tatement within</w:t>
      </w:r>
      <w:r>
        <w:rPr>
          <w:rFonts w:ascii="Arial" w:cs="Arial" w:eastAsia="Arial" w:hAnsi="Arial"/>
          <w:sz w:val="19"/>
          <w:szCs w:val="19"/>
          <w:color w:val="000000"/>
        </w:rPr>
        <w:t xml:space="preserve"> such </w:t>
      </w:r>
      <w:r>
        <w:rPr>
          <w:rFonts w:ascii="Arial" w:cs="Arial" w:eastAsia="Arial" w:hAnsi="Arial"/>
          <w:sz w:val="19"/>
          <w:szCs w:val="19"/>
          <w:color w:val="131313"/>
        </w:rPr>
        <w:t>prescribed</w:t>
      </w:r>
      <w:r>
        <w:rPr>
          <w:rFonts w:ascii="Arial" w:cs="Arial" w:eastAsia="Arial" w:hAnsi="Arial"/>
          <w:sz w:val="19"/>
          <w:szCs w:val="19"/>
          <w:color w:val="000000"/>
        </w:rPr>
        <w:t xml:space="preserve"> time shall </w:t>
      </w:r>
      <w:r>
        <w:rPr>
          <w:rFonts w:ascii="Arial" w:cs="Arial" w:eastAsia="Arial" w:hAnsi="Arial"/>
          <w:sz w:val="19"/>
          <w:szCs w:val="19"/>
          <w:color w:val="131313"/>
        </w:rPr>
        <w:t>not be</w:t>
      </w:r>
      <w:r>
        <w:rPr>
          <w:rFonts w:ascii="Arial" w:cs="Arial" w:eastAsia="Arial" w:hAnsi="Arial"/>
          <w:sz w:val="19"/>
          <w:szCs w:val="19"/>
          <w:color w:val="000000"/>
        </w:rPr>
        <w:t xml:space="preserve"> </w:t>
      </w:r>
      <w:r>
        <w:rPr>
          <w:rFonts w:ascii="Arial" w:cs="Arial" w:eastAsia="Arial" w:hAnsi="Arial"/>
          <w:sz w:val="19"/>
          <w:szCs w:val="19"/>
          <w:color w:val="131313"/>
        </w:rPr>
        <w:t xml:space="preserve">deemed to be </w:t>
      </w:r>
      <w:r>
        <w:rPr>
          <w:rFonts w:ascii="Arial" w:cs="Arial" w:eastAsia="Arial" w:hAnsi="Arial"/>
          <w:sz w:val="19"/>
          <w:szCs w:val="19"/>
          <w:color w:val="000000"/>
        </w:rPr>
        <w:t>an acknowledgment</w:t>
      </w:r>
      <w:r>
        <w:rPr>
          <w:rFonts w:ascii="Arial" w:cs="Arial" w:eastAsia="Arial" w:hAnsi="Arial"/>
          <w:sz w:val="19"/>
          <w:szCs w:val="19"/>
          <w:color w:val="131313"/>
        </w:rPr>
        <w:t xml:space="preserve"> by </w:t>
      </w:r>
      <w:r>
        <w:rPr>
          <w:rFonts w:ascii="Arial" w:cs="Arial" w:eastAsia="Arial" w:hAnsi="Arial"/>
          <w:sz w:val="19"/>
          <w:szCs w:val="19"/>
          <w:color w:val="000000"/>
        </w:rPr>
        <w:t>Landlord</w:t>
      </w:r>
      <w:r>
        <w:rPr>
          <w:rFonts w:ascii="Arial" w:cs="Arial" w:eastAsia="Arial" w:hAnsi="Arial"/>
          <w:sz w:val="19"/>
          <w:szCs w:val="19"/>
          <w:color w:val="131313"/>
        </w:rPr>
        <w:t xml:space="preserve"> that the Lease </w:t>
      </w:r>
      <w:r>
        <w:rPr>
          <w:rFonts w:ascii="Arial" w:cs="Arial" w:eastAsia="Arial" w:hAnsi="Arial"/>
          <w:sz w:val="19"/>
          <w:szCs w:val="19"/>
          <w:color w:val="3D3D3D"/>
        </w:rPr>
        <w:t>is</w:t>
      </w:r>
      <w:r>
        <w:rPr>
          <w:rFonts w:ascii="Arial" w:cs="Arial" w:eastAsia="Arial" w:hAnsi="Arial"/>
          <w:sz w:val="19"/>
          <w:szCs w:val="19"/>
          <w:color w:val="131313"/>
        </w:rPr>
        <w:t xml:space="preserve"> </w:t>
      </w:r>
      <w:r>
        <w:rPr>
          <w:rFonts w:ascii="Arial" w:cs="Arial" w:eastAsia="Arial" w:hAnsi="Arial"/>
          <w:sz w:val="19"/>
          <w:szCs w:val="19"/>
          <w:color w:val="000000"/>
        </w:rPr>
        <w:t>in full force</w:t>
      </w:r>
      <w:r>
        <w:rPr>
          <w:rFonts w:ascii="Arial" w:cs="Arial" w:eastAsia="Arial" w:hAnsi="Arial"/>
          <w:sz w:val="19"/>
          <w:szCs w:val="19"/>
          <w:color w:val="131313"/>
        </w:rPr>
        <w:t xml:space="preserve"> and </w:t>
      </w:r>
      <w:r>
        <w:rPr>
          <w:rFonts w:ascii="Arial" w:cs="Arial" w:eastAsia="Arial" w:hAnsi="Arial"/>
          <w:sz w:val="19"/>
          <w:szCs w:val="19"/>
          <w:color w:val="000000"/>
        </w:rPr>
        <w:t>effect and without</w:t>
      </w:r>
      <w:r>
        <w:rPr>
          <w:rFonts w:ascii="Arial" w:cs="Arial" w:eastAsia="Arial" w:hAnsi="Arial"/>
          <w:sz w:val="19"/>
          <w:szCs w:val="19"/>
          <w:color w:val="131313"/>
        </w:rPr>
        <w:t xml:space="preserve"> modification.</w:t>
      </w:r>
    </w:p>
    <w:p>
      <w:pPr>
        <w:spacing w:after="0" w:line="165" w:lineRule="exact"/>
        <w:rPr>
          <w:rFonts w:ascii="Arial" w:cs="Arial" w:eastAsia="Arial" w:hAnsi="Arial"/>
          <w:sz w:val="19"/>
          <w:szCs w:val="19"/>
          <w:color w:val="auto"/>
        </w:rPr>
      </w:pPr>
    </w:p>
    <w:p>
      <w:pPr>
        <w:ind w:left="660" w:hanging="652"/>
        <w:spacing w:after="0"/>
        <w:tabs>
          <w:tab w:leader="none" w:pos="660"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Hazardous Materials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right"/>
        <w:ind w:left="1300" w:hanging="648"/>
        <w:spacing w:after="0" w:line="241" w:lineRule="auto"/>
        <w:rPr>
          <w:rFonts w:ascii="Arial" w:cs="Arial" w:eastAsia="Arial" w:hAnsi="Arial"/>
          <w:sz w:val="22"/>
          <w:szCs w:val="22"/>
          <w:color w:val="auto"/>
        </w:rPr>
      </w:pPr>
      <w:r>
        <w:rPr>
          <w:rFonts w:ascii="Arial" w:cs="Arial" w:eastAsia="Arial" w:hAnsi="Arial"/>
          <w:sz w:val="19"/>
          <w:szCs w:val="19"/>
          <w:color w:val="auto"/>
        </w:rPr>
        <w:t>21.1   Tenant shall not cause or permit any Hazardous Materials (as defined below) to be brought upon, kept or used in or about the Premises, the Building or the Project in violation of Applicable Laws by Tenant or its employees, agents, contractors or invitees. In the event that: (a) any Hazardous Materials are brought upon, kept or used in or about the Premises, the Building or the Project in violation of Applicable Laws by Tenant or its employees, agents, contractors or invitees at any time during the Term or any extension or renewal hereof or holding over hereunder,</w:t>
      </w:r>
    </w:p>
    <w:p>
      <w:pPr>
        <w:spacing w:after="0" w:line="1" w:lineRule="exact"/>
        <w:rPr>
          <w:rFonts w:ascii="Arial" w:cs="Arial" w:eastAsia="Arial" w:hAnsi="Arial"/>
          <w:sz w:val="22"/>
          <w:szCs w:val="22"/>
          <w:color w:val="auto"/>
        </w:rPr>
      </w:pPr>
    </w:p>
    <w:p>
      <w:pPr>
        <w:ind w:left="1620" w:hanging="316"/>
        <w:spacing w:after="0" w:line="237" w:lineRule="auto"/>
        <w:tabs>
          <w:tab w:leader="none" w:pos="1620" w:val="left"/>
        </w:tabs>
        <w:numPr>
          <w:ilvl w:val="1"/>
          <w:numId w:val="294"/>
        </w:numPr>
        <w:rPr>
          <w:rFonts w:ascii="Arial" w:cs="Arial" w:eastAsia="Arial" w:hAnsi="Arial"/>
          <w:sz w:val="19"/>
          <w:szCs w:val="19"/>
          <w:color w:val="auto"/>
        </w:rPr>
      </w:pPr>
      <w:r>
        <w:rPr>
          <w:rFonts w:ascii="Arial" w:cs="Arial" w:eastAsia="Arial" w:hAnsi="Arial"/>
          <w:sz w:val="19"/>
          <w:szCs w:val="19"/>
          <w:color w:val="auto"/>
        </w:rPr>
        <w:t xml:space="preserve">the presence of Hazardous Materials is the result of Tenant’s breach of the covenants set forth in this </w:t>
      </w:r>
      <w:r>
        <w:rPr>
          <w:rFonts w:ascii="Arial" w:cs="Arial" w:eastAsia="Arial" w:hAnsi="Arial"/>
          <w:sz w:val="19"/>
          <w:szCs w:val="19"/>
          <w:u w:val="single" w:color="auto"/>
          <w:color w:val="auto"/>
        </w:rPr>
        <w:t>Section</w:t>
      </w:r>
    </w:p>
    <w:p>
      <w:pPr>
        <w:jc w:val="both"/>
        <w:ind w:left="1300"/>
        <w:spacing w:after="0" w:line="218" w:lineRule="auto"/>
        <w:rPr>
          <w:rFonts w:ascii="Arial" w:cs="Arial" w:eastAsia="Arial" w:hAnsi="Arial"/>
          <w:sz w:val="19"/>
          <w:szCs w:val="19"/>
          <w:color w:val="auto"/>
        </w:rPr>
      </w:pPr>
      <w:r>
        <w:rPr>
          <w:rFonts w:ascii="Arial" w:cs="Arial" w:eastAsia="Arial" w:hAnsi="Arial"/>
          <w:sz w:val="21"/>
          <w:szCs w:val="21"/>
          <w:u w:val="single" w:color="auto"/>
          <w:color w:val="auto"/>
        </w:rPr>
        <w:t>21.1</w:t>
      </w:r>
      <w:r>
        <w:rPr>
          <w:rFonts w:ascii="Arial" w:cs="Arial" w:eastAsia="Arial" w:hAnsi="Arial"/>
          <w:sz w:val="21"/>
          <w:szCs w:val="21"/>
          <w:color w:val="auto"/>
        </w:rPr>
        <w:t xml:space="preserve"> and results in contamination of the Project, any portion thereof, or any adjacent property, or (c) contamination of the Project, any portion thereof, or any adjacent property by Hazardous Materials otherwise occurs at any time during the Term or any extension or renewal hereof or holding over hereunder, then Tenant shall indemnify, save, defend (at Landlord’s option and with counsel reasonably acceptable to Landlord) and hold the Landlord Indemnitees harmless from and against any and all Claims, including (a) diminution in value of the Project or any portion thereof, (b) damages for the loss or restriction on use of rentable or usable space or of any amenity of the Project, (c) damages arising from any adverse impact on marketing of space in the Project or any portion thereof and (d) sums paid in settlement of Claims that arise prior to,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01" w:right="339" w:bottom="1440" w:gutter="0" w:footer="0" w:header="0"/>
        </w:sectPr>
      </w:pPr>
    </w:p>
    <w:bookmarkStart w:id="344" w:name="page345"/>
    <w:bookmarkEnd w:id="344"/>
    <w:p>
      <w:pPr>
        <w:jc w:val="both"/>
        <w:ind w:left="180"/>
        <w:spacing w:after="0" w:line="244" w:lineRule="auto"/>
        <w:rPr>
          <w:sz w:val="20"/>
          <w:szCs w:val="20"/>
          <w:color w:val="auto"/>
        </w:rPr>
      </w:pPr>
      <w:r>
        <w:rPr>
          <w:rFonts w:ascii="Arial" w:cs="Arial" w:eastAsia="Arial" w:hAnsi="Arial"/>
          <w:sz w:val="19"/>
          <w:szCs w:val="19"/>
          <w:color w:val="auto"/>
        </w:rPr>
        <w:t>Hazardous Materials present in the air, soil or groundwater above, on or under or about the Project. Without limiting the foregoing, if the presence of any Hazardous Materials in, on, under or about the Project, any portion thereof or any adjacent property caused or permitted by Tenant results in any contamination of the Project, any portion thereof or any adjacent property, then Tenant shall promptly take all actions at its sole cost and expense as are necessary to return the Project, any portion thereof or any adjacent property to its respective condition existing prior to the time of such contamination; provided that Landlord’s written approval of such action shall first be obtained, which approval Landlord shall not unreasonably withhold; and provided, further, that it shall be reasonable for Landlord to withhold its consent if such actions could have a material adverse long-term or short-term effect on the Project, any portion thereof or any adjacent property. Nothing in the foregoing shall obligate Tenant to provide any indemnity with respect to periods prior to the Commencement Date.</w:t>
      </w:r>
    </w:p>
    <w:p>
      <w:pPr>
        <w:spacing w:after="0" w:line="155" w:lineRule="exact"/>
        <w:rPr>
          <w:sz w:val="20"/>
          <w:szCs w:val="20"/>
          <w:color w:val="auto"/>
        </w:rPr>
      </w:pPr>
    </w:p>
    <w:p>
      <w:pPr>
        <w:jc w:val="both"/>
        <w:ind w:left="180" w:hanging="647"/>
        <w:spacing w:after="0"/>
        <w:tabs>
          <w:tab w:leader="none" w:pos="1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upon the request of Landlord prior to the Term Commencement Date a list identifying each type of Hazardous Material to be present at the Project arid setting forth any and all governmental approvals or permits required in connection with the presence of such Hazardous Material at the Project (the “</w:t>
      </w:r>
      <w:r>
        <w:rPr>
          <w:rFonts w:ascii="Arial" w:cs="Arial" w:eastAsia="Arial" w:hAnsi="Arial"/>
          <w:sz w:val="19"/>
          <w:szCs w:val="19"/>
          <w:u w:val="single" w:color="auto"/>
          <w:color w:val="auto"/>
        </w:rPr>
        <w:t>Hazardous Materials List</w:t>
      </w:r>
      <w:r>
        <w:rPr>
          <w:rFonts w:ascii="Arial" w:cs="Arial" w:eastAsia="Arial" w:hAnsi="Arial"/>
          <w:sz w:val="19"/>
          <w:szCs w:val="19"/>
          <w:color w:val="auto"/>
        </w:rPr>
        <w:t>”). Upon Landlord’s request, Tenant shall deliver to Landlord an updated Hazardous Materials List on or prior to each annual anniversary of the Term Commencement Date and shall also deliver an updated Hazardous Materials List before any new Hazardous Materials are brought to the Project. Tenant shall deliver to Landlord true and correct copies of the following documents (hereinafter referred to as the “</w:t>
      </w:r>
      <w:r>
        <w:rPr>
          <w:rFonts w:ascii="Arial" w:cs="Arial" w:eastAsia="Arial" w:hAnsi="Arial"/>
          <w:sz w:val="19"/>
          <w:szCs w:val="19"/>
          <w:u w:val="single" w:color="auto"/>
          <w:color w:val="auto"/>
        </w:rPr>
        <w:t>Documents</w:t>
      </w:r>
      <w:r>
        <w:rPr>
          <w:rFonts w:ascii="Arial" w:cs="Arial" w:eastAsia="Arial" w:hAnsi="Arial"/>
          <w:sz w:val="19"/>
          <w:szCs w:val="19"/>
          <w:color w:val="auto"/>
        </w:rPr>
        <w:t>”) relating to the handling, storage, disposal and emission of Hazardous Materials prior to the Term Commencement Date or, if unavailable at that time, concurrently with the receipt from or submission to any Governmental Authority: permits; approvals; reports and correspondence; storage and management plans; notices of violations of Applicable Laws; plans relating to the installation of any storage tanks to be installed in, on, under or about the Project (provided that installation of storage tanks shall only be permitted after Landlord has given Tenant its written consent to do so, which consent Landlord may withhold in its sole and absolute discretion); and all closure plans or any other documents required by any and all Governmental Authorities for any storage tanks installed in, on, under or about the Project for the closure of any such storage tanks. Tenant shall not be required, however, to provide Landlord with any portion of the Documents containing information of a proprietary nature, which Documents, in and of themselves, do not contain a reference to any Hazardous Materials or activities related to Hazardous Materials. Upon Landlord’s written request, Tenant agrees that it shall enter into a written agreement with other tenants of the Project concerning the equitable allocation of fire control areas (as defined in the Uniform Building Code as adopted by the city or municipality(ies) in which the Project is located (the “</w:t>
      </w:r>
      <w:r>
        <w:rPr>
          <w:rFonts w:ascii="Arial" w:cs="Arial" w:eastAsia="Arial" w:hAnsi="Arial"/>
          <w:sz w:val="19"/>
          <w:szCs w:val="19"/>
          <w:u w:val="single" w:color="auto"/>
          <w:color w:val="auto"/>
        </w:rPr>
        <w:t>UBC</w:t>
      </w:r>
      <w:r>
        <w:rPr>
          <w:rFonts w:ascii="Arial" w:cs="Arial" w:eastAsia="Arial" w:hAnsi="Arial"/>
          <w:sz w:val="19"/>
          <w:szCs w:val="19"/>
          <w:color w:val="auto"/>
        </w:rPr>
        <w:t xml:space="preserve">”)) within the Project for the storage of Hazardous Materials. In the event that Tenant’s use of Hazardous Materials is such that it utilizes fire control areas in the Project in excess of Tenant’s Pro Rata Share of the Building or Common Areas, as applicable, as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 Tenant agrees that it shall, at its sole cost and expense and upon Landlord’s written request, establish and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120"/>
          </w:cols>
          <w:pgMar w:left="1440" w:top="1401" w:right="339" w:bottom="1440" w:gutter="0" w:footer="0" w:header="0"/>
        </w:sectPr>
      </w:pPr>
    </w:p>
    <w:bookmarkStart w:id="345" w:name="page346"/>
    <w:bookmarkEnd w:id="345"/>
    <w:p>
      <w:pPr>
        <w:jc w:val="both"/>
        <w:ind w:left="1300"/>
        <w:spacing w:after="0" w:line="218" w:lineRule="auto"/>
        <w:rPr>
          <w:sz w:val="20"/>
          <w:szCs w:val="20"/>
          <w:color w:val="auto"/>
        </w:rPr>
      </w:pPr>
      <w:r>
        <w:rPr>
          <w:rFonts w:ascii="Arial" w:cs="Arial" w:eastAsia="Arial" w:hAnsi="Arial"/>
          <w:sz w:val="22"/>
          <w:szCs w:val="22"/>
          <w:color w:val="auto"/>
        </w:rPr>
        <w:t>a separate area of the Premises classified by the UBC as an “H” occupancy area for the use and storage of Hazardous Materials or take such other action as is necessary to ensure that its share of the fire control areas of the Building and the Project is not greater than Tenant’s Pro Rata Share of the Building or Common Areas, as applicable.</w:t>
      </w:r>
    </w:p>
    <w:p>
      <w:pPr>
        <w:spacing w:after="0" w:line="161" w:lineRule="exact"/>
        <w:rPr>
          <w:sz w:val="20"/>
          <w:szCs w:val="20"/>
          <w:color w:val="auto"/>
        </w:rPr>
      </w:pPr>
    </w:p>
    <w:p>
      <w:pPr>
        <w:jc w:val="both"/>
        <w:ind w:left="1300" w:hanging="647"/>
        <w:spacing w:after="0" w:line="216" w:lineRule="auto"/>
        <w:tabs>
          <w:tab w:leader="none" w:pos="1280" w:val="left"/>
        </w:tabs>
        <w:rPr>
          <w:sz w:val="20"/>
          <w:szCs w:val="20"/>
          <w:color w:val="auto"/>
        </w:rPr>
      </w:pPr>
      <w:r>
        <w:rPr>
          <w:rFonts w:ascii="Arial" w:cs="Arial" w:eastAsia="Arial" w:hAnsi="Arial"/>
          <w:sz w:val="22"/>
          <w:szCs w:val="22"/>
          <w:color w:val="auto"/>
        </w:rPr>
        <w:t>21.3</w:t>
        <w:tab/>
        <w:t>At any time, and from time to time, prior to the expiration of the Term, Landlord shall have the right to conduct appropriate tests of the Project or any portion thereof to demonstrate that Hazardous Materials are present or that contamination has occurred due to Tenant or Tenant’s employees, agents, contractors or invitees. Tenant shall pay all reasonable costs of such tests if such tests reveal that Hazardous Materials exist at the Project in violation of this Lease.</w:t>
      </w:r>
    </w:p>
    <w:p>
      <w:pPr>
        <w:spacing w:after="0" w:line="158" w:lineRule="exact"/>
        <w:rPr>
          <w:sz w:val="20"/>
          <w:szCs w:val="20"/>
          <w:color w:val="auto"/>
        </w:rPr>
      </w:pPr>
    </w:p>
    <w:p>
      <w:pPr>
        <w:jc w:val="both"/>
        <w:ind w:left="1300" w:hanging="647"/>
        <w:spacing w:after="0" w:line="218" w:lineRule="auto"/>
        <w:tabs>
          <w:tab w:leader="none" w:pos="1280" w:val="left"/>
        </w:tabs>
        <w:rPr>
          <w:sz w:val="20"/>
          <w:szCs w:val="20"/>
          <w:color w:val="auto"/>
        </w:rPr>
      </w:pPr>
      <w:r>
        <w:rPr>
          <w:rFonts w:ascii="Arial" w:cs="Arial" w:eastAsia="Arial" w:hAnsi="Arial"/>
          <w:sz w:val="22"/>
          <w:szCs w:val="22"/>
          <w:color w:val="auto"/>
        </w:rPr>
        <w:t>21.4</w:t>
        <w:tab/>
        <w:t>If underground or other storage tanks storing Hazardous Materials are located on the Premises or are hereafter placed on the Premises by any party, Tenant shall monitor the storage tanks, maintain appropriate records, implement reporting procedures, properly close any underground storage tanks, and take or cause to be taken all other steps necessary or required under the Applicable Laws.</w:t>
      </w:r>
    </w:p>
    <w:p>
      <w:pPr>
        <w:spacing w:after="0" w:line="161" w:lineRule="exact"/>
        <w:rPr>
          <w:sz w:val="20"/>
          <w:szCs w:val="20"/>
          <w:color w:val="auto"/>
        </w:rPr>
      </w:pPr>
    </w:p>
    <w:p>
      <w:pPr>
        <w:jc w:val="both"/>
        <w:ind w:left="1300" w:hanging="647"/>
        <w:spacing w:after="0" w:line="218" w:lineRule="auto"/>
        <w:tabs>
          <w:tab w:leader="none" w:pos="1280" w:val="left"/>
        </w:tabs>
        <w:rPr>
          <w:sz w:val="20"/>
          <w:szCs w:val="20"/>
          <w:color w:val="auto"/>
        </w:rPr>
      </w:pPr>
      <w:r>
        <w:rPr>
          <w:rFonts w:ascii="Arial" w:cs="Arial" w:eastAsia="Arial" w:hAnsi="Arial"/>
          <w:sz w:val="22"/>
          <w:szCs w:val="22"/>
          <w:color w:val="auto"/>
        </w:rPr>
        <w:t>21.5</w:t>
        <w:tab/>
        <w:t xml:space="preserve">Tenant’s obligations under this Article shall survive the expiration or earlier termination of the Lease. During any period of time needed by Tenant or Landlord after the termination of this Lease to complete the removal from the Premises of any such Hazardous Materials, Tenant shall be deemed a holdover tenant and subject to the provisions of </w:t>
      </w:r>
      <w:r>
        <w:rPr>
          <w:rFonts w:ascii="Arial" w:cs="Arial" w:eastAsia="Arial" w:hAnsi="Arial"/>
          <w:sz w:val="22"/>
          <w:szCs w:val="22"/>
          <w:u w:val="single" w:color="auto"/>
          <w:color w:val="auto"/>
        </w:rPr>
        <w:t>Article 27</w:t>
      </w:r>
      <w:r>
        <w:rPr>
          <w:rFonts w:ascii="Arial" w:cs="Arial" w:eastAsia="Arial" w:hAnsi="Arial"/>
          <w:sz w:val="22"/>
          <w:szCs w:val="22"/>
          <w:color w:val="auto"/>
        </w:rPr>
        <w:t xml:space="preserve"> below.</w:t>
      </w:r>
    </w:p>
    <w:p>
      <w:pPr>
        <w:spacing w:after="0" w:line="161"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21.6</w:t>
        <w:tab/>
        <w:t>As used herein, the term “</w:t>
      </w:r>
      <w:r>
        <w:rPr>
          <w:rFonts w:ascii="Arial" w:cs="Arial" w:eastAsia="Arial" w:hAnsi="Arial"/>
          <w:sz w:val="22"/>
          <w:szCs w:val="22"/>
          <w:u w:val="single" w:color="auto"/>
          <w:color w:val="auto"/>
        </w:rPr>
        <w:t>Hazardous Material</w:t>
      </w:r>
      <w:r>
        <w:rPr>
          <w:rFonts w:ascii="Arial" w:cs="Arial" w:eastAsia="Arial" w:hAnsi="Arial"/>
          <w:sz w:val="22"/>
          <w:szCs w:val="22"/>
          <w:color w:val="auto"/>
        </w:rPr>
        <w:t>” means any hazardous or toxic substance, material or waste that is or becomes regulated by any Governmental Authority.</w:t>
      </w:r>
    </w:p>
    <w:p>
      <w:pPr>
        <w:spacing w:after="0" w:line="159"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21.7</w:t>
        <w:tab/>
        <w:t xml:space="preserve">Landlord shall require other tenants in the Project to comply with obligations comparable to those set forth in this </w:t>
      </w:r>
      <w:r>
        <w:rPr>
          <w:rFonts w:ascii="Arial" w:cs="Arial" w:eastAsia="Arial" w:hAnsi="Arial"/>
          <w:sz w:val="22"/>
          <w:szCs w:val="22"/>
          <w:u w:val="single" w:color="auto"/>
          <w:color w:val="auto"/>
        </w:rPr>
        <w:t>Article 21</w:t>
      </w:r>
      <w:r>
        <w:rPr>
          <w:rFonts w:ascii="Arial" w:cs="Arial" w:eastAsia="Arial" w:hAnsi="Arial"/>
          <w:sz w:val="22"/>
          <w:szCs w:val="22"/>
          <w:color w:val="auto"/>
        </w:rPr>
        <w:t>.</w:t>
      </w:r>
    </w:p>
    <w:p>
      <w:pPr>
        <w:spacing w:after="0" w:line="159" w:lineRule="exact"/>
        <w:rPr>
          <w:sz w:val="20"/>
          <w:szCs w:val="20"/>
          <w:color w:val="auto"/>
        </w:rPr>
      </w:pPr>
    </w:p>
    <w:p>
      <w:pPr>
        <w:jc w:val="both"/>
        <w:ind w:left="660" w:hanging="652"/>
        <w:spacing w:after="0" w:line="214" w:lineRule="auto"/>
        <w:tabs>
          <w:tab w:leader="none" w:pos="660"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Odors and Exhaust</w:t>
      </w:r>
      <w:r>
        <w:rPr>
          <w:rFonts w:ascii="Arial" w:cs="Arial" w:eastAsia="Arial" w:hAnsi="Arial"/>
          <w:sz w:val="22"/>
          <w:szCs w:val="22"/>
          <w:color w:val="auto"/>
        </w:rPr>
        <w:t>. Tenant will restrict odors or fumes (whether or not noxious), from emanating from the Premises, provided, however, that Landlord acknowledges and agrees that Tenant shall have the right to operate one or more (currently three) supplemental generators during the Term generally consistent with the demand response requirements currently set forth in Tenant’s utility contract with Enernoc, a copy of which has been provided to Landlord. In addition, Tenant shall have the right to operate such generators on a regular basis for maintenance purposes and at any other times in Tenant’s reasonable discretion.</w:t>
      </w:r>
    </w:p>
    <w:p>
      <w:pPr>
        <w:spacing w:after="0" w:line="158" w:lineRule="exact"/>
        <w:rPr>
          <w:rFonts w:ascii="Arial" w:cs="Arial" w:eastAsia="Arial" w:hAnsi="Arial"/>
          <w:sz w:val="22"/>
          <w:szCs w:val="22"/>
          <w:color w:val="auto"/>
        </w:rPr>
      </w:pPr>
    </w:p>
    <w:p>
      <w:pPr>
        <w:ind w:left="1300" w:hanging="648"/>
        <w:spacing w:after="0" w:line="229" w:lineRule="auto"/>
        <w:rPr>
          <w:rFonts w:ascii="Arial" w:cs="Arial" w:eastAsia="Arial" w:hAnsi="Arial"/>
          <w:sz w:val="22"/>
          <w:szCs w:val="22"/>
          <w:color w:val="auto"/>
        </w:rPr>
      </w:pPr>
      <w:r>
        <w:rPr>
          <w:rFonts w:ascii="Arial" w:cs="Arial" w:eastAsia="Arial" w:hAnsi="Arial"/>
          <w:sz w:val="21"/>
          <w:szCs w:val="21"/>
          <w:color w:val="auto"/>
        </w:rPr>
        <w:t>22.1 Tenant shall vent all fumes and odors from the Premises (and remove odors from Tenant’s exhaust stream) in compliance with Applicable Laws, and as Landlord reasonably requires. The placement and configuration of all material changes to the ventilation exhaust pipes, louvers and other equipment shall be subject to Landlord’s approval, such approval not to be unreasonably withheld, conditioned or delayed.</w:t>
      </w:r>
    </w:p>
    <w:p>
      <w:pPr>
        <w:spacing w:after="0" w:line="158" w:lineRule="exact"/>
        <w:rPr>
          <w:rFonts w:ascii="Arial" w:cs="Arial" w:eastAsia="Arial" w:hAnsi="Arial"/>
          <w:sz w:val="22"/>
          <w:szCs w:val="22"/>
          <w:color w:val="auto"/>
        </w:rPr>
      </w:pPr>
    </w:p>
    <w:p>
      <w:pPr>
        <w:ind w:left="1300" w:hanging="648"/>
        <w:spacing w:after="0" w:line="218" w:lineRule="auto"/>
        <w:rPr>
          <w:rFonts w:ascii="Arial" w:cs="Arial" w:eastAsia="Arial" w:hAnsi="Arial"/>
          <w:sz w:val="22"/>
          <w:szCs w:val="22"/>
          <w:color w:val="auto"/>
        </w:rPr>
      </w:pPr>
      <w:r>
        <w:rPr>
          <w:rFonts w:ascii="Arial" w:cs="Arial" w:eastAsia="Arial" w:hAnsi="Arial"/>
          <w:sz w:val="22"/>
          <w:szCs w:val="22"/>
          <w:color w:val="auto"/>
        </w:rPr>
        <w:t>22.2 Tenant shall, at Tenant’s sole cost and expense, provide odor eliminators and other devices (such as filters, air cleaners, scrubbers and whatever other equipment may in Landlord’s reasonable judgment be necessary or appropriate from time to time) to remove, eliminate and abate to the extent practicable any odors, fumes or other substances in Tenant’s exhaust stream that, in Landlord’s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01" w:right="339" w:bottom="1440" w:gutter="0" w:footer="0" w:header="0"/>
        </w:sectPr>
      </w:pPr>
    </w:p>
    <w:bookmarkStart w:id="346" w:name="page347"/>
    <w:bookmarkEnd w:id="346"/>
    <w:p>
      <w:pPr>
        <w:ind w:left="1300"/>
        <w:spacing w:after="0" w:line="232" w:lineRule="auto"/>
        <w:rPr>
          <w:sz w:val="20"/>
          <w:szCs w:val="20"/>
          <w:color w:val="auto"/>
        </w:rPr>
      </w:pPr>
      <w:r>
        <w:rPr>
          <w:rFonts w:ascii="Arial" w:cs="Arial" w:eastAsia="Arial" w:hAnsi="Arial"/>
          <w:sz w:val="22"/>
          <w:szCs w:val="22"/>
          <w:color w:val="auto"/>
        </w:rPr>
        <w:t>reasonable judgment, emanate from Tenant’s Premises. Any work Tenant performs under this Section shall constitute Alterations.</w:t>
      </w:r>
    </w:p>
    <w:p>
      <w:pPr>
        <w:spacing w:after="0" w:line="159"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 xml:space="preserve">Tenant’s obligations under this </w:t>
      </w:r>
      <w:r>
        <w:rPr>
          <w:rFonts w:ascii="Arial" w:cs="Arial" w:eastAsia="Arial" w:hAnsi="Arial"/>
          <w:sz w:val="19"/>
          <w:szCs w:val="19"/>
          <w:u w:val="single" w:color="auto"/>
          <w:color w:val="auto"/>
        </w:rPr>
        <w:t>Article 22</w:t>
      </w:r>
      <w:r>
        <w:rPr>
          <w:rFonts w:ascii="Arial" w:cs="Arial" w:eastAsia="Arial" w:hAnsi="Arial"/>
          <w:sz w:val="19"/>
          <w:szCs w:val="19"/>
          <w:color w:val="auto"/>
        </w:rPr>
        <w:t xml:space="preserve"> shall continue throughout the Term. In connection with any request by Tenant to make Alterations associated with the ventilation system of the Building, Landlord’s approval of such Alterations shall not preclude Landlord from requiring additional measures to eliminate odors, fumes and other adverse impacts of Tenant’s exhaust stream (as Landlord may designate in Landlord s discretion).</w:t>
      </w:r>
    </w:p>
    <w:p>
      <w:pPr>
        <w:spacing w:after="0" w:line="144" w:lineRule="exact"/>
        <w:rPr>
          <w:sz w:val="20"/>
          <w:szCs w:val="20"/>
          <w:color w:val="auto"/>
        </w:rPr>
      </w:pPr>
    </w:p>
    <w:p>
      <w:pPr>
        <w:jc w:val="both"/>
        <w:ind w:left="1300" w:right="20" w:hanging="647"/>
        <w:spacing w:after="0" w:line="232" w:lineRule="auto"/>
        <w:tabs>
          <w:tab w:leader="none" w:pos="1280" w:val="left"/>
        </w:tabs>
        <w:rPr>
          <w:sz w:val="20"/>
          <w:szCs w:val="20"/>
          <w:color w:val="auto"/>
        </w:rPr>
      </w:pPr>
      <w:r>
        <w:rPr>
          <w:rFonts w:ascii="Arial" w:cs="Arial" w:eastAsia="Arial" w:hAnsi="Arial"/>
          <w:sz w:val="22"/>
          <w:szCs w:val="22"/>
          <w:color w:val="auto"/>
        </w:rPr>
        <w:t>22.4</w:t>
        <w:tab/>
        <w:t xml:space="preserve">Landlord shall use commercially reasonable efforts to require other tenants in the Project to comply with obligations comparable to those set forth in this </w:t>
      </w:r>
      <w:r>
        <w:rPr>
          <w:rFonts w:ascii="Arial" w:cs="Arial" w:eastAsia="Arial" w:hAnsi="Arial"/>
          <w:sz w:val="22"/>
          <w:szCs w:val="22"/>
          <w:u w:val="single" w:color="auto"/>
          <w:color w:val="auto"/>
        </w:rPr>
        <w:t>Article 22</w:t>
      </w:r>
      <w:r>
        <w:rPr>
          <w:rFonts w:ascii="Arial" w:cs="Arial" w:eastAsia="Arial" w:hAnsi="Arial"/>
          <w:sz w:val="22"/>
          <w:szCs w:val="22"/>
          <w:color w:val="auto"/>
        </w:rPr>
        <w:t>.</w:t>
      </w:r>
    </w:p>
    <w:p>
      <w:pPr>
        <w:spacing w:after="0" w:line="159"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w:t>
      </w:r>
      <w:r>
        <w:rPr>
          <w:rFonts w:ascii="Arial" w:cs="Arial" w:eastAsia="Arial" w:hAnsi="Arial"/>
          <w:sz w:val="22"/>
          <w:szCs w:val="22"/>
          <w:u w:val="single" w:color="auto"/>
          <w:color w:val="232323"/>
        </w:rPr>
        <w:t>Waiver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Subrogation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42" w:lineRule="auto"/>
        <w:rPr>
          <w:rFonts w:ascii="Arial" w:cs="Arial" w:eastAsia="Arial" w:hAnsi="Arial"/>
          <w:sz w:val="22"/>
          <w:szCs w:val="22"/>
          <w:color w:val="auto"/>
        </w:rPr>
      </w:pPr>
      <w:r>
        <w:rPr>
          <w:rFonts w:ascii="Arial" w:cs="Arial" w:eastAsia="Arial" w:hAnsi="Arial"/>
          <w:sz w:val="19"/>
          <w:szCs w:val="19"/>
          <w:color w:val="auto"/>
        </w:rPr>
        <w:t xml:space="preserve">23.1 </w:t>
      </w:r>
      <w:r>
        <w:rPr>
          <w:rFonts w:ascii="Arial" w:cs="Arial" w:eastAsia="Arial" w:hAnsi="Arial"/>
          <w:sz w:val="19"/>
          <w:szCs w:val="19"/>
          <w:color w:val="111111"/>
        </w:rPr>
        <w:t>Landlord</w:t>
      </w:r>
      <w:r>
        <w:rPr>
          <w:rFonts w:ascii="Arial" w:cs="Arial" w:eastAsia="Arial" w:hAnsi="Arial"/>
          <w:sz w:val="19"/>
          <w:szCs w:val="19"/>
          <w:color w:val="auto"/>
        </w:rPr>
        <w:t xml:space="preserve"> </w:t>
      </w:r>
      <w:r>
        <w:rPr>
          <w:rFonts w:ascii="Arial" w:cs="Arial" w:eastAsia="Arial" w:hAnsi="Arial"/>
          <w:sz w:val="19"/>
          <w:szCs w:val="19"/>
          <w:color w:val="383838"/>
        </w:rPr>
        <w:t>shall</w:t>
      </w:r>
      <w:r>
        <w:rPr>
          <w:rFonts w:ascii="Arial" w:cs="Arial" w:eastAsia="Arial" w:hAnsi="Arial"/>
          <w:sz w:val="19"/>
          <w:szCs w:val="19"/>
          <w:color w:val="auto"/>
        </w:rPr>
        <w:t xml:space="preserve"> maintain </w:t>
      </w:r>
      <w:r>
        <w:rPr>
          <w:rFonts w:ascii="Arial" w:cs="Arial" w:eastAsia="Arial" w:hAnsi="Arial"/>
          <w:sz w:val="19"/>
          <w:szCs w:val="19"/>
          <w:color w:val="111111"/>
        </w:rPr>
        <w:t>insurance for</w:t>
      </w:r>
      <w:r>
        <w:rPr>
          <w:rFonts w:ascii="Arial" w:cs="Arial" w:eastAsia="Arial" w:hAnsi="Arial"/>
          <w:sz w:val="19"/>
          <w:szCs w:val="19"/>
          <w:color w:val="auto"/>
        </w:rPr>
        <w:t xml:space="preserve"> the </w:t>
      </w:r>
      <w:r>
        <w:rPr>
          <w:rFonts w:ascii="Arial" w:cs="Arial" w:eastAsia="Arial" w:hAnsi="Arial"/>
          <w:sz w:val="19"/>
          <w:szCs w:val="19"/>
          <w:color w:val="111111"/>
        </w:rPr>
        <w:t>Building</w:t>
      </w:r>
      <w:r>
        <w:rPr>
          <w:rFonts w:ascii="Arial" w:cs="Arial" w:eastAsia="Arial" w:hAnsi="Arial"/>
          <w:sz w:val="19"/>
          <w:szCs w:val="19"/>
          <w:color w:val="auto"/>
        </w:rPr>
        <w:t xml:space="preserve"> and </w:t>
      </w:r>
      <w:r>
        <w:rPr>
          <w:rFonts w:ascii="Arial" w:cs="Arial" w:eastAsia="Arial" w:hAnsi="Arial"/>
          <w:sz w:val="19"/>
          <w:szCs w:val="19"/>
          <w:color w:val="111111"/>
        </w:rPr>
        <w:t>the Project</w:t>
      </w:r>
      <w:r>
        <w:rPr>
          <w:rFonts w:ascii="Arial" w:cs="Arial" w:eastAsia="Arial" w:hAnsi="Arial"/>
          <w:sz w:val="19"/>
          <w:szCs w:val="19"/>
          <w:color w:val="auto"/>
        </w:rPr>
        <w:t xml:space="preserve"> in amounts equal to </w:t>
      </w:r>
      <w:r>
        <w:rPr>
          <w:rFonts w:ascii="Arial" w:cs="Arial" w:eastAsia="Arial" w:hAnsi="Arial"/>
          <w:sz w:val="19"/>
          <w:szCs w:val="19"/>
          <w:color w:val="111111"/>
        </w:rPr>
        <w:t>full</w:t>
      </w:r>
      <w:r>
        <w:rPr>
          <w:rFonts w:ascii="Arial" w:cs="Arial" w:eastAsia="Arial" w:hAnsi="Arial"/>
          <w:sz w:val="19"/>
          <w:szCs w:val="19"/>
          <w:color w:val="auto"/>
        </w:rPr>
        <w:t xml:space="preserve"> </w:t>
      </w:r>
      <w:r>
        <w:rPr>
          <w:rFonts w:ascii="Arial" w:cs="Arial" w:eastAsia="Arial" w:hAnsi="Arial"/>
          <w:sz w:val="19"/>
          <w:szCs w:val="19"/>
          <w:color w:val="383838"/>
        </w:rPr>
        <w:t>replacement</w:t>
      </w:r>
      <w:r>
        <w:rPr>
          <w:rFonts w:ascii="Arial" w:cs="Arial" w:eastAsia="Arial" w:hAnsi="Arial"/>
          <w:sz w:val="19"/>
          <w:szCs w:val="19"/>
          <w:color w:val="auto"/>
        </w:rPr>
        <w:t xml:space="preserve"> cost (exclusive of the costs of </w:t>
      </w:r>
      <w:r>
        <w:rPr>
          <w:rFonts w:ascii="Arial" w:cs="Arial" w:eastAsia="Arial" w:hAnsi="Arial"/>
          <w:sz w:val="19"/>
          <w:szCs w:val="19"/>
          <w:color w:val="383838"/>
        </w:rPr>
        <w:t>excavation,</w:t>
      </w:r>
      <w:r>
        <w:rPr>
          <w:rFonts w:ascii="Arial" w:cs="Arial" w:eastAsia="Arial" w:hAnsi="Arial"/>
          <w:sz w:val="19"/>
          <w:szCs w:val="19"/>
          <w:color w:val="auto"/>
        </w:rPr>
        <w:t xml:space="preserve"> foundations and footings, </w:t>
      </w:r>
      <w:r>
        <w:rPr>
          <w:rFonts w:ascii="Arial" w:cs="Arial" w:eastAsia="Arial" w:hAnsi="Arial"/>
          <w:sz w:val="19"/>
          <w:szCs w:val="19"/>
          <w:color w:val="383838"/>
        </w:rPr>
        <w:t>and</w:t>
      </w:r>
      <w:r>
        <w:rPr>
          <w:rFonts w:ascii="Arial" w:cs="Arial" w:eastAsia="Arial" w:hAnsi="Arial"/>
          <w:sz w:val="19"/>
          <w:szCs w:val="19"/>
          <w:color w:val="auto"/>
        </w:rPr>
        <w:t xml:space="preserve"> without reference </w:t>
      </w:r>
      <w:r>
        <w:rPr>
          <w:rFonts w:ascii="Arial" w:cs="Arial" w:eastAsia="Arial" w:hAnsi="Arial"/>
          <w:sz w:val="19"/>
          <w:szCs w:val="19"/>
          <w:color w:val="111111"/>
        </w:rPr>
        <w:t>to</w:t>
      </w:r>
      <w:r>
        <w:rPr>
          <w:rFonts w:ascii="Arial" w:cs="Arial" w:eastAsia="Arial" w:hAnsi="Arial"/>
          <w:sz w:val="19"/>
          <w:szCs w:val="19"/>
          <w:color w:val="auto"/>
        </w:rPr>
        <w:t xml:space="preserve"> depreciation taken by </w:t>
      </w:r>
      <w:r>
        <w:rPr>
          <w:rFonts w:ascii="Arial" w:cs="Arial" w:eastAsia="Arial" w:hAnsi="Arial"/>
          <w:sz w:val="19"/>
          <w:szCs w:val="19"/>
          <w:color w:val="111111"/>
        </w:rPr>
        <w:t xml:space="preserve">Landlord </w:t>
      </w:r>
      <w:r>
        <w:rPr>
          <w:rFonts w:ascii="Arial" w:cs="Arial" w:eastAsia="Arial" w:hAnsi="Arial"/>
          <w:sz w:val="19"/>
          <w:szCs w:val="19"/>
          <w:color w:val="000000"/>
        </w:rPr>
        <w:t>upon its books or</w:t>
      </w:r>
      <w:r>
        <w:rPr>
          <w:rFonts w:ascii="Arial" w:cs="Arial" w:eastAsia="Arial" w:hAnsi="Arial"/>
          <w:sz w:val="19"/>
          <w:szCs w:val="19"/>
          <w:color w:val="111111"/>
        </w:rPr>
        <w:t xml:space="preserve"> tax returns) </w:t>
      </w:r>
      <w:r>
        <w:rPr>
          <w:rFonts w:ascii="Arial" w:cs="Arial" w:eastAsia="Arial" w:hAnsi="Arial"/>
          <w:sz w:val="19"/>
          <w:szCs w:val="19"/>
          <w:color w:val="000000"/>
        </w:rPr>
        <w:t>or such</w:t>
      </w:r>
      <w:r>
        <w:rPr>
          <w:rFonts w:ascii="Arial" w:cs="Arial" w:eastAsia="Arial" w:hAnsi="Arial"/>
          <w:sz w:val="19"/>
          <w:szCs w:val="19"/>
          <w:color w:val="111111"/>
        </w:rPr>
        <w:t xml:space="preserve"> lesser </w:t>
      </w:r>
      <w:r>
        <w:rPr>
          <w:rFonts w:ascii="Arial" w:cs="Arial" w:eastAsia="Arial" w:hAnsi="Arial"/>
          <w:sz w:val="19"/>
          <w:szCs w:val="19"/>
          <w:color w:val="000000"/>
        </w:rPr>
        <w:t>coverage as</w:t>
      </w:r>
      <w:r>
        <w:rPr>
          <w:rFonts w:ascii="Arial" w:cs="Arial" w:eastAsia="Arial" w:hAnsi="Arial"/>
          <w:sz w:val="19"/>
          <w:szCs w:val="19"/>
          <w:color w:val="111111"/>
        </w:rPr>
        <w:t xml:space="preserve"> Landlord </w:t>
      </w:r>
      <w:r>
        <w:rPr>
          <w:rFonts w:ascii="Arial" w:cs="Arial" w:eastAsia="Arial" w:hAnsi="Arial"/>
          <w:sz w:val="19"/>
          <w:szCs w:val="19"/>
          <w:color w:val="000000"/>
        </w:rPr>
        <w:t>may</w:t>
      </w:r>
      <w:r>
        <w:rPr>
          <w:rFonts w:ascii="Arial" w:cs="Arial" w:eastAsia="Arial" w:hAnsi="Arial"/>
          <w:sz w:val="19"/>
          <w:szCs w:val="19"/>
          <w:color w:val="111111"/>
        </w:rPr>
        <w:t xml:space="preserve"> reasonably </w:t>
      </w:r>
      <w:r>
        <w:rPr>
          <w:rFonts w:ascii="Arial" w:cs="Arial" w:eastAsia="Arial" w:hAnsi="Arial"/>
          <w:sz w:val="19"/>
          <w:szCs w:val="19"/>
          <w:color w:val="000000"/>
        </w:rPr>
        <w:t>elect. provided</w:t>
      </w:r>
      <w:r>
        <w:rPr>
          <w:rFonts w:ascii="Arial" w:cs="Arial" w:eastAsia="Arial" w:hAnsi="Arial"/>
          <w:sz w:val="19"/>
          <w:szCs w:val="19"/>
          <w:color w:val="111111"/>
        </w:rPr>
        <w:t xml:space="preserve"> that </w:t>
      </w:r>
      <w:r>
        <w:rPr>
          <w:rFonts w:ascii="Arial" w:cs="Arial" w:eastAsia="Arial" w:hAnsi="Arial"/>
          <w:sz w:val="19"/>
          <w:szCs w:val="19"/>
          <w:color w:val="383838"/>
        </w:rPr>
        <w:t xml:space="preserve">such </w:t>
      </w:r>
      <w:r>
        <w:rPr>
          <w:rFonts w:ascii="Arial" w:cs="Arial" w:eastAsia="Arial" w:hAnsi="Arial"/>
          <w:sz w:val="19"/>
          <w:szCs w:val="19"/>
          <w:color w:val="000000"/>
        </w:rPr>
        <w:t>coverage</w:t>
      </w:r>
      <w:r>
        <w:rPr>
          <w:rFonts w:ascii="Arial" w:cs="Arial" w:eastAsia="Arial" w:hAnsi="Arial"/>
          <w:sz w:val="19"/>
          <w:szCs w:val="19"/>
          <w:color w:val="383838"/>
        </w:rPr>
        <w:t xml:space="preserve"> shall </w:t>
      </w:r>
      <w:r>
        <w:rPr>
          <w:rFonts w:ascii="Arial" w:cs="Arial" w:eastAsia="Arial" w:hAnsi="Arial"/>
          <w:sz w:val="19"/>
          <w:szCs w:val="19"/>
          <w:color w:val="000000"/>
        </w:rPr>
        <w:t>not be</w:t>
      </w:r>
      <w:r>
        <w:rPr>
          <w:rFonts w:ascii="Arial" w:cs="Arial" w:eastAsia="Arial" w:hAnsi="Arial"/>
          <w:sz w:val="19"/>
          <w:szCs w:val="19"/>
          <w:color w:val="383838"/>
        </w:rPr>
        <w:t xml:space="preserve"> </w:t>
      </w:r>
      <w:r>
        <w:rPr>
          <w:rFonts w:ascii="Arial" w:cs="Arial" w:eastAsia="Arial" w:hAnsi="Arial"/>
          <w:sz w:val="19"/>
          <w:szCs w:val="19"/>
          <w:color w:val="111111"/>
        </w:rPr>
        <w:t>less</w:t>
      </w:r>
      <w:r>
        <w:rPr>
          <w:rFonts w:ascii="Arial" w:cs="Arial" w:eastAsia="Arial" w:hAnsi="Arial"/>
          <w:sz w:val="19"/>
          <w:szCs w:val="19"/>
          <w:color w:val="383838"/>
        </w:rPr>
        <w:t xml:space="preserve"> </w:t>
      </w:r>
      <w:r>
        <w:rPr>
          <w:rFonts w:ascii="Arial" w:cs="Arial" w:eastAsia="Arial" w:hAnsi="Arial"/>
          <w:sz w:val="19"/>
          <w:szCs w:val="19"/>
          <w:color w:val="000000"/>
        </w:rPr>
        <w:t>than</w:t>
      </w:r>
      <w:r>
        <w:rPr>
          <w:rFonts w:ascii="Arial" w:cs="Arial" w:eastAsia="Arial" w:hAnsi="Arial"/>
          <w:sz w:val="19"/>
          <w:szCs w:val="19"/>
          <w:color w:val="383838"/>
        </w:rPr>
        <w:t xml:space="preserve"> </w:t>
      </w:r>
      <w:r>
        <w:rPr>
          <w:rFonts w:ascii="Arial" w:cs="Arial" w:eastAsia="Arial" w:hAnsi="Arial"/>
          <w:sz w:val="19"/>
          <w:szCs w:val="19"/>
          <w:u w:val="single" w:color="auto"/>
          <w:color w:val="000000"/>
        </w:rPr>
        <w:t>[***]</w:t>
      </w:r>
      <w:r>
        <w:rPr>
          <w:rFonts w:ascii="Arial" w:cs="Arial" w:eastAsia="Arial" w:hAnsi="Arial"/>
          <w:sz w:val="19"/>
          <w:szCs w:val="19"/>
          <w:color w:val="383838"/>
        </w:rPr>
        <w:t xml:space="preserve"> </w:t>
      </w:r>
      <w:r>
        <w:rPr>
          <w:rFonts w:ascii="Arial" w:cs="Arial" w:eastAsia="Arial" w:hAnsi="Arial"/>
          <w:sz w:val="19"/>
          <w:szCs w:val="19"/>
          <w:color w:val="000000"/>
        </w:rPr>
        <w:t>percent (</w:t>
      </w:r>
      <w:r>
        <w:rPr>
          <w:rFonts w:ascii="Arial" w:cs="Arial" w:eastAsia="Arial" w:hAnsi="Arial"/>
          <w:sz w:val="19"/>
          <w:szCs w:val="19"/>
          <w:u w:val="single" w:color="auto"/>
          <w:color w:val="000000"/>
        </w:rPr>
        <w:t>[***]</w:t>
      </w:r>
      <w:r>
        <w:rPr>
          <w:rFonts w:ascii="Arial" w:cs="Arial" w:eastAsia="Arial" w:hAnsi="Arial"/>
          <w:sz w:val="19"/>
          <w:szCs w:val="19"/>
          <w:color w:val="000000"/>
        </w:rPr>
        <w:t>%</w:t>
      </w:r>
      <w:r>
        <w:rPr>
          <w:rFonts w:ascii="Arial" w:cs="Arial" w:eastAsia="Arial" w:hAnsi="Arial"/>
          <w:sz w:val="19"/>
          <w:szCs w:val="19"/>
          <w:color w:val="111111"/>
        </w:rPr>
        <w:t>)</w:t>
      </w:r>
      <w:r>
        <w:rPr>
          <w:rFonts w:ascii="Arial" w:cs="Arial" w:eastAsia="Arial" w:hAnsi="Arial"/>
          <w:sz w:val="19"/>
          <w:szCs w:val="19"/>
          <w:color w:val="383838"/>
        </w:rPr>
        <w:t xml:space="preserve"> </w:t>
      </w:r>
      <w:r>
        <w:rPr>
          <w:rFonts w:ascii="Arial" w:cs="Arial" w:eastAsia="Arial" w:hAnsi="Arial"/>
          <w:sz w:val="19"/>
          <w:szCs w:val="19"/>
          <w:color w:val="000000"/>
        </w:rPr>
        <w:t>of</w:t>
      </w:r>
      <w:r>
        <w:rPr>
          <w:rFonts w:ascii="Arial" w:cs="Arial" w:eastAsia="Arial" w:hAnsi="Arial"/>
          <w:sz w:val="19"/>
          <w:szCs w:val="19"/>
          <w:color w:val="383838"/>
        </w:rPr>
        <w:t xml:space="preserve"> such </w:t>
      </w:r>
      <w:r>
        <w:rPr>
          <w:rFonts w:ascii="Arial" w:cs="Arial" w:eastAsia="Arial" w:hAnsi="Arial"/>
          <w:sz w:val="19"/>
          <w:szCs w:val="19"/>
          <w:color w:val="000000"/>
        </w:rPr>
        <w:t>full</w:t>
      </w:r>
      <w:r>
        <w:rPr>
          <w:rFonts w:ascii="Arial" w:cs="Arial" w:eastAsia="Arial" w:hAnsi="Arial"/>
          <w:sz w:val="19"/>
          <w:szCs w:val="19"/>
          <w:color w:val="383838"/>
        </w:rPr>
        <w:t xml:space="preserve"> </w:t>
      </w:r>
      <w:r>
        <w:rPr>
          <w:rFonts w:ascii="Arial" w:cs="Arial" w:eastAsia="Arial" w:hAnsi="Arial"/>
          <w:sz w:val="19"/>
          <w:szCs w:val="19"/>
          <w:color w:val="111111"/>
        </w:rPr>
        <w:t>replacement</w:t>
      </w:r>
      <w:r>
        <w:rPr>
          <w:rFonts w:ascii="Arial" w:cs="Arial" w:eastAsia="Arial" w:hAnsi="Arial"/>
          <w:sz w:val="19"/>
          <w:szCs w:val="19"/>
          <w:color w:val="383838"/>
        </w:rPr>
        <w:t xml:space="preserve"> </w:t>
      </w:r>
      <w:r>
        <w:rPr>
          <w:rFonts w:ascii="Arial" w:cs="Arial" w:eastAsia="Arial" w:hAnsi="Arial"/>
          <w:sz w:val="19"/>
          <w:szCs w:val="19"/>
          <w:color w:val="000000"/>
        </w:rPr>
        <w:t>cost or</w:t>
      </w:r>
      <w:r>
        <w:rPr>
          <w:rFonts w:ascii="Arial" w:cs="Arial" w:eastAsia="Arial" w:hAnsi="Arial"/>
          <w:sz w:val="19"/>
          <w:szCs w:val="19"/>
          <w:color w:val="383838"/>
        </w:rPr>
        <w:t xml:space="preserve"> </w:t>
      </w:r>
      <w:r>
        <w:rPr>
          <w:rFonts w:ascii="Arial" w:cs="Arial" w:eastAsia="Arial" w:hAnsi="Arial"/>
          <w:sz w:val="19"/>
          <w:szCs w:val="19"/>
          <w:color w:val="111111"/>
        </w:rPr>
        <w:t>the</w:t>
      </w:r>
      <w:r>
        <w:rPr>
          <w:rFonts w:ascii="Arial" w:cs="Arial" w:eastAsia="Arial" w:hAnsi="Arial"/>
          <w:sz w:val="19"/>
          <w:szCs w:val="19"/>
          <w:color w:val="383838"/>
        </w:rPr>
        <w:t xml:space="preserve"> </w:t>
      </w:r>
      <w:r>
        <w:rPr>
          <w:rFonts w:ascii="Arial" w:cs="Arial" w:eastAsia="Arial" w:hAnsi="Arial"/>
          <w:sz w:val="19"/>
          <w:szCs w:val="19"/>
          <w:color w:val="000000"/>
        </w:rPr>
        <w:t>amount</w:t>
      </w:r>
      <w:r>
        <w:rPr>
          <w:rFonts w:ascii="Arial" w:cs="Arial" w:eastAsia="Arial" w:hAnsi="Arial"/>
          <w:sz w:val="19"/>
          <w:szCs w:val="19"/>
          <w:color w:val="383838"/>
        </w:rPr>
        <w:t xml:space="preserve"> </w:t>
      </w:r>
      <w:r>
        <w:rPr>
          <w:rFonts w:ascii="Arial" w:cs="Arial" w:eastAsia="Arial" w:hAnsi="Arial"/>
          <w:sz w:val="19"/>
          <w:szCs w:val="19"/>
          <w:color w:val="111111"/>
        </w:rPr>
        <w:t>of</w:t>
      </w:r>
      <w:r>
        <w:rPr>
          <w:rFonts w:ascii="Arial" w:cs="Arial" w:eastAsia="Arial" w:hAnsi="Arial"/>
          <w:sz w:val="19"/>
          <w:szCs w:val="19"/>
          <w:color w:val="383838"/>
        </w:rPr>
        <w:t xml:space="preserve"> </w:t>
      </w:r>
      <w:r>
        <w:rPr>
          <w:rFonts w:ascii="Arial" w:cs="Arial" w:eastAsia="Arial" w:hAnsi="Arial"/>
          <w:sz w:val="19"/>
          <w:szCs w:val="19"/>
          <w:color w:val="000000"/>
        </w:rPr>
        <w:t>such</w:t>
      </w:r>
      <w:r>
        <w:rPr>
          <w:rFonts w:ascii="Arial" w:cs="Arial" w:eastAsia="Arial" w:hAnsi="Arial"/>
          <w:sz w:val="19"/>
          <w:szCs w:val="19"/>
          <w:color w:val="383838"/>
        </w:rPr>
        <w:t xml:space="preserve"> </w:t>
      </w:r>
      <w:r>
        <w:rPr>
          <w:rFonts w:ascii="Arial" w:cs="Arial" w:eastAsia="Arial" w:hAnsi="Arial"/>
          <w:sz w:val="19"/>
          <w:szCs w:val="19"/>
          <w:color w:val="111111"/>
        </w:rPr>
        <w:t xml:space="preserve">insurance </w:t>
      </w:r>
      <w:r>
        <w:rPr>
          <w:rFonts w:ascii="Arial" w:cs="Arial" w:eastAsia="Arial" w:hAnsi="Arial"/>
          <w:sz w:val="19"/>
          <w:szCs w:val="19"/>
          <w:color w:val="000000"/>
        </w:rPr>
        <w:t>Landlord’s Lender,</w:t>
      </w:r>
      <w:r>
        <w:rPr>
          <w:rFonts w:ascii="Arial" w:cs="Arial" w:eastAsia="Arial" w:hAnsi="Arial"/>
          <w:sz w:val="19"/>
          <w:szCs w:val="19"/>
          <w:color w:val="111111"/>
        </w:rPr>
        <w:t xml:space="preserve"> if </w:t>
      </w:r>
      <w:r>
        <w:rPr>
          <w:rFonts w:ascii="Arial" w:cs="Arial" w:eastAsia="Arial" w:hAnsi="Arial"/>
          <w:sz w:val="19"/>
          <w:szCs w:val="19"/>
          <w:color w:val="000000"/>
        </w:rPr>
        <w:t>any,</w:t>
      </w:r>
      <w:r>
        <w:rPr>
          <w:rFonts w:ascii="Arial" w:cs="Arial" w:eastAsia="Arial" w:hAnsi="Arial"/>
          <w:sz w:val="19"/>
          <w:szCs w:val="19"/>
          <w:color w:val="111111"/>
        </w:rPr>
        <w:t xml:space="preserve"> requires Landlord to maintain, providing </w:t>
      </w:r>
      <w:r>
        <w:rPr>
          <w:rFonts w:ascii="Arial" w:cs="Arial" w:eastAsia="Arial" w:hAnsi="Arial"/>
          <w:sz w:val="19"/>
          <w:szCs w:val="19"/>
          <w:color w:val="000000"/>
        </w:rPr>
        <w:t>protection against any peril</w:t>
      </w:r>
      <w:r>
        <w:rPr>
          <w:rFonts w:ascii="Arial" w:cs="Arial" w:eastAsia="Arial" w:hAnsi="Arial"/>
          <w:sz w:val="19"/>
          <w:szCs w:val="19"/>
          <w:color w:val="111111"/>
        </w:rPr>
        <w:t xml:space="preserve"> </w:t>
      </w:r>
      <w:r>
        <w:rPr>
          <w:rFonts w:ascii="Arial" w:cs="Arial" w:eastAsia="Arial" w:hAnsi="Arial"/>
          <w:sz w:val="19"/>
          <w:szCs w:val="19"/>
          <w:color w:val="000000"/>
        </w:rPr>
        <w:t xml:space="preserve">generally included within </w:t>
      </w:r>
      <w:r>
        <w:rPr>
          <w:rFonts w:ascii="Arial" w:cs="Arial" w:eastAsia="Arial" w:hAnsi="Arial"/>
          <w:sz w:val="19"/>
          <w:szCs w:val="19"/>
          <w:color w:val="111111"/>
        </w:rPr>
        <w:t>the classification</w:t>
      </w:r>
      <w:r>
        <w:rPr>
          <w:rFonts w:ascii="Arial" w:cs="Arial" w:eastAsia="Arial" w:hAnsi="Arial"/>
          <w:sz w:val="19"/>
          <w:szCs w:val="19"/>
          <w:color w:val="000000"/>
        </w:rPr>
        <w:t xml:space="preserve"> “Fire </w:t>
      </w:r>
      <w:r>
        <w:rPr>
          <w:rFonts w:ascii="Arial" w:cs="Arial" w:eastAsia="Arial" w:hAnsi="Arial"/>
          <w:sz w:val="19"/>
          <w:szCs w:val="19"/>
          <w:color w:val="111111"/>
        </w:rPr>
        <w:t>and</w:t>
      </w:r>
      <w:r>
        <w:rPr>
          <w:rFonts w:ascii="Arial" w:cs="Arial" w:eastAsia="Arial" w:hAnsi="Arial"/>
          <w:sz w:val="19"/>
          <w:szCs w:val="19"/>
          <w:color w:val="000000"/>
        </w:rPr>
        <w:t xml:space="preserve"> Extended Coverage</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111111"/>
        </w:rPr>
        <w:t>together</w:t>
      </w:r>
      <w:r>
        <w:rPr>
          <w:rFonts w:ascii="Arial" w:cs="Arial" w:eastAsia="Arial" w:hAnsi="Arial"/>
          <w:sz w:val="19"/>
          <w:szCs w:val="19"/>
          <w:color w:val="000000"/>
        </w:rPr>
        <w:t xml:space="preserve"> with insurance against sprinkler </w:t>
      </w:r>
      <w:r>
        <w:rPr>
          <w:rFonts w:ascii="Arial" w:cs="Arial" w:eastAsia="Arial" w:hAnsi="Arial"/>
          <w:sz w:val="19"/>
          <w:szCs w:val="19"/>
          <w:color w:val="111111"/>
        </w:rPr>
        <w:t>damage</w:t>
      </w:r>
      <w:r>
        <w:rPr>
          <w:rFonts w:ascii="Arial" w:cs="Arial" w:eastAsia="Arial" w:hAnsi="Arial"/>
          <w:sz w:val="19"/>
          <w:szCs w:val="19"/>
          <w:color w:val="000000"/>
        </w:rPr>
        <w:t xml:space="preserve"> (if </w:t>
      </w:r>
      <w:r>
        <w:rPr>
          <w:rFonts w:ascii="Arial" w:cs="Arial" w:eastAsia="Arial" w:hAnsi="Arial"/>
          <w:sz w:val="19"/>
          <w:szCs w:val="19"/>
          <w:color w:val="111111"/>
        </w:rPr>
        <w:t>applicable),</w:t>
      </w:r>
      <w:r>
        <w:rPr>
          <w:rFonts w:ascii="Arial" w:cs="Arial" w:eastAsia="Arial" w:hAnsi="Arial"/>
          <w:sz w:val="19"/>
          <w:szCs w:val="19"/>
          <w:color w:val="000000"/>
        </w:rPr>
        <w:t xml:space="preserve"> vandalism and malicious </w:t>
      </w:r>
      <w:r>
        <w:rPr>
          <w:rFonts w:ascii="Arial" w:cs="Arial" w:eastAsia="Arial" w:hAnsi="Arial"/>
          <w:sz w:val="19"/>
          <w:szCs w:val="19"/>
          <w:color w:val="111111"/>
        </w:rPr>
        <w:t>mischief.</w:t>
      </w:r>
      <w:r>
        <w:rPr>
          <w:rFonts w:ascii="Arial" w:cs="Arial" w:eastAsia="Arial" w:hAnsi="Arial"/>
          <w:sz w:val="19"/>
          <w:szCs w:val="19"/>
          <w:color w:val="000000"/>
        </w:rPr>
        <w:t xml:space="preserve"> Landlord, subject </w:t>
      </w:r>
      <w:r>
        <w:rPr>
          <w:rFonts w:ascii="Arial" w:cs="Arial" w:eastAsia="Arial" w:hAnsi="Arial"/>
          <w:sz w:val="19"/>
          <w:szCs w:val="19"/>
          <w:color w:val="111111"/>
        </w:rPr>
        <w:t>to</w:t>
      </w:r>
      <w:r>
        <w:rPr>
          <w:rFonts w:ascii="Arial" w:cs="Arial" w:eastAsia="Arial" w:hAnsi="Arial"/>
          <w:sz w:val="19"/>
          <w:szCs w:val="19"/>
          <w:color w:val="000000"/>
        </w:rPr>
        <w:t xml:space="preserve"> availability </w:t>
      </w:r>
      <w:r>
        <w:rPr>
          <w:rFonts w:ascii="Arial" w:cs="Arial" w:eastAsia="Arial" w:hAnsi="Arial"/>
          <w:sz w:val="19"/>
          <w:szCs w:val="19"/>
          <w:color w:val="383838"/>
        </w:rPr>
        <w:t>thereof,</w:t>
      </w:r>
      <w:r>
        <w:rPr>
          <w:rFonts w:ascii="Arial" w:cs="Arial" w:eastAsia="Arial" w:hAnsi="Arial"/>
          <w:sz w:val="19"/>
          <w:szCs w:val="19"/>
          <w:color w:val="000000"/>
        </w:rPr>
        <w:t xml:space="preserve"> shall further </w:t>
      </w:r>
      <w:r>
        <w:rPr>
          <w:rFonts w:ascii="Arial" w:cs="Arial" w:eastAsia="Arial" w:hAnsi="Arial"/>
          <w:sz w:val="19"/>
          <w:szCs w:val="19"/>
          <w:color w:val="111111"/>
        </w:rPr>
        <w:t>insure,</w:t>
      </w:r>
      <w:r>
        <w:rPr>
          <w:rFonts w:ascii="Arial" w:cs="Arial" w:eastAsia="Arial" w:hAnsi="Arial"/>
          <w:sz w:val="19"/>
          <w:szCs w:val="19"/>
          <w:color w:val="000000"/>
        </w:rPr>
        <w:t xml:space="preserve"> if </w:t>
      </w:r>
      <w:r>
        <w:rPr>
          <w:rFonts w:ascii="Arial" w:cs="Arial" w:eastAsia="Arial" w:hAnsi="Arial"/>
          <w:sz w:val="19"/>
          <w:szCs w:val="19"/>
          <w:color w:val="111111"/>
        </w:rPr>
        <w:t>Landlord</w:t>
      </w:r>
      <w:r>
        <w:rPr>
          <w:rFonts w:ascii="Arial" w:cs="Arial" w:eastAsia="Arial" w:hAnsi="Arial"/>
          <w:sz w:val="19"/>
          <w:szCs w:val="19"/>
          <w:color w:val="000000"/>
        </w:rPr>
        <w:t xml:space="preserve"> deems </w:t>
      </w:r>
      <w:r>
        <w:rPr>
          <w:rFonts w:ascii="Arial" w:cs="Arial" w:eastAsia="Arial" w:hAnsi="Arial"/>
          <w:sz w:val="19"/>
          <w:szCs w:val="19"/>
          <w:color w:val="111111"/>
        </w:rPr>
        <w:t>it</w:t>
      </w:r>
      <w:r>
        <w:rPr>
          <w:rFonts w:ascii="Arial" w:cs="Arial" w:eastAsia="Arial" w:hAnsi="Arial"/>
          <w:sz w:val="19"/>
          <w:szCs w:val="19"/>
          <w:color w:val="000000"/>
        </w:rPr>
        <w:t xml:space="preserve"> appropriate, coverage against </w:t>
      </w:r>
      <w:r>
        <w:rPr>
          <w:rFonts w:ascii="Arial" w:cs="Arial" w:eastAsia="Arial" w:hAnsi="Arial"/>
          <w:sz w:val="19"/>
          <w:szCs w:val="19"/>
          <w:color w:val="111111"/>
        </w:rPr>
        <w:t>flood,</w:t>
      </w:r>
      <w:r>
        <w:rPr>
          <w:rFonts w:ascii="Arial" w:cs="Arial" w:eastAsia="Arial" w:hAnsi="Arial"/>
          <w:sz w:val="19"/>
          <w:szCs w:val="19"/>
          <w:color w:val="000000"/>
        </w:rPr>
        <w:t xml:space="preserve"> environmental hazard, </w:t>
      </w:r>
      <w:r>
        <w:rPr>
          <w:rFonts w:ascii="Arial" w:cs="Arial" w:eastAsia="Arial" w:hAnsi="Arial"/>
          <w:sz w:val="19"/>
          <w:szCs w:val="19"/>
          <w:color w:val="111111"/>
        </w:rPr>
        <w:t>loss</w:t>
      </w:r>
      <w:r>
        <w:rPr>
          <w:rFonts w:ascii="Arial" w:cs="Arial" w:eastAsia="Arial" w:hAnsi="Arial"/>
          <w:sz w:val="19"/>
          <w:szCs w:val="19"/>
          <w:color w:val="000000"/>
        </w:rPr>
        <w:t xml:space="preserve"> or failure of building equipment, rental loss during </w:t>
      </w:r>
      <w:r>
        <w:rPr>
          <w:rFonts w:ascii="Arial" w:cs="Arial" w:eastAsia="Arial" w:hAnsi="Arial"/>
          <w:sz w:val="19"/>
          <w:szCs w:val="19"/>
          <w:color w:val="111111"/>
        </w:rPr>
        <w:t>the</w:t>
      </w:r>
      <w:r>
        <w:rPr>
          <w:rFonts w:ascii="Arial" w:cs="Arial" w:eastAsia="Arial" w:hAnsi="Arial"/>
          <w:sz w:val="19"/>
          <w:szCs w:val="19"/>
          <w:color w:val="000000"/>
        </w:rPr>
        <w:t xml:space="preserve"> period of </w:t>
      </w:r>
      <w:r>
        <w:rPr>
          <w:rFonts w:ascii="Arial" w:cs="Arial" w:eastAsia="Arial" w:hAnsi="Arial"/>
          <w:sz w:val="19"/>
          <w:szCs w:val="19"/>
          <w:color w:val="111111"/>
        </w:rPr>
        <w:t>repairs</w:t>
      </w:r>
      <w:r>
        <w:rPr>
          <w:rFonts w:ascii="Arial" w:cs="Arial" w:eastAsia="Arial" w:hAnsi="Arial"/>
          <w:sz w:val="19"/>
          <w:szCs w:val="19"/>
          <w:color w:val="000000"/>
        </w:rPr>
        <w:t xml:space="preserve"> or </w:t>
      </w:r>
      <w:r>
        <w:rPr>
          <w:rFonts w:ascii="Arial" w:cs="Arial" w:eastAsia="Arial" w:hAnsi="Arial"/>
          <w:sz w:val="19"/>
          <w:szCs w:val="19"/>
          <w:color w:val="111111"/>
        </w:rPr>
        <w:t>rebuilding,</w:t>
      </w:r>
      <w:r>
        <w:rPr>
          <w:rFonts w:ascii="Arial" w:cs="Arial" w:eastAsia="Arial" w:hAnsi="Arial"/>
          <w:sz w:val="19"/>
          <w:szCs w:val="19"/>
          <w:color w:val="000000"/>
        </w:rPr>
        <w:t xml:space="preserve"> workmen’s compensation </w:t>
      </w:r>
      <w:r>
        <w:rPr>
          <w:rFonts w:ascii="Arial" w:cs="Arial" w:eastAsia="Arial" w:hAnsi="Arial"/>
          <w:sz w:val="19"/>
          <w:szCs w:val="19"/>
          <w:color w:val="111111"/>
        </w:rPr>
        <w:t>insurance</w:t>
      </w:r>
      <w:r>
        <w:rPr>
          <w:rFonts w:ascii="Arial" w:cs="Arial" w:eastAsia="Arial" w:hAnsi="Arial"/>
          <w:sz w:val="19"/>
          <w:szCs w:val="19"/>
          <w:color w:val="000000"/>
        </w:rPr>
        <w:t xml:space="preserve"> and fidelity bonds for employees employed to </w:t>
      </w:r>
      <w:r>
        <w:rPr>
          <w:rFonts w:ascii="Arial" w:cs="Arial" w:eastAsia="Arial" w:hAnsi="Arial"/>
          <w:sz w:val="19"/>
          <w:szCs w:val="19"/>
          <w:color w:val="111111"/>
        </w:rPr>
        <w:t>perform</w:t>
      </w:r>
      <w:r>
        <w:rPr>
          <w:rFonts w:ascii="Arial" w:cs="Arial" w:eastAsia="Arial" w:hAnsi="Arial"/>
          <w:sz w:val="19"/>
          <w:szCs w:val="19"/>
          <w:color w:val="000000"/>
        </w:rPr>
        <w:t xml:space="preserve"> </w:t>
      </w:r>
      <w:r>
        <w:rPr>
          <w:rFonts w:ascii="Arial" w:cs="Arial" w:eastAsia="Arial" w:hAnsi="Arial"/>
          <w:sz w:val="19"/>
          <w:szCs w:val="19"/>
          <w:color w:val="383838"/>
        </w:rPr>
        <w:t>services.</w:t>
      </w:r>
      <w:r>
        <w:rPr>
          <w:rFonts w:ascii="Arial" w:cs="Arial" w:eastAsia="Arial" w:hAnsi="Arial"/>
          <w:sz w:val="19"/>
          <w:szCs w:val="19"/>
          <w:color w:val="000000"/>
        </w:rPr>
        <w:t xml:space="preserve"> Notwithstanding </w:t>
      </w:r>
      <w:r>
        <w:rPr>
          <w:rFonts w:ascii="Arial" w:cs="Arial" w:eastAsia="Arial" w:hAnsi="Arial"/>
          <w:sz w:val="19"/>
          <w:szCs w:val="19"/>
          <w:color w:val="383838"/>
        </w:rPr>
        <w:t>the</w:t>
      </w:r>
      <w:r>
        <w:rPr>
          <w:rFonts w:ascii="Arial" w:cs="Arial" w:eastAsia="Arial" w:hAnsi="Arial"/>
          <w:sz w:val="19"/>
          <w:szCs w:val="19"/>
          <w:color w:val="000000"/>
        </w:rPr>
        <w:t xml:space="preserve"> foregoing, Landlord may, </w:t>
      </w:r>
      <w:r>
        <w:rPr>
          <w:rFonts w:ascii="Arial" w:cs="Arial" w:eastAsia="Arial" w:hAnsi="Arial"/>
          <w:sz w:val="19"/>
          <w:szCs w:val="19"/>
          <w:color w:val="111111"/>
        </w:rPr>
        <w:t>but</w:t>
      </w:r>
      <w:r>
        <w:rPr>
          <w:rFonts w:ascii="Arial" w:cs="Arial" w:eastAsia="Arial" w:hAnsi="Arial"/>
          <w:sz w:val="19"/>
          <w:szCs w:val="19"/>
          <w:color w:val="000000"/>
        </w:rPr>
        <w:t xml:space="preserve"> </w:t>
      </w:r>
      <w:r>
        <w:rPr>
          <w:rFonts w:ascii="Arial" w:cs="Arial" w:eastAsia="Arial" w:hAnsi="Arial"/>
          <w:sz w:val="19"/>
          <w:szCs w:val="19"/>
          <w:color w:val="383838"/>
        </w:rPr>
        <w:t xml:space="preserve">shall </w:t>
      </w:r>
      <w:r>
        <w:rPr>
          <w:rFonts w:ascii="Arial" w:cs="Arial" w:eastAsia="Arial" w:hAnsi="Arial"/>
          <w:sz w:val="19"/>
          <w:szCs w:val="19"/>
          <w:color w:val="000000"/>
        </w:rPr>
        <w:t>not</w:t>
      </w:r>
      <w:r>
        <w:rPr>
          <w:rFonts w:ascii="Arial" w:cs="Arial" w:eastAsia="Arial" w:hAnsi="Arial"/>
          <w:sz w:val="19"/>
          <w:szCs w:val="19"/>
          <w:color w:val="383838"/>
        </w:rPr>
        <w:t xml:space="preserve"> </w:t>
      </w:r>
      <w:r>
        <w:rPr>
          <w:rFonts w:ascii="Arial" w:cs="Arial" w:eastAsia="Arial" w:hAnsi="Arial"/>
          <w:sz w:val="19"/>
          <w:szCs w:val="19"/>
          <w:color w:val="111111"/>
        </w:rPr>
        <w:t>be deemed</w:t>
      </w:r>
      <w:r>
        <w:rPr>
          <w:rFonts w:ascii="Arial" w:cs="Arial" w:eastAsia="Arial" w:hAnsi="Arial"/>
          <w:sz w:val="19"/>
          <w:szCs w:val="19"/>
          <w:color w:val="383838"/>
        </w:rPr>
        <w:t xml:space="preserve"> </w:t>
      </w:r>
      <w:r>
        <w:rPr>
          <w:rFonts w:ascii="Arial" w:cs="Arial" w:eastAsia="Arial" w:hAnsi="Arial"/>
          <w:sz w:val="19"/>
          <w:szCs w:val="19"/>
          <w:color w:val="000000"/>
        </w:rPr>
        <w:t>required</w:t>
      </w:r>
      <w:r>
        <w:rPr>
          <w:rFonts w:ascii="Arial" w:cs="Arial" w:eastAsia="Arial" w:hAnsi="Arial"/>
          <w:sz w:val="19"/>
          <w:szCs w:val="19"/>
          <w:color w:val="383838"/>
        </w:rPr>
        <w:t xml:space="preserve"> </w:t>
      </w:r>
      <w:r>
        <w:rPr>
          <w:rFonts w:ascii="Arial" w:cs="Arial" w:eastAsia="Arial" w:hAnsi="Arial"/>
          <w:sz w:val="19"/>
          <w:szCs w:val="19"/>
          <w:color w:val="111111"/>
        </w:rPr>
        <w:t>to, provide</w:t>
      </w:r>
      <w:r>
        <w:rPr>
          <w:rFonts w:ascii="Arial" w:cs="Arial" w:eastAsia="Arial" w:hAnsi="Arial"/>
          <w:sz w:val="19"/>
          <w:szCs w:val="19"/>
          <w:color w:val="383838"/>
        </w:rPr>
        <w:t xml:space="preserve"> insurance </w:t>
      </w:r>
      <w:r>
        <w:rPr>
          <w:rFonts w:ascii="Arial" w:cs="Arial" w:eastAsia="Arial" w:hAnsi="Arial"/>
          <w:sz w:val="19"/>
          <w:szCs w:val="19"/>
          <w:color w:val="000000"/>
        </w:rPr>
        <w:t>for any</w:t>
      </w:r>
      <w:r>
        <w:rPr>
          <w:rFonts w:ascii="Arial" w:cs="Arial" w:eastAsia="Arial" w:hAnsi="Arial"/>
          <w:sz w:val="19"/>
          <w:szCs w:val="19"/>
          <w:color w:val="383838"/>
        </w:rPr>
        <w:t xml:space="preserve"> </w:t>
      </w:r>
      <w:r>
        <w:rPr>
          <w:rFonts w:ascii="Arial" w:cs="Arial" w:eastAsia="Arial" w:hAnsi="Arial"/>
          <w:sz w:val="19"/>
          <w:szCs w:val="19"/>
          <w:color w:val="111111"/>
        </w:rPr>
        <w:t>improvements</w:t>
      </w:r>
      <w:r>
        <w:rPr>
          <w:rFonts w:ascii="Arial" w:cs="Arial" w:eastAsia="Arial" w:hAnsi="Arial"/>
          <w:sz w:val="19"/>
          <w:szCs w:val="19"/>
          <w:color w:val="383838"/>
        </w:rPr>
        <w:t xml:space="preserve"> </w:t>
      </w:r>
      <w:r>
        <w:rPr>
          <w:rFonts w:ascii="Arial" w:cs="Arial" w:eastAsia="Arial" w:hAnsi="Arial"/>
          <w:sz w:val="19"/>
          <w:szCs w:val="19"/>
          <w:color w:val="000000"/>
        </w:rPr>
        <w:t>installed</w:t>
      </w:r>
      <w:r>
        <w:rPr>
          <w:rFonts w:ascii="Arial" w:cs="Arial" w:eastAsia="Arial" w:hAnsi="Arial"/>
          <w:sz w:val="19"/>
          <w:szCs w:val="19"/>
          <w:color w:val="383838"/>
        </w:rPr>
        <w:t xml:space="preserve"> </w:t>
      </w:r>
      <w:r>
        <w:rPr>
          <w:rFonts w:ascii="Arial" w:cs="Arial" w:eastAsia="Arial" w:hAnsi="Arial"/>
          <w:sz w:val="19"/>
          <w:szCs w:val="19"/>
          <w:color w:val="111111"/>
        </w:rPr>
        <w:t>by Tenant</w:t>
      </w:r>
      <w:r>
        <w:rPr>
          <w:rFonts w:ascii="Arial" w:cs="Arial" w:eastAsia="Arial" w:hAnsi="Arial"/>
          <w:sz w:val="19"/>
          <w:szCs w:val="19"/>
          <w:color w:val="383838"/>
        </w:rPr>
        <w:t xml:space="preserve"> </w:t>
      </w:r>
      <w:r>
        <w:rPr>
          <w:rFonts w:ascii="Arial" w:cs="Arial" w:eastAsia="Arial" w:hAnsi="Arial"/>
          <w:sz w:val="19"/>
          <w:szCs w:val="19"/>
          <w:color w:val="000000"/>
        </w:rPr>
        <w:t>or</w:t>
      </w:r>
      <w:r>
        <w:rPr>
          <w:rFonts w:ascii="Arial" w:cs="Arial" w:eastAsia="Arial" w:hAnsi="Arial"/>
          <w:sz w:val="19"/>
          <w:szCs w:val="19"/>
          <w:color w:val="383838"/>
        </w:rPr>
        <w:t xml:space="preserve"> </w:t>
      </w:r>
      <w:r>
        <w:rPr>
          <w:rFonts w:ascii="Arial" w:cs="Arial" w:eastAsia="Arial" w:hAnsi="Arial"/>
          <w:sz w:val="19"/>
          <w:szCs w:val="19"/>
          <w:color w:val="111111"/>
        </w:rPr>
        <w:t>that</w:t>
      </w:r>
      <w:r>
        <w:rPr>
          <w:rFonts w:ascii="Arial" w:cs="Arial" w:eastAsia="Arial" w:hAnsi="Arial"/>
          <w:sz w:val="19"/>
          <w:szCs w:val="19"/>
          <w:color w:val="383838"/>
        </w:rPr>
        <w:t xml:space="preserve"> are </w:t>
      </w:r>
      <w:r>
        <w:rPr>
          <w:rFonts w:ascii="Arial" w:cs="Arial" w:eastAsia="Arial" w:hAnsi="Arial"/>
          <w:sz w:val="19"/>
          <w:szCs w:val="19"/>
          <w:color w:val="111111"/>
        </w:rPr>
        <w:t>in</w:t>
      </w:r>
      <w:r>
        <w:rPr>
          <w:rFonts w:ascii="Arial" w:cs="Arial" w:eastAsia="Arial" w:hAnsi="Arial"/>
          <w:sz w:val="19"/>
          <w:szCs w:val="19"/>
          <w:color w:val="383838"/>
        </w:rPr>
        <w:t xml:space="preserve"> </w:t>
      </w:r>
      <w:r>
        <w:rPr>
          <w:rFonts w:ascii="Arial" w:cs="Arial" w:eastAsia="Arial" w:hAnsi="Arial"/>
          <w:sz w:val="19"/>
          <w:szCs w:val="19"/>
          <w:color w:val="000000"/>
        </w:rPr>
        <w:t xml:space="preserve">addition </w:t>
      </w:r>
      <w:r>
        <w:rPr>
          <w:rFonts w:ascii="Arial" w:cs="Arial" w:eastAsia="Arial" w:hAnsi="Arial"/>
          <w:sz w:val="19"/>
          <w:szCs w:val="19"/>
          <w:color w:val="111111"/>
        </w:rPr>
        <w:t>to</w:t>
      </w:r>
      <w:r>
        <w:rPr>
          <w:rFonts w:ascii="Arial" w:cs="Arial" w:eastAsia="Arial" w:hAnsi="Arial"/>
          <w:sz w:val="19"/>
          <w:szCs w:val="19"/>
          <w:color w:val="000000"/>
        </w:rPr>
        <w:t xml:space="preserve"> </w:t>
      </w:r>
      <w:r>
        <w:rPr>
          <w:rFonts w:ascii="Arial" w:cs="Arial" w:eastAsia="Arial" w:hAnsi="Arial"/>
          <w:sz w:val="19"/>
          <w:szCs w:val="19"/>
          <w:color w:val="383838"/>
        </w:rPr>
        <w:t>the</w:t>
      </w:r>
      <w:r>
        <w:rPr>
          <w:rFonts w:ascii="Arial" w:cs="Arial" w:eastAsia="Arial" w:hAnsi="Arial"/>
          <w:sz w:val="19"/>
          <w:szCs w:val="19"/>
          <w:color w:val="000000"/>
        </w:rPr>
        <w:t xml:space="preserve"> standard </w:t>
      </w:r>
      <w:r>
        <w:rPr>
          <w:rFonts w:ascii="Arial" w:cs="Arial" w:eastAsia="Arial" w:hAnsi="Arial"/>
          <w:sz w:val="19"/>
          <w:szCs w:val="19"/>
          <w:color w:val="111111"/>
        </w:rPr>
        <w:t>improvements</w:t>
      </w:r>
      <w:r>
        <w:rPr>
          <w:rFonts w:ascii="Arial" w:cs="Arial" w:eastAsia="Arial" w:hAnsi="Arial"/>
          <w:sz w:val="19"/>
          <w:szCs w:val="19"/>
          <w:color w:val="000000"/>
        </w:rPr>
        <w:t xml:space="preserve"> customarily furnished </w:t>
      </w:r>
      <w:r>
        <w:rPr>
          <w:rFonts w:ascii="Arial" w:cs="Arial" w:eastAsia="Arial" w:hAnsi="Arial"/>
          <w:sz w:val="19"/>
          <w:szCs w:val="19"/>
          <w:color w:val="111111"/>
        </w:rPr>
        <w:t>by Landlord,</w:t>
      </w:r>
      <w:r>
        <w:rPr>
          <w:rFonts w:ascii="Arial" w:cs="Arial" w:eastAsia="Arial" w:hAnsi="Arial"/>
          <w:sz w:val="19"/>
          <w:szCs w:val="19"/>
          <w:color w:val="000000"/>
        </w:rPr>
        <w:t xml:space="preserve"> without </w:t>
      </w:r>
      <w:r>
        <w:rPr>
          <w:rFonts w:ascii="Arial" w:cs="Arial" w:eastAsia="Arial" w:hAnsi="Arial"/>
          <w:sz w:val="19"/>
          <w:szCs w:val="19"/>
          <w:color w:val="383838"/>
        </w:rPr>
        <w:t>regard</w:t>
      </w:r>
      <w:r>
        <w:rPr>
          <w:rFonts w:ascii="Arial" w:cs="Arial" w:eastAsia="Arial" w:hAnsi="Arial"/>
          <w:sz w:val="19"/>
          <w:szCs w:val="19"/>
          <w:color w:val="000000"/>
        </w:rPr>
        <w:t xml:space="preserve"> to whether or not </w:t>
      </w:r>
      <w:r>
        <w:rPr>
          <w:rFonts w:ascii="Arial" w:cs="Arial" w:eastAsia="Arial" w:hAnsi="Arial"/>
          <w:sz w:val="19"/>
          <w:szCs w:val="19"/>
          <w:color w:val="383838"/>
        </w:rPr>
        <w:t>such</w:t>
      </w:r>
      <w:r>
        <w:rPr>
          <w:rFonts w:ascii="Arial" w:cs="Arial" w:eastAsia="Arial" w:hAnsi="Arial"/>
          <w:sz w:val="19"/>
          <w:szCs w:val="19"/>
          <w:color w:val="000000"/>
        </w:rPr>
        <w:t xml:space="preserve"> are made a </w:t>
      </w:r>
      <w:r>
        <w:rPr>
          <w:rFonts w:ascii="Arial" w:cs="Arial" w:eastAsia="Arial" w:hAnsi="Arial"/>
          <w:sz w:val="19"/>
          <w:szCs w:val="19"/>
          <w:color w:val="111111"/>
        </w:rPr>
        <w:t>part</w:t>
      </w:r>
      <w:r>
        <w:rPr>
          <w:rFonts w:ascii="Arial" w:cs="Arial" w:eastAsia="Arial" w:hAnsi="Arial"/>
          <w:sz w:val="19"/>
          <w:szCs w:val="19"/>
          <w:color w:val="000000"/>
        </w:rPr>
        <w:t xml:space="preserve"> of or are affixed </w:t>
      </w:r>
      <w:r>
        <w:rPr>
          <w:rFonts w:ascii="Arial" w:cs="Arial" w:eastAsia="Arial" w:hAnsi="Arial"/>
          <w:sz w:val="19"/>
          <w:szCs w:val="19"/>
          <w:color w:val="111111"/>
        </w:rPr>
        <w:t>to the</w:t>
      </w:r>
      <w:r>
        <w:rPr>
          <w:rFonts w:ascii="Arial" w:cs="Arial" w:eastAsia="Arial" w:hAnsi="Arial"/>
          <w:sz w:val="19"/>
          <w:szCs w:val="19"/>
          <w:color w:val="000000"/>
        </w:rPr>
        <w:t xml:space="preserve"> Building.</w:t>
      </w:r>
    </w:p>
    <w:p>
      <w:pPr>
        <w:spacing w:after="0" w:line="380" w:lineRule="exact"/>
        <w:rPr>
          <w:rFonts w:ascii="Arial" w:cs="Arial" w:eastAsia="Arial" w:hAnsi="Arial"/>
          <w:sz w:val="22"/>
          <w:szCs w:val="22"/>
          <w:color w:val="auto"/>
        </w:rPr>
      </w:pPr>
    </w:p>
    <w:p>
      <w:pPr>
        <w:ind w:left="1300" w:hanging="648"/>
        <w:spacing w:after="0" w:line="247" w:lineRule="auto"/>
        <w:rPr>
          <w:rFonts w:ascii="Arial" w:cs="Arial" w:eastAsia="Arial" w:hAnsi="Arial"/>
          <w:sz w:val="22"/>
          <w:szCs w:val="22"/>
          <w:color w:val="auto"/>
        </w:rPr>
      </w:pPr>
      <w:r>
        <w:rPr>
          <w:rFonts w:ascii="Arial" w:cs="Arial" w:eastAsia="Arial" w:hAnsi="Arial"/>
          <w:sz w:val="21"/>
          <w:szCs w:val="21"/>
          <w:color w:val="auto"/>
        </w:rPr>
        <w:t xml:space="preserve">23.2 In addition, Landlord shall carry comprehensive public </w:t>
      </w:r>
      <w:r>
        <w:rPr>
          <w:rFonts w:ascii="Arial" w:cs="Arial" w:eastAsia="Arial" w:hAnsi="Arial"/>
          <w:sz w:val="21"/>
          <w:szCs w:val="21"/>
          <w:color w:val="111111"/>
        </w:rPr>
        <w:t>liability</w:t>
      </w:r>
      <w:r>
        <w:rPr>
          <w:rFonts w:ascii="Arial" w:cs="Arial" w:eastAsia="Arial" w:hAnsi="Arial"/>
          <w:sz w:val="21"/>
          <w:szCs w:val="21"/>
          <w:color w:val="auto"/>
        </w:rPr>
        <w:t xml:space="preserve"> insurance with limits of not </w:t>
      </w:r>
      <w:r>
        <w:rPr>
          <w:rFonts w:ascii="Arial" w:cs="Arial" w:eastAsia="Arial" w:hAnsi="Arial"/>
          <w:sz w:val="21"/>
          <w:szCs w:val="21"/>
          <w:color w:val="111111"/>
        </w:rPr>
        <w:t>less</w:t>
      </w:r>
      <w:r>
        <w:rPr>
          <w:rFonts w:ascii="Arial" w:cs="Arial" w:eastAsia="Arial" w:hAnsi="Arial"/>
          <w:sz w:val="21"/>
          <w:szCs w:val="21"/>
          <w:color w:val="auto"/>
        </w:rPr>
        <w:t xml:space="preserve"> than </w:t>
      </w:r>
      <w:r>
        <w:rPr>
          <w:rFonts w:ascii="Arial" w:cs="Arial" w:eastAsia="Arial" w:hAnsi="Arial"/>
          <w:sz w:val="21"/>
          <w:szCs w:val="21"/>
          <w:u w:val="single" w:color="auto"/>
          <w:color w:val="auto"/>
        </w:rPr>
        <w:t>[***]</w:t>
      </w:r>
      <w:r>
        <w:rPr>
          <w:rFonts w:ascii="Arial" w:cs="Arial" w:eastAsia="Arial" w:hAnsi="Arial"/>
          <w:sz w:val="21"/>
          <w:szCs w:val="21"/>
          <w:color w:val="auto"/>
        </w:rPr>
        <w:t xml:space="preserve"> Dollars </w:t>
      </w:r>
      <w:r>
        <w:rPr>
          <w:rFonts w:ascii="Arial" w:cs="Arial" w:eastAsia="Arial" w:hAnsi="Arial"/>
          <w:sz w:val="21"/>
          <w:szCs w:val="21"/>
          <w:color w:val="111111"/>
        </w:rPr>
        <w:t>($</w:t>
      </w:r>
      <w:r>
        <w:rPr>
          <w:rFonts w:ascii="Arial" w:cs="Arial" w:eastAsia="Arial" w:hAnsi="Arial"/>
          <w:sz w:val="21"/>
          <w:szCs w:val="21"/>
          <w:u w:val="single" w:color="auto"/>
          <w:color w:val="000000"/>
        </w:rPr>
        <w:t>[***]</w:t>
      </w:r>
      <w:r>
        <w:rPr>
          <w:rFonts w:ascii="Arial" w:cs="Arial" w:eastAsia="Arial" w:hAnsi="Arial"/>
          <w:sz w:val="21"/>
          <w:szCs w:val="21"/>
          <w:color w:val="111111"/>
        </w:rPr>
        <w:t xml:space="preserve">) per </w:t>
      </w:r>
      <w:r>
        <w:rPr>
          <w:rFonts w:ascii="Arial" w:cs="Arial" w:eastAsia="Arial" w:hAnsi="Arial"/>
          <w:sz w:val="21"/>
          <w:szCs w:val="21"/>
          <w:color w:val="000000"/>
        </w:rPr>
        <w:t>occurrence for death or bodily</w:t>
      </w:r>
      <w:r>
        <w:rPr>
          <w:rFonts w:ascii="Arial" w:cs="Arial" w:eastAsia="Arial" w:hAnsi="Arial"/>
          <w:sz w:val="21"/>
          <w:szCs w:val="21"/>
          <w:color w:val="111111"/>
        </w:rPr>
        <w:t xml:space="preserve"> injury </w:t>
      </w:r>
      <w:r>
        <w:rPr>
          <w:rFonts w:ascii="Arial" w:cs="Arial" w:eastAsia="Arial" w:hAnsi="Arial"/>
          <w:sz w:val="21"/>
          <w:szCs w:val="21"/>
          <w:color w:val="000000"/>
        </w:rPr>
        <w:t>or property</w:t>
      </w:r>
      <w:r>
        <w:rPr>
          <w:rFonts w:ascii="Arial" w:cs="Arial" w:eastAsia="Arial" w:hAnsi="Arial"/>
          <w:sz w:val="21"/>
          <w:szCs w:val="21"/>
          <w:color w:val="111111"/>
        </w:rPr>
        <w:t xml:space="preserve"> damage </w:t>
      </w:r>
      <w:r>
        <w:rPr>
          <w:rFonts w:ascii="Arial" w:cs="Arial" w:eastAsia="Arial" w:hAnsi="Arial"/>
          <w:sz w:val="21"/>
          <w:szCs w:val="21"/>
          <w:color w:val="000000"/>
        </w:rPr>
        <w:t>with respect</w:t>
      </w:r>
      <w:r>
        <w:rPr>
          <w:rFonts w:ascii="Arial" w:cs="Arial" w:eastAsia="Arial" w:hAnsi="Arial"/>
          <w:sz w:val="21"/>
          <w:szCs w:val="21"/>
          <w:color w:val="111111"/>
        </w:rPr>
        <w:t xml:space="preserve"> </w:t>
      </w:r>
      <w:r>
        <w:rPr>
          <w:rFonts w:ascii="Arial" w:cs="Arial" w:eastAsia="Arial" w:hAnsi="Arial"/>
          <w:sz w:val="21"/>
          <w:szCs w:val="21"/>
          <w:color w:val="383838"/>
        </w:rPr>
        <w:t>to</w:t>
      </w:r>
      <w:r>
        <w:rPr>
          <w:rFonts w:ascii="Arial" w:cs="Arial" w:eastAsia="Arial" w:hAnsi="Arial"/>
          <w:sz w:val="21"/>
          <w:szCs w:val="21"/>
          <w:color w:val="111111"/>
        </w:rPr>
        <w:t xml:space="preserve"> </w:t>
      </w:r>
      <w:r>
        <w:rPr>
          <w:rFonts w:ascii="Arial" w:cs="Arial" w:eastAsia="Arial" w:hAnsi="Arial"/>
          <w:sz w:val="21"/>
          <w:szCs w:val="21"/>
          <w:color w:val="000000"/>
        </w:rPr>
        <w:t>the Project.</w:t>
      </w:r>
    </w:p>
    <w:p>
      <w:pPr>
        <w:spacing w:after="0" w:line="150" w:lineRule="exact"/>
        <w:rPr>
          <w:rFonts w:ascii="Arial" w:cs="Arial" w:eastAsia="Arial" w:hAnsi="Arial"/>
          <w:sz w:val="22"/>
          <w:szCs w:val="22"/>
          <w:color w:val="auto"/>
        </w:rPr>
      </w:pPr>
    </w:p>
    <w:p>
      <w:pPr>
        <w:ind w:left="1300" w:hanging="648"/>
        <w:spacing w:after="0" w:line="216" w:lineRule="auto"/>
        <w:rPr>
          <w:rFonts w:ascii="Arial" w:cs="Arial" w:eastAsia="Arial" w:hAnsi="Arial"/>
          <w:sz w:val="22"/>
          <w:szCs w:val="22"/>
          <w:color w:val="auto"/>
        </w:rPr>
      </w:pPr>
      <w:r>
        <w:rPr>
          <w:rFonts w:ascii="Arial" w:cs="Arial" w:eastAsia="Arial" w:hAnsi="Arial"/>
          <w:sz w:val="22"/>
          <w:szCs w:val="22"/>
          <w:color w:val="auto"/>
        </w:rPr>
        <w:t xml:space="preserve">23.3 Tenant </w:t>
      </w:r>
      <w:r>
        <w:rPr>
          <w:rFonts w:ascii="Arial" w:cs="Arial" w:eastAsia="Arial" w:hAnsi="Arial"/>
          <w:sz w:val="22"/>
          <w:szCs w:val="22"/>
          <w:color w:val="383838"/>
        </w:rPr>
        <w:t>shall,</w:t>
      </w:r>
      <w:r>
        <w:rPr>
          <w:rFonts w:ascii="Arial" w:cs="Arial" w:eastAsia="Arial" w:hAnsi="Arial"/>
          <w:sz w:val="22"/>
          <w:szCs w:val="22"/>
          <w:color w:val="auto"/>
        </w:rPr>
        <w:t xml:space="preserve"> at </w:t>
      </w:r>
      <w:r>
        <w:rPr>
          <w:rFonts w:ascii="Arial" w:cs="Arial" w:eastAsia="Arial" w:hAnsi="Arial"/>
          <w:sz w:val="22"/>
          <w:szCs w:val="22"/>
          <w:color w:val="111111"/>
        </w:rPr>
        <w:t>its</w:t>
      </w:r>
      <w:r>
        <w:rPr>
          <w:rFonts w:ascii="Arial" w:cs="Arial" w:eastAsia="Arial" w:hAnsi="Arial"/>
          <w:sz w:val="22"/>
          <w:szCs w:val="22"/>
          <w:color w:val="auto"/>
        </w:rPr>
        <w:t xml:space="preserve"> own cost </w:t>
      </w:r>
      <w:r>
        <w:rPr>
          <w:rFonts w:ascii="Arial" w:cs="Arial" w:eastAsia="Arial" w:hAnsi="Arial"/>
          <w:sz w:val="22"/>
          <w:szCs w:val="22"/>
          <w:color w:val="111111"/>
        </w:rPr>
        <w:t>and expense,</w:t>
      </w:r>
      <w:r>
        <w:rPr>
          <w:rFonts w:ascii="Arial" w:cs="Arial" w:eastAsia="Arial" w:hAnsi="Arial"/>
          <w:sz w:val="22"/>
          <w:szCs w:val="22"/>
          <w:color w:val="auto"/>
        </w:rPr>
        <w:t xml:space="preserve"> procure </w:t>
      </w:r>
      <w:r>
        <w:rPr>
          <w:rFonts w:ascii="Arial" w:cs="Arial" w:eastAsia="Arial" w:hAnsi="Arial"/>
          <w:sz w:val="22"/>
          <w:szCs w:val="22"/>
          <w:color w:val="383838"/>
        </w:rPr>
        <w:t>and</w:t>
      </w:r>
      <w:r>
        <w:rPr>
          <w:rFonts w:ascii="Arial" w:cs="Arial" w:eastAsia="Arial" w:hAnsi="Arial"/>
          <w:sz w:val="22"/>
          <w:szCs w:val="22"/>
          <w:color w:val="auto"/>
        </w:rPr>
        <w:t xml:space="preserve"> maintain </w:t>
      </w:r>
      <w:r>
        <w:rPr>
          <w:rFonts w:ascii="Arial" w:cs="Arial" w:eastAsia="Arial" w:hAnsi="Arial"/>
          <w:sz w:val="22"/>
          <w:szCs w:val="22"/>
          <w:color w:val="111111"/>
        </w:rPr>
        <w:t>in effect, beginning on the</w:t>
      </w:r>
      <w:r>
        <w:rPr>
          <w:rFonts w:ascii="Arial" w:cs="Arial" w:eastAsia="Arial" w:hAnsi="Arial"/>
          <w:sz w:val="22"/>
          <w:szCs w:val="22"/>
          <w:color w:val="auto"/>
        </w:rPr>
        <w:t xml:space="preserve"> Term Commencement Date and continuing </w:t>
      </w:r>
      <w:r>
        <w:rPr>
          <w:rFonts w:ascii="Arial" w:cs="Arial" w:eastAsia="Arial" w:hAnsi="Arial"/>
          <w:sz w:val="22"/>
          <w:szCs w:val="22"/>
          <w:color w:val="111111"/>
        </w:rPr>
        <w:t>throughout</w:t>
      </w:r>
      <w:r>
        <w:rPr>
          <w:rFonts w:ascii="Arial" w:cs="Arial" w:eastAsia="Arial" w:hAnsi="Arial"/>
          <w:sz w:val="22"/>
          <w:szCs w:val="22"/>
          <w:color w:val="auto"/>
        </w:rPr>
        <w:t xml:space="preserve"> the </w:t>
      </w:r>
      <w:r>
        <w:rPr>
          <w:rFonts w:ascii="Arial" w:cs="Arial" w:eastAsia="Arial" w:hAnsi="Arial"/>
          <w:sz w:val="22"/>
          <w:szCs w:val="22"/>
          <w:color w:val="111111"/>
        </w:rPr>
        <w:t>Term (and</w:t>
      </w:r>
      <w:r>
        <w:rPr>
          <w:rFonts w:ascii="Arial" w:cs="Arial" w:eastAsia="Arial" w:hAnsi="Arial"/>
          <w:sz w:val="22"/>
          <w:szCs w:val="22"/>
          <w:color w:val="auto"/>
        </w:rPr>
        <w:t xml:space="preserve"> occupancy by </w:t>
      </w:r>
      <w:r>
        <w:rPr>
          <w:rFonts w:ascii="Arial" w:cs="Arial" w:eastAsia="Arial" w:hAnsi="Arial"/>
          <w:sz w:val="22"/>
          <w:szCs w:val="22"/>
          <w:color w:val="111111"/>
        </w:rPr>
        <w:t>Tenant,</w:t>
      </w:r>
      <w:r>
        <w:rPr>
          <w:rFonts w:ascii="Arial" w:cs="Arial" w:eastAsia="Arial" w:hAnsi="Arial"/>
          <w:sz w:val="22"/>
          <w:szCs w:val="22"/>
          <w:color w:val="auto"/>
        </w:rPr>
        <w:t xml:space="preserve"> </w:t>
      </w:r>
      <w:r>
        <w:rPr>
          <w:rFonts w:ascii="Arial" w:cs="Arial" w:eastAsia="Arial" w:hAnsi="Arial"/>
          <w:sz w:val="22"/>
          <w:szCs w:val="22"/>
          <w:color w:val="383838"/>
        </w:rPr>
        <w:t>if</w:t>
      </w:r>
      <w:r>
        <w:rPr>
          <w:rFonts w:ascii="Arial" w:cs="Arial" w:eastAsia="Arial" w:hAnsi="Arial"/>
          <w:sz w:val="22"/>
          <w:szCs w:val="22"/>
          <w:color w:val="auto"/>
        </w:rPr>
        <w:t xml:space="preserve"> any, after </w:t>
      </w:r>
      <w:r>
        <w:rPr>
          <w:rFonts w:ascii="Arial" w:cs="Arial" w:eastAsia="Arial" w:hAnsi="Arial"/>
          <w:sz w:val="22"/>
          <w:szCs w:val="22"/>
          <w:color w:val="111111"/>
        </w:rPr>
        <w:t>termination</w:t>
      </w:r>
      <w:r>
        <w:rPr>
          <w:rFonts w:ascii="Arial" w:cs="Arial" w:eastAsia="Arial" w:hAnsi="Arial"/>
          <w:sz w:val="22"/>
          <w:szCs w:val="22"/>
          <w:color w:val="auto"/>
        </w:rPr>
        <w:t xml:space="preserve"> of this </w:t>
      </w:r>
      <w:r>
        <w:rPr>
          <w:rFonts w:ascii="Arial" w:cs="Arial" w:eastAsia="Arial" w:hAnsi="Arial"/>
          <w:sz w:val="22"/>
          <w:szCs w:val="22"/>
          <w:color w:val="111111"/>
        </w:rPr>
        <w:t>Lease)</w:t>
      </w:r>
      <w:r>
        <w:rPr>
          <w:rFonts w:ascii="Arial" w:cs="Arial" w:eastAsia="Arial" w:hAnsi="Arial"/>
          <w:sz w:val="22"/>
          <w:szCs w:val="22"/>
          <w:color w:val="auto"/>
        </w:rPr>
        <w:t xml:space="preserve"> comprehensive </w:t>
      </w:r>
      <w:r>
        <w:rPr>
          <w:rFonts w:ascii="Arial" w:cs="Arial" w:eastAsia="Arial" w:hAnsi="Arial"/>
          <w:sz w:val="22"/>
          <w:szCs w:val="22"/>
          <w:color w:val="111111"/>
        </w:rPr>
        <w:t>public liability insurance</w:t>
      </w:r>
      <w:r>
        <w:rPr>
          <w:rFonts w:ascii="Arial" w:cs="Arial" w:eastAsia="Arial" w:hAnsi="Arial"/>
          <w:sz w:val="22"/>
          <w:szCs w:val="22"/>
          <w:color w:val="auto"/>
        </w:rPr>
        <w:t xml:space="preserve"> with </w:t>
      </w:r>
      <w:r>
        <w:rPr>
          <w:rFonts w:ascii="Arial" w:cs="Arial" w:eastAsia="Arial" w:hAnsi="Arial"/>
          <w:sz w:val="22"/>
          <w:szCs w:val="22"/>
          <w:color w:val="111111"/>
        </w:rPr>
        <w:t>limits</w:t>
      </w:r>
      <w:r>
        <w:rPr>
          <w:rFonts w:ascii="Arial" w:cs="Arial" w:eastAsia="Arial" w:hAnsi="Arial"/>
          <w:sz w:val="22"/>
          <w:szCs w:val="22"/>
          <w:color w:val="auto"/>
        </w:rPr>
        <w:t xml:space="preserve"> of not </w:t>
      </w:r>
      <w:r>
        <w:rPr>
          <w:rFonts w:ascii="Arial" w:cs="Arial" w:eastAsia="Arial" w:hAnsi="Arial"/>
          <w:sz w:val="22"/>
          <w:szCs w:val="22"/>
          <w:color w:val="111111"/>
        </w:rPr>
        <w:t>less</w:t>
      </w:r>
      <w:r>
        <w:rPr>
          <w:rFonts w:ascii="Arial" w:cs="Arial" w:eastAsia="Arial" w:hAnsi="Arial"/>
          <w:sz w:val="22"/>
          <w:szCs w:val="22"/>
          <w:color w:val="auto"/>
        </w:rPr>
        <w:t xml:space="preserve"> than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color w:val="111111"/>
        </w:rPr>
        <w:t>Dollars ($</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xml:space="preserve">) per occurrence for </w:t>
      </w:r>
      <w:r>
        <w:rPr>
          <w:rFonts w:ascii="Arial" w:cs="Arial" w:eastAsia="Arial" w:hAnsi="Arial"/>
          <w:sz w:val="22"/>
          <w:szCs w:val="22"/>
          <w:color w:val="111111"/>
        </w:rPr>
        <w:t xml:space="preserve">death </w:t>
      </w:r>
      <w:r>
        <w:rPr>
          <w:rFonts w:ascii="Arial" w:cs="Arial" w:eastAsia="Arial" w:hAnsi="Arial"/>
          <w:sz w:val="22"/>
          <w:szCs w:val="22"/>
          <w:color w:val="000000"/>
        </w:rPr>
        <w:t>or</w:t>
      </w:r>
      <w:r>
        <w:rPr>
          <w:rFonts w:ascii="Arial" w:cs="Arial" w:eastAsia="Arial" w:hAnsi="Arial"/>
          <w:sz w:val="22"/>
          <w:szCs w:val="22"/>
          <w:color w:val="111111"/>
        </w:rPr>
        <w:t xml:space="preserve"> bodily </w:t>
      </w:r>
      <w:r>
        <w:rPr>
          <w:rFonts w:ascii="Arial" w:cs="Arial" w:eastAsia="Arial" w:hAnsi="Arial"/>
          <w:sz w:val="22"/>
          <w:szCs w:val="22"/>
          <w:color w:val="383838"/>
        </w:rPr>
        <w:t>injury</w:t>
      </w:r>
      <w:r>
        <w:rPr>
          <w:rFonts w:ascii="Arial" w:cs="Arial" w:eastAsia="Arial" w:hAnsi="Arial"/>
          <w:sz w:val="22"/>
          <w:szCs w:val="22"/>
          <w:color w:val="111111"/>
        </w:rPr>
        <w:t xml:space="preserve"> and </w:t>
      </w:r>
      <w:r>
        <w:rPr>
          <w:rFonts w:ascii="Arial" w:cs="Arial" w:eastAsia="Arial" w:hAnsi="Arial"/>
          <w:sz w:val="22"/>
          <w:szCs w:val="22"/>
          <w:color w:val="000000"/>
        </w:rPr>
        <w:t>for property</w:t>
      </w:r>
      <w:r>
        <w:rPr>
          <w:rFonts w:ascii="Arial" w:cs="Arial" w:eastAsia="Arial" w:hAnsi="Arial"/>
          <w:sz w:val="22"/>
          <w:szCs w:val="22"/>
          <w:color w:val="111111"/>
        </w:rPr>
        <w:t xml:space="preserve"> damage </w:t>
      </w:r>
      <w:r>
        <w:rPr>
          <w:rFonts w:ascii="Arial" w:cs="Arial" w:eastAsia="Arial" w:hAnsi="Arial"/>
          <w:sz w:val="22"/>
          <w:szCs w:val="22"/>
          <w:color w:val="000000"/>
        </w:rPr>
        <w:t>with</w:t>
      </w:r>
      <w:r>
        <w:rPr>
          <w:rFonts w:ascii="Arial" w:cs="Arial" w:eastAsia="Arial" w:hAnsi="Arial"/>
          <w:sz w:val="22"/>
          <w:szCs w:val="22"/>
          <w:color w:val="111111"/>
        </w:rPr>
        <w:t xml:space="preserve"> respect to </w:t>
      </w:r>
      <w:r>
        <w:rPr>
          <w:rFonts w:ascii="Arial" w:cs="Arial" w:eastAsia="Arial" w:hAnsi="Arial"/>
          <w:sz w:val="22"/>
          <w:szCs w:val="22"/>
          <w:color w:val="383838"/>
        </w:rPr>
        <w:t>the</w:t>
      </w:r>
      <w:r>
        <w:rPr>
          <w:rFonts w:ascii="Arial" w:cs="Arial" w:eastAsia="Arial" w:hAnsi="Arial"/>
          <w:sz w:val="22"/>
          <w:szCs w:val="22"/>
          <w:color w:val="111111"/>
        </w:rPr>
        <w:t xml:space="preserve"> Premises </w:t>
      </w:r>
      <w:r>
        <w:rPr>
          <w:rFonts w:ascii="Arial" w:cs="Arial" w:eastAsia="Arial" w:hAnsi="Arial"/>
          <w:sz w:val="22"/>
          <w:szCs w:val="22"/>
          <w:color w:val="000000"/>
        </w:rPr>
        <w:t>(including $</w:t>
      </w:r>
      <w:r>
        <w:rPr>
          <w:rFonts w:ascii="Arial" w:cs="Arial" w:eastAsia="Arial" w:hAnsi="Arial"/>
          <w:sz w:val="22"/>
          <w:szCs w:val="22"/>
          <w:color w:val="111111"/>
        </w:rPr>
        <w:t xml:space="preserve"> </w:t>
      </w:r>
      <w:r>
        <w:rPr>
          <w:rFonts w:ascii="Arial" w:cs="Arial" w:eastAsia="Arial" w:hAnsi="Arial"/>
          <w:sz w:val="22"/>
          <w:szCs w:val="22"/>
          <w:u w:val="single" w:color="auto"/>
          <w:color w:val="000000"/>
        </w:rPr>
        <w:t>[***]</w:t>
      </w:r>
      <w:r>
        <w:rPr>
          <w:rFonts w:ascii="Arial" w:cs="Arial" w:eastAsia="Arial" w:hAnsi="Arial"/>
          <w:sz w:val="22"/>
          <w:szCs w:val="22"/>
          <w:color w:val="111111"/>
        </w:rPr>
        <w:t xml:space="preserve"> </w:t>
      </w:r>
      <w:r>
        <w:rPr>
          <w:rFonts w:ascii="Arial" w:cs="Arial" w:eastAsia="Arial" w:hAnsi="Arial"/>
          <w:sz w:val="22"/>
          <w:szCs w:val="22"/>
          <w:color w:val="000000"/>
        </w:rPr>
        <w:t>fire</w:t>
      </w:r>
      <w:r>
        <w:rPr>
          <w:rFonts w:ascii="Arial" w:cs="Arial" w:eastAsia="Arial" w:hAnsi="Arial"/>
          <w:sz w:val="22"/>
          <w:szCs w:val="22"/>
          <w:color w:val="111111"/>
        </w:rPr>
        <w:t xml:space="preserve"> legal liability </w:t>
      </w:r>
      <w:r>
        <w:rPr>
          <w:rFonts w:ascii="Arial" w:cs="Arial" w:eastAsia="Arial" w:hAnsi="Arial"/>
          <w:sz w:val="22"/>
          <w:szCs w:val="22"/>
          <w:color w:val="000000"/>
        </w:rPr>
        <w:t xml:space="preserve">(each </w:t>
      </w:r>
      <w:r>
        <w:rPr>
          <w:rFonts w:ascii="Arial" w:cs="Arial" w:eastAsia="Arial" w:hAnsi="Arial"/>
          <w:sz w:val="22"/>
          <w:szCs w:val="22"/>
          <w:color w:val="383838"/>
        </w:rPr>
        <w:t>loss)).</w:t>
      </w:r>
    </w:p>
    <w:p>
      <w:pPr>
        <w:spacing w:after="0" w:line="157" w:lineRule="exact"/>
        <w:rPr>
          <w:rFonts w:ascii="Arial" w:cs="Arial" w:eastAsia="Arial" w:hAnsi="Arial"/>
          <w:sz w:val="22"/>
          <w:szCs w:val="22"/>
          <w:color w:val="auto"/>
        </w:rPr>
      </w:pPr>
    </w:p>
    <w:p>
      <w:pPr>
        <w:ind w:left="1300" w:hanging="648"/>
        <w:spacing w:after="0" w:line="222" w:lineRule="auto"/>
        <w:rPr>
          <w:rFonts w:ascii="Arial" w:cs="Arial" w:eastAsia="Arial" w:hAnsi="Arial"/>
          <w:sz w:val="22"/>
          <w:szCs w:val="22"/>
          <w:color w:val="auto"/>
        </w:rPr>
      </w:pPr>
      <w:r>
        <w:rPr>
          <w:rFonts w:ascii="Arial" w:cs="Arial" w:eastAsia="Arial" w:hAnsi="Arial"/>
          <w:sz w:val="21"/>
          <w:szCs w:val="21"/>
          <w:color w:val="auto"/>
        </w:rPr>
        <w:t xml:space="preserve">23.4 </w:t>
      </w:r>
      <w:r>
        <w:rPr>
          <w:rFonts w:ascii="Arial" w:cs="Arial" w:eastAsia="Arial" w:hAnsi="Arial"/>
          <w:sz w:val="21"/>
          <w:szCs w:val="21"/>
          <w:color w:val="111111"/>
        </w:rPr>
        <w:t>The</w:t>
      </w:r>
      <w:r>
        <w:rPr>
          <w:rFonts w:ascii="Arial" w:cs="Arial" w:eastAsia="Arial" w:hAnsi="Arial"/>
          <w:sz w:val="21"/>
          <w:szCs w:val="21"/>
          <w:color w:val="auto"/>
        </w:rPr>
        <w:t xml:space="preserve"> insurance </w:t>
      </w:r>
      <w:r>
        <w:rPr>
          <w:rFonts w:ascii="Arial" w:cs="Arial" w:eastAsia="Arial" w:hAnsi="Arial"/>
          <w:sz w:val="21"/>
          <w:szCs w:val="21"/>
          <w:color w:val="111111"/>
        </w:rPr>
        <w:t>required to be purchased</w:t>
      </w:r>
      <w:r>
        <w:rPr>
          <w:rFonts w:ascii="Arial" w:cs="Arial" w:eastAsia="Arial" w:hAnsi="Arial"/>
          <w:sz w:val="21"/>
          <w:szCs w:val="21"/>
          <w:color w:val="auto"/>
        </w:rPr>
        <w:t xml:space="preserve"> and </w:t>
      </w:r>
      <w:r>
        <w:rPr>
          <w:rFonts w:ascii="Arial" w:cs="Arial" w:eastAsia="Arial" w:hAnsi="Arial"/>
          <w:sz w:val="21"/>
          <w:szCs w:val="21"/>
          <w:color w:val="111111"/>
        </w:rPr>
        <w:t>maintained by</w:t>
      </w:r>
      <w:r>
        <w:rPr>
          <w:rFonts w:ascii="Arial" w:cs="Arial" w:eastAsia="Arial" w:hAnsi="Arial"/>
          <w:sz w:val="21"/>
          <w:szCs w:val="21"/>
          <w:color w:val="auto"/>
        </w:rPr>
        <w:t xml:space="preserve"> Tenant pursuant to this Lease </w:t>
      </w:r>
      <w:r>
        <w:rPr>
          <w:rFonts w:ascii="Arial" w:cs="Arial" w:eastAsia="Arial" w:hAnsi="Arial"/>
          <w:sz w:val="21"/>
          <w:szCs w:val="21"/>
          <w:color w:val="383838"/>
        </w:rPr>
        <w:t>shall</w:t>
      </w:r>
      <w:r>
        <w:rPr>
          <w:rFonts w:ascii="Arial" w:cs="Arial" w:eastAsia="Arial" w:hAnsi="Arial"/>
          <w:sz w:val="21"/>
          <w:szCs w:val="21"/>
          <w:color w:val="auto"/>
        </w:rPr>
        <w:t xml:space="preserve"> name </w:t>
      </w:r>
      <w:r>
        <w:rPr>
          <w:rFonts w:ascii="Arial" w:cs="Arial" w:eastAsia="Arial" w:hAnsi="Arial"/>
          <w:sz w:val="21"/>
          <w:szCs w:val="21"/>
          <w:color w:val="111111"/>
        </w:rPr>
        <w:t>Landlord,</w:t>
      </w:r>
      <w:r>
        <w:rPr>
          <w:rFonts w:ascii="Arial" w:cs="Arial" w:eastAsia="Arial" w:hAnsi="Arial"/>
          <w:sz w:val="21"/>
          <w:szCs w:val="21"/>
          <w:color w:val="auto"/>
        </w:rPr>
        <w:t xml:space="preserve"> BioMed Realty, </w:t>
      </w:r>
      <w:r>
        <w:rPr>
          <w:rFonts w:ascii="Arial" w:cs="Arial" w:eastAsia="Arial" w:hAnsi="Arial"/>
          <w:sz w:val="21"/>
          <w:szCs w:val="21"/>
          <w:color w:val="111111"/>
        </w:rPr>
        <w:t>L.P., BioMed</w:t>
      </w:r>
      <w:r>
        <w:rPr>
          <w:rFonts w:ascii="Arial" w:cs="Arial" w:eastAsia="Arial" w:hAnsi="Arial"/>
          <w:sz w:val="21"/>
          <w:szCs w:val="21"/>
          <w:color w:val="auto"/>
        </w:rPr>
        <w:t xml:space="preserve"> Realty </w:t>
      </w:r>
      <w:r>
        <w:rPr>
          <w:rFonts w:ascii="Arial" w:cs="Arial" w:eastAsia="Arial" w:hAnsi="Arial"/>
          <w:sz w:val="21"/>
          <w:szCs w:val="21"/>
          <w:color w:val="111111"/>
        </w:rPr>
        <w:t>Trust, Inc.</w:t>
      </w:r>
      <w:r>
        <w:rPr>
          <w:rFonts w:ascii="Arial" w:cs="Arial" w:eastAsia="Arial" w:hAnsi="Arial"/>
          <w:sz w:val="21"/>
          <w:szCs w:val="21"/>
          <w:color w:val="auto"/>
        </w:rPr>
        <w:t xml:space="preserve"> and their respective officers, </w:t>
      </w:r>
      <w:r>
        <w:rPr>
          <w:rFonts w:ascii="Arial" w:cs="Arial" w:eastAsia="Arial" w:hAnsi="Arial"/>
          <w:sz w:val="21"/>
          <w:szCs w:val="21"/>
          <w:color w:val="111111"/>
        </w:rPr>
        <w:t>directors,</w:t>
      </w:r>
      <w:r>
        <w:rPr>
          <w:rFonts w:ascii="Arial" w:cs="Arial" w:eastAsia="Arial" w:hAnsi="Arial"/>
          <w:sz w:val="21"/>
          <w:szCs w:val="21"/>
          <w:color w:val="auto"/>
        </w:rPr>
        <w:t xml:space="preserve"> employees, agents, general </w:t>
      </w:r>
      <w:r>
        <w:rPr>
          <w:rFonts w:ascii="Arial" w:cs="Arial" w:eastAsia="Arial" w:hAnsi="Arial"/>
          <w:sz w:val="21"/>
          <w:szCs w:val="21"/>
          <w:color w:val="111111"/>
        </w:rPr>
        <w:t xml:space="preserve">partners, </w:t>
      </w:r>
      <w:r>
        <w:rPr>
          <w:rFonts w:ascii="Arial" w:cs="Arial" w:eastAsia="Arial" w:hAnsi="Arial"/>
          <w:sz w:val="21"/>
          <w:szCs w:val="21"/>
          <w:color w:val="000000"/>
        </w:rPr>
        <w:t>members, subsidiaries, affiliates</w:t>
      </w:r>
      <w:r>
        <w:rPr>
          <w:rFonts w:ascii="Arial" w:cs="Arial" w:eastAsia="Arial" w:hAnsi="Arial"/>
          <w:sz w:val="21"/>
          <w:szCs w:val="21"/>
          <w:color w:val="111111"/>
        </w:rPr>
        <w:t xml:space="preserve"> and </w:t>
      </w:r>
      <w:r>
        <w:rPr>
          <w:rFonts w:ascii="Arial" w:cs="Arial" w:eastAsia="Arial" w:hAnsi="Arial"/>
          <w:sz w:val="21"/>
          <w:szCs w:val="21"/>
          <w:color w:val="000000"/>
        </w:rPr>
        <w:t>Lenders (“</w:t>
      </w:r>
      <w:r>
        <w:rPr>
          <w:rFonts w:ascii="Arial" w:cs="Arial" w:eastAsia="Arial" w:hAnsi="Arial"/>
          <w:sz w:val="21"/>
          <w:szCs w:val="21"/>
          <w:u w:val="single" w:color="auto"/>
          <w:color w:val="000000"/>
        </w:rPr>
        <w:t>Landlord</w:t>
      </w:r>
      <w:r>
        <w:rPr>
          <w:rFonts w:ascii="Arial" w:cs="Arial" w:eastAsia="Arial" w:hAnsi="Arial"/>
          <w:sz w:val="21"/>
          <w:szCs w:val="21"/>
          <w:color w:val="111111"/>
        </w:rPr>
        <w:t xml:space="preserve"> </w:t>
      </w:r>
      <w:r>
        <w:rPr>
          <w:rFonts w:ascii="Arial" w:cs="Arial" w:eastAsia="Arial" w:hAnsi="Arial"/>
          <w:sz w:val="21"/>
          <w:szCs w:val="21"/>
          <w:u w:val="single" w:color="auto"/>
          <w:color w:val="111111"/>
        </w:rPr>
        <w:t>Parties</w:t>
      </w:r>
      <w:r>
        <w:rPr>
          <w:rFonts w:ascii="Arial" w:cs="Arial" w:eastAsia="Arial" w:hAnsi="Arial"/>
          <w:sz w:val="21"/>
          <w:szCs w:val="21"/>
          <w:color w:val="111111"/>
        </w:rPr>
        <w:t xml:space="preserve">”) </w:t>
      </w:r>
      <w:r>
        <w:rPr>
          <w:rFonts w:ascii="Arial" w:cs="Arial" w:eastAsia="Arial" w:hAnsi="Arial"/>
          <w:sz w:val="21"/>
          <w:szCs w:val="21"/>
          <w:color w:val="000000"/>
        </w:rPr>
        <w:t>as additional</w:t>
      </w:r>
      <w:r>
        <w:rPr>
          <w:rFonts w:ascii="Arial" w:cs="Arial" w:eastAsia="Arial" w:hAnsi="Arial"/>
          <w:sz w:val="21"/>
          <w:szCs w:val="21"/>
          <w:color w:val="111111"/>
        </w:rPr>
        <w:t xml:space="preserve"> insureds. </w:t>
      </w:r>
      <w:r>
        <w:rPr>
          <w:rFonts w:ascii="Arial" w:cs="Arial" w:eastAsia="Arial" w:hAnsi="Arial"/>
          <w:sz w:val="21"/>
          <w:szCs w:val="21"/>
          <w:color w:val="000000"/>
        </w:rPr>
        <w:t>Said insurance</w:t>
      </w:r>
      <w:r>
        <w:rPr>
          <w:rFonts w:ascii="Arial" w:cs="Arial" w:eastAsia="Arial" w:hAnsi="Arial"/>
          <w:sz w:val="21"/>
          <w:szCs w:val="21"/>
          <w:color w:val="111111"/>
        </w:rPr>
        <w:t xml:space="preserve"> </w:t>
      </w:r>
      <w:r>
        <w:rPr>
          <w:rFonts w:ascii="Arial" w:cs="Arial" w:eastAsia="Arial" w:hAnsi="Arial"/>
          <w:sz w:val="21"/>
          <w:szCs w:val="21"/>
          <w:color w:val="000000"/>
        </w:rPr>
        <w:t xml:space="preserve">shall be with </w:t>
      </w:r>
      <w:r>
        <w:rPr>
          <w:rFonts w:ascii="Arial" w:cs="Arial" w:eastAsia="Arial" w:hAnsi="Arial"/>
          <w:sz w:val="21"/>
          <w:szCs w:val="21"/>
          <w:color w:val="383838"/>
        </w:rPr>
        <w:t>companies</w:t>
      </w:r>
      <w:r>
        <w:rPr>
          <w:rFonts w:ascii="Arial" w:cs="Arial" w:eastAsia="Arial" w:hAnsi="Arial"/>
          <w:sz w:val="21"/>
          <w:szCs w:val="21"/>
          <w:color w:val="000000"/>
        </w:rPr>
        <w:t xml:space="preserve"> </w:t>
      </w:r>
      <w:r>
        <w:rPr>
          <w:rFonts w:ascii="Arial" w:cs="Arial" w:eastAsia="Arial" w:hAnsi="Arial"/>
          <w:sz w:val="21"/>
          <w:szCs w:val="21"/>
          <w:color w:val="111111"/>
        </w:rPr>
        <w:t>having a rating of not less</w:t>
      </w:r>
      <w:r>
        <w:rPr>
          <w:rFonts w:ascii="Arial" w:cs="Arial" w:eastAsia="Arial" w:hAnsi="Arial"/>
          <w:sz w:val="21"/>
          <w:szCs w:val="21"/>
          <w:color w:val="000000"/>
        </w:rPr>
        <w:t xml:space="preserve"> than </w:t>
      </w:r>
      <w:r>
        <w:rPr>
          <w:rFonts w:ascii="Arial" w:cs="Arial" w:eastAsia="Arial" w:hAnsi="Arial"/>
          <w:sz w:val="21"/>
          <w:szCs w:val="21"/>
          <w:color w:val="111111"/>
        </w:rPr>
        <w:t>policyholder rating</w:t>
      </w:r>
      <w:r>
        <w:rPr>
          <w:rFonts w:ascii="Arial" w:cs="Arial" w:eastAsia="Arial" w:hAnsi="Arial"/>
          <w:sz w:val="21"/>
          <w:szCs w:val="21"/>
          <w:color w:val="000000"/>
        </w:rPr>
        <w:t xml:space="preserve"> of A minus and </w:t>
      </w:r>
      <w:r>
        <w:rPr>
          <w:rFonts w:ascii="Arial" w:cs="Arial" w:eastAsia="Arial" w:hAnsi="Arial"/>
          <w:sz w:val="21"/>
          <w:szCs w:val="21"/>
          <w:color w:val="111111"/>
        </w:rPr>
        <w:t>financial</w:t>
      </w:r>
      <w:r>
        <w:rPr>
          <w:rFonts w:ascii="Arial" w:cs="Arial" w:eastAsia="Arial" w:hAnsi="Arial"/>
          <w:sz w:val="21"/>
          <w:szCs w:val="21"/>
          <w:color w:val="000000"/>
        </w:rPr>
        <w:t xml:space="preserve"> category rating of at least </w:t>
      </w:r>
      <w:r>
        <w:rPr>
          <w:rFonts w:ascii="Arial" w:cs="Arial" w:eastAsia="Arial" w:hAnsi="Arial"/>
          <w:sz w:val="21"/>
          <w:szCs w:val="21"/>
          <w:color w:val="111111"/>
        </w:rPr>
        <w:t>Class</w:t>
      </w:r>
      <w:r>
        <w:rPr>
          <w:rFonts w:ascii="Arial" w:cs="Arial" w:eastAsia="Arial" w:hAnsi="Arial"/>
          <w:sz w:val="21"/>
          <w:szCs w:val="21"/>
          <w:color w:val="000000"/>
        </w:rPr>
        <w:t xml:space="preserve"> VIII X in “Best’s </w:t>
      </w:r>
      <w:r>
        <w:rPr>
          <w:rFonts w:ascii="Arial" w:cs="Arial" w:eastAsia="Arial" w:hAnsi="Arial"/>
          <w:sz w:val="21"/>
          <w:szCs w:val="21"/>
          <w:color w:val="383838"/>
        </w:rPr>
        <w:t>Insurance</w:t>
      </w:r>
      <w:r>
        <w:rPr>
          <w:rFonts w:ascii="Arial" w:cs="Arial" w:eastAsia="Arial" w:hAnsi="Arial"/>
          <w:sz w:val="21"/>
          <w:szCs w:val="21"/>
          <w:color w:val="000000"/>
        </w:rPr>
        <w:t xml:space="preserve"> Guide</w:t>
      </w:r>
      <w:r>
        <w:rPr>
          <w:rFonts w:ascii="Arial" w:cs="Arial" w:eastAsia="Arial" w:hAnsi="Arial"/>
          <w:sz w:val="21"/>
          <w:szCs w:val="21"/>
          <w:u w:val="single" w:color="auto"/>
          <w:color w:val="000000"/>
        </w:rPr>
        <w:t>.</w:t>
      </w:r>
      <w:r>
        <w:rPr>
          <w:rFonts w:ascii="Arial" w:cs="Arial" w:eastAsia="Arial" w:hAnsi="Arial"/>
          <w:sz w:val="21"/>
          <w:szCs w:val="21"/>
          <w:color w:val="000000"/>
        </w:rPr>
        <w:t xml:space="preserve">” Tenant </w:t>
      </w:r>
      <w:r>
        <w:rPr>
          <w:rFonts w:ascii="Arial" w:cs="Arial" w:eastAsia="Arial" w:hAnsi="Arial"/>
          <w:sz w:val="21"/>
          <w:szCs w:val="21"/>
          <w:color w:val="383838"/>
        </w:rPr>
        <w:t>shall</w:t>
      </w:r>
      <w:r>
        <w:rPr>
          <w:rFonts w:ascii="Arial" w:cs="Arial" w:eastAsia="Arial" w:hAnsi="Arial"/>
          <w:sz w:val="21"/>
          <w:szCs w:val="21"/>
          <w:color w:val="000000"/>
        </w:rPr>
        <w:t xml:space="preserve"> obtain for </w:t>
      </w:r>
      <w:r>
        <w:rPr>
          <w:rFonts w:ascii="Arial" w:cs="Arial" w:eastAsia="Arial" w:hAnsi="Arial"/>
          <w:sz w:val="21"/>
          <w:szCs w:val="21"/>
          <w:color w:val="111111"/>
        </w:rPr>
        <w:t>Landlord</w:t>
      </w:r>
      <w:r>
        <w:rPr>
          <w:rFonts w:ascii="Arial" w:cs="Arial" w:eastAsia="Arial" w:hAnsi="Arial"/>
          <w:sz w:val="21"/>
          <w:szCs w:val="21"/>
          <w:color w:val="000000"/>
        </w:rPr>
        <w:t xml:space="preserve"> from </w:t>
      </w:r>
      <w:r>
        <w:rPr>
          <w:rFonts w:ascii="Arial" w:cs="Arial" w:eastAsia="Arial" w:hAnsi="Arial"/>
          <w:sz w:val="21"/>
          <w:szCs w:val="21"/>
          <w:color w:val="383838"/>
        </w:rPr>
        <w:t>the</w:t>
      </w:r>
      <w:r>
        <w:rPr>
          <w:rFonts w:ascii="Arial" w:cs="Arial" w:eastAsia="Arial" w:hAnsi="Arial"/>
          <w:sz w:val="21"/>
          <w:szCs w:val="21"/>
          <w:color w:val="000000"/>
        </w:rPr>
        <w:t xml:space="preserve"> </w:t>
      </w:r>
      <w:r>
        <w:rPr>
          <w:rFonts w:ascii="Arial" w:cs="Arial" w:eastAsia="Arial" w:hAnsi="Arial"/>
          <w:sz w:val="21"/>
          <w:szCs w:val="21"/>
          <w:color w:val="111111"/>
        </w:rPr>
        <w:t>insurance</w:t>
      </w:r>
      <w:r>
        <w:rPr>
          <w:rFonts w:ascii="Arial" w:cs="Arial" w:eastAsia="Arial" w:hAnsi="Arial"/>
          <w:sz w:val="21"/>
          <w:szCs w:val="21"/>
          <w:color w:val="000000"/>
        </w:rPr>
        <w:t xml:space="preserve"> companies or cause </w:t>
      </w:r>
      <w:r>
        <w:rPr>
          <w:rFonts w:ascii="Arial" w:cs="Arial" w:eastAsia="Arial" w:hAnsi="Arial"/>
          <w:sz w:val="21"/>
          <w:szCs w:val="21"/>
          <w:color w:val="383838"/>
        </w:rPr>
        <w:t>the</w:t>
      </w:r>
      <w:r>
        <w:rPr>
          <w:rFonts w:ascii="Arial" w:cs="Arial" w:eastAsia="Arial" w:hAnsi="Arial"/>
          <w:sz w:val="21"/>
          <w:szCs w:val="21"/>
          <w:color w:val="000000"/>
        </w:rPr>
        <w:t xml:space="preserve"> insurance companies </w:t>
      </w:r>
      <w:r>
        <w:rPr>
          <w:rFonts w:ascii="Arial" w:cs="Arial" w:eastAsia="Arial" w:hAnsi="Arial"/>
          <w:sz w:val="21"/>
          <w:szCs w:val="21"/>
          <w:color w:val="111111"/>
        </w:rPr>
        <w:t>to</w:t>
      </w:r>
      <w:r>
        <w:rPr>
          <w:rFonts w:ascii="Arial" w:cs="Arial" w:eastAsia="Arial" w:hAnsi="Arial"/>
          <w:sz w:val="21"/>
          <w:szCs w:val="21"/>
          <w:color w:val="000000"/>
        </w:rPr>
        <w:t xml:space="preserve"> furnish certificates of coverage </w:t>
      </w:r>
      <w:r>
        <w:rPr>
          <w:rFonts w:ascii="Arial" w:cs="Arial" w:eastAsia="Arial" w:hAnsi="Arial"/>
          <w:sz w:val="21"/>
          <w:szCs w:val="21"/>
          <w:color w:val="383838"/>
        </w:rPr>
        <w:t>to</w:t>
      </w:r>
      <w:r>
        <w:rPr>
          <w:rFonts w:ascii="Arial" w:cs="Arial" w:eastAsia="Arial" w:hAnsi="Arial"/>
          <w:sz w:val="21"/>
          <w:szCs w:val="21"/>
          <w:color w:val="000000"/>
        </w:rPr>
        <w:t xml:space="preserve"> </w:t>
      </w:r>
      <w:r>
        <w:rPr>
          <w:rFonts w:ascii="Arial" w:cs="Arial" w:eastAsia="Arial" w:hAnsi="Arial"/>
          <w:sz w:val="21"/>
          <w:szCs w:val="21"/>
          <w:color w:val="111111"/>
        </w:rPr>
        <w:t>Landlord.</w:t>
      </w:r>
      <w:r>
        <w:rPr>
          <w:rFonts w:ascii="Arial" w:cs="Arial" w:eastAsia="Arial" w:hAnsi="Arial"/>
          <w:sz w:val="21"/>
          <w:szCs w:val="21"/>
          <w:color w:val="000000"/>
        </w:rPr>
        <w:t xml:space="preserve"> </w:t>
      </w:r>
      <w:r>
        <w:rPr>
          <w:rFonts w:ascii="Arial" w:cs="Arial" w:eastAsia="Arial" w:hAnsi="Arial"/>
          <w:sz w:val="21"/>
          <w:szCs w:val="21"/>
          <w:color w:val="383838"/>
        </w:rPr>
        <w:t>No such</w:t>
      </w:r>
      <w:r>
        <w:rPr>
          <w:rFonts w:ascii="Arial" w:cs="Arial" w:eastAsia="Arial" w:hAnsi="Arial"/>
          <w:sz w:val="21"/>
          <w:szCs w:val="21"/>
          <w:color w:val="000000"/>
        </w:rPr>
        <w:t xml:space="preserve"> policy </w:t>
      </w:r>
      <w:r>
        <w:rPr>
          <w:rFonts w:ascii="Arial" w:cs="Arial" w:eastAsia="Arial" w:hAnsi="Arial"/>
          <w:sz w:val="21"/>
          <w:szCs w:val="21"/>
          <w:color w:val="383838"/>
        </w:rPr>
        <w:t>shall</w:t>
      </w:r>
      <w:r>
        <w:rPr>
          <w:rFonts w:ascii="Arial" w:cs="Arial" w:eastAsia="Arial" w:hAnsi="Arial"/>
          <w:sz w:val="21"/>
          <w:szCs w:val="21"/>
          <w:color w:val="000000"/>
        </w:rPr>
        <w:t xml:space="preserve"> </w:t>
      </w:r>
      <w:r>
        <w:rPr>
          <w:rFonts w:ascii="Arial" w:cs="Arial" w:eastAsia="Arial" w:hAnsi="Arial"/>
          <w:sz w:val="21"/>
          <w:szCs w:val="21"/>
          <w:color w:val="111111"/>
        </w:rPr>
        <w:t xml:space="preserve">be </w:t>
      </w:r>
      <w:r>
        <w:rPr>
          <w:rFonts w:ascii="Arial" w:cs="Arial" w:eastAsia="Arial" w:hAnsi="Arial"/>
          <w:sz w:val="21"/>
          <w:szCs w:val="21"/>
          <w:color w:val="000000"/>
        </w:rPr>
        <w:t>cancelable or</w:t>
      </w:r>
      <w:r>
        <w:rPr>
          <w:rFonts w:ascii="Arial" w:cs="Arial" w:eastAsia="Arial" w:hAnsi="Arial"/>
          <w:sz w:val="21"/>
          <w:szCs w:val="21"/>
          <w:color w:val="111111"/>
        </w:rPr>
        <w:t xml:space="preserve"> </w:t>
      </w:r>
      <w:r>
        <w:rPr>
          <w:rFonts w:ascii="Arial" w:cs="Arial" w:eastAsia="Arial" w:hAnsi="Arial"/>
          <w:sz w:val="21"/>
          <w:szCs w:val="21"/>
          <w:color w:val="383838"/>
        </w:rPr>
        <w:t>subject</w:t>
      </w:r>
      <w:r>
        <w:rPr>
          <w:rFonts w:ascii="Arial" w:cs="Arial" w:eastAsia="Arial" w:hAnsi="Arial"/>
          <w:sz w:val="21"/>
          <w:szCs w:val="21"/>
          <w:color w:val="111111"/>
        </w:rPr>
        <w:t xml:space="preser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1" w:right="339" w:bottom="1440" w:gutter="0" w:footer="0" w:header="0"/>
        </w:sectPr>
      </w:pPr>
    </w:p>
    <w:bookmarkStart w:id="347" w:name="page348"/>
    <w:bookmarkEnd w:id="347"/>
    <w:p>
      <w:pPr>
        <w:jc w:val="both"/>
        <w:ind w:left="180"/>
        <w:spacing w:after="0" w:line="221" w:lineRule="auto"/>
        <w:rPr>
          <w:sz w:val="20"/>
          <w:szCs w:val="20"/>
          <w:color w:val="auto"/>
        </w:rPr>
      </w:pPr>
      <w:r>
        <w:rPr>
          <w:rFonts w:ascii="Arial" w:cs="Arial" w:eastAsia="Arial" w:hAnsi="Arial"/>
          <w:sz w:val="21"/>
          <w:szCs w:val="21"/>
          <w:color w:val="auto"/>
        </w:rPr>
        <w:t xml:space="preserve">cancellation except after </w:t>
      </w:r>
      <w:r>
        <w:rPr>
          <w:rFonts w:ascii="Arial" w:cs="Arial" w:eastAsia="Arial" w:hAnsi="Arial"/>
          <w:sz w:val="21"/>
          <w:szCs w:val="21"/>
          <w:u w:val="single" w:color="auto"/>
          <w:color w:val="auto"/>
        </w:rPr>
        <w:t>[***]</w:t>
      </w:r>
      <w:r>
        <w:rPr>
          <w:rFonts w:ascii="Arial" w:cs="Arial" w:eastAsia="Arial" w:hAnsi="Arial"/>
          <w:sz w:val="21"/>
          <w:szCs w:val="21"/>
          <w:color w:val="auto"/>
        </w:rPr>
        <w:t xml:space="preserve"> </w:t>
      </w:r>
      <w:r>
        <w:rPr>
          <w:rFonts w:ascii="Arial" w:cs="Arial" w:eastAsia="Arial" w:hAnsi="Arial"/>
          <w:sz w:val="21"/>
          <w:szCs w:val="21"/>
          <w:color w:val="111111"/>
        </w:rPr>
        <w:t>days’</w:t>
      </w:r>
      <w:r>
        <w:rPr>
          <w:rFonts w:ascii="Arial" w:cs="Arial" w:eastAsia="Arial" w:hAnsi="Arial"/>
          <w:sz w:val="21"/>
          <w:szCs w:val="21"/>
          <w:color w:val="auto"/>
        </w:rPr>
        <w:t xml:space="preserve"> prior written </w:t>
      </w:r>
      <w:r>
        <w:rPr>
          <w:rFonts w:ascii="Arial" w:cs="Arial" w:eastAsia="Arial" w:hAnsi="Arial"/>
          <w:sz w:val="21"/>
          <w:szCs w:val="21"/>
          <w:color w:val="111111"/>
        </w:rPr>
        <w:t>notice</w:t>
      </w:r>
      <w:r>
        <w:rPr>
          <w:rFonts w:ascii="Arial" w:cs="Arial" w:eastAsia="Arial" w:hAnsi="Arial"/>
          <w:sz w:val="21"/>
          <w:szCs w:val="21"/>
          <w:color w:val="auto"/>
        </w:rPr>
        <w:t xml:space="preserve"> </w:t>
      </w:r>
      <w:r>
        <w:rPr>
          <w:rFonts w:ascii="Arial" w:cs="Arial" w:eastAsia="Arial" w:hAnsi="Arial"/>
          <w:sz w:val="21"/>
          <w:szCs w:val="21"/>
          <w:color w:val="383838"/>
        </w:rPr>
        <w:t>to</w:t>
      </w:r>
      <w:r>
        <w:rPr>
          <w:rFonts w:ascii="Arial" w:cs="Arial" w:eastAsia="Arial" w:hAnsi="Arial"/>
          <w:sz w:val="21"/>
          <w:szCs w:val="21"/>
          <w:color w:val="auto"/>
        </w:rPr>
        <w:t xml:space="preserve"> Landlord from </w:t>
      </w:r>
      <w:r>
        <w:rPr>
          <w:rFonts w:ascii="Arial" w:cs="Arial" w:eastAsia="Arial" w:hAnsi="Arial"/>
          <w:sz w:val="21"/>
          <w:szCs w:val="21"/>
          <w:color w:val="111111"/>
        </w:rPr>
        <w:t>the</w:t>
      </w:r>
      <w:r>
        <w:rPr>
          <w:rFonts w:ascii="Arial" w:cs="Arial" w:eastAsia="Arial" w:hAnsi="Arial"/>
          <w:sz w:val="21"/>
          <w:szCs w:val="21"/>
          <w:color w:val="auto"/>
        </w:rPr>
        <w:t xml:space="preserve"> </w:t>
      </w:r>
      <w:r>
        <w:rPr>
          <w:rFonts w:ascii="Arial" w:cs="Arial" w:eastAsia="Arial" w:hAnsi="Arial"/>
          <w:sz w:val="21"/>
          <w:szCs w:val="21"/>
          <w:color w:val="383838"/>
        </w:rPr>
        <w:t>insurer</w:t>
      </w:r>
      <w:r>
        <w:rPr>
          <w:rFonts w:ascii="Arial" w:cs="Arial" w:eastAsia="Arial" w:hAnsi="Arial"/>
          <w:sz w:val="21"/>
          <w:szCs w:val="21"/>
          <w:color w:val="auto"/>
        </w:rPr>
        <w:t xml:space="preserve"> </w:t>
      </w:r>
      <w:r>
        <w:rPr>
          <w:rFonts w:ascii="Arial" w:cs="Arial" w:eastAsia="Arial" w:hAnsi="Arial"/>
          <w:sz w:val="21"/>
          <w:szCs w:val="21"/>
          <w:color w:val="111111"/>
        </w:rPr>
        <w:t>(</w:t>
      </w:r>
      <w:r>
        <w:rPr>
          <w:rFonts w:ascii="Arial" w:cs="Arial" w:eastAsia="Arial" w:hAnsi="Arial"/>
          <w:sz w:val="21"/>
          <w:szCs w:val="21"/>
          <w:color w:val="auto"/>
        </w:rPr>
        <w:t xml:space="preserve">except </w:t>
      </w:r>
      <w:r>
        <w:rPr>
          <w:rFonts w:ascii="Arial" w:cs="Arial" w:eastAsia="Arial" w:hAnsi="Arial"/>
          <w:sz w:val="21"/>
          <w:szCs w:val="21"/>
          <w:color w:val="111111"/>
        </w:rPr>
        <w:t>in the</w:t>
      </w:r>
      <w:r>
        <w:rPr>
          <w:rFonts w:ascii="Arial" w:cs="Arial" w:eastAsia="Arial" w:hAnsi="Arial"/>
          <w:sz w:val="21"/>
          <w:szCs w:val="21"/>
          <w:color w:val="auto"/>
        </w:rPr>
        <w:t xml:space="preserve"> event </w:t>
      </w:r>
      <w:r>
        <w:rPr>
          <w:rFonts w:ascii="Arial" w:cs="Arial" w:eastAsia="Arial" w:hAnsi="Arial"/>
          <w:sz w:val="21"/>
          <w:szCs w:val="21"/>
          <w:color w:val="111111"/>
        </w:rPr>
        <w:t xml:space="preserve">of non-payment </w:t>
      </w:r>
      <w:r>
        <w:rPr>
          <w:rFonts w:ascii="Arial" w:cs="Arial" w:eastAsia="Arial" w:hAnsi="Arial"/>
          <w:sz w:val="21"/>
          <w:szCs w:val="21"/>
          <w:color w:val="000000"/>
        </w:rPr>
        <w:t>of</w:t>
      </w:r>
      <w:r>
        <w:rPr>
          <w:rFonts w:ascii="Arial" w:cs="Arial" w:eastAsia="Arial" w:hAnsi="Arial"/>
          <w:sz w:val="21"/>
          <w:szCs w:val="21"/>
          <w:color w:val="111111"/>
        </w:rPr>
        <w:t xml:space="preserve"> premium, in </w:t>
      </w:r>
      <w:r>
        <w:rPr>
          <w:rFonts w:ascii="Arial" w:cs="Arial" w:eastAsia="Arial" w:hAnsi="Arial"/>
          <w:sz w:val="21"/>
          <w:szCs w:val="21"/>
          <w:color w:val="000000"/>
        </w:rPr>
        <w:t>which case</w:t>
      </w:r>
      <w:r>
        <w:rPr>
          <w:rFonts w:ascii="Arial" w:cs="Arial" w:eastAsia="Arial" w:hAnsi="Arial"/>
          <w:sz w:val="21"/>
          <w:szCs w:val="21"/>
          <w:color w:val="111111"/>
        </w:rPr>
        <w:t xml:space="preserve"> </w:t>
      </w:r>
      <w:r>
        <w:rPr>
          <w:rFonts w:ascii="Arial" w:cs="Arial" w:eastAsia="Arial" w:hAnsi="Arial"/>
          <w:sz w:val="21"/>
          <w:szCs w:val="21"/>
          <w:u w:val="single" w:color="auto"/>
          <w:color w:val="000000"/>
        </w:rPr>
        <w:t>[***]</w:t>
      </w:r>
      <w:r>
        <w:rPr>
          <w:rFonts w:ascii="Arial" w:cs="Arial" w:eastAsia="Arial" w:hAnsi="Arial"/>
          <w:sz w:val="21"/>
          <w:szCs w:val="21"/>
          <w:color w:val="111111"/>
        </w:rPr>
        <w:t xml:space="preserve"> days’ </w:t>
      </w:r>
      <w:r>
        <w:rPr>
          <w:rFonts w:ascii="Arial" w:cs="Arial" w:eastAsia="Arial" w:hAnsi="Arial"/>
          <w:sz w:val="21"/>
          <w:szCs w:val="21"/>
          <w:color w:val="000000"/>
        </w:rPr>
        <w:t>written</w:t>
      </w:r>
      <w:r>
        <w:rPr>
          <w:rFonts w:ascii="Arial" w:cs="Arial" w:eastAsia="Arial" w:hAnsi="Arial"/>
          <w:sz w:val="21"/>
          <w:szCs w:val="21"/>
          <w:color w:val="111111"/>
        </w:rPr>
        <w:t xml:space="preserve"> notice </w:t>
      </w:r>
      <w:r>
        <w:rPr>
          <w:rFonts w:ascii="Arial" w:cs="Arial" w:eastAsia="Arial" w:hAnsi="Arial"/>
          <w:sz w:val="21"/>
          <w:szCs w:val="21"/>
          <w:color w:val="383838"/>
        </w:rPr>
        <w:t>shall</w:t>
      </w:r>
      <w:r>
        <w:rPr>
          <w:rFonts w:ascii="Arial" w:cs="Arial" w:eastAsia="Arial" w:hAnsi="Arial"/>
          <w:sz w:val="21"/>
          <w:szCs w:val="21"/>
          <w:color w:val="111111"/>
        </w:rPr>
        <w:t xml:space="preserve"> be </w:t>
      </w:r>
      <w:r>
        <w:rPr>
          <w:rFonts w:ascii="Arial" w:cs="Arial" w:eastAsia="Arial" w:hAnsi="Arial"/>
          <w:sz w:val="21"/>
          <w:szCs w:val="21"/>
          <w:color w:val="000000"/>
        </w:rPr>
        <w:t>given). All</w:t>
      </w:r>
      <w:r>
        <w:rPr>
          <w:rFonts w:ascii="Arial" w:cs="Arial" w:eastAsia="Arial" w:hAnsi="Arial"/>
          <w:sz w:val="21"/>
          <w:szCs w:val="21"/>
          <w:color w:val="111111"/>
        </w:rPr>
        <w:t xml:space="preserve"> </w:t>
      </w:r>
      <w:r>
        <w:rPr>
          <w:rFonts w:ascii="Arial" w:cs="Arial" w:eastAsia="Arial" w:hAnsi="Arial"/>
          <w:sz w:val="21"/>
          <w:szCs w:val="21"/>
          <w:color w:val="383838"/>
        </w:rPr>
        <w:t>such</w:t>
      </w:r>
      <w:r>
        <w:rPr>
          <w:rFonts w:ascii="Arial" w:cs="Arial" w:eastAsia="Arial" w:hAnsi="Arial"/>
          <w:sz w:val="21"/>
          <w:szCs w:val="21"/>
          <w:color w:val="111111"/>
        </w:rPr>
        <w:t xml:space="preserve"> </w:t>
      </w:r>
      <w:r>
        <w:rPr>
          <w:rFonts w:ascii="Arial" w:cs="Arial" w:eastAsia="Arial" w:hAnsi="Arial"/>
          <w:sz w:val="21"/>
          <w:szCs w:val="21"/>
          <w:color w:val="000000"/>
        </w:rPr>
        <w:t>policies shall be written as</w:t>
      </w:r>
      <w:r>
        <w:rPr>
          <w:rFonts w:ascii="Arial" w:cs="Arial" w:eastAsia="Arial" w:hAnsi="Arial"/>
          <w:sz w:val="21"/>
          <w:szCs w:val="21"/>
          <w:color w:val="111111"/>
        </w:rPr>
        <w:t xml:space="preserve"> </w:t>
      </w:r>
      <w:r>
        <w:rPr>
          <w:rFonts w:ascii="Arial" w:cs="Arial" w:eastAsia="Arial" w:hAnsi="Arial"/>
          <w:sz w:val="21"/>
          <w:szCs w:val="21"/>
          <w:color w:val="000000"/>
        </w:rPr>
        <w:t xml:space="preserve">primary policies, not contributing with and </w:t>
      </w:r>
      <w:r>
        <w:rPr>
          <w:rFonts w:ascii="Arial" w:cs="Arial" w:eastAsia="Arial" w:hAnsi="Arial"/>
          <w:sz w:val="21"/>
          <w:szCs w:val="21"/>
          <w:color w:val="111111"/>
        </w:rPr>
        <w:t>not</w:t>
      </w:r>
      <w:r>
        <w:rPr>
          <w:rFonts w:ascii="Arial" w:cs="Arial" w:eastAsia="Arial" w:hAnsi="Arial"/>
          <w:sz w:val="21"/>
          <w:szCs w:val="21"/>
          <w:color w:val="000000"/>
        </w:rPr>
        <w:t xml:space="preserve"> in excess of the coverage </w:t>
      </w:r>
      <w:r>
        <w:rPr>
          <w:rFonts w:ascii="Arial" w:cs="Arial" w:eastAsia="Arial" w:hAnsi="Arial"/>
          <w:sz w:val="21"/>
          <w:szCs w:val="21"/>
          <w:color w:val="111111"/>
        </w:rPr>
        <w:t>that Landlord</w:t>
      </w:r>
      <w:r>
        <w:rPr>
          <w:rFonts w:ascii="Arial" w:cs="Arial" w:eastAsia="Arial" w:hAnsi="Arial"/>
          <w:sz w:val="21"/>
          <w:szCs w:val="21"/>
          <w:color w:val="000000"/>
        </w:rPr>
        <w:t xml:space="preserve"> may carry. Tenant’s </w:t>
      </w:r>
      <w:r>
        <w:rPr>
          <w:rFonts w:ascii="Arial" w:cs="Arial" w:eastAsia="Arial" w:hAnsi="Arial"/>
          <w:sz w:val="21"/>
          <w:szCs w:val="21"/>
          <w:color w:val="111111"/>
        </w:rPr>
        <w:t>policy</w:t>
      </w:r>
      <w:r>
        <w:rPr>
          <w:rFonts w:ascii="Arial" w:cs="Arial" w:eastAsia="Arial" w:hAnsi="Arial"/>
          <w:sz w:val="21"/>
          <w:szCs w:val="21"/>
          <w:color w:val="000000"/>
        </w:rPr>
        <w:t xml:space="preserve"> may be </w:t>
      </w:r>
      <w:r>
        <w:rPr>
          <w:rFonts w:ascii="Arial" w:cs="Arial" w:eastAsia="Arial" w:hAnsi="Arial"/>
          <w:sz w:val="21"/>
          <w:szCs w:val="21"/>
          <w:color w:val="383838"/>
        </w:rPr>
        <w:t>a</w:t>
      </w:r>
      <w:r>
        <w:rPr>
          <w:rFonts w:ascii="Arial" w:cs="Arial" w:eastAsia="Arial" w:hAnsi="Arial"/>
          <w:sz w:val="21"/>
          <w:szCs w:val="21"/>
          <w:color w:val="000000"/>
        </w:rPr>
        <w:t xml:space="preserve"> “blanket </w:t>
      </w:r>
      <w:r>
        <w:rPr>
          <w:rFonts w:ascii="Arial" w:cs="Arial" w:eastAsia="Arial" w:hAnsi="Arial"/>
          <w:sz w:val="21"/>
          <w:szCs w:val="21"/>
          <w:color w:val="111111"/>
        </w:rPr>
        <w:t>policy”</w:t>
      </w:r>
      <w:r>
        <w:rPr>
          <w:rFonts w:ascii="Arial" w:cs="Arial" w:eastAsia="Arial" w:hAnsi="Arial"/>
          <w:sz w:val="21"/>
          <w:szCs w:val="21"/>
          <w:color w:val="000000"/>
        </w:rPr>
        <w:t xml:space="preserve"> that </w:t>
      </w:r>
      <w:r>
        <w:rPr>
          <w:rFonts w:ascii="Arial" w:cs="Arial" w:eastAsia="Arial" w:hAnsi="Arial"/>
          <w:sz w:val="21"/>
          <w:szCs w:val="21"/>
          <w:color w:val="383838"/>
        </w:rPr>
        <w:t>specifically</w:t>
      </w:r>
      <w:r>
        <w:rPr>
          <w:rFonts w:ascii="Arial" w:cs="Arial" w:eastAsia="Arial" w:hAnsi="Arial"/>
          <w:sz w:val="21"/>
          <w:szCs w:val="21"/>
          <w:color w:val="000000"/>
        </w:rPr>
        <w:t xml:space="preserve"> provides that </w:t>
      </w:r>
      <w:r>
        <w:rPr>
          <w:rFonts w:ascii="Arial" w:cs="Arial" w:eastAsia="Arial" w:hAnsi="Arial"/>
          <w:sz w:val="21"/>
          <w:szCs w:val="21"/>
          <w:color w:val="111111"/>
        </w:rPr>
        <w:t>the</w:t>
      </w:r>
      <w:r>
        <w:rPr>
          <w:rFonts w:ascii="Arial" w:cs="Arial" w:eastAsia="Arial" w:hAnsi="Arial"/>
          <w:sz w:val="21"/>
          <w:szCs w:val="21"/>
          <w:color w:val="000000"/>
        </w:rPr>
        <w:t xml:space="preserve"> amount of </w:t>
      </w:r>
      <w:r>
        <w:rPr>
          <w:rFonts w:ascii="Arial" w:cs="Arial" w:eastAsia="Arial" w:hAnsi="Arial"/>
          <w:sz w:val="21"/>
          <w:szCs w:val="21"/>
          <w:color w:val="111111"/>
        </w:rPr>
        <w:t>insurance</w:t>
      </w:r>
      <w:r>
        <w:rPr>
          <w:rFonts w:ascii="Arial" w:cs="Arial" w:eastAsia="Arial" w:hAnsi="Arial"/>
          <w:sz w:val="21"/>
          <w:szCs w:val="21"/>
          <w:color w:val="000000"/>
        </w:rPr>
        <w:t xml:space="preserve"> </w:t>
      </w:r>
      <w:r>
        <w:rPr>
          <w:rFonts w:ascii="Arial" w:cs="Arial" w:eastAsia="Arial" w:hAnsi="Arial"/>
          <w:sz w:val="21"/>
          <w:szCs w:val="21"/>
          <w:color w:val="383838"/>
        </w:rPr>
        <w:t>shall</w:t>
      </w:r>
      <w:r>
        <w:rPr>
          <w:rFonts w:ascii="Arial" w:cs="Arial" w:eastAsia="Arial" w:hAnsi="Arial"/>
          <w:sz w:val="21"/>
          <w:szCs w:val="21"/>
          <w:color w:val="000000"/>
        </w:rPr>
        <w:t xml:space="preserve"> </w:t>
      </w:r>
      <w:r>
        <w:rPr>
          <w:rFonts w:ascii="Arial" w:cs="Arial" w:eastAsia="Arial" w:hAnsi="Arial"/>
          <w:sz w:val="21"/>
          <w:szCs w:val="21"/>
          <w:color w:val="111111"/>
        </w:rPr>
        <w:t>not be prejudiced</w:t>
      </w:r>
      <w:r>
        <w:rPr>
          <w:rFonts w:ascii="Arial" w:cs="Arial" w:eastAsia="Arial" w:hAnsi="Arial"/>
          <w:sz w:val="21"/>
          <w:szCs w:val="21"/>
          <w:color w:val="000000"/>
        </w:rPr>
        <w:t xml:space="preserve"> by other losses covered </w:t>
      </w:r>
      <w:r>
        <w:rPr>
          <w:rFonts w:ascii="Arial" w:cs="Arial" w:eastAsia="Arial" w:hAnsi="Arial"/>
          <w:sz w:val="21"/>
          <w:szCs w:val="21"/>
          <w:color w:val="111111"/>
        </w:rPr>
        <w:t>by</w:t>
      </w:r>
      <w:r>
        <w:rPr>
          <w:rFonts w:ascii="Arial" w:cs="Arial" w:eastAsia="Arial" w:hAnsi="Arial"/>
          <w:sz w:val="21"/>
          <w:szCs w:val="21"/>
          <w:color w:val="000000"/>
        </w:rPr>
        <w:t xml:space="preserve"> the </w:t>
      </w:r>
      <w:r>
        <w:rPr>
          <w:rFonts w:ascii="Arial" w:cs="Arial" w:eastAsia="Arial" w:hAnsi="Arial"/>
          <w:sz w:val="21"/>
          <w:szCs w:val="21"/>
          <w:color w:val="383838"/>
        </w:rPr>
        <w:t>policy.</w:t>
      </w:r>
      <w:r>
        <w:rPr>
          <w:rFonts w:ascii="Arial" w:cs="Arial" w:eastAsia="Arial" w:hAnsi="Arial"/>
          <w:sz w:val="21"/>
          <w:szCs w:val="21"/>
          <w:color w:val="000000"/>
        </w:rPr>
        <w:t xml:space="preserve"> </w:t>
      </w:r>
      <w:r>
        <w:rPr>
          <w:rFonts w:ascii="Arial" w:cs="Arial" w:eastAsia="Arial" w:hAnsi="Arial"/>
          <w:sz w:val="21"/>
          <w:szCs w:val="21"/>
          <w:color w:val="111111"/>
        </w:rPr>
        <w:t>Tenant</w:t>
      </w:r>
      <w:r>
        <w:rPr>
          <w:rFonts w:ascii="Arial" w:cs="Arial" w:eastAsia="Arial" w:hAnsi="Arial"/>
          <w:sz w:val="21"/>
          <w:szCs w:val="21"/>
          <w:color w:val="000000"/>
        </w:rPr>
        <w:t xml:space="preserve"> shall, at </w:t>
      </w:r>
      <w:r>
        <w:rPr>
          <w:rFonts w:ascii="Arial" w:cs="Arial" w:eastAsia="Arial" w:hAnsi="Arial"/>
          <w:sz w:val="21"/>
          <w:szCs w:val="21"/>
          <w:color w:val="111111"/>
        </w:rPr>
        <w:t>least</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w:t>
      </w:r>
      <w:r>
        <w:rPr>
          <w:rFonts w:ascii="Arial" w:cs="Arial" w:eastAsia="Arial" w:hAnsi="Arial"/>
          <w:sz w:val="21"/>
          <w:szCs w:val="21"/>
          <w:color w:val="000000"/>
        </w:rPr>
        <w:t xml:space="preserve"> days </w:t>
      </w:r>
      <w:r>
        <w:rPr>
          <w:rFonts w:ascii="Arial" w:cs="Arial" w:eastAsia="Arial" w:hAnsi="Arial"/>
          <w:sz w:val="21"/>
          <w:szCs w:val="21"/>
          <w:color w:val="111111"/>
        </w:rPr>
        <w:t>prior</w:t>
      </w:r>
      <w:r>
        <w:rPr>
          <w:rFonts w:ascii="Arial" w:cs="Arial" w:eastAsia="Arial" w:hAnsi="Arial"/>
          <w:sz w:val="21"/>
          <w:szCs w:val="21"/>
          <w:color w:val="000000"/>
        </w:rPr>
        <w:t xml:space="preserve"> to </w:t>
      </w:r>
      <w:r>
        <w:rPr>
          <w:rFonts w:ascii="Arial" w:cs="Arial" w:eastAsia="Arial" w:hAnsi="Arial"/>
          <w:sz w:val="21"/>
          <w:szCs w:val="21"/>
          <w:color w:val="111111"/>
        </w:rPr>
        <w:t>the</w:t>
      </w:r>
      <w:r>
        <w:rPr>
          <w:rFonts w:ascii="Arial" w:cs="Arial" w:eastAsia="Arial" w:hAnsi="Arial"/>
          <w:sz w:val="21"/>
          <w:szCs w:val="21"/>
          <w:color w:val="000000"/>
        </w:rPr>
        <w:t xml:space="preserve"> expiration </w:t>
      </w:r>
      <w:r>
        <w:rPr>
          <w:rFonts w:ascii="Arial" w:cs="Arial" w:eastAsia="Arial" w:hAnsi="Arial"/>
          <w:sz w:val="21"/>
          <w:szCs w:val="21"/>
          <w:color w:val="111111"/>
        </w:rPr>
        <w:t>of</w:t>
      </w:r>
      <w:r>
        <w:rPr>
          <w:rFonts w:ascii="Arial" w:cs="Arial" w:eastAsia="Arial" w:hAnsi="Arial"/>
          <w:sz w:val="21"/>
          <w:szCs w:val="21"/>
          <w:color w:val="000000"/>
        </w:rPr>
        <w:t xml:space="preserve"> such policies, furnish Landlord with renewals or </w:t>
      </w:r>
      <w:r>
        <w:rPr>
          <w:rFonts w:ascii="Arial" w:cs="Arial" w:eastAsia="Arial" w:hAnsi="Arial"/>
          <w:sz w:val="21"/>
          <w:szCs w:val="21"/>
          <w:color w:val="0F0F0F"/>
        </w:rPr>
        <w:t>binders</w:t>
      </w:r>
      <w:r>
        <w:rPr>
          <w:rFonts w:ascii="Arial" w:cs="Arial" w:eastAsia="Arial" w:hAnsi="Arial"/>
          <w:sz w:val="21"/>
          <w:szCs w:val="21"/>
          <w:color w:val="383838"/>
        </w:rPr>
        <w:t>.</w:t>
      </w:r>
      <w:r>
        <w:rPr>
          <w:rFonts w:ascii="Arial" w:cs="Arial" w:eastAsia="Arial" w:hAnsi="Arial"/>
          <w:sz w:val="21"/>
          <w:szCs w:val="21"/>
          <w:color w:val="000000"/>
        </w:rPr>
        <w:t xml:space="preserve"> Tenant agrees that </w:t>
      </w:r>
      <w:r>
        <w:rPr>
          <w:rFonts w:ascii="Arial" w:cs="Arial" w:eastAsia="Arial" w:hAnsi="Arial"/>
          <w:sz w:val="21"/>
          <w:szCs w:val="21"/>
          <w:color w:val="0F0F0F"/>
        </w:rPr>
        <w:t>i</w:t>
      </w:r>
      <w:r>
        <w:rPr>
          <w:rFonts w:ascii="Arial" w:cs="Arial" w:eastAsia="Arial" w:hAnsi="Arial"/>
          <w:sz w:val="21"/>
          <w:szCs w:val="21"/>
          <w:color w:val="383838"/>
        </w:rPr>
        <w:t>f Tenant</w:t>
      </w:r>
      <w:r>
        <w:rPr>
          <w:rFonts w:ascii="Arial" w:cs="Arial" w:eastAsia="Arial" w:hAnsi="Arial"/>
          <w:sz w:val="21"/>
          <w:szCs w:val="21"/>
          <w:color w:val="000000"/>
        </w:rPr>
        <w:t xml:space="preserve"> does </w:t>
      </w:r>
      <w:r>
        <w:rPr>
          <w:rFonts w:ascii="Arial" w:cs="Arial" w:eastAsia="Arial" w:hAnsi="Arial"/>
          <w:sz w:val="21"/>
          <w:szCs w:val="21"/>
          <w:color w:val="0F0F0F"/>
        </w:rPr>
        <w:t>not</w:t>
      </w:r>
      <w:r>
        <w:rPr>
          <w:rFonts w:ascii="Arial" w:cs="Arial" w:eastAsia="Arial" w:hAnsi="Arial"/>
          <w:sz w:val="21"/>
          <w:szCs w:val="21"/>
          <w:color w:val="000000"/>
        </w:rPr>
        <w:t xml:space="preserve"> take </w:t>
      </w:r>
      <w:r>
        <w:rPr>
          <w:rFonts w:ascii="Arial" w:cs="Arial" w:eastAsia="Arial" w:hAnsi="Arial"/>
          <w:sz w:val="21"/>
          <w:szCs w:val="21"/>
          <w:color w:val="0F0F0F"/>
        </w:rPr>
        <w:t>out</w:t>
      </w:r>
      <w:r>
        <w:rPr>
          <w:rFonts w:ascii="Arial" w:cs="Arial" w:eastAsia="Arial" w:hAnsi="Arial"/>
          <w:sz w:val="21"/>
          <w:szCs w:val="21"/>
          <w:color w:val="000000"/>
        </w:rPr>
        <w:t xml:space="preserve"> and maintain such </w:t>
      </w:r>
      <w:r>
        <w:rPr>
          <w:rFonts w:ascii="Arial" w:cs="Arial" w:eastAsia="Arial" w:hAnsi="Arial"/>
          <w:sz w:val="21"/>
          <w:szCs w:val="21"/>
          <w:color w:val="0F0F0F"/>
        </w:rPr>
        <w:t>insurance,</w:t>
      </w:r>
      <w:r>
        <w:rPr>
          <w:rFonts w:ascii="Arial" w:cs="Arial" w:eastAsia="Arial" w:hAnsi="Arial"/>
          <w:sz w:val="21"/>
          <w:szCs w:val="21"/>
          <w:color w:val="000000"/>
        </w:rPr>
        <w:t xml:space="preserve"> </w:t>
      </w:r>
      <w:r>
        <w:rPr>
          <w:rFonts w:ascii="Arial" w:cs="Arial" w:eastAsia="Arial" w:hAnsi="Arial"/>
          <w:sz w:val="21"/>
          <w:szCs w:val="21"/>
          <w:color w:val="0F0F0F"/>
        </w:rPr>
        <w:t xml:space="preserve">Landlord </w:t>
      </w:r>
      <w:r>
        <w:rPr>
          <w:rFonts w:ascii="Arial" w:cs="Arial" w:eastAsia="Arial" w:hAnsi="Arial"/>
          <w:sz w:val="21"/>
          <w:szCs w:val="21"/>
          <w:color w:val="000000"/>
        </w:rPr>
        <w:t>may (but</w:t>
      </w:r>
      <w:r>
        <w:rPr>
          <w:rFonts w:ascii="Arial" w:cs="Arial" w:eastAsia="Arial" w:hAnsi="Arial"/>
          <w:sz w:val="21"/>
          <w:szCs w:val="21"/>
          <w:color w:val="0F0F0F"/>
        </w:rPr>
        <w:t xml:space="preserve"> </w:t>
      </w:r>
      <w:r>
        <w:rPr>
          <w:rFonts w:ascii="Arial" w:cs="Arial" w:eastAsia="Arial" w:hAnsi="Arial"/>
          <w:sz w:val="21"/>
          <w:szCs w:val="21"/>
          <w:color w:val="383838"/>
        </w:rPr>
        <w:t>s</w:t>
      </w:r>
      <w:r>
        <w:rPr>
          <w:rFonts w:ascii="Arial" w:cs="Arial" w:eastAsia="Arial" w:hAnsi="Arial"/>
          <w:sz w:val="21"/>
          <w:szCs w:val="21"/>
          <w:color w:val="0F0F0F"/>
        </w:rPr>
        <w:t>h</w:t>
      </w:r>
      <w:r>
        <w:rPr>
          <w:rFonts w:ascii="Arial" w:cs="Arial" w:eastAsia="Arial" w:hAnsi="Arial"/>
          <w:sz w:val="21"/>
          <w:szCs w:val="21"/>
          <w:color w:val="383838"/>
        </w:rPr>
        <w:t>a</w:t>
      </w:r>
      <w:r>
        <w:rPr>
          <w:rFonts w:ascii="Arial" w:cs="Arial" w:eastAsia="Arial" w:hAnsi="Arial"/>
          <w:sz w:val="21"/>
          <w:szCs w:val="21"/>
          <w:color w:val="0F0F0F"/>
        </w:rPr>
        <w:t xml:space="preserve">ll not be required </w:t>
      </w:r>
      <w:r>
        <w:rPr>
          <w:rFonts w:ascii="Arial" w:cs="Arial" w:eastAsia="Arial" w:hAnsi="Arial"/>
          <w:sz w:val="21"/>
          <w:szCs w:val="21"/>
          <w:color w:val="000000"/>
        </w:rPr>
        <w:t>to)</w:t>
      </w:r>
      <w:r>
        <w:rPr>
          <w:rFonts w:ascii="Arial" w:cs="Arial" w:eastAsia="Arial" w:hAnsi="Arial"/>
          <w:sz w:val="21"/>
          <w:szCs w:val="21"/>
          <w:color w:val="0F0F0F"/>
        </w:rPr>
        <w:t xml:space="preserve"> procure </w:t>
      </w:r>
      <w:r>
        <w:rPr>
          <w:rFonts w:ascii="Arial" w:cs="Arial" w:eastAsia="Arial" w:hAnsi="Arial"/>
          <w:sz w:val="21"/>
          <w:szCs w:val="21"/>
          <w:color w:val="000000"/>
        </w:rPr>
        <w:t>said</w:t>
      </w:r>
      <w:r>
        <w:rPr>
          <w:rFonts w:ascii="Arial" w:cs="Arial" w:eastAsia="Arial" w:hAnsi="Arial"/>
          <w:sz w:val="21"/>
          <w:szCs w:val="21"/>
          <w:color w:val="0F0F0F"/>
        </w:rPr>
        <w:t xml:space="preserve"> </w:t>
      </w:r>
      <w:r>
        <w:rPr>
          <w:rFonts w:ascii="Arial" w:cs="Arial" w:eastAsia="Arial" w:hAnsi="Arial"/>
          <w:sz w:val="21"/>
          <w:szCs w:val="21"/>
          <w:color w:val="383838"/>
        </w:rPr>
        <w:t>insurance</w:t>
      </w:r>
      <w:r>
        <w:rPr>
          <w:rFonts w:ascii="Arial" w:cs="Arial" w:eastAsia="Arial" w:hAnsi="Arial"/>
          <w:sz w:val="21"/>
          <w:szCs w:val="21"/>
          <w:color w:val="0F0F0F"/>
        </w:rPr>
        <w:t xml:space="preserve"> </w:t>
      </w:r>
      <w:r>
        <w:rPr>
          <w:rFonts w:ascii="Arial" w:cs="Arial" w:eastAsia="Arial" w:hAnsi="Arial"/>
          <w:sz w:val="21"/>
          <w:szCs w:val="21"/>
          <w:color w:val="000000"/>
        </w:rPr>
        <w:t>on Tenant’s behalf and at</w:t>
      </w:r>
      <w:r>
        <w:rPr>
          <w:rFonts w:ascii="Arial" w:cs="Arial" w:eastAsia="Arial" w:hAnsi="Arial"/>
          <w:sz w:val="21"/>
          <w:szCs w:val="21"/>
          <w:color w:val="0F0F0F"/>
        </w:rPr>
        <w:t xml:space="preserve"> </w:t>
      </w:r>
      <w:r>
        <w:rPr>
          <w:rFonts w:ascii="Arial" w:cs="Arial" w:eastAsia="Arial" w:hAnsi="Arial"/>
          <w:sz w:val="21"/>
          <w:szCs w:val="21"/>
          <w:color w:val="383838"/>
        </w:rPr>
        <w:t>i</w:t>
      </w:r>
      <w:r>
        <w:rPr>
          <w:rFonts w:ascii="Arial" w:cs="Arial" w:eastAsia="Arial" w:hAnsi="Arial"/>
          <w:sz w:val="21"/>
          <w:szCs w:val="21"/>
          <w:color w:val="0F0F0F"/>
        </w:rPr>
        <w:t xml:space="preserve">ts </w:t>
      </w:r>
      <w:r>
        <w:rPr>
          <w:rFonts w:ascii="Arial" w:cs="Arial" w:eastAsia="Arial" w:hAnsi="Arial"/>
          <w:sz w:val="21"/>
          <w:szCs w:val="21"/>
          <w:color w:val="000000"/>
        </w:rPr>
        <w:t>cost to</w:t>
      </w:r>
      <w:r>
        <w:rPr>
          <w:rFonts w:ascii="Arial" w:cs="Arial" w:eastAsia="Arial" w:hAnsi="Arial"/>
          <w:sz w:val="21"/>
          <w:szCs w:val="21"/>
          <w:color w:val="0F0F0F"/>
        </w:rPr>
        <w:t xml:space="preserve"> be </w:t>
      </w:r>
      <w:r>
        <w:rPr>
          <w:rFonts w:ascii="Arial" w:cs="Arial" w:eastAsia="Arial" w:hAnsi="Arial"/>
          <w:sz w:val="21"/>
          <w:szCs w:val="21"/>
          <w:color w:val="000000"/>
        </w:rPr>
        <w:t>paid by</w:t>
      </w:r>
      <w:r>
        <w:rPr>
          <w:rFonts w:ascii="Arial" w:cs="Arial" w:eastAsia="Arial" w:hAnsi="Arial"/>
          <w:sz w:val="21"/>
          <w:szCs w:val="21"/>
          <w:color w:val="0F0F0F"/>
        </w:rPr>
        <w:t xml:space="preserve"> </w:t>
      </w:r>
      <w:r>
        <w:rPr>
          <w:rFonts w:ascii="Arial" w:cs="Arial" w:eastAsia="Arial" w:hAnsi="Arial"/>
          <w:sz w:val="21"/>
          <w:szCs w:val="21"/>
          <w:color w:val="000000"/>
        </w:rPr>
        <w:t>Tenant as Additional Rent.</w:t>
      </w:r>
    </w:p>
    <w:p>
      <w:pPr>
        <w:spacing w:after="0" w:line="165" w:lineRule="exact"/>
        <w:rPr>
          <w:sz w:val="20"/>
          <w:szCs w:val="20"/>
          <w:color w:val="auto"/>
        </w:rPr>
      </w:pPr>
    </w:p>
    <w:p>
      <w:pPr>
        <w:jc w:val="both"/>
        <w:ind w:left="180" w:hanging="647"/>
        <w:spacing w:after="0" w:line="216" w:lineRule="auto"/>
        <w:tabs>
          <w:tab w:leader="none" w:pos="160" w:val="left"/>
        </w:tabs>
        <w:rPr>
          <w:sz w:val="20"/>
          <w:szCs w:val="20"/>
          <w:color w:val="auto"/>
        </w:rPr>
      </w:pPr>
      <w:r>
        <w:rPr>
          <w:rFonts w:ascii="Arial" w:cs="Arial" w:eastAsia="Arial" w:hAnsi="Arial"/>
          <w:sz w:val="22"/>
          <w:szCs w:val="22"/>
          <w:color w:val="auto"/>
        </w:rPr>
        <w:t>23.5</w:t>
        <w:tab/>
        <w:t xml:space="preserve">Tenant assumes </w:t>
      </w:r>
      <w:r>
        <w:rPr>
          <w:rFonts w:ascii="Arial" w:cs="Arial" w:eastAsia="Arial" w:hAnsi="Arial"/>
          <w:sz w:val="22"/>
          <w:szCs w:val="22"/>
          <w:color w:val="0F0F0F"/>
        </w:rPr>
        <w:t>the</w:t>
      </w:r>
      <w:r>
        <w:rPr>
          <w:rFonts w:ascii="Arial" w:cs="Arial" w:eastAsia="Arial" w:hAnsi="Arial"/>
          <w:sz w:val="22"/>
          <w:szCs w:val="22"/>
          <w:color w:val="auto"/>
        </w:rPr>
        <w:t xml:space="preserve"> risk of damage to any fixtures, goods, inventory, merchandise, equipment and </w:t>
      </w:r>
      <w:r>
        <w:rPr>
          <w:rFonts w:ascii="Arial" w:cs="Arial" w:eastAsia="Arial" w:hAnsi="Arial"/>
          <w:sz w:val="22"/>
          <w:szCs w:val="22"/>
          <w:color w:val="383838"/>
        </w:rPr>
        <w:t>leasehold</w:t>
      </w:r>
      <w:r>
        <w:rPr>
          <w:rFonts w:ascii="Arial" w:cs="Arial" w:eastAsia="Arial" w:hAnsi="Arial"/>
          <w:sz w:val="22"/>
          <w:szCs w:val="22"/>
          <w:color w:val="auto"/>
        </w:rPr>
        <w:t xml:space="preserve"> improvements owned by Tenant, and Landlord </w:t>
      </w:r>
      <w:r>
        <w:rPr>
          <w:rFonts w:ascii="Arial" w:cs="Arial" w:eastAsia="Arial" w:hAnsi="Arial"/>
          <w:sz w:val="22"/>
          <w:szCs w:val="22"/>
          <w:color w:val="383838"/>
        </w:rPr>
        <w:t>s</w:t>
      </w:r>
      <w:r>
        <w:rPr>
          <w:rFonts w:ascii="Arial" w:cs="Arial" w:eastAsia="Arial" w:hAnsi="Arial"/>
          <w:sz w:val="22"/>
          <w:szCs w:val="22"/>
          <w:color w:val="0F0F0F"/>
        </w:rPr>
        <w:t>hall</w:t>
      </w:r>
      <w:r>
        <w:rPr>
          <w:rFonts w:ascii="Arial" w:cs="Arial" w:eastAsia="Arial" w:hAnsi="Arial"/>
          <w:sz w:val="22"/>
          <w:szCs w:val="22"/>
          <w:color w:val="auto"/>
        </w:rPr>
        <w:t xml:space="preserve"> not </w:t>
      </w:r>
      <w:r>
        <w:rPr>
          <w:rFonts w:ascii="Arial" w:cs="Arial" w:eastAsia="Arial" w:hAnsi="Arial"/>
          <w:sz w:val="22"/>
          <w:szCs w:val="22"/>
          <w:color w:val="0F0F0F"/>
        </w:rPr>
        <w:t>be</w:t>
      </w:r>
      <w:r>
        <w:rPr>
          <w:rFonts w:ascii="Arial" w:cs="Arial" w:eastAsia="Arial" w:hAnsi="Arial"/>
          <w:sz w:val="22"/>
          <w:szCs w:val="22"/>
          <w:color w:val="auto"/>
        </w:rPr>
        <w:t xml:space="preserve"> </w:t>
      </w:r>
      <w:r>
        <w:rPr>
          <w:rFonts w:ascii="Arial" w:cs="Arial" w:eastAsia="Arial" w:hAnsi="Arial"/>
          <w:sz w:val="22"/>
          <w:szCs w:val="22"/>
          <w:color w:val="383838"/>
        </w:rPr>
        <w:t>l</w:t>
      </w:r>
      <w:r>
        <w:rPr>
          <w:rFonts w:ascii="Arial" w:cs="Arial" w:eastAsia="Arial" w:hAnsi="Arial"/>
          <w:sz w:val="22"/>
          <w:szCs w:val="22"/>
          <w:color w:val="0F0F0F"/>
        </w:rPr>
        <w:t>iable</w:t>
      </w:r>
      <w:r>
        <w:rPr>
          <w:rFonts w:ascii="Arial" w:cs="Arial" w:eastAsia="Arial" w:hAnsi="Arial"/>
          <w:sz w:val="22"/>
          <w:szCs w:val="22"/>
          <w:color w:val="auto"/>
        </w:rPr>
        <w:t xml:space="preserve"> for </w:t>
      </w:r>
      <w:r>
        <w:rPr>
          <w:rFonts w:ascii="Arial" w:cs="Arial" w:eastAsia="Arial" w:hAnsi="Arial"/>
          <w:sz w:val="22"/>
          <w:szCs w:val="22"/>
          <w:color w:val="0F0F0F"/>
        </w:rPr>
        <w:t>injury</w:t>
      </w:r>
      <w:r>
        <w:rPr>
          <w:rFonts w:ascii="Arial" w:cs="Arial" w:eastAsia="Arial" w:hAnsi="Arial"/>
          <w:sz w:val="22"/>
          <w:szCs w:val="22"/>
          <w:color w:val="auto"/>
        </w:rPr>
        <w:t xml:space="preserve"> to </w:t>
      </w:r>
      <w:r>
        <w:rPr>
          <w:rFonts w:ascii="Arial" w:cs="Arial" w:eastAsia="Arial" w:hAnsi="Arial"/>
          <w:sz w:val="22"/>
          <w:szCs w:val="22"/>
          <w:color w:val="0F0F0F"/>
        </w:rPr>
        <w:t>Tenant’</w:t>
      </w:r>
      <w:r>
        <w:rPr>
          <w:rFonts w:ascii="Arial" w:cs="Arial" w:eastAsia="Arial" w:hAnsi="Arial"/>
          <w:sz w:val="22"/>
          <w:szCs w:val="22"/>
          <w:color w:val="383838"/>
        </w:rPr>
        <w:t>s</w:t>
      </w:r>
      <w:r>
        <w:rPr>
          <w:rFonts w:ascii="Arial" w:cs="Arial" w:eastAsia="Arial" w:hAnsi="Arial"/>
          <w:sz w:val="22"/>
          <w:szCs w:val="22"/>
          <w:color w:val="auto"/>
        </w:rPr>
        <w:t xml:space="preserve"> </w:t>
      </w:r>
      <w:r>
        <w:rPr>
          <w:rFonts w:ascii="Arial" w:cs="Arial" w:eastAsia="Arial" w:hAnsi="Arial"/>
          <w:sz w:val="22"/>
          <w:szCs w:val="22"/>
          <w:color w:val="0F0F0F"/>
        </w:rPr>
        <w:t>bu</w:t>
      </w:r>
      <w:r>
        <w:rPr>
          <w:rFonts w:ascii="Arial" w:cs="Arial" w:eastAsia="Arial" w:hAnsi="Arial"/>
          <w:sz w:val="22"/>
          <w:szCs w:val="22"/>
          <w:color w:val="383838"/>
        </w:rPr>
        <w:t>siness</w:t>
      </w:r>
      <w:r>
        <w:rPr>
          <w:rFonts w:ascii="Arial" w:cs="Arial" w:eastAsia="Arial" w:hAnsi="Arial"/>
          <w:sz w:val="22"/>
          <w:szCs w:val="22"/>
          <w:color w:val="auto"/>
        </w:rPr>
        <w:t xml:space="preserve"> </w:t>
      </w:r>
      <w:r>
        <w:rPr>
          <w:rFonts w:ascii="Arial" w:cs="Arial" w:eastAsia="Arial" w:hAnsi="Arial"/>
          <w:sz w:val="22"/>
          <w:szCs w:val="22"/>
          <w:color w:val="0F0F0F"/>
        </w:rPr>
        <w:t>or</w:t>
      </w:r>
      <w:r>
        <w:rPr>
          <w:rFonts w:ascii="Arial" w:cs="Arial" w:eastAsia="Arial" w:hAnsi="Arial"/>
          <w:sz w:val="22"/>
          <w:szCs w:val="22"/>
          <w:color w:val="auto"/>
        </w:rPr>
        <w:t xml:space="preserve"> </w:t>
      </w:r>
      <w:r>
        <w:rPr>
          <w:rFonts w:ascii="Arial" w:cs="Arial" w:eastAsia="Arial" w:hAnsi="Arial"/>
          <w:sz w:val="22"/>
          <w:szCs w:val="22"/>
          <w:color w:val="383838"/>
        </w:rPr>
        <w:t>any loss</w:t>
      </w:r>
      <w:r>
        <w:rPr>
          <w:rFonts w:ascii="Arial" w:cs="Arial" w:eastAsia="Arial" w:hAnsi="Arial"/>
          <w:sz w:val="22"/>
          <w:szCs w:val="22"/>
          <w:color w:val="auto"/>
        </w:rPr>
        <w:t xml:space="preserve"> of income therefrom, relative </w:t>
      </w:r>
      <w:r>
        <w:rPr>
          <w:rFonts w:ascii="Arial" w:cs="Arial" w:eastAsia="Arial" w:hAnsi="Arial"/>
          <w:sz w:val="22"/>
          <w:szCs w:val="22"/>
          <w:color w:val="0F0F0F"/>
        </w:rPr>
        <w:t>to</w:t>
      </w:r>
      <w:r>
        <w:rPr>
          <w:rFonts w:ascii="Arial" w:cs="Arial" w:eastAsia="Arial" w:hAnsi="Arial"/>
          <w:sz w:val="22"/>
          <w:szCs w:val="22"/>
          <w:color w:val="auto"/>
        </w:rPr>
        <w:t xml:space="preserve"> </w:t>
      </w:r>
      <w:r>
        <w:rPr>
          <w:rFonts w:ascii="Arial" w:cs="Arial" w:eastAsia="Arial" w:hAnsi="Arial"/>
          <w:sz w:val="22"/>
          <w:szCs w:val="22"/>
          <w:color w:val="383838"/>
        </w:rPr>
        <w:t>s</w:t>
      </w:r>
      <w:r>
        <w:rPr>
          <w:rFonts w:ascii="Arial" w:cs="Arial" w:eastAsia="Arial" w:hAnsi="Arial"/>
          <w:sz w:val="22"/>
          <w:szCs w:val="22"/>
          <w:color w:val="0F0F0F"/>
        </w:rPr>
        <w:t>uch damage</w:t>
      </w:r>
      <w:r>
        <w:rPr>
          <w:rFonts w:ascii="Arial" w:cs="Arial" w:eastAsia="Arial" w:hAnsi="Arial"/>
          <w:sz w:val="22"/>
          <w:szCs w:val="22"/>
          <w:color w:val="383838"/>
        </w:rPr>
        <w:t>,</w:t>
      </w:r>
      <w:r>
        <w:rPr>
          <w:rFonts w:ascii="Arial" w:cs="Arial" w:eastAsia="Arial" w:hAnsi="Arial"/>
          <w:sz w:val="22"/>
          <w:szCs w:val="22"/>
          <w:color w:val="auto"/>
        </w:rPr>
        <w:t xml:space="preserve"> all as more particularly set forth </w:t>
      </w:r>
      <w:r>
        <w:rPr>
          <w:rFonts w:ascii="Arial" w:cs="Arial" w:eastAsia="Arial" w:hAnsi="Arial"/>
          <w:sz w:val="22"/>
          <w:szCs w:val="22"/>
          <w:color w:val="383838"/>
        </w:rPr>
        <w:t>within</w:t>
      </w:r>
      <w:r>
        <w:rPr>
          <w:rFonts w:ascii="Arial" w:cs="Arial" w:eastAsia="Arial" w:hAnsi="Arial"/>
          <w:sz w:val="22"/>
          <w:szCs w:val="22"/>
          <w:color w:val="auto"/>
        </w:rPr>
        <w:t xml:space="preserve"> this </w:t>
      </w:r>
      <w:r>
        <w:rPr>
          <w:rFonts w:ascii="Arial" w:cs="Arial" w:eastAsia="Arial" w:hAnsi="Arial"/>
          <w:sz w:val="22"/>
          <w:szCs w:val="22"/>
          <w:color w:val="0F0F0F"/>
        </w:rPr>
        <w:t>Lease</w:t>
      </w:r>
      <w:r>
        <w:rPr>
          <w:rFonts w:ascii="Arial" w:cs="Arial" w:eastAsia="Arial" w:hAnsi="Arial"/>
          <w:sz w:val="22"/>
          <w:szCs w:val="22"/>
          <w:color w:val="383838"/>
        </w:rPr>
        <w:t>.</w:t>
      </w:r>
      <w:r>
        <w:rPr>
          <w:rFonts w:ascii="Arial" w:cs="Arial" w:eastAsia="Arial" w:hAnsi="Arial"/>
          <w:sz w:val="22"/>
          <w:szCs w:val="22"/>
          <w:color w:val="auto"/>
        </w:rPr>
        <w:t xml:space="preserve"> Tenant </w:t>
      </w:r>
      <w:r>
        <w:rPr>
          <w:rFonts w:ascii="Arial" w:cs="Arial" w:eastAsia="Arial" w:hAnsi="Arial"/>
          <w:sz w:val="22"/>
          <w:szCs w:val="22"/>
          <w:color w:val="383838"/>
        </w:rPr>
        <w:t>shall,</w:t>
      </w:r>
      <w:r>
        <w:rPr>
          <w:rFonts w:ascii="Arial" w:cs="Arial" w:eastAsia="Arial" w:hAnsi="Arial"/>
          <w:sz w:val="22"/>
          <w:szCs w:val="22"/>
          <w:color w:val="auto"/>
        </w:rPr>
        <w:t xml:space="preserve"> at </w:t>
      </w:r>
      <w:r>
        <w:rPr>
          <w:rFonts w:ascii="Arial" w:cs="Arial" w:eastAsia="Arial" w:hAnsi="Arial"/>
          <w:sz w:val="22"/>
          <w:szCs w:val="22"/>
          <w:color w:val="0F0F0F"/>
        </w:rPr>
        <w:t>Te</w:t>
      </w:r>
      <w:r>
        <w:rPr>
          <w:rFonts w:ascii="Arial" w:cs="Arial" w:eastAsia="Arial" w:hAnsi="Arial"/>
          <w:sz w:val="22"/>
          <w:szCs w:val="22"/>
          <w:color w:val="383838"/>
        </w:rPr>
        <w:t>nant’s so</w:t>
      </w:r>
      <w:r>
        <w:rPr>
          <w:rFonts w:ascii="Arial" w:cs="Arial" w:eastAsia="Arial" w:hAnsi="Arial"/>
          <w:sz w:val="22"/>
          <w:szCs w:val="22"/>
          <w:color w:val="0F0F0F"/>
        </w:rPr>
        <w:t xml:space="preserve">le </w:t>
      </w:r>
      <w:r>
        <w:rPr>
          <w:rFonts w:ascii="Arial" w:cs="Arial" w:eastAsia="Arial" w:hAnsi="Arial"/>
          <w:sz w:val="22"/>
          <w:szCs w:val="22"/>
          <w:color w:val="000000"/>
        </w:rPr>
        <w:t>cost and expense, carry such</w:t>
      </w:r>
      <w:r>
        <w:rPr>
          <w:rFonts w:ascii="Arial" w:cs="Arial" w:eastAsia="Arial" w:hAnsi="Arial"/>
          <w:sz w:val="22"/>
          <w:szCs w:val="22"/>
          <w:color w:val="0F0F0F"/>
        </w:rPr>
        <w:t xml:space="preserve"> </w:t>
      </w:r>
      <w:r>
        <w:rPr>
          <w:rFonts w:ascii="Arial" w:cs="Arial" w:eastAsia="Arial" w:hAnsi="Arial"/>
          <w:sz w:val="22"/>
          <w:szCs w:val="22"/>
          <w:color w:val="383838"/>
        </w:rPr>
        <w:t>i</w:t>
      </w:r>
      <w:r>
        <w:rPr>
          <w:rFonts w:ascii="Arial" w:cs="Arial" w:eastAsia="Arial" w:hAnsi="Arial"/>
          <w:sz w:val="22"/>
          <w:szCs w:val="22"/>
          <w:color w:val="0F0F0F"/>
        </w:rPr>
        <w:t xml:space="preserve">nsurance </w:t>
      </w:r>
      <w:r>
        <w:rPr>
          <w:rFonts w:ascii="Arial" w:cs="Arial" w:eastAsia="Arial" w:hAnsi="Arial"/>
          <w:sz w:val="22"/>
          <w:szCs w:val="22"/>
          <w:color w:val="000000"/>
        </w:rPr>
        <w:t>as Tenant desires for</w:t>
      </w:r>
      <w:r>
        <w:rPr>
          <w:rFonts w:ascii="Arial" w:cs="Arial" w:eastAsia="Arial" w:hAnsi="Arial"/>
          <w:sz w:val="22"/>
          <w:szCs w:val="22"/>
          <w:color w:val="0F0F0F"/>
        </w:rPr>
        <w:t xml:space="preserve"> </w:t>
      </w:r>
      <w:r>
        <w:rPr>
          <w:rFonts w:ascii="Arial" w:cs="Arial" w:eastAsia="Arial" w:hAnsi="Arial"/>
          <w:sz w:val="22"/>
          <w:szCs w:val="22"/>
          <w:color w:val="383838"/>
        </w:rPr>
        <w:t>Te</w:t>
      </w:r>
      <w:r>
        <w:rPr>
          <w:rFonts w:ascii="Arial" w:cs="Arial" w:eastAsia="Arial" w:hAnsi="Arial"/>
          <w:sz w:val="22"/>
          <w:szCs w:val="22"/>
          <w:color w:val="0F0F0F"/>
        </w:rPr>
        <w:t>nant’s pro</w:t>
      </w:r>
      <w:r>
        <w:rPr>
          <w:rFonts w:ascii="Arial" w:cs="Arial" w:eastAsia="Arial" w:hAnsi="Arial"/>
          <w:sz w:val="22"/>
          <w:szCs w:val="22"/>
          <w:color w:val="383838"/>
        </w:rPr>
        <w:t>tection</w:t>
      </w:r>
      <w:r>
        <w:rPr>
          <w:rFonts w:ascii="Arial" w:cs="Arial" w:eastAsia="Arial" w:hAnsi="Arial"/>
          <w:sz w:val="22"/>
          <w:szCs w:val="22"/>
          <w:color w:val="0F0F0F"/>
        </w:rPr>
        <w:t xml:space="preserve"> </w:t>
      </w:r>
      <w:r>
        <w:rPr>
          <w:rFonts w:ascii="Arial" w:cs="Arial" w:eastAsia="Arial" w:hAnsi="Arial"/>
          <w:sz w:val="22"/>
          <w:szCs w:val="22"/>
          <w:color w:val="000000"/>
        </w:rPr>
        <w:t>with</w:t>
      </w:r>
      <w:r>
        <w:rPr>
          <w:rFonts w:ascii="Arial" w:cs="Arial" w:eastAsia="Arial" w:hAnsi="Arial"/>
          <w:sz w:val="22"/>
          <w:szCs w:val="22"/>
          <w:color w:val="0F0F0F"/>
        </w:rPr>
        <w:t xml:space="preserve"> </w:t>
      </w:r>
      <w:r>
        <w:rPr>
          <w:rFonts w:ascii="Arial" w:cs="Arial" w:eastAsia="Arial" w:hAnsi="Arial"/>
          <w:sz w:val="22"/>
          <w:szCs w:val="22"/>
          <w:color w:val="383838"/>
        </w:rPr>
        <w:t>res</w:t>
      </w:r>
      <w:r>
        <w:rPr>
          <w:rFonts w:ascii="Arial" w:cs="Arial" w:eastAsia="Arial" w:hAnsi="Arial"/>
          <w:sz w:val="22"/>
          <w:szCs w:val="22"/>
          <w:color w:val="0F0F0F"/>
        </w:rPr>
        <w:t>pect to pe</w:t>
      </w:r>
      <w:r>
        <w:rPr>
          <w:rFonts w:ascii="Arial" w:cs="Arial" w:eastAsia="Arial" w:hAnsi="Arial"/>
          <w:sz w:val="22"/>
          <w:szCs w:val="22"/>
          <w:color w:val="383838"/>
        </w:rPr>
        <w:t>rsonal</w:t>
      </w:r>
      <w:r>
        <w:rPr>
          <w:rFonts w:ascii="Arial" w:cs="Arial" w:eastAsia="Arial" w:hAnsi="Arial"/>
          <w:sz w:val="22"/>
          <w:szCs w:val="22"/>
          <w:color w:val="0F0F0F"/>
        </w:rPr>
        <w:t xml:space="preserve"> property </w:t>
      </w:r>
      <w:r>
        <w:rPr>
          <w:rFonts w:ascii="Arial" w:cs="Arial" w:eastAsia="Arial" w:hAnsi="Arial"/>
          <w:sz w:val="22"/>
          <w:szCs w:val="22"/>
          <w:color w:val="000000"/>
        </w:rPr>
        <w:t>of Tenant or</w:t>
      </w:r>
      <w:r>
        <w:rPr>
          <w:rFonts w:ascii="Arial" w:cs="Arial" w:eastAsia="Arial" w:hAnsi="Arial"/>
          <w:sz w:val="22"/>
          <w:szCs w:val="22"/>
          <w:color w:val="0F0F0F"/>
        </w:rPr>
        <w:t xml:space="preserve"> bus</w:t>
      </w:r>
      <w:r>
        <w:rPr>
          <w:rFonts w:ascii="Arial" w:cs="Arial" w:eastAsia="Arial" w:hAnsi="Arial"/>
          <w:sz w:val="22"/>
          <w:szCs w:val="22"/>
          <w:color w:val="383838"/>
        </w:rPr>
        <w:t>iness</w:t>
      </w:r>
      <w:r>
        <w:rPr>
          <w:rFonts w:ascii="Arial" w:cs="Arial" w:eastAsia="Arial" w:hAnsi="Arial"/>
          <w:sz w:val="22"/>
          <w:szCs w:val="22"/>
          <w:color w:val="0F0F0F"/>
        </w:rPr>
        <w:t xml:space="preserve"> </w:t>
      </w:r>
      <w:r>
        <w:rPr>
          <w:rFonts w:ascii="Arial" w:cs="Arial" w:eastAsia="Arial" w:hAnsi="Arial"/>
          <w:sz w:val="22"/>
          <w:szCs w:val="22"/>
          <w:color w:val="000000"/>
        </w:rPr>
        <w:t>interruption.</w:t>
      </w:r>
    </w:p>
    <w:p>
      <w:pPr>
        <w:spacing w:after="0" w:line="158" w:lineRule="exact"/>
        <w:rPr>
          <w:sz w:val="20"/>
          <w:szCs w:val="20"/>
          <w:color w:val="auto"/>
        </w:rPr>
      </w:pPr>
    </w:p>
    <w:p>
      <w:pPr>
        <w:jc w:val="both"/>
        <w:ind w:left="180" w:hanging="647"/>
        <w:spacing w:after="0" w:line="247" w:lineRule="auto"/>
        <w:tabs>
          <w:tab w:leader="none" w:pos="16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color w:val="auto"/>
        </w:rPr>
        <w:t xml:space="preserve">In each instance where insurance is to </w:t>
      </w:r>
      <w:r>
        <w:rPr>
          <w:rFonts w:ascii="Arial" w:cs="Arial" w:eastAsia="Arial" w:hAnsi="Arial"/>
          <w:sz w:val="19"/>
          <w:szCs w:val="19"/>
          <w:color w:val="0F0F0F"/>
        </w:rPr>
        <w:t>name</w:t>
      </w:r>
      <w:r>
        <w:rPr>
          <w:rFonts w:ascii="Arial" w:cs="Arial" w:eastAsia="Arial" w:hAnsi="Arial"/>
          <w:sz w:val="19"/>
          <w:szCs w:val="19"/>
          <w:color w:val="auto"/>
        </w:rPr>
        <w:t xml:space="preserve"> Landlord </w:t>
      </w:r>
      <w:r>
        <w:rPr>
          <w:rFonts w:ascii="Arial" w:cs="Arial" w:eastAsia="Arial" w:hAnsi="Arial"/>
          <w:sz w:val="19"/>
          <w:szCs w:val="19"/>
          <w:color w:val="0F0F0F"/>
        </w:rPr>
        <w:t>Parties</w:t>
      </w:r>
      <w:r>
        <w:rPr>
          <w:rFonts w:ascii="Arial" w:cs="Arial" w:eastAsia="Arial" w:hAnsi="Arial"/>
          <w:sz w:val="19"/>
          <w:szCs w:val="19"/>
          <w:color w:val="auto"/>
        </w:rPr>
        <w:t xml:space="preserve"> as additional insureds, </w:t>
      </w:r>
      <w:r>
        <w:rPr>
          <w:rFonts w:ascii="Arial" w:cs="Arial" w:eastAsia="Arial" w:hAnsi="Arial"/>
          <w:sz w:val="19"/>
          <w:szCs w:val="19"/>
          <w:color w:val="0F0F0F"/>
        </w:rPr>
        <w:t>Tenant</w:t>
      </w:r>
      <w:r>
        <w:rPr>
          <w:rFonts w:ascii="Arial" w:cs="Arial" w:eastAsia="Arial" w:hAnsi="Arial"/>
          <w:sz w:val="19"/>
          <w:szCs w:val="19"/>
          <w:color w:val="auto"/>
        </w:rPr>
        <w:t xml:space="preserve"> shall, </w:t>
      </w:r>
      <w:r>
        <w:rPr>
          <w:rFonts w:ascii="Arial" w:cs="Arial" w:eastAsia="Arial" w:hAnsi="Arial"/>
          <w:sz w:val="19"/>
          <w:szCs w:val="19"/>
          <w:color w:val="0F0F0F"/>
        </w:rPr>
        <w:t>upon Landlo</w:t>
      </w:r>
      <w:r>
        <w:rPr>
          <w:rFonts w:ascii="Arial" w:cs="Arial" w:eastAsia="Arial" w:hAnsi="Arial"/>
          <w:sz w:val="19"/>
          <w:szCs w:val="19"/>
          <w:color w:val="383838"/>
        </w:rPr>
        <w:t>r</w:t>
      </w:r>
      <w:r>
        <w:rPr>
          <w:rFonts w:ascii="Arial" w:cs="Arial" w:eastAsia="Arial" w:hAnsi="Arial"/>
          <w:sz w:val="19"/>
          <w:szCs w:val="19"/>
          <w:color w:val="0F0F0F"/>
        </w:rPr>
        <w:t>d’s</w:t>
      </w:r>
      <w:r>
        <w:rPr>
          <w:rFonts w:ascii="Arial" w:cs="Arial" w:eastAsia="Arial" w:hAnsi="Arial"/>
          <w:sz w:val="19"/>
          <w:szCs w:val="19"/>
          <w:color w:val="auto"/>
        </w:rPr>
        <w:t xml:space="preserve"> written request, also designate and furnish certificates evidencing </w:t>
      </w:r>
      <w:r>
        <w:rPr>
          <w:rFonts w:ascii="Arial" w:cs="Arial" w:eastAsia="Arial" w:hAnsi="Arial"/>
          <w:sz w:val="19"/>
          <w:szCs w:val="19"/>
          <w:color w:val="383838"/>
        </w:rPr>
        <w:t>such</w:t>
      </w:r>
      <w:r>
        <w:rPr>
          <w:rFonts w:ascii="Arial" w:cs="Arial" w:eastAsia="Arial" w:hAnsi="Arial"/>
          <w:sz w:val="19"/>
          <w:szCs w:val="19"/>
          <w:color w:val="auto"/>
        </w:rPr>
        <w:t xml:space="preserve"> </w:t>
      </w:r>
      <w:r>
        <w:rPr>
          <w:rFonts w:ascii="Arial" w:cs="Arial" w:eastAsia="Arial" w:hAnsi="Arial"/>
          <w:sz w:val="19"/>
          <w:szCs w:val="19"/>
          <w:color w:val="0F0F0F"/>
        </w:rPr>
        <w:t>Landlord</w:t>
      </w:r>
      <w:r>
        <w:rPr>
          <w:rFonts w:ascii="Arial" w:cs="Arial" w:eastAsia="Arial" w:hAnsi="Arial"/>
          <w:sz w:val="19"/>
          <w:szCs w:val="19"/>
          <w:color w:val="auto"/>
        </w:rPr>
        <w:t xml:space="preserve"> Parties as additional </w:t>
      </w:r>
      <w:r>
        <w:rPr>
          <w:rFonts w:ascii="Arial" w:cs="Arial" w:eastAsia="Arial" w:hAnsi="Arial"/>
          <w:sz w:val="19"/>
          <w:szCs w:val="19"/>
          <w:color w:val="383838"/>
        </w:rPr>
        <w:t>ins</w:t>
      </w:r>
      <w:r>
        <w:rPr>
          <w:rFonts w:ascii="Arial" w:cs="Arial" w:eastAsia="Arial" w:hAnsi="Arial"/>
          <w:sz w:val="19"/>
          <w:szCs w:val="19"/>
          <w:color w:val="0F0F0F"/>
        </w:rPr>
        <w:t>ureds</w:t>
      </w:r>
      <w:r>
        <w:rPr>
          <w:rFonts w:ascii="Arial" w:cs="Arial" w:eastAsia="Arial" w:hAnsi="Arial"/>
          <w:sz w:val="19"/>
          <w:szCs w:val="19"/>
          <w:color w:val="auto"/>
        </w:rPr>
        <w:t xml:space="preserve"> to</w:t>
      </w:r>
    </w:p>
    <w:p>
      <w:pPr>
        <w:jc w:val="both"/>
        <w:ind w:left="180" w:firstLine="4"/>
        <w:spacing w:after="0" w:line="214" w:lineRule="auto"/>
        <w:tabs>
          <w:tab w:leader="none" w:pos="491" w:val="left"/>
        </w:tabs>
        <w:numPr>
          <w:ilvl w:val="0"/>
          <w:numId w:val="297"/>
        </w:numPr>
        <w:rPr>
          <w:rFonts w:ascii="Arial" w:cs="Arial" w:eastAsia="Arial" w:hAnsi="Arial"/>
          <w:sz w:val="22"/>
          <w:szCs w:val="22"/>
          <w:color w:val="auto"/>
        </w:rPr>
      </w:pPr>
      <w:r>
        <w:rPr>
          <w:rFonts w:ascii="Arial" w:cs="Arial" w:eastAsia="Arial" w:hAnsi="Arial"/>
          <w:sz w:val="22"/>
          <w:szCs w:val="22"/>
          <w:color w:val="auto"/>
        </w:rPr>
        <w:t xml:space="preserve">any Lender of </w:t>
      </w:r>
      <w:r>
        <w:rPr>
          <w:rFonts w:ascii="Arial" w:cs="Arial" w:eastAsia="Arial" w:hAnsi="Arial"/>
          <w:sz w:val="22"/>
          <w:szCs w:val="22"/>
          <w:color w:val="0F0F0F"/>
        </w:rPr>
        <w:t>Landlord</w:t>
      </w:r>
      <w:r>
        <w:rPr>
          <w:rFonts w:ascii="Arial" w:cs="Arial" w:eastAsia="Arial" w:hAnsi="Arial"/>
          <w:sz w:val="22"/>
          <w:szCs w:val="22"/>
          <w:color w:val="auto"/>
        </w:rPr>
        <w:t xml:space="preserve"> holding </w:t>
      </w:r>
      <w:r>
        <w:rPr>
          <w:rFonts w:ascii="Arial" w:cs="Arial" w:eastAsia="Arial" w:hAnsi="Arial"/>
          <w:sz w:val="22"/>
          <w:szCs w:val="22"/>
          <w:color w:val="383838"/>
        </w:rPr>
        <w:t>a</w:t>
      </w:r>
      <w:r>
        <w:rPr>
          <w:rFonts w:ascii="Arial" w:cs="Arial" w:eastAsia="Arial" w:hAnsi="Arial"/>
          <w:sz w:val="22"/>
          <w:szCs w:val="22"/>
          <w:color w:val="auto"/>
        </w:rPr>
        <w:t xml:space="preserve"> security </w:t>
      </w:r>
      <w:r>
        <w:rPr>
          <w:rFonts w:ascii="Arial" w:cs="Arial" w:eastAsia="Arial" w:hAnsi="Arial"/>
          <w:sz w:val="22"/>
          <w:szCs w:val="22"/>
          <w:color w:val="0F0F0F"/>
        </w:rPr>
        <w:t>interest the</w:t>
      </w:r>
      <w:r>
        <w:rPr>
          <w:rFonts w:ascii="Arial" w:cs="Arial" w:eastAsia="Arial" w:hAnsi="Arial"/>
          <w:sz w:val="22"/>
          <w:szCs w:val="22"/>
          <w:color w:val="auto"/>
        </w:rPr>
        <w:t xml:space="preserve"> Building, the Property or the Project, (b) the </w:t>
      </w:r>
      <w:r>
        <w:rPr>
          <w:rFonts w:ascii="Arial" w:cs="Arial" w:eastAsia="Arial" w:hAnsi="Arial"/>
          <w:sz w:val="22"/>
          <w:szCs w:val="22"/>
          <w:color w:val="383838"/>
        </w:rPr>
        <w:t>land</w:t>
      </w:r>
      <w:r>
        <w:rPr>
          <w:rFonts w:ascii="Arial" w:cs="Arial" w:eastAsia="Arial" w:hAnsi="Arial"/>
          <w:sz w:val="22"/>
          <w:szCs w:val="22"/>
          <w:color w:val="0F0F0F"/>
        </w:rPr>
        <w:t>lo</w:t>
      </w:r>
      <w:r>
        <w:rPr>
          <w:rFonts w:ascii="Arial" w:cs="Arial" w:eastAsia="Arial" w:hAnsi="Arial"/>
          <w:sz w:val="22"/>
          <w:szCs w:val="22"/>
          <w:color w:val="383838"/>
        </w:rPr>
        <w:t>rd</w:t>
      </w:r>
      <w:r>
        <w:rPr>
          <w:rFonts w:ascii="Arial" w:cs="Arial" w:eastAsia="Arial" w:hAnsi="Arial"/>
          <w:sz w:val="22"/>
          <w:szCs w:val="22"/>
          <w:color w:val="auto"/>
        </w:rPr>
        <w:t xml:space="preserve"> under any </w:t>
      </w:r>
      <w:r>
        <w:rPr>
          <w:rFonts w:ascii="Arial" w:cs="Arial" w:eastAsia="Arial" w:hAnsi="Arial"/>
          <w:sz w:val="22"/>
          <w:szCs w:val="22"/>
          <w:color w:val="0F0F0F"/>
        </w:rPr>
        <w:t>lease</w:t>
      </w:r>
      <w:r>
        <w:rPr>
          <w:rFonts w:ascii="Arial" w:cs="Arial" w:eastAsia="Arial" w:hAnsi="Arial"/>
          <w:sz w:val="22"/>
          <w:szCs w:val="22"/>
          <w:color w:val="auto"/>
        </w:rPr>
        <w:t xml:space="preserve"> whereunder Landlord </w:t>
      </w:r>
      <w:r>
        <w:rPr>
          <w:rFonts w:ascii="Arial" w:cs="Arial" w:eastAsia="Arial" w:hAnsi="Arial"/>
          <w:sz w:val="22"/>
          <w:szCs w:val="22"/>
          <w:color w:val="0F0F0F"/>
        </w:rPr>
        <w:t>i</w:t>
      </w:r>
      <w:r>
        <w:rPr>
          <w:rFonts w:ascii="Arial" w:cs="Arial" w:eastAsia="Arial" w:hAnsi="Arial"/>
          <w:sz w:val="22"/>
          <w:szCs w:val="22"/>
          <w:color w:val="383838"/>
        </w:rPr>
        <w:t>s a tenan</w:t>
      </w:r>
      <w:r>
        <w:rPr>
          <w:rFonts w:ascii="Arial" w:cs="Arial" w:eastAsia="Arial" w:hAnsi="Arial"/>
          <w:sz w:val="22"/>
          <w:szCs w:val="22"/>
          <w:color w:val="0F0F0F"/>
        </w:rPr>
        <w:t>t</w:t>
      </w:r>
      <w:r>
        <w:rPr>
          <w:rFonts w:ascii="Arial" w:cs="Arial" w:eastAsia="Arial" w:hAnsi="Arial"/>
          <w:sz w:val="22"/>
          <w:szCs w:val="22"/>
          <w:color w:val="auto"/>
        </w:rPr>
        <w:t xml:space="preserve"> of the </w:t>
      </w:r>
      <w:r>
        <w:rPr>
          <w:rFonts w:ascii="Arial" w:cs="Arial" w:eastAsia="Arial" w:hAnsi="Arial"/>
          <w:sz w:val="22"/>
          <w:szCs w:val="22"/>
          <w:color w:val="0F0F0F"/>
        </w:rPr>
        <w:t>Property</w:t>
      </w:r>
      <w:r>
        <w:rPr>
          <w:rFonts w:ascii="Arial" w:cs="Arial" w:eastAsia="Arial" w:hAnsi="Arial"/>
          <w:sz w:val="22"/>
          <w:szCs w:val="22"/>
          <w:color w:val="auto"/>
        </w:rPr>
        <w:t xml:space="preserve"> if the interest of </w:t>
      </w:r>
      <w:r>
        <w:rPr>
          <w:rFonts w:ascii="Arial" w:cs="Arial" w:eastAsia="Arial" w:hAnsi="Arial"/>
          <w:sz w:val="22"/>
          <w:szCs w:val="22"/>
          <w:color w:val="0F0F0F"/>
        </w:rPr>
        <w:t>Landlord</w:t>
      </w:r>
      <w:r>
        <w:rPr>
          <w:rFonts w:ascii="Arial" w:cs="Arial" w:eastAsia="Arial" w:hAnsi="Arial"/>
          <w:sz w:val="22"/>
          <w:szCs w:val="22"/>
          <w:color w:val="auto"/>
        </w:rPr>
        <w:t xml:space="preserve"> is or </w:t>
      </w:r>
      <w:r>
        <w:rPr>
          <w:rFonts w:ascii="Arial" w:cs="Arial" w:eastAsia="Arial" w:hAnsi="Arial"/>
          <w:sz w:val="22"/>
          <w:szCs w:val="22"/>
          <w:color w:val="383838"/>
        </w:rPr>
        <w:t>s</w:t>
      </w:r>
      <w:r>
        <w:rPr>
          <w:rFonts w:ascii="Arial" w:cs="Arial" w:eastAsia="Arial" w:hAnsi="Arial"/>
          <w:sz w:val="22"/>
          <w:szCs w:val="22"/>
          <w:color w:val="0F0F0F"/>
        </w:rPr>
        <w:t>hall</w:t>
      </w:r>
      <w:r>
        <w:rPr>
          <w:rFonts w:ascii="Arial" w:cs="Arial" w:eastAsia="Arial" w:hAnsi="Arial"/>
          <w:sz w:val="22"/>
          <w:szCs w:val="22"/>
          <w:color w:val="auto"/>
        </w:rPr>
        <w:t xml:space="preserve"> become that of a </w:t>
      </w:r>
      <w:r>
        <w:rPr>
          <w:rFonts w:ascii="Arial" w:cs="Arial" w:eastAsia="Arial" w:hAnsi="Arial"/>
          <w:sz w:val="22"/>
          <w:szCs w:val="22"/>
          <w:color w:val="0F0F0F"/>
        </w:rPr>
        <w:t>tenant under</w:t>
      </w:r>
      <w:r>
        <w:rPr>
          <w:rFonts w:ascii="Arial" w:cs="Arial" w:eastAsia="Arial" w:hAnsi="Arial"/>
          <w:sz w:val="22"/>
          <w:szCs w:val="22"/>
          <w:color w:val="auto"/>
        </w:rPr>
        <w:t xml:space="preserve"> a ground </w:t>
      </w:r>
      <w:r>
        <w:rPr>
          <w:rFonts w:ascii="Arial" w:cs="Arial" w:eastAsia="Arial" w:hAnsi="Arial"/>
          <w:sz w:val="22"/>
          <w:szCs w:val="22"/>
          <w:color w:val="0F0F0F"/>
        </w:rPr>
        <w:t>l</w:t>
      </w:r>
      <w:r>
        <w:rPr>
          <w:rFonts w:ascii="Arial" w:cs="Arial" w:eastAsia="Arial" w:hAnsi="Arial"/>
          <w:sz w:val="22"/>
          <w:szCs w:val="22"/>
          <w:color w:val="383838"/>
        </w:rPr>
        <w:t>ease</w:t>
      </w:r>
      <w:r>
        <w:rPr>
          <w:rFonts w:ascii="Arial" w:cs="Arial" w:eastAsia="Arial" w:hAnsi="Arial"/>
          <w:sz w:val="22"/>
          <w:szCs w:val="22"/>
          <w:color w:val="auto"/>
        </w:rPr>
        <w:t xml:space="preserve"> rather than that </w:t>
      </w:r>
      <w:r>
        <w:rPr>
          <w:rFonts w:ascii="Arial" w:cs="Arial" w:eastAsia="Arial" w:hAnsi="Arial"/>
          <w:sz w:val="22"/>
          <w:szCs w:val="22"/>
          <w:color w:val="4B4B4B"/>
        </w:rPr>
        <w:t>of</w:t>
      </w:r>
      <w:r>
        <w:rPr>
          <w:rFonts w:ascii="Arial" w:cs="Arial" w:eastAsia="Arial" w:hAnsi="Arial"/>
          <w:sz w:val="22"/>
          <w:szCs w:val="22"/>
          <w:color w:val="auto"/>
        </w:rPr>
        <w:t xml:space="preserve"> </w:t>
      </w:r>
      <w:r>
        <w:rPr>
          <w:rFonts w:ascii="Arial" w:cs="Arial" w:eastAsia="Arial" w:hAnsi="Arial"/>
          <w:sz w:val="22"/>
          <w:szCs w:val="22"/>
          <w:color w:val="383838"/>
        </w:rPr>
        <w:t>a</w:t>
      </w:r>
      <w:r>
        <w:rPr>
          <w:rFonts w:ascii="Arial" w:cs="Arial" w:eastAsia="Arial" w:hAnsi="Arial"/>
          <w:sz w:val="22"/>
          <w:szCs w:val="22"/>
          <w:color w:val="auto"/>
        </w:rPr>
        <w:t xml:space="preserve"> fee owner and </w:t>
      </w:r>
      <w:r>
        <w:rPr>
          <w:rFonts w:ascii="Arial" w:cs="Arial" w:eastAsia="Arial" w:hAnsi="Arial"/>
          <w:sz w:val="22"/>
          <w:szCs w:val="22"/>
          <w:color w:val="0F0F0F"/>
        </w:rPr>
        <w:t>(</w:t>
      </w:r>
      <w:r>
        <w:rPr>
          <w:rFonts w:ascii="Arial" w:cs="Arial" w:eastAsia="Arial" w:hAnsi="Arial"/>
          <w:sz w:val="22"/>
          <w:szCs w:val="22"/>
          <w:color w:val="auto"/>
        </w:rPr>
        <w:t xml:space="preserve">c) </w:t>
      </w:r>
      <w:r>
        <w:rPr>
          <w:rFonts w:ascii="Arial" w:cs="Arial" w:eastAsia="Arial" w:hAnsi="Arial"/>
          <w:sz w:val="22"/>
          <w:szCs w:val="22"/>
          <w:color w:val="383838"/>
        </w:rPr>
        <w:t>any</w:t>
      </w:r>
      <w:r>
        <w:rPr>
          <w:rFonts w:ascii="Arial" w:cs="Arial" w:eastAsia="Arial" w:hAnsi="Arial"/>
          <w:sz w:val="22"/>
          <w:szCs w:val="22"/>
          <w:color w:val="auto"/>
        </w:rPr>
        <w:t xml:space="preserve"> management company retained by Landlord to </w:t>
      </w:r>
      <w:r>
        <w:rPr>
          <w:rFonts w:ascii="Arial" w:cs="Arial" w:eastAsia="Arial" w:hAnsi="Arial"/>
          <w:sz w:val="22"/>
          <w:szCs w:val="22"/>
          <w:color w:val="0F0F0F"/>
        </w:rPr>
        <w:t>manage the Pro</w:t>
      </w:r>
      <w:r>
        <w:rPr>
          <w:rFonts w:ascii="Arial" w:cs="Arial" w:eastAsia="Arial" w:hAnsi="Arial"/>
          <w:sz w:val="22"/>
          <w:szCs w:val="22"/>
          <w:color w:val="383838"/>
        </w:rPr>
        <w:t>jec</w:t>
      </w:r>
      <w:r>
        <w:rPr>
          <w:rFonts w:ascii="Arial" w:cs="Arial" w:eastAsia="Arial" w:hAnsi="Arial"/>
          <w:sz w:val="22"/>
          <w:szCs w:val="22"/>
          <w:color w:val="0F0F0F"/>
        </w:rPr>
        <w:t>t.</w:t>
      </w:r>
    </w:p>
    <w:p>
      <w:pPr>
        <w:spacing w:after="0" w:line="160" w:lineRule="exact"/>
        <w:rPr>
          <w:sz w:val="20"/>
          <w:szCs w:val="20"/>
          <w:color w:val="auto"/>
        </w:rPr>
      </w:pPr>
    </w:p>
    <w:p>
      <w:pPr>
        <w:jc w:val="both"/>
        <w:ind w:left="180" w:hanging="647"/>
        <w:spacing w:after="0"/>
        <w:tabs>
          <w:tab w:leader="none" w:pos="16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color w:val="0F0F0F"/>
        </w:rPr>
        <w:t xml:space="preserve">Landlord </w:t>
      </w:r>
      <w:r>
        <w:rPr>
          <w:rFonts w:ascii="Arial" w:cs="Arial" w:eastAsia="Arial" w:hAnsi="Arial"/>
          <w:sz w:val="19"/>
          <w:szCs w:val="19"/>
          <w:color w:val="000000"/>
        </w:rPr>
        <w:t>and</w:t>
      </w:r>
      <w:r>
        <w:rPr>
          <w:rFonts w:ascii="Arial" w:cs="Arial" w:eastAsia="Arial" w:hAnsi="Arial"/>
          <w:sz w:val="19"/>
          <w:szCs w:val="19"/>
          <w:color w:val="0F0F0F"/>
        </w:rPr>
        <w:t xml:space="preserve"> </w:t>
      </w:r>
      <w:r>
        <w:rPr>
          <w:rFonts w:ascii="Arial" w:cs="Arial" w:eastAsia="Arial" w:hAnsi="Arial"/>
          <w:sz w:val="19"/>
          <w:szCs w:val="19"/>
          <w:color w:val="383838"/>
        </w:rPr>
        <w:t>Te</w:t>
      </w:r>
      <w:r>
        <w:rPr>
          <w:rFonts w:ascii="Arial" w:cs="Arial" w:eastAsia="Arial" w:hAnsi="Arial"/>
          <w:sz w:val="19"/>
          <w:szCs w:val="19"/>
          <w:color w:val="0F0F0F"/>
        </w:rPr>
        <w:t xml:space="preserve">nant </w:t>
      </w:r>
      <w:r>
        <w:rPr>
          <w:rFonts w:ascii="Arial" w:cs="Arial" w:eastAsia="Arial" w:hAnsi="Arial"/>
          <w:sz w:val="19"/>
          <w:szCs w:val="19"/>
          <w:color w:val="000000"/>
        </w:rPr>
        <w:t>each</w:t>
      </w:r>
      <w:r>
        <w:rPr>
          <w:rFonts w:ascii="Arial" w:cs="Arial" w:eastAsia="Arial" w:hAnsi="Arial"/>
          <w:sz w:val="19"/>
          <w:szCs w:val="19"/>
          <w:color w:val="0F0F0F"/>
        </w:rPr>
        <w:t xml:space="preserve"> hereby </w:t>
      </w:r>
      <w:r>
        <w:rPr>
          <w:rFonts w:ascii="Arial" w:cs="Arial" w:eastAsia="Arial" w:hAnsi="Arial"/>
          <w:sz w:val="19"/>
          <w:szCs w:val="19"/>
          <w:color w:val="000000"/>
        </w:rPr>
        <w:t>waive any</w:t>
      </w:r>
      <w:r>
        <w:rPr>
          <w:rFonts w:ascii="Arial" w:cs="Arial" w:eastAsia="Arial" w:hAnsi="Arial"/>
          <w:sz w:val="19"/>
          <w:szCs w:val="19"/>
          <w:color w:val="0F0F0F"/>
        </w:rPr>
        <w:t xml:space="preserve"> and </w:t>
      </w:r>
      <w:r>
        <w:rPr>
          <w:rFonts w:ascii="Arial" w:cs="Arial" w:eastAsia="Arial" w:hAnsi="Arial"/>
          <w:sz w:val="19"/>
          <w:szCs w:val="19"/>
          <w:color w:val="000000"/>
        </w:rPr>
        <w:t>all rights of recovery against the other or</w:t>
      </w:r>
      <w:r>
        <w:rPr>
          <w:rFonts w:ascii="Arial" w:cs="Arial" w:eastAsia="Arial" w:hAnsi="Arial"/>
          <w:sz w:val="19"/>
          <w:szCs w:val="19"/>
          <w:color w:val="0F0F0F"/>
        </w:rPr>
        <w:t xml:space="preserve"> </w:t>
      </w:r>
      <w:r>
        <w:rPr>
          <w:rFonts w:ascii="Arial" w:cs="Arial" w:eastAsia="Arial" w:hAnsi="Arial"/>
          <w:sz w:val="19"/>
          <w:szCs w:val="19"/>
          <w:color w:val="383838"/>
        </w:rPr>
        <w:t>aga</w:t>
      </w:r>
      <w:r>
        <w:rPr>
          <w:rFonts w:ascii="Arial" w:cs="Arial" w:eastAsia="Arial" w:hAnsi="Arial"/>
          <w:sz w:val="19"/>
          <w:szCs w:val="19"/>
          <w:color w:val="0F0F0F"/>
        </w:rPr>
        <w:t xml:space="preserve">inst </w:t>
      </w:r>
      <w:r>
        <w:rPr>
          <w:rFonts w:ascii="Arial" w:cs="Arial" w:eastAsia="Arial" w:hAnsi="Arial"/>
          <w:sz w:val="19"/>
          <w:szCs w:val="19"/>
          <w:color w:val="383838"/>
        </w:rPr>
        <w:t>the</w:t>
      </w:r>
      <w:r>
        <w:rPr>
          <w:rFonts w:ascii="Arial" w:cs="Arial" w:eastAsia="Arial" w:hAnsi="Arial"/>
          <w:sz w:val="19"/>
          <w:szCs w:val="19"/>
          <w:color w:val="0F0F0F"/>
        </w:rPr>
        <w:t xml:space="preserve"> </w:t>
      </w:r>
      <w:r>
        <w:rPr>
          <w:rFonts w:ascii="Arial" w:cs="Arial" w:eastAsia="Arial" w:hAnsi="Arial"/>
          <w:sz w:val="19"/>
          <w:szCs w:val="19"/>
          <w:color w:val="000000"/>
        </w:rPr>
        <w:t>officers,</w:t>
      </w:r>
      <w:r>
        <w:rPr>
          <w:rFonts w:ascii="Arial" w:cs="Arial" w:eastAsia="Arial" w:hAnsi="Arial"/>
          <w:sz w:val="19"/>
          <w:szCs w:val="19"/>
          <w:color w:val="0F0F0F"/>
        </w:rPr>
        <w:t xml:space="preserve"> directors</w:t>
      </w:r>
      <w:r>
        <w:rPr>
          <w:rFonts w:ascii="Arial" w:cs="Arial" w:eastAsia="Arial" w:hAnsi="Arial"/>
          <w:sz w:val="19"/>
          <w:szCs w:val="19"/>
          <w:color w:val="383838"/>
        </w:rPr>
        <w:t>,</w:t>
      </w:r>
      <w:r>
        <w:rPr>
          <w:rFonts w:ascii="Arial" w:cs="Arial" w:eastAsia="Arial" w:hAnsi="Arial"/>
          <w:sz w:val="19"/>
          <w:szCs w:val="19"/>
          <w:color w:val="0F0F0F"/>
        </w:rPr>
        <w:t xml:space="preserve"> </w:t>
      </w:r>
      <w:r>
        <w:rPr>
          <w:rFonts w:ascii="Arial" w:cs="Arial" w:eastAsia="Arial" w:hAnsi="Arial"/>
          <w:sz w:val="19"/>
          <w:szCs w:val="19"/>
          <w:color w:val="000000"/>
        </w:rPr>
        <w:t>employees, agents, general partners, members,</w:t>
      </w:r>
      <w:r>
        <w:rPr>
          <w:rFonts w:ascii="Arial" w:cs="Arial" w:eastAsia="Arial" w:hAnsi="Arial"/>
          <w:sz w:val="19"/>
          <w:szCs w:val="19"/>
          <w:color w:val="0F0F0F"/>
        </w:rPr>
        <w:t xml:space="preserve"> </w:t>
      </w:r>
      <w:r>
        <w:rPr>
          <w:rFonts w:ascii="Arial" w:cs="Arial" w:eastAsia="Arial" w:hAnsi="Arial"/>
          <w:sz w:val="19"/>
          <w:szCs w:val="19"/>
          <w:color w:val="383838"/>
        </w:rPr>
        <w:t>s</w:t>
      </w:r>
      <w:r>
        <w:rPr>
          <w:rFonts w:ascii="Arial" w:cs="Arial" w:eastAsia="Arial" w:hAnsi="Arial"/>
          <w:sz w:val="19"/>
          <w:szCs w:val="19"/>
          <w:color w:val="0F0F0F"/>
        </w:rPr>
        <w:t>ub</w:t>
      </w:r>
      <w:r>
        <w:rPr>
          <w:rFonts w:ascii="Arial" w:cs="Arial" w:eastAsia="Arial" w:hAnsi="Arial"/>
          <w:sz w:val="19"/>
          <w:szCs w:val="19"/>
          <w:color w:val="383838"/>
        </w:rPr>
        <w:t>s</w:t>
      </w:r>
      <w:r>
        <w:rPr>
          <w:rFonts w:ascii="Arial" w:cs="Arial" w:eastAsia="Arial" w:hAnsi="Arial"/>
          <w:sz w:val="19"/>
          <w:szCs w:val="19"/>
          <w:color w:val="0F0F0F"/>
        </w:rPr>
        <w:t xml:space="preserve">idiaries, </w:t>
      </w:r>
      <w:r>
        <w:rPr>
          <w:rFonts w:ascii="Arial" w:cs="Arial" w:eastAsia="Arial" w:hAnsi="Arial"/>
          <w:sz w:val="19"/>
          <w:szCs w:val="19"/>
          <w:color w:val="000000"/>
        </w:rPr>
        <w:t>affiliates and</w:t>
      </w:r>
      <w:r>
        <w:rPr>
          <w:rFonts w:ascii="Arial" w:cs="Arial" w:eastAsia="Arial" w:hAnsi="Arial"/>
          <w:sz w:val="19"/>
          <w:szCs w:val="19"/>
          <w:color w:val="0F0F0F"/>
        </w:rPr>
        <w:t xml:space="preserve"> Lenders of </w:t>
      </w:r>
      <w:r>
        <w:rPr>
          <w:rFonts w:ascii="Arial" w:cs="Arial" w:eastAsia="Arial" w:hAnsi="Arial"/>
          <w:sz w:val="19"/>
          <w:szCs w:val="19"/>
          <w:color w:val="000000"/>
        </w:rPr>
        <w:t>the other on</w:t>
      </w:r>
      <w:r>
        <w:rPr>
          <w:rFonts w:ascii="Arial" w:cs="Arial" w:eastAsia="Arial" w:hAnsi="Arial"/>
          <w:sz w:val="19"/>
          <w:szCs w:val="19"/>
          <w:color w:val="0F0F0F"/>
        </w:rPr>
        <w:t xml:space="preserve"> </w:t>
      </w:r>
      <w:r>
        <w:rPr>
          <w:rFonts w:ascii="Arial" w:cs="Arial" w:eastAsia="Arial" w:hAnsi="Arial"/>
          <w:sz w:val="19"/>
          <w:szCs w:val="19"/>
          <w:color w:val="000000"/>
        </w:rPr>
        <w:t xml:space="preserve">account of </w:t>
      </w:r>
      <w:r>
        <w:rPr>
          <w:rFonts w:ascii="Arial" w:cs="Arial" w:eastAsia="Arial" w:hAnsi="Arial"/>
          <w:sz w:val="19"/>
          <w:szCs w:val="19"/>
          <w:color w:val="383838"/>
        </w:rPr>
        <w:t>loss</w:t>
      </w:r>
      <w:r>
        <w:rPr>
          <w:rFonts w:ascii="Arial" w:cs="Arial" w:eastAsia="Arial" w:hAnsi="Arial"/>
          <w:sz w:val="19"/>
          <w:szCs w:val="19"/>
          <w:color w:val="000000"/>
        </w:rPr>
        <w:t xml:space="preserve"> or damage occasioned by </w:t>
      </w:r>
      <w:r>
        <w:rPr>
          <w:rFonts w:ascii="Arial" w:cs="Arial" w:eastAsia="Arial" w:hAnsi="Arial"/>
          <w:sz w:val="19"/>
          <w:szCs w:val="19"/>
          <w:color w:val="383838"/>
        </w:rPr>
        <w:t>s</w:t>
      </w:r>
      <w:r>
        <w:rPr>
          <w:rFonts w:ascii="Arial" w:cs="Arial" w:eastAsia="Arial" w:hAnsi="Arial"/>
          <w:sz w:val="19"/>
          <w:szCs w:val="19"/>
          <w:color w:val="0F0F0F"/>
        </w:rPr>
        <w:t>uch</w:t>
      </w:r>
      <w:r>
        <w:rPr>
          <w:rFonts w:ascii="Arial" w:cs="Arial" w:eastAsia="Arial" w:hAnsi="Arial"/>
          <w:sz w:val="19"/>
          <w:szCs w:val="19"/>
          <w:color w:val="000000"/>
        </w:rPr>
        <w:t xml:space="preserve"> waiving </w:t>
      </w:r>
      <w:r>
        <w:rPr>
          <w:rFonts w:ascii="Arial" w:cs="Arial" w:eastAsia="Arial" w:hAnsi="Arial"/>
          <w:sz w:val="19"/>
          <w:szCs w:val="19"/>
          <w:color w:val="0F0F0F"/>
        </w:rPr>
        <w:t>p</w:t>
      </w:r>
      <w:r>
        <w:rPr>
          <w:rFonts w:ascii="Arial" w:cs="Arial" w:eastAsia="Arial" w:hAnsi="Arial"/>
          <w:sz w:val="19"/>
          <w:szCs w:val="19"/>
          <w:color w:val="383838"/>
        </w:rPr>
        <w:t>arty</w:t>
      </w:r>
      <w:r>
        <w:rPr>
          <w:rFonts w:ascii="Arial" w:cs="Arial" w:eastAsia="Arial" w:hAnsi="Arial"/>
          <w:sz w:val="19"/>
          <w:szCs w:val="19"/>
          <w:color w:val="000000"/>
        </w:rPr>
        <w:t xml:space="preserve"> or </w:t>
      </w:r>
      <w:r>
        <w:rPr>
          <w:rFonts w:ascii="Arial" w:cs="Arial" w:eastAsia="Arial" w:hAnsi="Arial"/>
          <w:sz w:val="19"/>
          <w:szCs w:val="19"/>
          <w:color w:val="0F0F0F"/>
        </w:rPr>
        <w:t>its property</w:t>
      </w:r>
      <w:r>
        <w:rPr>
          <w:rFonts w:ascii="Arial" w:cs="Arial" w:eastAsia="Arial" w:hAnsi="Arial"/>
          <w:sz w:val="19"/>
          <w:szCs w:val="19"/>
          <w:color w:val="000000"/>
        </w:rPr>
        <w:t xml:space="preserve"> or the </w:t>
      </w:r>
      <w:r>
        <w:rPr>
          <w:rFonts w:ascii="Arial" w:cs="Arial" w:eastAsia="Arial" w:hAnsi="Arial"/>
          <w:sz w:val="19"/>
          <w:szCs w:val="19"/>
          <w:color w:val="0F0F0F"/>
        </w:rPr>
        <w:t>property</w:t>
      </w:r>
      <w:r>
        <w:rPr>
          <w:rFonts w:ascii="Arial" w:cs="Arial" w:eastAsia="Arial" w:hAnsi="Arial"/>
          <w:sz w:val="19"/>
          <w:szCs w:val="19"/>
          <w:color w:val="000000"/>
        </w:rPr>
        <w:t xml:space="preserve"> of others </w:t>
      </w:r>
      <w:r>
        <w:rPr>
          <w:rFonts w:ascii="Arial" w:cs="Arial" w:eastAsia="Arial" w:hAnsi="Arial"/>
          <w:sz w:val="19"/>
          <w:szCs w:val="19"/>
          <w:color w:val="0F0F0F"/>
        </w:rPr>
        <w:t>under</w:t>
      </w:r>
      <w:r>
        <w:rPr>
          <w:rFonts w:ascii="Arial" w:cs="Arial" w:eastAsia="Arial" w:hAnsi="Arial"/>
          <w:sz w:val="19"/>
          <w:szCs w:val="19"/>
          <w:color w:val="000000"/>
        </w:rPr>
        <w:t xml:space="preserve"> </w:t>
      </w:r>
      <w:r>
        <w:rPr>
          <w:rFonts w:ascii="Arial" w:cs="Arial" w:eastAsia="Arial" w:hAnsi="Arial"/>
          <w:sz w:val="19"/>
          <w:szCs w:val="19"/>
          <w:color w:val="383838"/>
        </w:rPr>
        <w:t>s</w:t>
      </w:r>
      <w:r>
        <w:rPr>
          <w:rFonts w:ascii="Arial" w:cs="Arial" w:eastAsia="Arial" w:hAnsi="Arial"/>
          <w:sz w:val="19"/>
          <w:szCs w:val="19"/>
          <w:color w:val="0F0F0F"/>
        </w:rPr>
        <w:t>uch</w:t>
      </w:r>
      <w:r>
        <w:rPr>
          <w:rFonts w:ascii="Arial" w:cs="Arial" w:eastAsia="Arial" w:hAnsi="Arial"/>
          <w:sz w:val="19"/>
          <w:szCs w:val="19"/>
          <w:color w:val="000000"/>
        </w:rPr>
        <w:t xml:space="preserve"> waiving party’s </w:t>
      </w:r>
      <w:r>
        <w:rPr>
          <w:rFonts w:ascii="Arial" w:cs="Arial" w:eastAsia="Arial" w:hAnsi="Arial"/>
          <w:sz w:val="19"/>
          <w:szCs w:val="19"/>
          <w:color w:val="383838"/>
        </w:rPr>
        <w:t>contro</w:t>
      </w:r>
      <w:r>
        <w:rPr>
          <w:rFonts w:ascii="Arial" w:cs="Arial" w:eastAsia="Arial" w:hAnsi="Arial"/>
          <w:sz w:val="19"/>
          <w:szCs w:val="19"/>
          <w:color w:val="0F0F0F"/>
        </w:rPr>
        <w:t>l,</w:t>
      </w:r>
      <w:r>
        <w:rPr>
          <w:rFonts w:ascii="Arial" w:cs="Arial" w:eastAsia="Arial" w:hAnsi="Arial"/>
          <w:sz w:val="19"/>
          <w:szCs w:val="19"/>
          <w:color w:val="000000"/>
        </w:rPr>
        <w:t xml:space="preserve"> </w:t>
      </w:r>
      <w:r>
        <w:rPr>
          <w:rFonts w:ascii="Arial" w:cs="Arial" w:eastAsia="Arial" w:hAnsi="Arial"/>
          <w:sz w:val="19"/>
          <w:szCs w:val="19"/>
          <w:color w:val="383838"/>
        </w:rPr>
        <w:t>in</w:t>
      </w:r>
      <w:r>
        <w:rPr>
          <w:rFonts w:ascii="Arial" w:cs="Arial" w:eastAsia="Arial" w:hAnsi="Arial"/>
          <w:sz w:val="19"/>
          <w:szCs w:val="19"/>
          <w:color w:val="000000"/>
        </w:rPr>
        <w:t xml:space="preserve"> each case </w:t>
      </w:r>
      <w:r>
        <w:rPr>
          <w:rFonts w:ascii="Arial" w:cs="Arial" w:eastAsia="Arial" w:hAnsi="Arial"/>
          <w:sz w:val="19"/>
          <w:szCs w:val="19"/>
          <w:color w:val="0F0F0F"/>
        </w:rPr>
        <w:t>to the</w:t>
      </w:r>
      <w:r>
        <w:rPr>
          <w:rFonts w:ascii="Arial" w:cs="Arial" w:eastAsia="Arial" w:hAnsi="Arial"/>
          <w:sz w:val="19"/>
          <w:szCs w:val="19"/>
          <w:color w:val="000000"/>
        </w:rPr>
        <w:t xml:space="preserve"> extent </w:t>
      </w:r>
      <w:r>
        <w:rPr>
          <w:rFonts w:ascii="Arial" w:cs="Arial" w:eastAsia="Arial" w:hAnsi="Arial"/>
          <w:sz w:val="19"/>
          <w:szCs w:val="19"/>
          <w:color w:val="0F0F0F"/>
        </w:rPr>
        <w:t>that</w:t>
      </w:r>
      <w:r>
        <w:rPr>
          <w:rFonts w:ascii="Arial" w:cs="Arial" w:eastAsia="Arial" w:hAnsi="Arial"/>
          <w:sz w:val="19"/>
          <w:szCs w:val="19"/>
          <w:color w:val="000000"/>
        </w:rPr>
        <w:t xml:space="preserve"> such </w:t>
      </w:r>
      <w:r>
        <w:rPr>
          <w:rFonts w:ascii="Arial" w:cs="Arial" w:eastAsia="Arial" w:hAnsi="Arial"/>
          <w:sz w:val="19"/>
          <w:szCs w:val="19"/>
          <w:color w:val="383838"/>
        </w:rPr>
        <w:t>loss</w:t>
      </w:r>
      <w:r>
        <w:rPr>
          <w:rFonts w:ascii="Arial" w:cs="Arial" w:eastAsia="Arial" w:hAnsi="Arial"/>
          <w:sz w:val="19"/>
          <w:szCs w:val="19"/>
          <w:color w:val="000000"/>
        </w:rPr>
        <w:t xml:space="preserve"> or damage is insured against </w:t>
      </w:r>
      <w:r>
        <w:rPr>
          <w:rFonts w:ascii="Arial" w:cs="Arial" w:eastAsia="Arial" w:hAnsi="Arial"/>
          <w:sz w:val="19"/>
          <w:szCs w:val="19"/>
          <w:color w:val="0F0F0F"/>
        </w:rPr>
        <w:t>under</w:t>
      </w:r>
      <w:r>
        <w:rPr>
          <w:rFonts w:ascii="Arial" w:cs="Arial" w:eastAsia="Arial" w:hAnsi="Arial"/>
          <w:sz w:val="19"/>
          <w:szCs w:val="19"/>
          <w:color w:val="000000"/>
        </w:rPr>
        <w:t xml:space="preserve"> any fire and extended coverage insurance policy </w:t>
      </w:r>
      <w:r>
        <w:rPr>
          <w:rFonts w:ascii="Arial" w:cs="Arial" w:eastAsia="Arial" w:hAnsi="Arial"/>
          <w:sz w:val="19"/>
          <w:szCs w:val="19"/>
          <w:color w:val="0F0F0F"/>
        </w:rPr>
        <w:t>tha</w:t>
      </w:r>
      <w:r>
        <w:rPr>
          <w:rFonts w:ascii="Arial" w:cs="Arial" w:eastAsia="Arial" w:hAnsi="Arial"/>
          <w:sz w:val="19"/>
          <w:szCs w:val="19"/>
          <w:color w:val="383838"/>
        </w:rPr>
        <w:t>t</w:t>
      </w:r>
      <w:r>
        <w:rPr>
          <w:rFonts w:ascii="Arial" w:cs="Arial" w:eastAsia="Arial" w:hAnsi="Arial"/>
          <w:sz w:val="19"/>
          <w:szCs w:val="19"/>
          <w:color w:val="000000"/>
        </w:rPr>
        <w:t xml:space="preserve"> either </w:t>
      </w:r>
      <w:r>
        <w:rPr>
          <w:rFonts w:ascii="Arial" w:cs="Arial" w:eastAsia="Arial" w:hAnsi="Arial"/>
          <w:sz w:val="19"/>
          <w:szCs w:val="19"/>
          <w:color w:val="0F0F0F"/>
        </w:rPr>
        <w:t>Landlord</w:t>
      </w:r>
      <w:r>
        <w:rPr>
          <w:rFonts w:ascii="Arial" w:cs="Arial" w:eastAsia="Arial" w:hAnsi="Arial"/>
          <w:sz w:val="19"/>
          <w:szCs w:val="19"/>
          <w:color w:val="000000"/>
        </w:rPr>
        <w:t xml:space="preserve"> or </w:t>
      </w:r>
      <w:r>
        <w:rPr>
          <w:rFonts w:ascii="Arial" w:cs="Arial" w:eastAsia="Arial" w:hAnsi="Arial"/>
          <w:sz w:val="19"/>
          <w:szCs w:val="19"/>
          <w:color w:val="0F0F0F"/>
        </w:rPr>
        <w:t>Ten</w:t>
      </w:r>
      <w:r>
        <w:rPr>
          <w:rFonts w:ascii="Arial" w:cs="Arial" w:eastAsia="Arial" w:hAnsi="Arial"/>
          <w:sz w:val="19"/>
          <w:szCs w:val="19"/>
          <w:color w:val="383838"/>
        </w:rPr>
        <w:t>ant</w:t>
      </w:r>
      <w:r>
        <w:rPr>
          <w:rFonts w:ascii="Arial" w:cs="Arial" w:eastAsia="Arial" w:hAnsi="Arial"/>
          <w:sz w:val="19"/>
          <w:szCs w:val="19"/>
          <w:color w:val="000000"/>
        </w:rPr>
        <w:t xml:space="preserve"> may have </w:t>
      </w:r>
      <w:r>
        <w:rPr>
          <w:rFonts w:ascii="Arial" w:cs="Arial" w:eastAsia="Arial" w:hAnsi="Arial"/>
          <w:sz w:val="19"/>
          <w:szCs w:val="19"/>
          <w:color w:val="383838"/>
        </w:rPr>
        <w:t>in</w:t>
      </w:r>
      <w:r>
        <w:rPr>
          <w:rFonts w:ascii="Arial" w:cs="Arial" w:eastAsia="Arial" w:hAnsi="Arial"/>
          <w:sz w:val="19"/>
          <w:szCs w:val="19"/>
          <w:color w:val="000000"/>
        </w:rPr>
        <w:t xml:space="preserve"> force at </w:t>
      </w:r>
      <w:r>
        <w:rPr>
          <w:rFonts w:ascii="Arial" w:cs="Arial" w:eastAsia="Arial" w:hAnsi="Arial"/>
          <w:sz w:val="19"/>
          <w:szCs w:val="19"/>
          <w:color w:val="383838"/>
        </w:rPr>
        <w:t>t</w:t>
      </w:r>
      <w:r>
        <w:rPr>
          <w:rFonts w:ascii="Arial" w:cs="Arial" w:eastAsia="Arial" w:hAnsi="Arial"/>
          <w:sz w:val="19"/>
          <w:szCs w:val="19"/>
          <w:color w:val="0F0F0F"/>
        </w:rPr>
        <w:t>he time</w:t>
      </w:r>
      <w:r>
        <w:rPr>
          <w:rFonts w:ascii="Arial" w:cs="Arial" w:eastAsia="Arial" w:hAnsi="Arial"/>
          <w:sz w:val="19"/>
          <w:szCs w:val="19"/>
          <w:color w:val="000000"/>
        </w:rPr>
        <w:t xml:space="preserve"> of such </w:t>
      </w:r>
      <w:r>
        <w:rPr>
          <w:rFonts w:ascii="Arial" w:cs="Arial" w:eastAsia="Arial" w:hAnsi="Arial"/>
          <w:sz w:val="19"/>
          <w:szCs w:val="19"/>
          <w:color w:val="0F0F0F"/>
        </w:rPr>
        <w:t>loss</w:t>
      </w:r>
      <w:r>
        <w:rPr>
          <w:rFonts w:ascii="Arial" w:cs="Arial" w:eastAsia="Arial" w:hAnsi="Arial"/>
          <w:sz w:val="19"/>
          <w:szCs w:val="19"/>
          <w:color w:val="000000"/>
        </w:rPr>
        <w:t xml:space="preserve"> or damage or is </w:t>
      </w:r>
      <w:r>
        <w:rPr>
          <w:rFonts w:ascii="Arial" w:cs="Arial" w:eastAsia="Arial" w:hAnsi="Arial"/>
          <w:sz w:val="19"/>
          <w:szCs w:val="19"/>
          <w:color w:val="383838"/>
        </w:rPr>
        <w:t>req</w:t>
      </w:r>
      <w:r>
        <w:rPr>
          <w:rFonts w:ascii="Arial" w:cs="Arial" w:eastAsia="Arial" w:hAnsi="Arial"/>
          <w:sz w:val="19"/>
          <w:szCs w:val="19"/>
          <w:color w:val="0F0F0F"/>
        </w:rPr>
        <w:t>uired to be</w:t>
      </w:r>
      <w:r>
        <w:rPr>
          <w:rFonts w:ascii="Arial" w:cs="Arial" w:eastAsia="Arial" w:hAnsi="Arial"/>
          <w:sz w:val="19"/>
          <w:szCs w:val="19"/>
          <w:color w:val="000000"/>
        </w:rPr>
        <w:t xml:space="preserve"> carried under </w:t>
      </w:r>
      <w:r>
        <w:rPr>
          <w:rFonts w:ascii="Arial" w:cs="Arial" w:eastAsia="Arial" w:hAnsi="Arial"/>
          <w:sz w:val="19"/>
          <w:szCs w:val="19"/>
          <w:color w:val="0F0F0F"/>
        </w:rPr>
        <w:t>this</w:t>
      </w:r>
      <w:r>
        <w:rPr>
          <w:rFonts w:ascii="Arial" w:cs="Arial" w:eastAsia="Arial" w:hAnsi="Arial"/>
          <w:sz w:val="19"/>
          <w:szCs w:val="19"/>
          <w:color w:val="000000"/>
        </w:rPr>
        <w:t xml:space="preserve"> Lease. Such waivers shall continue so </w:t>
      </w:r>
      <w:r>
        <w:rPr>
          <w:rFonts w:ascii="Arial" w:cs="Arial" w:eastAsia="Arial" w:hAnsi="Arial"/>
          <w:sz w:val="19"/>
          <w:szCs w:val="19"/>
          <w:color w:val="0F0F0F"/>
        </w:rPr>
        <w:t>long</w:t>
      </w:r>
      <w:r>
        <w:rPr>
          <w:rFonts w:ascii="Arial" w:cs="Arial" w:eastAsia="Arial" w:hAnsi="Arial"/>
          <w:sz w:val="19"/>
          <w:szCs w:val="19"/>
          <w:color w:val="000000"/>
        </w:rPr>
        <w:t xml:space="preserve"> as their respective </w:t>
      </w:r>
      <w:r>
        <w:rPr>
          <w:rFonts w:ascii="Arial" w:cs="Arial" w:eastAsia="Arial" w:hAnsi="Arial"/>
          <w:sz w:val="19"/>
          <w:szCs w:val="19"/>
          <w:color w:val="0F0F0F"/>
        </w:rPr>
        <w:t xml:space="preserve">insurers </w:t>
      </w:r>
      <w:r>
        <w:rPr>
          <w:rFonts w:ascii="Arial" w:cs="Arial" w:eastAsia="Arial" w:hAnsi="Arial"/>
          <w:sz w:val="19"/>
          <w:szCs w:val="19"/>
          <w:color w:val="000000"/>
        </w:rPr>
        <w:t>so permit. Any</w:t>
      </w:r>
      <w:r>
        <w:rPr>
          <w:rFonts w:ascii="Arial" w:cs="Arial" w:eastAsia="Arial" w:hAnsi="Arial"/>
          <w:sz w:val="19"/>
          <w:szCs w:val="19"/>
          <w:color w:val="0F0F0F"/>
        </w:rPr>
        <w:t xml:space="preserve"> </w:t>
      </w:r>
      <w:r>
        <w:rPr>
          <w:rFonts w:ascii="Arial" w:cs="Arial" w:eastAsia="Arial" w:hAnsi="Arial"/>
          <w:sz w:val="19"/>
          <w:szCs w:val="19"/>
          <w:color w:val="383838"/>
        </w:rPr>
        <w:t>termi</w:t>
      </w:r>
      <w:r>
        <w:rPr>
          <w:rFonts w:ascii="Arial" w:cs="Arial" w:eastAsia="Arial" w:hAnsi="Arial"/>
          <w:sz w:val="19"/>
          <w:szCs w:val="19"/>
          <w:color w:val="0F0F0F"/>
        </w:rPr>
        <w:t xml:space="preserve">nation </w:t>
      </w:r>
      <w:r>
        <w:rPr>
          <w:rFonts w:ascii="Arial" w:cs="Arial" w:eastAsia="Arial" w:hAnsi="Arial"/>
          <w:sz w:val="19"/>
          <w:szCs w:val="19"/>
          <w:color w:val="000000"/>
        </w:rPr>
        <w:t>of</w:t>
      </w:r>
      <w:r>
        <w:rPr>
          <w:rFonts w:ascii="Arial" w:cs="Arial" w:eastAsia="Arial" w:hAnsi="Arial"/>
          <w:sz w:val="19"/>
          <w:szCs w:val="19"/>
          <w:color w:val="0F0F0F"/>
        </w:rPr>
        <w:t xml:space="preserve"> </w:t>
      </w:r>
      <w:r>
        <w:rPr>
          <w:rFonts w:ascii="Arial" w:cs="Arial" w:eastAsia="Arial" w:hAnsi="Arial"/>
          <w:sz w:val="19"/>
          <w:szCs w:val="19"/>
          <w:color w:val="383838"/>
        </w:rPr>
        <w:t>such</w:t>
      </w:r>
      <w:r>
        <w:rPr>
          <w:rFonts w:ascii="Arial" w:cs="Arial" w:eastAsia="Arial" w:hAnsi="Arial"/>
          <w:sz w:val="19"/>
          <w:szCs w:val="19"/>
          <w:color w:val="0F0F0F"/>
        </w:rPr>
        <w:t xml:space="preserve"> </w:t>
      </w:r>
      <w:r>
        <w:rPr>
          <w:rFonts w:ascii="Arial" w:cs="Arial" w:eastAsia="Arial" w:hAnsi="Arial"/>
          <w:sz w:val="19"/>
          <w:szCs w:val="19"/>
          <w:color w:val="000000"/>
        </w:rPr>
        <w:t>a waiver</w:t>
      </w:r>
      <w:r>
        <w:rPr>
          <w:rFonts w:ascii="Arial" w:cs="Arial" w:eastAsia="Arial" w:hAnsi="Arial"/>
          <w:sz w:val="19"/>
          <w:szCs w:val="19"/>
          <w:color w:val="0F0F0F"/>
        </w:rPr>
        <w:t xml:space="preserve"> </w:t>
      </w:r>
      <w:r>
        <w:rPr>
          <w:rFonts w:ascii="Arial" w:cs="Arial" w:eastAsia="Arial" w:hAnsi="Arial"/>
          <w:sz w:val="19"/>
          <w:szCs w:val="19"/>
          <w:color w:val="383838"/>
        </w:rPr>
        <w:t>s</w:t>
      </w:r>
      <w:r>
        <w:rPr>
          <w:rFonts w:ascii="Arial" w:cs="Arial" w:eastAsia="Arial" w:hAnsi="Arial"/>
          <w:sz w:val="19"/>
          <w:szCs w:val="19"/>
          <w:color w:val="0F0F0F"/>
        </w:rPr>
        <w:t xml:space="preserve">hall </w:t>
      </w:r>
      <w:r>
        <w:rPr>
          <w:rFonts w:ascii="Arial" w:cs="Arial" w:eastAsia="Arial" w:hAnsi="Arial"/>
          <w:sz w:val="19"/>
          <w:szCs w:val="19"/>
          <w:color w:val="000000"/>
        </w:rPr>
        <w:t>be</w:t>
      </w:r>
      <w:r>
        <w:rPr>
          <w:rFonts w:ascii="Arial" w:cs="Arial" w:eastAsia="Arial" w:hAnsi="Arial"/>
          <w:sz w:val="19"/>
          <w:szCs w:val="19"/>
          <w:color w:val="0F0F0F"/>
        </w:rPr>
        <w:t xml:space="preserve"> by </w:t>
      </w:r>
      <w:r>
        <w:rPr>
          <w:rFonts w:ascii="Arial" w:cs="Arial" w:eastAsia="Arial" w:hAnsi="Arial"/>
          <w:sz w:val="19"/>
          <w:szCs w:val="19"/>
          <w:color w:val="000000"/>
        </w:rPr>
        <w:t>written notice</w:t>
      </w:r>
      <w:r>
        <w:rPr>
          <w:rFonts w:ascii="Arial" w:cs="Arial" w:eastAsia="Arial" w:hAnsi="Arial"/>
          <w:sz w:val="19"/>
          <w:szCs w:val="19"/>
          <w:color w:val="0F0F0F"/>
        </w:rPr>
        <w:t xml:space="preserve"> </w:t>
      </w:r>
      <w:r>
        <w:rPr>
          <w:rFonts w:ascii="Arial" w:cs="Arial" w:eastAsia="Arial" w:hAnsi="Arial"/>
          <w:sz w:val="19"/>
          <w:szCs w:val="19"/>
          <w:color w:val="383838"/>
        </w:rPr>
        <w:t>to</w:t>
      </w:r>
      <w:r>
        <w:rPr>
          <w:rFonts w:ascii="Arial" w:cs="Arial" w:eastAsia="Arial" w:hAnsi="Arial"/>
          <w:sz w:val="19"/>
          <w:szCs w:val="19"/>
          <w:color w:val="0F0F0F"/>
        </w:rPr>
        <w:t xml:space="preserve"> the </w:t>
      </w:r>
      <w:r>
        <w:rPr>
          <w:rFonts w:ascii="Arial" w:cs="Arial" w:eastAsia="Arial" w:hAnsi="Arial"/>
          <w:sz w:val="19"/>
          <w:szCs w:val="19"/>
          <w:color w:val="000000"/>
        </w:rPr>
        <w:t>other</w:t>
      </w:r>
      <w:r>
        <w:rPr>
          <w:rFonts w:ascii="Arial" w:cs="Arial" w:eastAsia="Arial" w:hAnsi="Arial"/>
          <w:sz w:val="19"/>
          <w:szCs w:val="19"/>
          <w:color w:val="0F0F0F"/>
        </w:rPr>
        <w:t xml:space="preserve"> party</w:t>
      </w:r>
      <w:r>
        <w:rPr>
          <w:rFonts w:ascii="Arial" w:cs="Arial" w:eastAsia="Arial" w:hAnsi="Arial"/>
          <w:sz w:val="19"/>
          <w:szCs w:val="19"/>
          <w:color w:val="383838"/>
        </w:rPr>
        <w:t>,</w:t>
      </w:r>
      <w:r>
        <w:rPr>
          <w:rFonts w:ascii="Arial" w:cs="Arial" w:eastAsia="Arial" w:hAnsi="Arial"/>
          <w:sz w:val="19"/>
          <w:szCs w:val="19"/>
          <w:color w:val="0F0F0F"/>
        </w:rPr>
        <w:t xml:space="preserve"> </w:t>
      </w:r>
      <w:r>
        <w:rPr>
          <w:rFonts w:ascii="Arial" w:cs="Arial" w:eastAsia="Arial" w:hAnsi="Arial"/>
          <w:sz w:val="19"/>
          <w:szCs w:val="19"/>
          <w:color w:val="000000"/>
        </w:rPr>
        <w:t>containing a</w:t>
      </w:r>
      <w:r>
        <w:rPr>
          <w:rFonts w:ascii="Arial" w:cs="Arial" w:eastAsia="Arial" w:hAnsi="Arial"/>
          <w:sz w:val="19"/>
          <w:szCs w:val="19"/>
          <w:color w:val="0F0F0F"/>
        </w:rPr>
        <w:t xml:space="preserve"> de</w:t>
      </w:r>
      <w:r>
        <w:rPr>
          <w:rFonts w:ascii="Arial" w:cs="Arial" w:eastAsia="Arial" w:hAnsi="Arial"/>
          <w:sz w:val="19"/>
          <w:szCs w:val="19"/>
          <w:color w:val="383838"/>
        </w:rPr>
        <w:t>scri</w:t>
      </w:r>
      <w:r>
        <w:rPr>
          <w:rFonts w:ascii="Arial" w:cs="Arial" w:eastAsia="Arial" w:hAnsi="Arial"/>
          <w:sz w:val="19"/>
          <w:szCs w:val="19"/>
          <w:color w:val="0F0F0F"/>
        </w:rPr>
        <w:t xml:space="preserve">ption </w:t>
      </w:r>
      <w:r>
        <w:rPr>
          <w:rFonts w:ascii="Arial" w:cs="Arial" w:eastAsia="Arial" w:hAnsi="Arial"/>
          <w:sz w:val="19"/>
          <w:szCs w:val="19"/>
          <w:color w:val="000000"/>
        </w:rPr>
        <w:t>of the circumstances</w:t>
      </w:r>
      <w:r>
        <w:rPr>
          <w:rFonts w:ascii="Arial" w:cs="Arial" w:eastAsia="Arial" w:hAnsi="Arial"/>
          <w:sz w:val="19"/>
          <w:szCs w:val="19"/>
          <w:color w:val="0F0F0F"/>
        </w:rPr>
        <w:t xml:space="preserve"> hereinafter </w:t>
      </w:r>
      <w:r>
        <w:rPr>
          <w:rFonts w:ascii="Arial" w:cs="Arial" w:eastAsia="Arial" w:hAnsi="Arial"/>
          <w:sz w:val="19"/>
          <w:szCs w:val="19"/>
          <w:color w:val="000000"/>
        </w:rPr>
        <w:t>set forth in.</w:t>
      </w:r>
      <w:r>
        <w:rPr>
          <w:rFonts w:ascii="Arial" w:cs="Arial" w:eastAsia="Arial" w:hAnsi="Arial"/>
          <w:sz w:val="19"/>
          <w:szCs w:val="19"/>
          <w:color w:val="0F0F0F"/>
        </w:rPr>
        <w:t xml:space="preserve"> </w:t>
      </w:r>
      <w:r>
        <w:rPr>
          <w:rFonts w:ascii="Arial" w:cs="Arial" w:eastAsia="Arial" w:hAnsi="Arial"/>
          <w:sz w:val="19"/>
          <w:szCs w:val="19"/>
          <w:color w:val="383838"/>
        </w:rPr>
        <w:t>this</w:t>
      </w:r>
      <w:r>
        <w:rPr>
          <w:rFonts w:ascii="Arial" w:cs="Arial" w:eastAsia="Arial" w:hAnsi="Arial"/>
          <w:sz w:val="19"/>
          <w:szCs w:val="19"/>
          <w:color w:val="0F0F0F"/>
        </w:rPr>
        <w:t xml:space="preserve"> </w:t>
      </w:r>
      <w:r>
        <w:rPr>
          <w:rFonts w:ascii="Arial" w:cs="Arial" w:eastAsia="Arial" w:hAnsi="Arial"/>
          <w:sz w:val="19"/>
          <w:szCs w:val="19"/>
          <w:color w:val="000000"/>
        </w:rPr>
        <w:t>Section. Landlord and Tenant, upon obtaining the</w:t>
      </w:r>
      <w:r>
        <w:rPr>
          <w:rFonts w:ascii="Arial" w:cs="Arial" w:eastAsia="Arial" w:hAnsi="Arial"/>
          <w:sz w:val="19"/>
          <w:szCs w:val="19"/>
          <w:color w:val="0F0F0F"/>
        </w:rPr>
        <w:t xml:space="preserve"> policie</w:t>
      </w:r>
      <w:r>
        <w:rPr>
          <w:rFonts w:ascii="Arial" w:cs="Arial" w:eastAsia="Arial" w:hAnsi="Arial"/>
          <w:sz w:val="19"/>
          <w:szCs w:val="19"/>
          <w:color w:val="383838"/>
        </w:rPr>
        <w:t>s</w:t>
      </w:r>
      <w:r>
        <w:rPr>
          <w:rFonts w:ascii="Arial" w:cs="Arial" w:eastAsia="Arial" w:hAnsi="Arial"/>
          <w:sz w:val="19"/>
          <w:szCs w:val="19"/>
          <w:color w:val="0F0F0F"/>
        </w:rPr>
        <w:t xml:space="preserve"> </w:t>
      </w:r>
      <w:r>
        <w:rPr>
          <w:rFonts w:ascii="Arial" w:cs="Arial" w:eastAsia="Arial" w:hAnsi="Arial"/>
          <w:sz w:val="19"/>
          <w:szCs w:val="19"/>
          <w:color w:val="000000"/>
        </w:rPr>
        <w:t>of insurance</w:t>
      </w:r>
      <w:r>
        <w:rPr>
          <w:rFonts w:ascii="Arial" w:cs="Arial" w:eastAsia="Arial" w:hAnsi="Arial"/>
          <w:sz w:val="19"/>
          <w:szCs w:val="19"/>
          <w:color w:val="0F0F0F"/>
        </w:rPr>
        <w:t xml:space="preserve"> </w:t>
      </w:r>
      <w:r>
        <w:rPr>
          <w:rFonts w:ascii="Arial" w:cs="Arial" w:eastAsia="Arial" w:hAnsi="Arial"/>
          <w:sz w:val="19"/>
          <w:szCs w:val="19"/>
          <w:color w:val="383838"/>
        </w:rPr>
        <w:t>required</w:t>
      </w:r>
      <w:r>
        <w:rPr>
          <w:rFonts w:ascii="Arial" w:cs="Arial" w:eastAsia="Arial" w:hAnsi="Arial"/>
          <w:sz w:val="19"/>
          <w:szCs w:val="19"/>
          <w:color w:val="0F0F0F"/>
        </w:rPr>
        <w:t xml:space="preserve"> or </w:t>
      </w:r>
      <w:r>
        <w:rPr>
          <w:rFonts w:ascii="Arial" w:cs="Arial" w:eastAsia="Arial" w:hAnsi="Arial"/>
          <w:sz w:val="19"/>
          <w:szCs w:val="19"/>
          <w:color w:val="000000"/>
        </w:rPr>
        <w:t>permitted under</w:t>
      </w:r>
      <w:r>
        <w:rPr>
          <w:rFonts w:ascii="Arial" w:cs="Arial" w:eastAsia="Arial" w:hAnsi="Arial"/>
          <w:sz w:val="19"/>
          <w:szCs w:val="19"/>
          <w:color w:val="0F0F0F"/>
        </w:rPr>
        <w:t xml:space="preserve"> </w:t>
      </w:r>
      <w:r>
        <w:rPr>
          <w:rFonts w:ascii="Arial" w:cs="Arial" w:eastAsia="Arial" w:hAnsi="Arial"/>
          <w:sz w:val="19"/>
          <w:szCs w:val="19"/>
          <w:color w:val="383838"/>
        </w:rPr>
        <w:t>this</w:t>
      </w:r>
      <w:r>
        <w:rPr>
          <w:rFonts w:ascii="Arial" w:cs="Arial" w:eastAsia="Arial" w:hAnsi="Arial"/>
          <w:sz w:val="19"/>
          <w:szCs w:val="19"/>
          <w:color w:val="0F0F0F"/>
        </w:rPr>
        <w:t xml:space="preserve"> </w:t>
      </w:r>
      <w:r>
        <w:rPr>
          <w:rFonts w:ascii="Arial" w:cs="Arial" w:eastAsia="Arial" w:hAnsi="Arial"/>
          <w:sz w:val="19"/>
          <w:szCs w:val="19"/>
          <w:color w:val="000000"/>
        </w:rPr>
        <w:t>Lease,</w:t>
      </w:r>
      <w:r>
        <w:rPr>
          <w:rFonts w:ascii="Arial" w:cs="Arial" w:eastAsia="Arial" w:hAnsi="Arial"/>
          <w:sz w:val="19"/>
          <w:szCs w:val="19"/>
          <w:color w:val="0F0F0F"/>
        </w:rPr>
        <w:t xml:space="preserve"> </w:t>
      </w:r>
      <w:r>
        <w:rPr>
          <w:rFonts w:ascii="Arial" w:cs="Arial" w:eastAsia="Arial" w:hAnsi="Arial"/>
          <w:sz w:val="19"/>
          <w:szCs w:val="19"/>
          <w:color w:val="383838"/>
        </w:rPr>
        <w:t>s</w:t>
      </w:r>
      <w:r>
        <w:rPr>
          <w:rFonts w:ascii="Arial" w:cs="Arial" w:eastAsia="Arial" w:hAnsi="Arial"/>
          <w:sz w:val="19"/>
          <w:szCs w:val="19"/>
          <w:color w:val="0F0F0F"/>
        </w:rPr>
        <w:t xml:space="preserve">hall </w:t>
      </w:r>
      <w:r>
        <w:rPr>
          <w:rFonts w:ascii="Arial" w:cs="Arial" w:eastAsia="Arial" w:hAnsi="Arial"/>
          <w:sz w:val="19"/>
          <w:szCs w:val="19"/>
          <w:color w:val="000000"/>
        </w:rPr>
        <w:t>give notice to</w:t>
      </w:r>
      <w:r>
        <w:rPr>
          <w:rFonts w:ascii="Arial" w:cs="Arial" w:eastAsia="Arial" w:hAnsi="Arial"/>
          <w:sz w:val="19"/>
          <w:szCs w:val="19"/>
          <w:color w:val="0F0F0F"/>
        </w:rPr>
        <w:t xml:space="preserve"> the insurance </w:t>
      </w:r>
      <w:r>
        <w:rPr>
          <w:rFonts w:ascii="Arial" w:cs="Arial" w:eastAsia="Arial" w:hAnsi="Arial"/>
          <w:sz w:val="19"/>
          <w:szCs w:val="19"/>
          <w:color w:val="000000"/>
        </w:rPr>
        <w:t>carrier or carriers</w:t>
      </w:r>
      <w:r>
        <w:rPr>
          <w:rFonts w:ascii="Arial" w:cs="Arial" w:eastAsia="Arial" w:hAnsi="Arial"/>
          <w:sz w:val="19"/>
          <w:szCs w:val="19"/>
          <w:color w:val="0F0F0F"/>
        </w:rPr>
        <w:t xml:space="preserve"> </w:t>
      </w:r>
      <w:r>
        <w:rPr>
          <w:rFonts w:ascii="Arial" w:cs="Arial" w:eastAsia="Arial" w:hAnsi="Arial"/>
          <w:sz w:val="19"/>
          <w:szCs w:val="19"/>
          <w:color w:val="000000"/>
        </w:rPr>
        <w:t xml:space="preserve">that the foregoing </w:t>
      </w:r>
      <w:r>
        <w:rPr>
          <w:rFonts w:ascii="Arial" w:cs="Arial" w:eastAsia="Arial" w:hAnsi="Arial"/>
          <w:sz w:val="19"/>
          <w:szCs w:val="19"/>
          <w:color w:val="0F0F0F"/>
        </w:rPr>
        <w:t>mutual</w:t>
      </w:r>
      <w:r>
        <w:rPr>
          <w:rFonts w:ascii="Arial" w:cs="Arial" w:eastAsia="Arial" w:hAnsi="Arial"/>
          <w:sz w:val="19"/>
          <w:szCs w:val="19"/>
          <w:color w:val="000000"/>
        </w:rPr>
        <w:t xml:space="preserve"> waiver of </w:t>
      </w:r>
      <w:r>
        <w:rPr>
          <w:rFonts w:ascii="Arial" w:cs="Arial" w:eastAsia="Arial" w:hAnsi="Arial"/>
          <w:sz w:val="19"/>
          <w:szCs w:val="19"/>
          <w:color w:val="383838"/>
        </w:rPr>
        <w:t>su</w:t>
      </w:r>
      <w:r>
        <w:rPr>
          <w:rFonts w:ascii="Arial" w:cs="Arial" w:eastAsia="Arial" w:hAnsi="Arial"/>
          <w:sz w:val="19"/>
          <w:szCs w:val="19"/>
          <w:color w:val="0F0F0F"/>
        </w:rPr>
        <w:t>brogat</w:t>
      </w:r>
      <w:r>
        <w:rPr>
          <w:rFonts w:ascii="Arial" w:cs="Arial" w:eastAsia="Arial" w:hAnsi="Arial"/>
          <w:sz w:val="19"/>
          <w:szCs w:val="19"/>
          <w:color w:val="383838"/>
        </w:rPr>
        <w:t>ion is</w:t>
      </w:r>
      <w:r>
        <w:rPr>
          <w:rFonts w:ascii="Arial" w:cs="Arial" w:eastAsia="Arial" w:hAnsi="Arial"/>
          <w:sz w:val="19"/>
          <w:szCs w:val="19"/>
          <w:color w:val="000000"/>
        </w:rPr>
        <w:t xml:space="preserve"> contained </w:t>
      </w:r>
      <w:r>
        <w:rPr>
          <w:rFonts w:ascii="Arial" w:cs="Arial" w:eastAsia="Arial" w:hAnsi="Arial"/>
          <w:sz w:val="19"/>
          <w:szCs w:val="19"/>
          <w:color w:val="0F0F0F"/>
        </w:rPr>
        <w:t>in</w:t>
      </w:r>
      <w:r>
        <w:rPr>
          <w:rFonts w:ascii="Arial" w:cs="Arial" w:eastAsia="Arial" w:hAnsi="Arial"/>
          <w:sz w:val="19"/>
          <w:szCs w:val="19"/>
          <w:color w:val="000000"/>
        </w:rPr>
        <w:t xml:space="preserve"> this Lease, </w:t>
      </w:r>
      <w:r>
        <w:rPr>
          <w:rFonts w:ascii="Arial" w:cs="Arial" w:eastAsia="Arial" w:hAnsi="Arial"/>
          <w:sz w:val="19"/>
          <w:szCs w:val="19"/>
          <w:color w:val="0F0F0F"/>
        </w:rPr>
        <w:t>to</w:t>
      </w:r>
      <w:r>
        <w:rPr>
          <w:rFonts w:ascii="Arial" w:cs="Arial" w:eastAsia="Arial" w:hAnsi="Arial"/>
          <w:sz w:val="19"/>
          <w:szCs w:val="19"/>
          <w:color w:val="000000"/>
        </w:rPr>
        <w:t xml:space="preserve"> the extent </w:t>
      </w:r>
      <w:r>
        <w:rPr>
          <w:rFonts w:ascii="Arial" w:cs="Arial" w:eastAsia="Arial" w:hAnsi="Arial"/>
          <w:sz w:val="19"/>
          <w:szCs w:val="19"/>
          <w:color w:val="0F0F0F"/>
        </w:rPr>
        <w:t>required by</w:t>
      </w:r>
      <w:r>
        <w:rPr>
          <w:rFonts w:ascii="Arial" w:cs="Arial" w:eastAsia="Arial" w:hAnsi="Arial"/>
          <w:sz w:val="19"/>
          <w:szCs w:val="19"/>
          <w:color w:val="000000"/>
        </w:rPr>
        <w:t xml:space="preserve"> </w:t>
      </w:r>
      <w:r>
        <w:rPr>
          <w:rFonts w:ascii="Arial" w:cs="Arial" w:eastAsia="Arial" w:hAnsi="Arial"/>
          <w:sz w:val="19"/>
          <w:szCs w:val="19"/>
          <w:color w:val="383838"/>
        </w:rPr>
        <w:t>t</w:t>
      </w:r>
      <w:r>
        <w:rPr>
          <w:rFonts w:ascii="Arial" w:cs="Arial" w:eastAsia="Arial" w:hAnsi="Arial"/>
          <w:sz w:val="19"/>
          <w:szCs w:val="19"/>
          <w:color w:val="0F0F0F"/>
        </w:rPr>
        <w:t>he</w:t>
      </w:r>
      <w:r>
        <w:rPr>
          <w:rFonts w:ascii="Arial" w:cs="Arial" w:eastAsia="Arial" w:hAnsi="Arial"/>
          <w:sz w:val="19"/>
          <w:szCs w:val="19"/>
          <w:color w:val="000000"/>
        </w:rPr>
        <w:t xml:space="preserve"> </w:t>
      </w:r>
      <w:r>
        <w:rPr>
          <w:rFonts w:ascii="Arial" w:cs="Arial" w:eastAsia="Arial" w:hAnsi="Arial"/>
          <w:sz w:val="19"/>
          <w:szCs w:val="19"/>
          <w:color w:val="383838"/>
        </w:rPr>
        <w:t>applicable</w:t>
      </w:r>
      <w:r>
        <w:rPr>
          <w:rFonts w:ascii="Arial" w:cs="Arial" w:eastAsia="Arial" w:hAnsi="Arial"/>
          <w:sz w:val="19"/>
          <w:szCs w:val="19"/>
          <w:color w:val="000000"/>
        </w:rPr>
        <w:t xml:space="preserve"> insurance policy. If </w:t>
      </w:r>
      <w:r>
        <w:rPr>
          <w:rFonts w:ascii="Arial" w:cs="Arial" w:eastAsia="Arial" w:hAnsi="Arial"/>
          <w:sz w:val="19"/>
          <w:szCs w:val="19"/>
          <w:color w:val="383838"/>
        </w:rPr>
        <w:t>such</w:t>
      </w:r>
      <w:r>
        <w:rPr>
          <w:rFonts w:ascii="Arial" w:cs="Arial" w:eastAsia="Arial" w:hAnsi="Arial"/>
          <w:sz w:val="19"/>
          <w:szCs w:val="19"/>
          <w:color w:val="000000"/>
        </w:rPr>
        <w:t xml:space="preserve"> </w:t>
      </w:r>
      <w:r>
        <w:rPr>
          <w:rFonts w:ascii="Arial" w:cs="Arial" w:eastAsia="Arial" w:hAnsi="Arial"/>
          <w:sz w:val="19"/>
          <w:szCs w:val="19"/>
          <w:color w:val="0F0F0F"/>
        </w:rPr>
        <w:t>p</w:t>
      </w:r>
      <w:r>
        <w:rPr>
          <w:rFonts w:ascii="Arial" w:cs="Arial" w:eastAsia="Arial" w:hAnsi="Arial"/>
          <w:sz w:val="19"/>
          <w:szCs w:val="19"/>
          <w:color w:val="383838"/>
        </w:rPr>
        <w:t>olicies shall</w:t>
      </w:r>
      <w:r>
        <w:rPr>
          <w:rFonts w:ascii="Arial" w:cs="Arial" w:eastAsia="Arial" w:hAnsi="Arial"/>
          <w:sz w:val="19"/>
          <w:szCs w:val="19"/>
          <w:color w:val="000000"/>
        </w:rPr>
        <w:t xml:space="preserve"> not </w:t>
      </w:r>
      <w:r>
        <w:rPr>
          <w:rFonts w:ascii="Arial" w:cs="Arial" w:eastAsia="Arial" w:hAnsi="Arial"/>
          <w:sz w:val="19"/>
          <w:szCs w:val="19"/>
          <w:color w:val="0F0F0F"/>
        </w:rPr>
        <w:t>be</w:t>
      </w:r>
      <w:r>
        <w:rPr>
          <w:rFonts w:ascii="Arial" w:cs="Arial" w:eastAsia="Arial" w:hAnsi="Arial"/>
          <w:sz w:val="19"/>
          <w:szCs w:val="19"/>
          <w:color w:val="000000"/>
        </w:rPr>
        <w:t xml:space="preserve"> obtainable with </w:t>
      </w:r>
      <w:r>
        <w:rPr>
          <w:rFonts w:ascii="Arial" w:cs="Arial" w:eastAsia="Arial" w:hAnsi="Arial"/>
          <w:sz w:val="19"/>
          <w:szCs w:val="19"/>
          <w:color w:val="383838"/>
        </w:rPr>
        <w:t>such</w:t>
      </w:r>
      <w:r>
        <w:rPr>
          <w:rFonts w:ascii="Arial" w:cs="Arial" w:eastAsia="Arial" w:hAnsi="Arial"/>
          <w:sz w:val="19"/>
          <w:szCs w:val="19"/>
          <w:color w:val="000000"/>
        </w:rPr>
        <w:t xml:space="preserve"> waiver or </w:t>
      </w:r>
      <w:r>
        <w:rPr>
          <w:rFonts w:ascii="Arial" w:cs="Arial" w:eastAsia="Arial" w:hAnsi="Arial"/>
          <w:sz w:val="19"/>
          <w:szCs w:val="19"/>
          <w:color w:val="383838"/>
        </w:rPr>
        <w:t>shall</w:t>
      </w:r>
      <w:r>
        <w:rPr>
          <w:rFonts w:ascii="Arial" w:cs="Arial" w:eastAsia="Arial" w:hAnsi="Arial"/>
          <w:sz w:val="19"/>
          <w:szCs w:val="19"/>
          <w:color w:val="000000"/>
        </w:rPr>
        <w:t xml:space="preserve"> </w:t>
      </w:r>
      <w:r>
        <w:rPr>
          <w:rFonts w:ascii="Arial" w:cs="Arial" w:eastAsia="Arial" w:hAnsi="Arial"/>
          <w:sz w:val="19"/>
          <w:szCs w:val="19"/>
          <w:color w:val="0F0F0F"/>
        </w:rPr>
        <w:t>be</w:t>
      </w:r>
      <w:r>
        <w:rPr>
          <w:rFonts w:ascii="Arial" w:cs="Arial" w:eastAsia="Arial" w:hAnsi="Arial"/>
          <w:sz w:val="19"/>
          <w:szCs w:val="19"/>
          <w:color w:val="000000"/>
        </w:rPr>
        <w:t xml:space="preserve"> </w:t>
      </w:r>
      <w:r>
        <w:rPr>
          <w:rFonts w:ascii="Arial" w:cs="Arial" w:eastAsia="Arial" w:hAnsi="Arial"/>
          <w:sz w:val="19"/>
          <w:szCs w:val="19"/>
          <w:color w:val="383838"/>
        </w:rPr>
        <w:t>so</w:t>
      </w:r>
      <w:r>
        <w:rPr>
          <w:rFonts w:ascii="Arial" w:cs="Arial" w:eastAsia="Arial" w:hAnsi="Arial"/>
          <w:sz w:val="19"/>
          <w:szCs w:val="19"/>
          <w:color w:val="000000"/>
        </w:rPr>
        <w:t xml:space="preserve"> obtainable only at a premium over that chargeable without such waiver, </w:t>
      </w:r>
      <w:r>
        <w:rPr>
          <w:rFonts w:ascii="Arial" w:cs="Arial" w:eastAsia="Arial" w:hAnsi="Arial"/>
          <w:sz w:val="19"/>
          <w:szCs w:val="19"/>
          <w:color w:val="0F0F0F"/>
        </w:rPr>
        <w:t>then the party</w:t>
      </w:r>
      <w:r>
        <w:rPr>
          <w:rFonts w:ascii="Arial" w:cs="Arial" w:eastAsia="Arial" w:hAnsi="Arial"/>
          <w:sz w:val="19"/>
          <w:szCs w:val="19"/>
          <w:color w:val="000000"/>
        </w:rPr>
        <w:t xml:space="preserve"> seeking such policy </w:t>
      </w:r>
      <w:r>
        <w:rPr>
          <w:rFonts w:ascii="Arial" w:cs="Arial" w:eastAsia="Arial" w:hAnsi="Arial"/>
          <w:sz w:val="19"/>
          <w:szCs w:val="19"/>
          <w:color w:val="383838"/>
        </w:rPr>
        <w:t>shall</w:t>
      </w:r>
      <w:r>
        <w:rPr>
          <w:rFonts w:ascii="Arial" w:cs="Arial" w:eastAsia="Arial" w:hAnsi="Arial"/>
          <w:sz w:val="19"/>
          <w:szCs w:val="19"/>
          <w:color w:val="000000"/>
        </w:rPr>
        <w:t xml:space="preserve"> </w:t>
      </w:r>
      <w:r>
        <w:rPr>
          <w:rFonts w:ascii="Arial" w:cs="Arial" w:eastAsia="Arial" w:hAnsi="Arial"/>
          <w:sz w:val="19"/>
          <w:szCs w:val="19"/>
          <w:color w:val="0F0F0F"/>
        </w:rPr>
        <w:t>no</w:t>
      </w:r>
      <w:r>
        <w:rPr>
          <w:rFonts w:ascii="Arial" w:cs="Arial" w:eastAsia="Arial" w:hAnsi="Arial"/>
          <w:sz w:val="19"/>
          <w:szCs w:val="19"/>
          <w:color w:val="383838"/>
        </w:rPr>
        <w:t>tify</w:t>
      </w:r>
      <w:r>
        <w:rPr>
          <w:rFonts w:ascii="Arial" w:cs="Arial" w:eastAsia="Arial" w:hAnsi="Arial"/>
          <w:sz w:val="19"/>
          <w:szCs w:val="19"/>
          <w:color w:val="000000"/>
        </w:rPr>
        <w:t xml:space="preserve"> the other of </w:t>
      </w:r>
      <w:r>
        <w:rPr>
          <w:rFonts w:ascii="Arial" w:cs="Arial" w:eastAsia="Arial" w:hAnsi="Arial"/>
          <w:sz w:val="19"/>
          <w:szCs w:val="19"/>
          <w:color w:val="383838"/>
        </w:rPr>
        <w:t xml:space="preserve">such </w:t>
      </w:r>
      <w:r>
        <w:rPr>
          <w:rFonts w:ascii="Arial" w:cs="Arial" w:eastAsia="Arial" w:hAnsi="Arial"/>
          <w:sz w:val="19"/>
          <w:szCs w:val="19"/>
          <w:color w:val="000000"/>
        </w:rPr>
        <w:t>conditions, and the party</w:t>
      </w:r>
      <w:r>
        <w:rPr>
          <w:rFonts w:ascii="Arial" w:cs="Arial" w:eastAsia="Arial" w:hAnsi="Arial"/>
          <w:sz w:val="19"/>
          <w:szCs w:val="19"/>
          <w:color w:val="383838"/>
        </w:rPr>
        <w:t xml:space="preserve"> so </w:t>
      </w:r>
      <w:r>
        <w:rPr>
          <w:rFonts w:ascii="Arial" w:cs="Arial" w:eastAsia="Arial" w:hAnsi="Arial"/>
          <w:sz w:val="19"/>
          <w:szCs w:val="19"/>
          <w:color w:val="000000"/>
        </w:rPr>
        <w:t>notified shall</w:t>
      </w:r>
      <w:r>
        <w:rPr>
          <w:rFonts w:ascii="Arial" w:cs="Arial" w:eastAsia="Arial" w:hAnsi="Arial"/>
          <w:sz w:val="19"/>
          <w:szCs w:val="19"/>
          <w:color w:val="383838"/>
        </w:rPr>
        <w:t xml:space="preserve"> </w:t>
      </w:r>
      <w:r>
        <w:rPr>
          <w:rFonts w:ascii="Arial" w:cs="Arial" w:eastAsia="Arial" w:hAnsi="Arial"/>
          <w:sz w:val="19"/>
          <w:szCs w:val="19"/>
          <w:color w:val="0F0F0F"/>
        </w:rPr>
        <w:t>h</w:t>
      </w:r>
      <w:r>
        <w:rPr>
          <w:rFonts w:ascii="Arial" w:cs="Arial" w:eastAsia="Arial" w:hAnsi="Arial"/>
          <w:sz w:val="19"/>
          <w:szCs w:val="19"/>
          <w:color w:val="383838"/>
        </w:rPr>
        <w:t xml:space="preserve">ave </w:t>
      </w:r>
      <w:r>
        <w:rPr>
          <w:rFonts w:ascii="Arial" w:cs="Arial" w:eastAsia="Arial" w:hAnsi="Arial"/>
          <w:sz w:val="19"/>
          <w:szCs w:val="19"/>
          <w:u w:val="single" w:color="auto"/>
          <w:color w:val="000000"/>
        </w:rPr>
        <w:t>[***]</w:t>
      </w:r>
      <w:r>
        <w:rPr>
          <w:rFonts w:ascii="Arial" w:cs="Arial" w:eastAsia="Arial" w:hAnsi="Arial"/>
          <w:sz w:val="19"/>
          <w:szCs w:val="19"/>
          <w:color w:val="383838"/>
        </w:rPr>
        <w:t xml:space="preserve"> </w:t>
      </w:r>
      <w:r>
        <w:rPr>
          <w:rFonts w:ascii="Arial" w:cs="Arial" w:eastAsia="Arial" w:hAnsi="Arial"/>
          <w:sz w:val="19"/>
          <w:szCs w:val="19"/>
          <w:color w:val="000000"/>
        </w:rPr>
        <w:t>days thereafter to either (a) procure</w:t>
      </w:r>
      <w:r>
        <w:rPr>
          <w:rFonts w:ascii="Arial" w:cs="Arial" w:eastAsia="Arial" w:hAnsi="Arial"/>
          <w:sz w:val="19"/>
          <w:szCs w:val="19"/>
          <w:color w:val="383838"/>
        </w:rPr>
        <w:t xml:space="preserve"> such </w:t>
      </w:r>
      <w:r>
        <w:rPr>
          <w:rFonts w:ascii="Arial" w:cs="Arial" w:eastAsia="Arial" w:hAnsi="Arial"/>
          <w:sz w:val="19"/>
          <w:szCs w:val="19"/>
          <w:color w:val="000000"/>
        </w:rPr>
        <w:t>insurance with</w:t>
      </w:r>
      <w:r>
        <w:rPr>
          <w:rFonts w:ascii="Arial" w:cs="Arial" w:eastAsia="Arial" w:hAnsi="Arial"/>
          <w:sz w:val="19"/>
          <w:szCs w:val="19"/>
          <w:color w:val="383838"/>
        </w:rPr>
        <w:t xml:space="preserve"> </w:t>
      </w:r>
      <w:r>
        <w:rPr>
          <w:rFonts w:ascii="Arial" w:cs="Arial" w:eastAsia="Arial" w:hAnsi="Arial"/>
          <w:sz w:val="19"/>
          <w:szCs w:val="19"/>
          <w:color w:val="000000"/>
        </w:rPr>
        <w:t xml:space="preserve">companies </w:t>
      </w:r>
      <w:r>
        <w:rPr>
          <w:rFonts w:ascii="Arial" w:cs="Arial" w:eastAsia="Arial" w:hAnsi="Arial"/>
          <w:sz w:val="19"/>
          <w:szCs w:val="19"/>
          <w:color w:val="383838"/>
        </w:rPr>
        <w:t>reasonably</w:t>
      </w:r>
      <w:r>
        <w:rPr>
          <w:rFonts w:ascii="Arial" w:cs="Arial" w:eastAsia="Arial" w:hAnsi="Arial"/>
          <w:sz w:val="19"/>
          <w:szCs w:val="19"/>
          <w:color w:val="000000"/>
        </w:rPr>
        <w:t xml:space="preserve"> satisfactory </w:t>
      </w:r>
      <w:r>
        <w:rPr>
          <w:rFonts w:ascii="Arial" w:cs="Arial" w:eastAsia="Arial" w:hAnsi="Arial"/>
          <w:sz w:val="19"/>
          <w:szCs w:val="19"/>
          <w:color w:val="383838"/>
        </w:rPr>
        <w:t>to</w:t>
      </w:r>
      <w:r>
        <w:rPr>
          <w:rFonts w:ascii="Arial" w:cs="Arial" w:eastAsia="Arial" w:hAnsi="Arial"/>
          <w:sz w:val="19"/>
          <w:szCs w:val="19"/>
          <w:color w:val="000000"/>
        </w:rPr>
        <w:t xml:space="preserve"> </w:t>
      </w:r>
      <w:r>
        <w:rPr>
          <w:rFonts w:ascii="Arial" w:cs="Arial" w:eastAsia="Arial" w:hAnsi="Arial"/>
          <w:sz w:val="19"/>
          <w:szCs w:val="19"/>
          <w:color w:val="0F0F0F"/>
        </w:rPr>
        <w:t>the</w:t>
      </w:r>
      <w:r>
        <w:rPr>
          <w:rFonts w:ascii="Arial" w:cs="Arial" w:eastAsia="Arial" w:hAnsi="Arial"/>
          <w:sz w:val="19"/>
          <w:szCs w:val="19"/>
          <w:color w:val="000000"/>
        </w:rPr>
        <w:t xml:space="preserve"> other party or (b) agree to pay such additional premium (in Tenant’s case, </w:t>
      </w:r>
      <w:r>
        <w:rPr>
          <w:rFonts w:ascii="Arial" w:cs="Arial" w:eastAsia="Arial" w:hAnsi="Arial"/>
          <w:sz w:val="19"/>
          <w:szCs w:val="19"/>
          <w:color w:val="0F0F0F"/>
        </w:rPr>
        <w:t xml:space="preserve">in </w:t>
      </w:r>
      <w:r>
        <w:rPr>
          <w:rFonts w:ascii="Arial" w:cs="Arial" w:eastAsia="Arial" w:hAnsi="Arial"/>
          <w:sz w:val="19"/>
          <w:szCs w:val="19"/>
          <w:color w:val="383838"/>
        </w:rPr>
        <w:t>t</w:t>
      </w:r>
      <w:r>
        <w:rPr>
          <w:rFonts w:ascii="Arial" w:cs="Arial" w:eastAsia="Arial" w:hAnsi="Arial"/>
          <w:sz w:val="19"/>
          <w:szCs w:val="19"/>
          <w:color w:val="0F0F0F"/>
        </w:rPr>
        <w:t>he proportion tha</w:t>
      </w:r>
      <w:r>
        <w:rPr>
          <w:rFonts w:ascii="Arial" w:cs="Arial" w:eastAsia="Arial" w:hAnsi="Arial"/>
          <w:sz w:val="19"/>
          <w:szCs w:val="19"/>
          <w:color w:val="383838"/>
        </w:rPr>
        <w:t>t</w:t>
      </w:r>
      <w:r>
        <w:rPr>
          <w:rFonts w:ascii="Arial" w:cs="Arial" w:eastAsia="Arial" w:hAnsi="Arial"/>
          <w:sz w:val="19"/>
          <w:szCs w:val="19"/>
          <w:color w:val="0F0F0F"/>
        </w:rPr>
        <w:t xml:space="preserve"> the </w:t>
      </w:r>
      <w:r>
        <w:rPr>
          <w:rFonts w:ascii="Arial" w:cs="Arial" w:eastAsia="Arial" w:hAnsi="Arial"/>
          <w:sz w:val="19"/>
          <w:szCs w:val="19"/>
          <w:color w:val="000000"/>
        </w:rPr>
        <w:t>area of the Premises bears</w:t>
      </w:r>
      <w:r>
        <w:rPr>
          <w:rFonts w:ascii="Arial" w:cs="Arial" w:eastAsia="Arial" w:hAnsi="Arial"/>
          <w:sz w:val="19"/>
          <w:szCs w:val="19"/>
          <w:color w:val="0F0F0F"/>
        </w:rPr>
        <w:t xml:space="preserve"> </w:t>
      </w:r>
      <w:r>
        <w:rPr>
          <w:rFonts w:ascii="Arial" w:cs="Arial" w:eastAsia="Arial" w:hAnsi="Arial"/>
          <w:sz w:val="19"/>
          <w:szCs w:val="19"/>
          <w:color w:val="383838"/>
        </w:rPr>
        <w:t>to</w:t>
      </w:r>
      <w:r>
        <w:rPr>
          <w:rFonts w:ascii="Arial" w:cs="Arial" w:eastAsia="Arial" w:hAnsi="Arial"/>
          <w:sz w:val="19"/>
          <w:szCs w:val="19"/>
          <w:color w:val="0F0F0F"/>
        </w:rPr>
        <w:t xml:space="preserve"> the </w:t>
      </w:r>
      <w:r>
        <w:rPr>
          <w:rFonts w:ascii="Arial" w:cs="Arial" w:eastAsia="Arial" w:hAnsi="Arial"/>
          <w:sz w:val="19"/>
          <w:szCs w:val="19"/>
          <w:color w:val="000000"/>
        </w:rPr>
        <w:t>insured area).</w:t>
      </w:r>
      <w:r>
        <w:rPr>
          <w:rFonts w:ascii="Arial" w:cs="Arial" w:eastAsia="Arial" w:hAnsi="Arial"/>
          <w:sz w:val="19"/>
          <w:szCs w:val="19"/>
          <w:color w:val="0F0F0F"/>
        </w:rPr>
        <w:t xml:space="preserve"> If </w:t>
      </w:r>
      <w:r>
        <w:rPr>
          <w:rFonts w:ascii="Arial" w:cs="Arial" w:eastAsia="Arial" w:hAnsi="Arial"/>
          <w:sz w:val="19"/>
          <w:szCs w:val="19"/>
          <w:color w:val="000000"/>
        </w:rPr>
        <w:t>the parties do</w:t>
      </w:r>
      <w:r>
        <w:rPr>
          <w:rFonts w:ascii="Arial" w:cs="Arial" w:eastAsia="Arial" w:hAnsi="Arial"/>
          <w:sz w:val="19"/>
          <w:szCs w:val="19"/>
          <w:color w:val="0F0F0F"/>
        </w:rPr>
        <w:t xml:space="preserve"> not </w:t>
      </w:r>
      <w:r>
        <w:rPr>
          <w:rFonts w:ascii="Arial" w:cs="Arial" w:eastAsia="Arial" w:hAnsi="Arial"/>
          <w:sz w:val="19"/>
          <w:szCs w:val="19"/>
          <w:color w:val="000000"/>
        </w:rPr>
        <w:t>accomplish either (a)</w:t>
      </w:r>
      <w:r>
        <w:rPr>
          <w:rFonts w:ascii="Arial" w:cs="Arial" w:eastAsia="Arial" w:hAnsi="Arial"/>
          <w:sz w:val="19"/>
          <w:szCs w:val="19"/>
          <w:color w:val="0F0F0F"/>
        </w:rPr>
        <w:t xml:space="preserve"> </w:t>
      </w:r>
      <w:r>
        <w:rPr>
          <w:rFonts w:ascii="Arial" w:cs="Arial" w:eastAsia="Arial" w:hAnsi="Arial"/>
          <w:sz w:val="19"/>
          <w:szCs w:val="19"/>
          <w:color w:val="000000"/>
        </w:rPr>
        <w:t xml:space="preserve">or (b), then this </w:t>
      </w:r>
      <w:r>
        <w:rPr>
          <w:rFonts w:ascii="Arial" w:cs="Arial" w:eastAsia="Arial" w:hAnsi="Arial"/>
          <w:sz w:val="19"/>
          <w:szCs w:val="19"/>
          <w:color w:val="383838"/>
        </w:rPr>
        <w:t>Section</w:t>
      </w:r>
      <w:r>
        <w:rPr>
          <w:rFonts w:ascii="Arial" w:cs="Arial" w:eastAsia="Arial" w:hAnsi="Arial"/>
          <w:sz w:val="19"/>
          <w:szCs w:val="19"/>
          <w:color w:val="000000"/>
        </w:rPr>
        <w:t xml:space="preserve"> shall </w:t>
      </w:r>
      <w:r>
        <w:rPr>
          <w:rFonts w:ascii="Arial" w:cs="Arial" w:eastAsia="Arial" w:hAnsi="Arial"/>
          <w:sz w:val="19"/>
          <w:szCs w:val="19"/>
          <w:color w:val="0F0F0F"/>
        </w:rPr>
        <w:t>ha</w:t>
      </w:r>
      <w:r>
        <w:rPr>
          <w:rFonts w:ascii="Arial" w:cs="Arial" w:eastAsia="Arial" w:hAnsi="Arial"/>
          <w:sz w:val="19"/>
          <w:szCs w:val="19"/>
          <w:color w:val="383838"/>
        </w:rPr>
        <w:t>ve</w:t>
      </w:r>
      <w:r>
        <w:rPr>
          <w:rFonts w:ascii="Arial" w:cs="Arial" w:eastAsia="Arial" w:hAnsi="Arial"/>
          <w:sz w:val="19"/>
          <w:szCs w:val="19"/>
          <w:color w:val="000000"/>
        </w:rPr>
        <w:t xml:space="preserve"> no </w:t>
      </w:r>
      <w:r>
        <w:rPr>
          <w:rFonts w:ascii="Arial" w:cs="Arial" w:eastAsia="Arial" w:hAnsi="Arial"/>
          <w:sz w:val="19"/>
          <w:szCs w:val="19"/>
          <w:color w:val="383838"/>
        </w:rPr>
        <w:t>effect</w:t>
      </w:r>
      <w:r>
        <w:rPr>
          <w:rFonts w:ascii="Arial" w:cs="Arial" w:eastAsia="Arial" w:hAnsi="Arial"/>
          <w:sz w:val="19"/>
          <w:szCs w:val="19"/>
          <w:color w:val="000000"/>
        </w:rPr>
        <w:t xml:space="preserve"> during such time as </w:t>
      </w:r>
      <w:r>
        <w:rPr>
          <w:rFonts w:ascii="Arial" w:cs="Arial" w:eastAsia="Arial" w:hAnsi="Arial"/>
          <w:sz w:val="19"/>
          <w:szCs w:val="19"/>
          <w:color w:val="383838"/>
        </w:rPr>
        <w:t>suc</w:t>
      </w:r>
      <w:r>
        <w:rPr>
          <w:rFonts w:ascii="Arial" w:cs="Arial" w:eastAsia="Arial" w:hAnsi="Arial"/>
          <w:sz w:val="19"/>
          <w:szCs w:val="19"/>
          <w:color w:val="0F0F0F"/>
        </w:rPr>
        <w:t>h policies</w:t>
      </w:r>
      <w:r>
        <w:rPr>
          <w:rFonts w:ascii="Arial" w:cs="Arial" w:eastAsia="Arial" w:hAnsi="Arial"/>
          <w:sz w:val="19"/>
          <w:szCs w:val="19"/>
          <w:color w:val="000000"/>
        </w:rPr>
        <w:t xml:space="preserve"> shall not </w:t>
      </w:r>
      <w:r>
        <w:rPr>
          <w:rFonts w:ascii="Arial" w:cs="Arial" w:eastAsia="Arial" w:hAnsi="Arial"/>
          <w:sz w:val="19"/>
          <w:szCs w:val="19"/>
          <w:color w:val="0F0F0F"/>
        </w:rPr>
        <w:t>be</w:t>
      </w:r>
      <w:r>
        <w:rPr>
          <w:rFonts w:ascii="Arial" w:cs="Arial" w:eastAsia="Arial" w:hAnsi="Arial"/>
          <w:sz w:val="19"/>
          <w:szCs w:val="19"/>
          <w:color w:val="000000"/>
        </w:rPr>
        <w:t xml:space="preserve"> obtainable or the </w:t>
      </w:r>
      <w:r>
        <w:rPr>
          <w:rFonts w:ascii="Arial" w:cs="Arial" w:eastAsia="Arial" w:hAnsi="Arial"/>
          <w:sz w:val="19"/>
          <w:szCs w:val="19"/>
          <w:color w:val="0F0F0F"/>
        </w:rPr>
        <w:t>party</w:t>
      </w:r>
      <w:r>
        <w:rPr>
          <w:rFonts w:ascii="Arial" w:cs="Arial" w:eastAsia="Arial" w:hAnsi="Arial"/>
          <w:sz w:val="19"/>
          <w:szCs w:val="19"/>
          <w:color w:val="000000"/>
        </w:rPr>
        <w:t xml:space="preserve"> </w:t>
      </w:r>
      <w:r>
        <w:rPr>
          <w:rFonts w:ascii="Arial" w:cs="Arial" w:eastAsia="Arial" w:hAnsi="Arial"/>
          <w:sz w:val="19"/>
          <w:szCs w:val="19"/>
          <w:color w:val="0F0F0F"/>
        </w:rPr>
        <w:t xml:space="preserve">in </w:t>
      </w:r>
      <w:r>
        <w:rPr>
          <w:rFonts w:ascii="Arial" w:cs="Arial" w:eastAsia="Arial" w:hAnsi="Arial"/>
          <w:sz w:val="19"/>
          <w:szCs w:val="19"/>
          <w:color w:val="000000"/>
        </w:rPr>
        <w:t>whose</w:t>
      </w:r>
      <w:r>
        <w:rPr>
          <w:rFonts w:ascii="Arial" w:cs="Arial" w:eastAsia="Arial" w:hAnsi="Arial"/>
          <w:sz w:val="19"/>
          <w:szCs w:val="19"/>
          <w:color w:val="0F0F0F"/>
        </w:rPr>
        <w:t xml:space="preserve"> </w:t>
      </w:r>
      <w:r>
        <w:rPr>
          <w:rFonts w:ascii="Arial" w:cs="Arial" w:eastAsia="Arial" w:hAnsi="Arial"/>
          <w:sz w:val="19"/>
          <w:szCs w:val="19"/>
          <w:color w:val="383838"/>
        </w:rPr>
        <w:t>favo</w:t>
      </w:r>
      <w:r>
        <w:rPr>
          <w:rFonts w:ascii="Arial" w:cs="Arial" w:eastAsia="Arial" w:hAnsi="Arial"/>
          <w:sz w:val="19"/>
          <w:szCs w:val="19"/>
          <w:color w:val="0F0F0F"/>
        </w:rPr>
        <w:t xml:space="preserve">r </w:t>
      </w:r>
      <w:r>
        <w:rPr>
          <w:rFonts w:ascii="Arial" w:cs="Arial" w:eastAsia="Arial" w:hAnsi="Arial"/>
          <w:sz w:val="19"/>
          <w:szCs w:val="19"/>
          <w:color w:val="383838"/>
        </w:rPr>
        <w:t>a</w:t>
      </w:r>
      <w:r>
        <w:rPr>
          <w:rFonts w:ascii="Arial" w:cs="Arial" w:eastAsia="Arial" w:hAnsi="Arial"/>
          <w:sz w:val="19"/>
          <w:szCs w:val="19"/>
          <w:color w:val="0F0F0F"/>
        </w:rPr>
        <w:t xml:space="preserve"> </w:t>
      </w:r>
      <w:r>
        <w:rPr>
          <w:rFonts w:ascii="Arial" w:cs="Arial" w:eastAsia="Arial" w:hAnsi="Arial"/>
          <w:sz w:val="19"/>
          <w:szCs w:val="19"/>
          <w:color w:val="000000"/>
        </w:rPr>
        <w:t>waiver of</w:t>
      </w:r>
      <w:r>
        <w:rPr>
          <w:rFonts w:ascii="Arial" w:cs="Arial" w:eastAsia="Arial" w:hAnsi="Arial"/>
          <w:sz w:val="19"/>
          <w:szCs w:val="19"/>
          <w:color w:val="0F0F0F"/>
        </w:rPr>
        <w:t xml:space="preserve"> </w:t>
      </w:r>
      <w:r>
        <w:rPr>
          <w:rFonts w:ascii="Arial" w:cs="Arial" w:eastAsia="Arial" w:hAnsi="Arial"/>
          <w:sz w:val="19"/>
          <w:szCs w:val="19"/>
          <w:color w:val="383838"/>
        </w:rPr>
        <w:t>s</w:t>
      </w:r>
      <w:r>
        <w:rPr>
          <w:rFonts w:ascii="Arial" w:cs="Arial" w:eastAsia="Arial" w:hAnsi="Arial"/>
          <w:sz w:val="19"/>
          <w:szCs w:val="19"/>
          <w:color w:val="0F0F0F"/>
        </w:rPr>
        <w:t>ubrog</w:t>
      </w:r>
      <w:r>
        <w:rPr>
          <w:rFonts w:ascii="Arial" w:cs="Arial" w:eastAsia="Arial" w:hAnsi="Arial"/>
          <w:sz w:val="19"/>
          <w:szCs w:val="19"/>
          <w:color w:val="383838"/>
        </w:rPr>
        <w:t>a</w:t>
      </w:r>
      <w:r>
        <w:rPr>
          <w:rFonts w:ascii="Arial" w:cs="Arial" w:eastAsia="Arial" w:hAnsi="Arial"/>
          <w:sz w:val="19"/>
          <w:szCs w:val="19"/>
          <w:color w:val="0F0F0F"/>
        </w:rPr>
        <w:t>t</w:t>
      </w:r>
      <w:r>
        <w:rPr>
          <w:rFonts w:ascii="Arial" w:cs="Arial" w:eastAsia="Arial" w:hAnsi="Arial"/>
          <w:sz w:val="19"/>
          <w:szCs w:val="19"/>
          <w:color w:val="383838"/>
        </w:rPr>
        <w:t>ion is</w:t>
      </w:r>
      <w:r>
        <w:rPr>
          <w:rFonts w:ascii="Arial" w:cs="Arial" w:eastAsia="Arial" w:hAnsi="Arial"/>
          <w:sz w:val="19"/>
          <w:szCs w:val="19"/>
          <w:color w:val="0F0F0F"/>
        </w:rPr>
        <w:t xml:space="preserve"> de</w:t>
      </w:r>
      <w:r>
        <w:rPr>
          <w:rFonts w:ascii="Arial" w:cs="Arial" w:eastAsia="Arial" w:hAnsi="Arial"/>
          <w:sz w:val="19"/>
          <w:szCs w:val="19"/>
          <w:color w:val="383838"/>
        </w:rPr>
        <w:t>sired</w:t>
      </w:r>
      <w:r>
        <w:rPr>
          <w:rFonts w:ascii="Arial" w:cs="Arial" w:eastAsia="Arial" w:hAnsi="Arial"/>
          <w:sz w:val="19"/>
          <w:szCs w:val="19"/>
          <w:color w:val="0F0F0F"/>
        </w:rPr>
        <w:t xml:space="preserve"> </w:t>
      </w:r>
      <w:r>
        <w:rPr>
          <w:rFonts w:ascii="Arial" w:cs="Arial" w:eastAsia="Arial" w:hAnsi="Arial"/>
          <w:sz w:val="19"/>
          <w:szCs w:val="19"/>
          <w:color w:val="000000"/>
        </w:rPr>
        <w:t>refuses to pay the additional premium. If</w:t>
      </w:r>
      <w:r>
        <w:rPr>
          <w:rFonts w:ascii="Arial" w:cs="Arial" w:eastAsia="Arial" w:hAnsi="Arial"/>
          <w:sz w:val="19"/>
          <w:szCs w:val="19"/>
          <w:color w:val="0F0F0F"/>
        </w:rPr>
        <w:t xml:space="preserve"> </w:t>
      </w:r>
      <w:r>
        <w:rPr>
          <w:rFonts w:ascii="Arial" w:cs="Arial" w:eastAsia="Arial" w:hAnsi="Arial"/>
          <w:sz w:val="19"/>
          <w:szCs w:val="19"/>
          <w:color w:val="383838"/>
        </w:rPr>
        <w:t>such</w:t>
      </w:r>
      <w:r>
        <w:rPr>
          <w:rFonts w:ascii="Arial" w:cs="Arial" w:eastAsia="Arial" w:hAnsi="Arial"/>
          <w:sz w:val="19"/>
          <w:szCs w:val="19"/>
          <w:color w:val="0F0F0F"/>
        </w:rPr>
        <w:t xml:space="preserve"> </w:t>
      </w:r>
      <w:r>
        <w:rPr>
          <w:rFonts w:ascii="Arial" w:cs="Arial" w:eastAsia="Arial" w:hAnsi="Arial"/>
          <w:sz w:val="19"/>
          <w:szCs w:val="19"/>
          <w:color w:val="000000"/>
        </w:rPr>
        <w:t>policies</w:t>
      </w:r>
      <w:r>
        <w:rPr>
          <w:rFonts w:ascii="Arial" w:cs="Arial" w:eastAsia="Arial" w:hAnsi="Arial"/>
          <w:sz w:val="19"/>
          <w:szCs w:val="19"/>
          <w:color w:val="0F0F0F"/>
        </w:rPr>
        <w:t xml:space="preserve"> </w:t>
      </w:r>
      <w:r>
        <w:rPr>
          <w:rFonts w:ascii="Arial" w:cs="Arial" w:eastAsia="Arial" w:hAnsi="Arial"/>
          <w:sz w:val="19"/>
          <w:szCs w:val="19"/>
          <w:color w:val="383838"/>
        </w:rPr>
        <w:t>s</w:t>
      </w:r>
      <w:r>
        <w:rPr>
          <w:rFonts w:ascii="Arial" w:cs="Arial" w:eastAsia="Arial" w:hAnsi="Arial"/>
          <w:sz w:val="19"/>
          <w:szCs w:val="19"/>
          <w:color w:val="0F0F0F"/>
        </w:rPr>
        <w:t xml:space="preserve">hall </w:t>
      </w:r>
      <w:r>
        <w:rPr>
          <w:rFonts w:ascii="Arial" w:cs="Arial" w:eastAsia="Arial" w:hAnsi="Arial"/>
          <w:sz w:val="19"/>
          <w:szCs w:val="19"/>
          <w:color w:val="000000"/>
        </w:rPr>
        <w:t>at</w:t>
      </w:r>
      <w:r>
        <w:rPr>
          <w:rFonts w:ascii="Arial" w:cs="Arial" w:eastAsia="Arial" w:hAnsi="Arial"/>
          <w:sz w:val="19"/>
          <w:szCs w:val="19"/>
          <w:color w:val="0F0F0F"/>
        </w:rPr>
        <w:t xml:space="preserve"> </w:t>
      </w:r>
      <w:r>
        <w:rPr>
          <w:rFonts w:ascii="Arial" w:cs="Arial" w:eastAsia="Arial" w:hAnsi="Arial"/>
          <w:sz w:val="19"/>
          <w:szCs w:val="19"/>
          <w:color w:val="000000"/>
        </w:rPr>
        <w:t xml:space="preserve">any </w:t>
      </w:r>
      <w:r>
        <w:rPr>
          <w:rFonts w:ascii="Arial" w:cs="Arial" w:eastAsia="Arial" w:hAnsi="Arial"/>
          <w:sz w:val="19"/>
          <w:szCs w:val="19"/>
          <w:color w:val="383838"/>
        </w:rPr>
        <w:t>t</w:t>
      </w:r>
      <w:r>
        <w:rPr>
          <w:rFonts w:ascii="Arial" w:cs="Arial" w:eastAsia="Arial" w:hAnsi="Arial"/>
          <w:sz w:val="19"/>
          <w:szCs w:val="19"/>
          <w:color w:val="0F0F0F"/>
        </w:rPr>
        <w:t>ime</w:t>
      </w:r>
      <w:r>
        <w:rPr>
          <w:rFonts w:ascii="Arial" w:cs="Arial" w:eastAsia="Arial" w:hAnsi="Arial"/>
          <w:sz w:val="19"/>
          <w:szCs w:val="19"/>
          <w:color w:val="000000"/>
        </w:rPr>
        <w:t xml:space="preserve"> be unobtainable, but </w:t>
      </w:r>
      <w:r>
        <w:rPr>
          <w:rFonts w:ascii="Arial" w:cs="Arial" w:eastAsia="Arial" w:hAnsi="Arial"/>
          <w:sz w:val="19"/>
          <w:szCs w:val="19"/>
          <w:color w:val="383838"/>
        </w:rPr>
        <w:t>sha</w:t>
      </w:r>
      <w:r>
        <w:rPr>
          <w:rFonts w:ascii="Arial" w:cs="Arial" w:eastAsia="Arial" w:hAnsi="Arial"/>
          <w:sz w:val="19"/>
          <w:szCs w:val="19"/>
          <w:color w:val="0F0F0F"/>
        </w:rPr>
        <w:t>ll be</w:t>
      </w:r>
      <w:r>
        <w:rPr>
          <w:rFonts w:ascii="Arial" w:cs="Arial" w:eastAsia="Arial" w:hAnsi="Arial"/>
          <w:sz w:val="19"/>
          <w:szCs w:val="19"/>
          <w:color w:val="000000"/>
        </w:rPr>
        <w:t xml:space="preserve"> </w:t>
      </w:r>
      <w:r>
        <w:rPr>
          <w:rFonts w:ascii="Arial" w:cs="Arial" w:eastAsia="Arial" w:hAnsi="Arial"/>
          <w:sz w:val="19"/>
          <w:szCs w:val="19"/>
          <w:color w:val="383838"/>
        </w:rPr>
        <w:t>s</w:t>
      </w:r>
      <w:r>
        <w:rPr>
          <w:rFonts w:ascii="Arial" w:cs="Arial" w:eastAsia="Arial" w:hAnsi="Arial"/>
          <w:sz w:val="19"/>
          <w:szCs w:val="19"/>
          <w:color w:val="0F0F0F"/>
        </w:rPr>
        <w:t>ub</w:t>
      </w:r>
      <w:r>
        <w:rPr>
          <w:rFonts w:ascii="Arial" w:cs="Arial" w:eastAsia="Arial" w:hAnsi="Arial"/>
          <w:sz w:val="19"/>
          <w:szCs w:val="19"/>
          <w:color w:val="383838"/>
        </w:rPr>
        <w:t>seq</w:t>
      </w:r>
      <w:r>
        <w:rPr>
          <w:rFonts w:ascii="Arial" w:cs="Arial" w:eastAsia="Arial" w:hAnsi="Arial"/>
          <w:sz w:val="19"/>
          <w:szCs w:val="19"/>
          <w:color w:val="0F0F0F"/>
        </w:rPr>
        <w:t>uently</w:t>
      </w:r>
      <w:r>
        <w:rPr>
          <w:rFonts w:ascii="Arial" w:cs="Arial" w:eastAsia="Arial" w:hAnsi="Arial"/>
          <w:sz w:val="19"/>
          <w:szCs w:val="19"/>
          <w:color w:val="000000"/>
        </w:rPr>
        <w:t xml:space="preserve"> obtainable, </w:t>
      </w:r>
      <w:r>
        <w:rPr>
          <w:rFonts w:ascii="Arial" w:cs="Arial" w:eastAsia="Arial" w:hAnsi="Arial"/>
          <w:sz w:val="19"/>
          <w:szCs w:val="19"/>
          <w:color w:val="383838"/>
        </w:rPr>
        <w:t>t</w:t>
      </w:r>
      <w:r>
        <w:rPr>
          <w:rFonts w:ascii="Arial" w:cs="Arial" w:eastAsia="Arial" w:hAnsi="Arial"/>
          <w:sz w:val="19"/>
          <w:szCs w:val="19"/>
          <w:color w:val="0F0F0F"/>
        </w:rPr>
        <w:t>hen</w:t>
      </w:r>
      <w:r>
        <w:rPr>
          <w:rFonts w:ascii="Arial" w:cs="Arial" w:eastAsia="Arial" w:hAnsi="Arial"/>
          <w:sz w:val="19"/>
          <w:szCs w:val="19"/>
          <w:color w:val="000000"/>
        </w:rPr>
        <w:t xml:space="preserve"> neither </w:t>
      </w:r>
      <w:r>
        <w:rPr>
          <w:rFonts w:ascii="Arial" w:cs="Arial" w:eastAsia="Arial" w:hAnsi="Arial"/>
          <w:sz w:val="19"/>
          <w:szCs w:val="19"/>
          <w:color w:val="0F0F0F"/>
        </w:rPr>
        <w:t>party</w:t>
      </w:r>
      <w:r>
        <w:rPr>
          <w:rFonts w:ascii="Arial" w:cs="Arial" w:eastAsia="Arial" w:hAnsi="Arial"/>
          <w:sz w:val="19"/>
          <w:szCs w:val="19"/>
          <w:color w:val="000000"/>
        </w:rPr>
        <w:t xml:space="preserve"> shall </w:t>
      </w:r>
      <w:r>
        <w:rPr>
          <w:rFonts w:ascii="Arial" w:cs="Arial" w:eastAsia="Arial" w:hAnsi="Arial"/>
          <w:sz w:val="19"/>
          <w:szCs w:val="19"/>
          <w:color w:val="0F0F0F"/>
        </w:rPr>
        <w:t>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120"/>
          </w:cols>
          <w:pgMar w:left="1440" w:top="1401" w:right="339" w:bottom="1440" w:gutter="0" w:footer="0" w:header="0"/>
        </w:sectPr>
      </w:pPr>
    </w:p>
    <w:bookmarkStart w:id="348" w:name="page349"/>
    <w:bookmarkEnd w:id="348"/>
    <w:p>
      <w:pPr>
        <w:jc w:val="both"/>
        <w:ind w:left="1300"/>
        <w:spacing w:after="0" w:line="218" w:lineRule="auto"/>
        <w:rPr>
          <w:sz w:val="20"/>
          <w:szCs w:val="20"/>
          <w:color w:val="auto"/>
        </w:rPr>
      </w:pPr>
      <w:r>
        <w:rPr>
          <w:rFonts w:ascii="Arial" w:cs="Arial" w:eastAsia="Arial" w:hAnsi="Arial"/>
          <w:sz w:val="22"/>
          <w:szCs w:val="22"/>
          <w:color w:val="auto"/>
        </w:rPr>
        <w:t xml:space="preserve">subsequently </w:t>
      </w:r>
      <w:r>
        <w:rPr>
          <w:rFonts w:ascii="Arial" w:cs="Arial" w:eastAsia="Arial" w:hAnsi="Arial"/>
          <w:sz w:val="22"/>
          <w:szCs w:val="22"/>
          <w:color w:val="0F0F0F"/>
        </w:rPr>
        <w:t>liable</w:t>
      </w:r>
      <w:r>
        <w:rPr>
          <w:rFonts w:ascii="Arial" w:cs="Arial" w:eastAsia="Arial" w:hAnsi="Arial"/>
          <w:sz w:val="22"/>
          <w:szCs w:val="22"/>
          <w:color w:val="auto"/>
        </w:rPr>
        <w:t xml:space="preserve"> for a failure to obtain such insurance until a reasonable </w:t>
      </w:r>
      <w:r>
        <w:rPr>
          <w:rFonts w:ascii="Arial" w:cs="Arial" w:eastAsia="Arial" w:hAnsi="Arial"/>
          <w:sz w:val="22"/>
          <w:szCs w:val="22"/>
          <w:color w:val="0F0F0F"/>
        </w:rPr>
        <w:t>time</w:t>
      </w:r>
      <w:r>
        <w:rPr>
          <w:rFonts w:ascii="Arial" w:cs="Arial" w:eastAsia="Arial" w:hAnsi="Arial"/>
          <w:sz w:val="22"/>
          <w:szCs w:val="22"/>
          <w:color w:val="auto"/>
        </w:rPr>
        <w:t xml:space="preserve"> after notification </w:t>
      </w:r>
      <w:r>
        <w:rPr>
          <w:rFonts w:ascii="Arial" w:cs="Arial" w:eastAsia="Arial" w:hAnsi="Arial"/>
          <w:sz w:val="22"/>
          <w:szCs w:val="22"/>
          <w:color w:val="0F0F0F"/>
        </w:rPr>
        <w:t>thereo</w:t>
      </w:r>
      <w:r>
        <w:rPr>
          <w:rFonts w:ascii="Arial" w:cs="Arial" w:eastAsia="Arial" w:hAnsi="Arial"/>
          <w:sz w:val="22"/>
          <w:szCs w:val="22"/>
          <w:color w:val="383838"/>
        </w:rPr>
        <w:t>f</w:t>
      </w:r>
      <w:r>
        <w:rPr>
          <w:rFonts w:ascii="Arial" w:cs="Arial" w:eastAsia="Arial" w:hAnsi="Arial"/>
          <w:sz w:val="22"/>
          <w:szCs w:val="22"/>
          <w:color w:val="auto"/>
        </w:rPr>
        <w:t xml:space="preserve"> by </w:t>
      </w:r>
      <w:r>
        <w:rPr>
          <w:rFonts w:ascii="Arial" w:cs="Arial" w:eastAsia="Arial" w:hAnsi="Arial"/>
          <w:sz w:val="22"/>
          <w:szCs w:val="22"/>
          <w:color w:val="0F0F0F"/>
        </w:rPr>
        <w:t>the</w:t>
      </w:r>
      <w:r>
        <w:rPr>
          <w:rFonts w:ascii="Arial" w:cs="Arial" w:eastAsia="Arial" w:hAnsi="Arial"/>
          <w:sz w:val="22"/>
          <w:szCs w:val="22"/>
          <w:color w:val="auto"/>
        </w:rPr>
        <w:t xml:space="preserve"> other party. If the release of either </w:t>
      </w:r>
      <w:r>
        <w:rPr>
          <w:rFonts w:ascii="Arial" w:cs="Arial" w:eastAsia="Arial" w:hAnsi="Arial"/>
          <w:sz w:val="22"/>
          <w:szCs w:val="22"/>
          <w:color w:val="0F0F0F"/>
        </w:rPr>
        <w:t>Landlord</w:t>
      </w:r>
      <w:r>
        <w:rPr>
          <w:rFonts w:ascii="Arial" w:cs="Arial" w:eastAsia="Arial" w:hAnsi="Arial"/>
          <w:sz w:val="22"/>
          <w:szCs w:val="22"/>
          <w:color w:val="auto"/>
        </w:rPr>
        <w:t xml:space="preserve"> or </w:t>
      </w:r>
      <w:r>
        <w:rPr>
          <w:rFonts w:ascii="Arial" w:cs="Arial" w:eastAsia="Arial" w:hAnsi="Arial"/>
          <w:sz w:val="22"/>
          <w:szCs w:val="22"/>
          <w:color w:val="383838"/>
        </w:rPr>
        <w:t>Tenan</w:t>
      </w:r>
      <w:r>
        <w:rPr>
          <w:rFonts w:ascii="Arial" w:cs="Arial" w:eastAsia="Arial" w:hAnsi="Arial"/>
          <w:sz w:val="22"/>
          <w:szCs w:val="22"/>
          <w:color w:val="0F0F0F"/>
        </w:rPr>
        <w:t>t,</w:t>
      </w:r>
      <w:r>
        <w:rPr>
          <w:rFonts w:ascii="Arial" w:cs="Arial" w:eastAsia="Arial" w:hAnsi="Arial"/>
          <w:sz w:val="22"/>
          <w:szCs w:val="22"/>
          <w:color w:val="auto"/>
        </w:rPr>
        <w:t xml:space="preserve"> as </w:t>
      </w:r>
      <w:r>
        <w:rPr>
          <w:rFonts w:ascii="Arial" w:cs="Arial" w:eastAsia="Arial" w:hAnsi="Arial"/>
          <w:sz w:val="22"/>
          <w:szCs w:val="22"/>
          <w:color w:val="383838"/>
        </w:rPr>
        <w:t>set</w:t>
      </w:r>
      <w:r>
        <w:rPr>
          <w:rFonts w:ascii="Arial" w:cs="Arial" w:eastAsia="Arial" w:hAnsi="Arial"/>
          <w:sz w:val="22"/>
          <w:szCs w:val="22"/>
          <w:color w:val="auto"/>
        </w:rPr>
        <w:t xml:space="preserve"> forth in </w:t>
      </w:r>
      <w:r>
        <w:rPr>
          <w:rFonts w:ascii="Arial" w:cs="Arial" w:eastAsia="Arial" w:hAnsi="Arial"/>
          <w:sz w:val="22"/>
          <w:szCs w:val="22"/>
          <w:color w:val="0F0F0F"/>
        </w:rPr>
        <w:t>the</w:t>
      </w:r>
      <w:r>
        <w:rPr>
          <w:rFonts w:ascii="Arial" w:cs="Arial" w:eastAsia="Arial" w:hAnsi="Arial"/>
          <w:sz w:val="22"/>
          <w:szCs w:val="22"/>
          <w:color w:val="auto"/>
        </w:rPr>
        <w:t xml:space="preserve"> first sentence of this </w:t>
      </w:r>
      <w:r>
        <w:rPr>
          <w:rFonts w:ascii="Arial" w:cs="Arial" w:eastAsia="Arial" w:hAnsi="Arial"/>
          <w:sz w:val="22"/>
          <w:szCs w:val="22"/>
          <w:color w:val="383838"/>
        </w:rPr>
        <w:t>Section, shall</w:t>
      </w:r>
      <w:r>
        <w:rPr>
          <w:rFonts w:ascii="Arial" w:cs="Arial" w:eastAsia="Arial" w:hAnsi="Arial"/>
          <w:sz w:val="22"/>
          <w:szCs w:val="22"/>
          <w:color w:val="auto"/>
        </w:rPr>
        <w:t xml:space="preserve"> contravene Applicable </w:t>
      </w:r>
      <w:r>
        <w:rPr>
          <w:rFonts w:ascii="Arial" w:cs="Arial" w:eastAsia="Arial" w:hAnsi="Arial"/>
          <w:sz w:val="22"/>
          <w:szCs w:val="22"/>
          <w:color w:val="0F0F0F"/>
        </w:rPr>
        <w:t>L</w:t>
      </w:r>
      <w:r>
        <w:rPr>
          <w:rFonts w:ascii="Arial" w:cs="Arial" w:eastAsia="Arial" w:hAnsi="Arial"/>
          <w:sz w:val="22"/>
          <w:szCs w:val="22"/>
          <w:color w:val="383838"/>
        </w:rPr>
        <w:t>aws,</w:t>
      </w:r>
      <w:r>
        <w:rPr>
          <w:rFonts w:ascii="Arial" w:cs="Arial" w:eastAsia="Arial" w:hAnsi="Arial"/>
          <w:sz w:val="22"/>
          <w:szCs w:val="22"/>
          <w:color w:val="auto"/>
        </w:rPr>
        <w:t xml:space="preserve"> then the </w:t>
      </w:r>
      <w:r>
        <w:rPr>
          <w:rFonts w:ascii="Arial" w:cs="Arial" w:eastAsia="Arial" w:hAnsi="Arial"/>
          <w:sz w:val="22"/>
          <w:szCs w:val="22"/>
          <w:color w:val="161616"/>
        </w:rPr>
        <w:t>liability of</w:t>
      </w:r>
      <w:r>
        <w:rPr>
          <w:rFonts w:ascii="Arial" w:cs="Arial" w:eastAsia="Arial" w:hAnsi="Arial"/>
          <w:sz w:val="22"/>
          <w:szCs w:val="22"/>
          <w:color w:val="auto"/>
        </w:rPr>
        <w:t xml:space="preserve"> </w:t>
      </w:r>
      <w:r>
        <w:rPr>
          <w:rFonts w:ascii="Arial" w:cs="Arial" w:eastAsia="Arial" w:hAnsi="Arial"/>
          <w:sz w:val="22"/>
          <w:szCs w:val="22"/>
          <w:color w:val="383838"/>
        </w:rPr>
        <w:t>the</w:t>
      </w:r>
      <w:r>
        <w:rPr>
          <w:rFonts w:ascii="Arial" w:cs="Arial" w:eastAsia="Arial" w:hAnsi="Arial"/>
          <w:sz w:val="22"/>
          <w:szCs w:val="22"/>
          <w:color w:val="auto"/>
        </w:rPr>
        <w:t xml:space="preserve"> </w:t>
      </w:r>
      <w:r>
        <w:rPr>
          <w:rFonts w:ascii="Arial" w:cs="Arial" w:eastAsia="Arial" w:hAnsi="Arial"/>
          <w:sz w:val="22"/>
          <w:szCs w:val="22"/>
          <w:color w:val="161616"/>
        </w:rPr>
        <w:t>party in question</w:t>
      </w:r>
      <w:r>
        <w:rPr>
          <w:rFonts w:ascii="Arial" w:cs="Arial" w:eastAsia="Arial" w:hAnsi="Arial"/>
          <w:sz w:val="22"/>
          <w:szCs w:val="22"/>
          <w:color w:val="auto"/>
        </w:rPr>
        <w:t xml:space="preserve"> </w:t>
      </w:r>
      <w:r>
        <w:rPr>
          <w:rFonts w:ascii="Arial" w:cs="Arial" w:eastAsia="Arial" w:hAnsi="Arial"/>
          <w:sz w:val="22"/>
          <w:szCs w:val="22"/>
          <w:color w:val="282828"/>
        </w:rPr>
        <w:t>shall</w:t>
      </w:r>
      <w:r>
        <w:rPr>
          <w:rFonts w:ascii="Arial" w:cs="Arial" w:eastAsia="Arial" w:hAnsi="Arial"/>
          <w:sz w:val="22"/>
          <w:szCs w:val="22"/>
          <w:color w:val="auto"/>
        </w:rPr>
        <w:t xml:space="preserve"> </w:t>
      </w:r>
      <w:r>
        <w:rPr>
          <w:rFonts w:ascii="Arial" w:cs="Arial" w:eastAsia="Arial" w:hAnsi="Arial"/>
          <w:sz w:val="22"/>
          <w:szCs w:val="22"/>
          <w:color w:val="161616"/>
        </w:rPr>
        <w:t>be</w:t>
      </w:r>
      <w:r>
        <w:rPr>
          <w:rFonts w:ascii="Arial" w:cs="Arial" w:eastAsia="Arial" w:hAnsi="Arial"/>
          <w:sz w:val="22"/>
          <w:szCs w:val="22"/>
          <w:color w:val="auto"/>
        </w:rPr>
        <w:t xml:space="preserve"> </w:t>
      </w:r>
      <w:r>
        <w:rPr>
          <w:rFonts w:ascii="Arial" w:cs="Arial" w:eastAsia="Arial" w:hAnsi="Arial"/>
          <w:sz w:val="22"/>
          <w:szCs w:val="22"/>
          <w:color w:val="282828"/>
        </w:rPr>
        <w:t>deemed</w:t>
      </w:r>
      <w:r>
        <w:rPr>
          <w:rFonts w:ascii="Arial" w:cs="Arial" w:eastAsia="Arial" w:hAnsi="Arial"/>
          <w:sz w:val="22"/>
          <w:szCs w:val="22"/>
          <w:color w:val="auto"/>
        </w:rPr>
        <w:t xml:space="preserve"> </w:t>
      </w:r>
      <w:r>
        <w:rPr>
          <w:rFonts w:ascii="Arial" w:cs="Arial" w:eastAsia="Arial" w:hAnsi="Arial"/>
          <w:sz w:val="22"/>
          <w:szCs w:val="22"/>
          <w:color w:val="161616"/>
        </w:rPr>
        <w:t>not released but</w:t>
      </w:r>
      <w:r>
        <w:rPr>
          <w:rFonts w:ascii="Arial" w:cs="Arial" w:eastAsia="Arial" w:hAnsi="Arial"/>
          <w:sz w:val="22"/>
          <w:szCs w:val="22"/>
          <w:color w:val="auto"/>
        </w:rPr>
        <w:t xml:space="preserve"> </w:t>
      </w:r>
      <w:r>
        <w:rPr>
          <w:rFonts w:ascii="Arial" w:cs="Arial" w:eastAsia="Arial" w:hAnsi="Arial"/>
          <w:sz w:val="22"/>
          <w:szCs w:val="22"/>
          <w:color w:val="282828"/>
        </w:rPr>
        <w:t>shall</w:t>
      </w:r>
      <w:r>
        <w:rPr>
          <w:rFonts w:ascii="Arial" w:cs="Arial" w:eastAsia="Arial" w:hAnsi="Arial"/>
          <w:sz w:val="22"/>
          <w:szCs w:val="22"/>
          <w:color w:val="auto"/>
        </w:rPr>
        <w:t xml:space="preserve"> </w:t>
      </w:r>
      <w:r>
        <w:rPr>
          <w:rFonts w:ascii="Arial" w:cs="Arial" w:eastAsia="Arial" w:hAnsi="Arial"/>
          <w:sz w:val="22"/>
          <w:szCs w:val="22"/>
          <w:color w:val="161616"/>
        </w:rPr>
        <w:t>be</w:t>
      </w:r>
      <w:r>
        <w:rPr>
          <w:rFonts w:ascii="Arial" w:cs="Arial" w:eastAsia="Arial" w:hAnsi="Arial"/>
          <w:sz w:val="22"/>
          <w:szCs w:val="22"/>
          <w:color w:val="auto"/>
        </w:rPr>
        <w:t xml:space="preserve"> </w:t>
      </w:r>
      <w:r>
        <w:rPr>
          <w:rFonts w:ascii="Arial" w:cs="Arial" w:eastAsia="Arial" w:hAnsi="Arial"/>
          <w:sz w:val="22"/>
          <w:szCs w:val="22"/>
          <w:color w:val="383838"/>
        </w:rPr>
        <w:t xml:space="preserve">secondary </w:t>
      </w:r>
      <w:r>
        <w:rPr>
          <w:rFonts w:ascii="Arial" w:cs="Arial" w:eastAsia="Arial" w:hAnsi="Arial"/>
          <w:sz w:val="22"/>
          <w:szCs w:val="22"/>
          <w:color w:val="161616"/>
        </w:rPr>
        <w:t>to the other party’s insurer.</w:t>
      </w:r>
    </w:p>
    <w:p>
      <w:pPr>
        <w:spacing w:after="0" w:line="161" w:lineRule="exact"/>
        <w:rPr>
          <w:sz w:val="20"/>
          <w:szCs w:val="20"/>
          <w:color w:val="auto"/>
        </w:rPr>
      </w:pPr>
    </w:p>
    <w:p>
      <w:pPr>
        <w:ind w:left="1300" w:hanging="647"/>
        <w:spacing w:after="0" w:line="298" w:lineRule="auto"/>
        <w:tabs>
          <w:tab w:leader="none" w:pos="128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19"/>
          <w:szCs w:val="19"/>
          <w:color w:val="auto"/>
        </w:rPr>
        <w:t xml:space="preserve">Landlord may require insurance </w:t>
      </w:r>
      <w:r>
        <w:rPr>
          <w:rFonts w:ascii="Arial" w:cs="Arial" w:eastAsia="Arial" w:hAnsi="Arial"/>
          <w:sz w:val="19"/>
          <w:szCs w:val="19"/>
          <w:color w:val="282828"/>
        </w:rPr>
        <w:t>policy</w:t>
      </w:r>
      <w:r>
        <w:rPr>
          <w:rFonts w:ascii="Arial" w:cs="Arial" w:eastAsia="Arial" w:hAnsi="Arial"/>
          <w:sz w:val="19"/>
          <w:szCs w:val="19"/>
          <w:color w:val="auto"/>
        </w:rPr>
        <w:t xml:space="preserve"> </w:t>
      </w:r>
      <w:r>
        <w:rPr>
          <w:rFonts w:ascii="Arial" w:cs="Arial" w:eastAsia="Arial" w:hAnsi="Arial"/>
          <w:sz w:val="19"/>
          <w:szCs w:val="19"/>
          <w:color w:val="383838"/>
        </w:rPr>
        <w:t>limits</w:t>
      </w:r>
      <w:r>
        <w:rPr>
          <w:rFonts w:ascii="Arial" w:cs="Arial" w:eastAsia="Arial" w:hAnsi="Arial"/>
          <w:sz w:val="19"/>
          <w:szCs w:val="19"/>
          <w:color w:val="auto"/>
        </w:rPr>
        <w:t xml:space="preserve"> required under this Lease to be </w:t>
      </w:r>
      <w:r>
        <w:rPr>
          <w:rFonts w:ascii="Arial" w:cs="Arial" w:eastAsia="Arial" w:hAnsi="Arial"/>
          <w:sz w:val="19"/>
          <w:szCs w:val="19"/>
          <w:color w:val="282828"/>
        </w:rPr>
        <w:t>raised</w:t>
      </w:r>
      <w:r>
        <w:rPr>
          <w:rFonts w:ascii="Arial" w:cs="Arial" w:eastAsia="Arial" w:hAnsi="Arial"/>
          <w:sz w:val="19"/>
          <w:szCs w:val="19"/>
          <w:color w:val="auto"/>
        </w:rPr>
        <w:t xml:space="preserve"> from </w:t>
      </w:r>
      <w:r>
        <w:rPr>
          <w:rFonts w:ascii="Arial" w:cs="Arial" w:eastAsia="Arial" w:hAnsi="Arial"/>
          <w:sz w:val="19"/>
          <w:szCs w:val="19"/>
          <w:color w:val="383838"/>
        </w:rPr>
        <w:t>time</w:t>
      </w:r>
      <w:r>
        <w:rPr>
          <w:rFonts w:ascii="Arial" w:cs="Arial" w:eastAsia="Arial" w:hAnsi="Arial"/>
          <w:sz w:val="19"/>
          <w:szCs w:val="19"/>
          <w:color w:val="auto"/>
        </w:rPr>
        <w:t xml:space="preserve"> to time, provided, </w:t>
      </w:r>
      <w:r>
        <w:rPr>
          <w:rFonts w:ascii="Arial" w:cs="Arial" w:eastAsia="Arial" w:hAnsi="Arial"/>
          <w:sz w:val="19"/>
          <w:szCs w:val="19"/>
          <w:color w:val="282828"/>
        </w:rPr>
        <w:t xml:space="preserve">that, </w:t>
      </w:r>
      <w:r>
        <w:rPr>
          <w:rFonts w:ascii="Arial" w:cs="Arial" w:eastAsia="Arial" w:hAnsi="Arial"/>
          <w:sz w:val="19"/>
          <w:szCs w:val="19"/>
          <w:color w:val="383838"/>
        </w:rPr>
        <w:t>such</w:t>
      </w:r>
      <w:r>
        <w:rPr>
          <w:rFonts w:ascii="Arial" w:cs="Arial" w:eastAsia="Arial" w:hAnsi="Arial"/>
          <w:sz w:val="19"/>
          <w:szCs w:val="19"/>
          <w:color w:val="282828"/>
        </w:rPr>
        <w:t xml:space="preserve"> </w:t>
      </w:r>
      <w:r>
        <w:rPr>
          <w:rFonts w:ascii="Arial" w:cs="Arial" w:eastAsia="Arial" w:hAnsi="Arial"/>
          <w:sz w:val="19"/>
          <w:szCs w:val="19"/>
          <w:color w:val="000000"/>
        </w:rPr>
        <w:t>increases</w:t>
      </w:r>
      <w:r>
        <w:rPr>
          <w:rFonts w:ascii="Arial" w:cs="Arial" w:eastAsia="Arial" w:hAnsi="Arial"/>
          <w:sz w:val="19"/>
          <w:szCs w:val="19"/>
          <w:color w:val="282828"/>
        </w:rPr>
        <w:t xml:space="preserve"> </w:t>
      </w:r>
      <w:r>
        <w:rPr>
          <w:rFonts w:ascii="Arial" w:cs="Arial" w:eastAsia="Arial" w:hAnsi="Arial"/>
          <w:sz w:val="19"/>
          <w:szCs w:val="19"/>
          <w:color w:val="383838"/>
        </w:rPr>
        <w:t>shall</w:t>
      </w:r>
      <w:r>
        <w:rPr>
          <w:rFonts w:ascii="Arial" w:cs="Arial" w:eastAsia="Arial" w:hAnsi="Arial"/>
          <w:sz w:val="19"/>
          <w:szCs w:val="19"/>
          <w:color w:val="282828"/>
        </w:rPr>
        <w:t xml:space="preserve"> </w:t>
      </w:r>
      <w:r>
        <w:rPr>
          <w:rFonts w:ascii="Arial" w:cs="Arial" w:eastAsia="Arial" w:hAnsi="Arial"/>
          <w:sz w:val="19"/>
          <w:szCs w:val="19"/>
          <w:color w:val="000000"/>
        </w:rPr>
        <w:t>not exceed</w:t>
      </w:r>
      <w:r>
        <w:rPr>
          <w:rFonts w:ascii="Arial" w:cs="Arial" w:eastAsia="Arial" w:hAnsi="Arial"/>
          <w:sz w:val="19"/>
          <w:szCs w:val="19"/>
          <w:color w:val="282828"/>
        </w:rPr>
        <w:t xml:space="preserve"> </w:t>
      </w:r>
      <w:r>
        <w:rPr>
          <w:rFonts w:ascii="Arial" w:cs="Arial" w:eastAsia="Arial" w:hAnsi="Arial"/>
          <w:sz w:val="19"/>
          <w:szCs w:val="19"/>
          <w:color w:val="383838"/>
        </w:rPr>
        <w:t>the</w:t>
      </w:r>
      <w:r>
        <w:rPr>
          <w:rFonts w:ascii="Arial" w:cs="Arial" w:eastAsia="Arial" w:hAnsi="Arial"/>
          <w:sz w:val="19"/>
          <w:szCs w:val="19"/>
          <w:color w:val="282828"/>
        </w:rPr>
        <w:t xml:space="preserve"> </w:t>
      </w:r>
      <w:r>
        <w:rPr>
          <w:rFonts w:ascii="Arial" w:cs="Arial" w:eastAsia="Arial" w:hAnsi="Arial"/>
          <w:sz w:val="19"/>
          <w:szCs w:val="19"/>
          <w:color w:val="000000"/>
        </w:rPr>
        <w:t>coverage amounts required by landlords in other Comparable Buildings.</w:t>
      </w:r>
    </w:p>
    <w:p>
      <w:pPr>
        <w:spacing w:after="0" w:line="1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color w:val="auto"/>
        </w:rPr>
        <w:t xml:space="preserve">Any costs </w:t>
      </w:r>
      <w:r>
        <w:rPr>
          <w:rFonts w:ascii="Arial" w:cs="Arial" w:eastAsia="Arial" w:hAnsi="Arial"/>
          <w:sz w:val="19"/>
          <w:szCs w:val="19"/>
          <w:color w:val="383838"/>
        </w:rPr>
        <w:t>incurred</w:t>
      </w:r>
      <w:r>
        <w:rPr>
          <w:rFonts w:ascii="Arial" w:cs="Arial" w:eastAsia="Arial" w:hAnsi="Arial"/>
          <w:sz w:val="19"/>
          <w:szCs w:val="19"/>
          <w:color w:val="auto"/>
        </w:rPr>
        <w:t xml:space="preserve"> by Landlord pursuant to this </w:t>
      </w:r>
      <w:r>
        <w:rPr>
          <w:rFonts w:ascii="Arial" w:cs="Arial" w:eastAsia="Arial" w:hAnsi="Arial"/>
          <w:sz w:val="19"/>
          <w:szCs w:val="19"/>
          <w:color w:val="282828"/>
        </w:rPr>
        <w:t>Article</w:t>
      </w:r>
      <w:r>
        <w:rPr>
          <w:rFonts w:ascii="Arial" w:cs="Arial" w:eastAsia="Arial" w:hAnsi="Arial"/>
          <w:sz w:val="19"/>
          <w:szCs w:val="19"/>
          <w:color w:val="auto"/>
        </w:rPr>
        <w:t xml:space="preserve"> </w:t>
      </w:r>
      <w:r>
        <w:rPr>
          <w:rFonts w:ascii="Arial" w:cs="Arial" w:eastAsia="Arial" w:hAnsi="Arial"/>
          <w:sz w:val="19"/>
          <w:szCs w:val="19"/>
          <w:color w:val="383838"/>
        </w:rPr>
        <w:t>shall</w:t>
      </w:r>
      <w:r>
        <w:rPr>
          <w:rFonts w:ascii="Arial" w:cs="Arial" w:eastAsia="Arial" w:hAnsi="Arial"/>
          <w:sz w:val="19"/>
          <w:szCs w:val="19"/>
          <w:color w:val="auto"/>
        </w:rPr>
        <w:t xml:space="preserve"> </w:t>
      </w:r>
      <w:r>
        <w:rPr>
          <w:rFonts w:ascii="Arial" w:cs="Arial" w:eastAsia="Arial" w:hAnsi="Arial"/>
          <w:sz w:val="19"/>
          <w:szCs w:val="19"/>
          <w:color w:val="282828"/>
        </w:rPr>
        <w:t>constitute a portion</w:t>
      </w:r>
      <w:r>
        <w:rPr>
          <w:rFonts w:ascii="Arial" w:cs="Arial" w:eastAsia="Arial" w:hAnsi="Arial"/>
          <w:sz w:val="19"/>
          <w:szCs w:val="19"/>
          <w:color w:val="auto"/>
        </w:rPr>
        <w:t xml:space="preserve"> of Operating Expenses.</w:t>
      </w:r>
    </w:p>
    <w:p>
      <w:pPr>
        <w:spacing w:after="0" w:line="179" w:lineRule="exact"/>
        <w:rPr>
          <w:sz w:val="20"/>
          <w:szCs w:val="20"/>
          <w:color w:val="auto"/>
        </w:rPr>
      </w:pPr>
    </w:p>
    <w:p>
      <w:pPr>
        <w:ind w:left="660" w:hanging="652"/>
        <w:spacing w:after="0"/>
        <w:tabs>
          <w:tab w:leader="none" w:pos="660" w:val="left"/>
        </w:tabs>
        <w:numPr>
          <w:ilvl w:val="0"/>
          <w:numId w:val="298"/>
        </w:numPr>
        <w:rPr>
          <w:rFonts w:ascii="Arial" w:cs="Arial" w:eastAsia="Arial" w:hAnsi="Arial"/>
          <w:sz w:val="22"/>
          <w:szCs w:val="22"/>
          <w:color w:val="auto"/>
        </w:rPr>
      </w:pPr>
      <w:r>
        <w:rPr>
          <w:rFonts w:ascii="Arial" w:cs="Arial" w:eastAsia="Arial" w:hAnsi="Arial"/>
          <w:sz w:val="22"/>
          <w:szCs w:val="22"/>
          <w:u w:val="single" w:color="auto"/>
          <w:color w:val="auto"/>
        </w:rPr>
        <w:t xml:space="preserve">Damage </w:t>
      </w:r>
      <w:r>
        <w:rPr>
          <w:rFonts w:ascii="Arial" w:cs="Arial" w:eastAsia="Arial" w:hAnsi="Arial"/>
          <w:sz w:val="22"/>
          <w:szCs w:val="22"/>
          <w:u w:val="single" w:color="auto"/>
          <w:color w:val="282828"/>
        </w:rPr>
        <w:t>or</w:t>
      </w:r>
      <w:r>
        <w:rPr>
          <w:rFonts w:ascii="Arial" w:cs="Arial" w:eastAsia="Arial" w:hAnsi="Arial"/>
          <w:sz w:val="22"/>
          <w:szCs w:val="22"/>
          <w:u w:val="single" w:color="auto"/>
          <w:color w:val="auto"/>
        </w:rPr>
        <w:t xml:space="preserve"> Destruction.</w:t>
      </w:r>
    </w:p>
    <w:p>
      <w:pPr>
        <w:spacing w:after="0" w:line="179" w:lineRule="exact"/>
        <w:rPr>
          <w:rFonts w:ascii="Arial" w:cs="Arial" w:eastAsia="Arial" w:hAnsi="Arial"/>
          <w:sz w:val="22"/>
          <w:szCs w:val="22"/>
          <w:color w:val="auto"/>
        </w:rPr>
      </w:pPr>
    </w:p>
    <w:p>
      <w:pPr>
        <w:ind w:left="1300" w:hanging="648"/>
        <w:spacing w:after="0" w:line="244" w:lineRule="auto"/>
        <w:rPr>
          <w:rFonts w:ascii="Arial" w:cs="Arial" w:eastAsia="Arial" w:hAnsi="Arial"/>
          <w:sz w:val="22"/>
          <w:szCs w:val="22"/>
          <w:color w:val="auto"/>
        </w:rPr>
      </w:pPr>
      <w:r>
        <w:rPr>
          <w:rFonts w:ascii="Arial" w:cs="Arial" w:eastAsia="Arial" w:hAnsi="Arial"/>
          <w:sz w:val="19"/>
          <w:szCs w:val="19"/>
          <w:color w:val="auto"/>
        </w:rPr>
        <w:t xml:space="preserve">24.1 In the event of </w:t>
      </w:r>
      <w:r>
        <w:rPr>
          <w:rFonts w:ascii="Arial" w:cs="Arial" w:eastAsia="Arial" w:hAnsi="Arial"/>
          <w:sz w:val="19"/>
          <w:szCs w:val="19"/>
          <w:color w:val="383838"/>
        </w:rPr>
        <w:t>a</w:t>
      </w:r>
      <w:r>
        <w:rPr>
          <w:rFonts w:ascii="Arial" w:cs="Arial" w:eastAsia="Arial" w:hAnsi="Arial"/>
          <w:sz w:val="19"/>
          <w:szCs w:val="19"/>
          <w:color w:val="auto"/>
        </w:rPr>
        <w:t xml:space="preserve"> partial destruction </w:t>
      </w:r>
      <w:r>
        <w:rPr>
          <w:rFonts w:ascii="Arial" w:cs="Arial" w:eastAsia="Arial" w:hAnsi="Arial"/>
          <w:sz w:val="19"/>
          <w:szCs w:val="19"/>
          <w:color w:val="282828"/>
        </w:rPr>
        <w:t>of</w:t>
      </w:r>
      <w:r>
        <w:rPr>
          <w:rFonts w:ascii="Arial" w:cs="Arial" w:eastAsia="Arial" w:hAnsi="Arial"/>
          <w:sz w:val="19"/>
          <w:szCs w:val="19"/>
          <w:color w:val="auto"/>
        </w:rPr>
        <w:t xml:space="preserve"> (a) the Premises or (b) Common </w:t>
      </w:r>
      <w:r>
        <w:rPr>
          <w:rFonts w:ascii="Arial" w:cs="Arial" w:eastAsia="Arial" w:hAnsi="Arial"/>
          <w:sz w:val="19"/>
          <w:szCs w:val="19"/>
          <w:color w:val="282828"/>
        </w:rPr>
        <w:t>Areas</w:t>
      </w:r>
      <w:r>
        <w:rPr>
          <w:rFonts w:ascii="Arial" w:cs="Arial" w:eastAsia="Arial" w:hAnsi="Arial"/>
          <w:sz w:val="19"/>
          <w:szCs w:val="19"/>
          <w:color w:val="auto"/>
        </w:rPr>
        <w:t xml:space="preserve"> ((a) and </w:t>
      </w:r>
      <w:r>
        <w:rPr>
          <w:rFonts w:ascii="Arial" w:cs="Arial" w:eastAsia="Arial" w:hAnsi="Arial"/>
          <w:sz w:val="19"/>
          <w:szCs w:val="19"/>
          <w:color w:val="282828"/>
        </w:rPr>
        <w:t>(b)</w:t>
      </w:r>
      <w:r>
        <w:rPr>
          <w:rFonts w:ascii="Arial" w:cs="Arial" w:eastAsia="Arial" w:hAnsi="Arial"/>
          <w:sz w:val="19"/>
          <w:szCs w:val="19"/>
          <w:color w:val="auto"/>
        </w:rPr>
        <w:t xml:space="preserve"> </w:t>
      </w:r>
      <w:r>
        <w:rPr>
          <w:rFonts w:ascii="Arial" w:cs="Arial" w:eastAsia="Arial" w:hAnsi="Arial"/>
          <w:sz w:val="19"/>
          <w:szCs w:val="19"/>
          <w:color w:val="383838"/>
        </w:rPr>
        <w:t>together,</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Affected</w:t>
      </w:r>
      <w:r>
        <w:rPr>
          <w:rFonts w:ascii="Arial" w:cs="Arial" w:eastAsia="Arial" w:hAnsi="Arial"/>
          <w:sz w:val="19"/>
          <w:szCs w:val="19"/>
          <w:color w:val="auto"/>
        </w:rPr>
        <w:t xml:space="preserve"> </w:t>
      </w:r>
      <w:r>
        <w:rPr>
          <w:rFonts w:ascii="Arial" w:cs="Arial" w:eastAsia="Arial" w:hAnsi="Arial"/>
          <w:sz w:val="19"/>
          <w:szCs w:val="19"/>
          <w:u w:val="single" w:color="auto"/>
          <w:color w:val="282828"/>
        </w:rPr>
        <w:t>Areas</w:t>
      </w:r>
      <w:r>
        <w:rPr>
          <w:rFonts w:ascii="Arial" w:cs="Arial" w:eastAsia="Arial" w:hAnsi="Arial"/>
          <w:sz w:val="19"/>
          <w:szCs w:val="19"/>
          <w:color w:val="282828"/>
        </w:rPr>
        <w:t xml:space="preserve">”) </w:t>
      </w:r>
      <w:r>
        <w:rPr>
          <w:rFonts w:ascii="Arial" w:cs="Arial" w:eastAsia="Arial" w:hAnsi="Arial"/>
          <w:sz w:val="19"/>
          <w:szCs w:val="19"/>
          <w:color w:val="000000"/>
        </w:rPr>
        <w:t>by</w:t>
      </w:r>
      <w:r>
        <w:rPr>
          <w:rFonts w:ascii="Arial" w:cs="Arial" w:eastAsia="Arial" w:hAnsi="Arial"/>
          <w:sz w:val="19"/>
          <w:szCs w:val="19"/>
          <w:color w:val="282828"/>
        </w:rPr>
        <w:t xml:space="preserve"> fire </w:t>
      </w:r>
      <w:r>
        <w:rPr>
          <w:rFonts w:ascii="Arial" w:cs="Arial" w:eastAsia="Arial" w:hAnsi="Arial"/>
          <w:sz w:val="19"/>
          <w:szCs w:val="19"/>
          <w:color w:val="000000"/>
        </w:rPr>
        <w:t>or other perils</w:t>
      </w:r>
      <w:r>
        <w:rPr>
          <w:rFonts w:ascii="Arial" w:cs="Arial" w:eastAsia="Arial" w:hAnsi="Arial"/>
          <w:sz w:val="19"/>
          <w:szCs w:val="19"/>
          <w:color w:val="282828"/>
        </w:rPr>
        <w:t xml:space="preserve"> covered </w:t>
      </w:r>
      <w:r>
        <w:rPr>
          <w:rFonts w:ascii="Arial" w:cs="Arial" w:eastAsia="Arial" w:hAnsi="Arial"/>
          <w:sz w:val="19"/>
          <w:szCs w:val="19"/>
          <w:color w:val="000000"/>
        </w:rPr>
        <w:t>by</w:t>
      </w:r>
      <w:r>
        <w:rPr>
          <w:rFonts w:ascii="Arial" w:cs="Arial" w:eastAsia="Arial" w:hAnsi="Arial"/>
          <w:sz w:val="19"/>
          <w:szCs w:val="19"/>
          <w:color w:val="282828"/>
        </w:rPr>
        <w:t xml:space="preserve"> extended coverage </w:t>
      </w:r>
      <w:r>
        <w:rPr>
          <w:rFonts w:ascii="Arial" w:cs="Arial" w:eastAsia="Arial" w:hAnsi="Arial"/>
          <w:sz w:val="19"/>
          <w:szCs w:val="19"/>
          <w:color w:val="383838"/>
        </w:rPr>
        <w:t>insurance</w:t>
      </w:r>
      <w:r>
        <w:rPr>
          <w:rFonts w:ascii="Arial" w:cs="Arial" w:eastAsia="Arial" w:hAnsi="Arial"/>
          <w:sz w:val="19"/>
          <w:szCs w:val="19"/>
          <w:color w:val="282828"/>
        </w:rPr>
        <w:t xml:space="preserve"> </w:t>
      </w:r>
      <w:r>
        <w:rPr>
          <w:rFonts w:ascii="Arial" w:cs="Arial" w:eastAsia="Arial" w:hAnsi="Arial"/>
          <w:sz w:val="19"/>
          <w:szCs w:val="19"/>
          <w:color w:val="000000"/>
        </w:rPr>
        <w:t>not</w:t>
      </w:r>
      <w:r>
        <w:rPr>
          <w:rFonts w:ascii="Arial" w:cs="Arial" w:eastAsia="Arial" w:hAnsi="Arial"/>
          <w:sz w:val="19"/>
          <w:szCs w:val="19"/>
          <w:color w:val="282828"/>
        </w:rPr>
        <w:t xml:space="preserve"> exceeding </w:t>
      </w:r>
      <w:r>
        <w:rPr>
          <w:rFonts w:ascii="Arial" w:cs="Arial" w:eastAsia="Arial" w:hAnsi="Arial"/>
          <w:sz w:val="19"/>
          <w:szCs w:val="19"/>
          <w:u w:val="single" w:color="auto"/>
          <w:color w:val="000000"/>
        </w:rPr>
        <w:t>[***]</w:t>
      </w:r>
      <w:r>
        <w:rPr>
          <w:rFonts w:ascii="Arial" w:cs="Arial" w:eastAsia="Arial" w:hAnsi="Arial"/>
          <w:sz w:val="19"/>
          <w:szCs w:val="19"/>
          <w:color w:val="282828"/>
        </w:rPr>
        <w:t xml:space="preserve"> percent (</w:t>
      </w:r>
      <w:r>
        <w:rPr>
          <w:rFonts w:ascii="Arial" w:cs="Arial" w:eastAsia="Arial" w:hAnsi="Arial"/>
          <w:sz w:val="19"/>
          <w:szCs w:val="19"/>
          <w:u w:val="single" w:color="auto"/>
          <w:color w:val="000000"/>
        </w:rPr>
        <w:t>[***]</w:t>
      </w:r>
      <w:r>
        <w:rPr>
          <w:rFonts w:ascii="Arial" w:cs="Arial" w:eastAsia="Arial" w:hAnsi="Arial"/>
          <w:sz w:val="19"/>
          <w:szCs w:val="19"/>
          <w:color w:val="282828"/>
        </w:rPr>
        <w:t xml:space="preserve">%) of </w:t>
      </w:r>
      <w:r>
        <w:rPr>
          <w:rFonts w:ascii="Arial" w:cs="Arial" w:eastAsia="Arial" w:hAnsi="Arial"/>
          <w:sz w:val="19"/>
          <w:szCs w:val="19"/>
          <w:color w:val="000000"/>
        </w:rPr>
        <w:t xml:space="preserve">the full insurable </w:t>
      </w:r>
      <w:r>
        <w:rPr>
          <w:rFonts w:ascii="Arial" w:cs="Arial" w:eastAsia="Arial" w:hAnsi="Arial"/>
          <w:sz w:val="19"/>
          <w:szCs w:val="19"/>
          <w:color w:val="282828"/>
        </w:rPr>
        <w:t>value</w:t>
      </w:r>
      <w:r>
        <w:rPr>
          <w:rFonts w:ascii="Arial" w:cs="Arial" w:eastAsia="Arial" w:hAnsi="Arial"/>
          <w:sz w:val="19"/>
          <w:szCs w:val="19"/>
          <w:color w:val="000000"/>
        </w:rPr>
        <w:t xml:space="preserve"> </w:t>
      </w:r>
      <w:r>
        <w:rPr>
          <w:rFonts w:ascii="Arial" w:cs="Arial" w:eastAsia="Arial" w:hAnsi="Arial"/>
          <w:sz w:val="19"/>
          <w:szCs w:val="19"/>
          <w:color w:val="383838"/>
        </w:rPr>
        <w:t>thereof,</w:t>
      </w:r>
      <w:r>
        <w:rPr>
          <w:rFonts w:ascii="Arial" w:cs="Arial" w:eastAsia="Arial" w:hAnsi="Arial"/>
          <w:sz w:val="19"/>
          <w:szCs w:val="19"/>
          <w:color w:val="000000"/>
        </w:rPr>
        <w:t xml:space="preserve"> and provided </w:t>
      </w:r>
      <w:r>
        <w:rPr>
          <w:rFonts w:ascii="Arial" w:cs="Arial" w:eastAsia="Arial" w:hAnsi="Arial"/>
          <w:sz w:val="19"/>
          <w:szCs w:val="19"/>
          <w:color w:val="282828"/>
        </w:rPr>
        <w:t>that</w:t>
      </w:r>
      <w:r>
        <w:rPr>
          <w:rFonts w:ascii="Arial" w:cs="Arial" w:eastAsia="Arial" w:hAnsi="Arial"/>
          <w:sz w:val="19"/>
          <w:szCs w:val="19"/>
          <w:color w:val="000000"/>
        </w:rPr>
        <w:t xml:space="preserve"> (x) the damage thereto is </w:t>
      </w:r>
      <w:r>
        <w:rPr>
          <w:rFonts w:ascii="Arial" w:cs="Arial" w:eastAsia="Arial" w:hAnsi="Arial"/>
          <w:sz w:val="19"/>
          <w:szCs w:val="19"/>
          <w:color w:val="383838"/>
        </w:rPr>
        <w:t>such</w:t>
      </w:r>
      <w:r>
        <w:rPr>
          <w:rFonts w:ascii="Arial" w:cs="Arial" w:eastAsia="Arial" w:hAnsi="Arial"/>
          <w:sz w:val="19"/>
          <w:szCs w:val="19"/>
          <w:color w:val="000000"/>
        </w:rPr>
        <w:t xml:space="preserve"> that the Affected </w:t>
      </w:r>
      <w:r>
        <w:rPr>
          <w:rFonts w:ascii="Arial" w:cs="Arial" w:eastAsia="Arial" w:hAnsi="Arial"/>
          <w:sz w:val="19"/>
          <w:szCs w:val="19"/>
          <w:color w:val="282828"/>
        </w:rPr>
        <w:t>Areas</w:t>
      </w:r>
      <w:r>
        <w:rPr>
          <w:rFonts w:ascii="Arial" w:cs="Arial" w:eastAsia="Arial" w:hAnsi="Arial"/>
          <w:sz w:val="19"/>
          <w:szCs w:val="19"/>
          <w:color w:val="000000"/>
        </w:rPr>
        <w:t xml:space="preserve"> may be </w:t>
      </w:r>
      <w:r>
        <w:rPr>
          <w:rFonts w:ascii="Arial" w:cs="Arial" w:eastAsia="Arial" w:hAnsi="Arial"/>
          <w:sz w:val="19"/>
          <w:szCs w:val="19"/>
          <w:color w:val="282828"/>
        </w:rPr>
        <w:t xml:space="preserve">repaired, </w:t>
      </w:r>
      <w:r>
        <w:rPr>
          <w:rFonts w:ascii="Arial" w:cs="Arial" w:eastAsia="Arial" w:hAnsi="Arial"/>
          <w:sz w:val="19"/>
          <w:szCs w:val="19"/>
          <w:color w:val="000000"/>
        </w:rPr>
        <w:t>reconstructed</w:t>
      </w:r>
      <w:r>
        <w:rPr>
          <w:rFonts w:ascii="Arial" w:cs="Arial" w:eastAsia="Arial" w:hAnsi="Arial"/>
          <w:sz w:val="19"/>
          <w:szCs w:val="19"/>
          <w:color w:val="282828"/>
        </w:rPr>
        <w:t xml:space="preserve"> or </w:t>
      </w:r>
      <w:r>
        <w:rPr>
          <w:rFonts w:ascii="Arial" w:cs="Arial" w:eastAsia="Arial" w:hAnsi="Arial"/>
          <w:sz w:val="19"/>
          <w:szCs w:val="19"/>
          <w:color w:val="000000"/>
        </w:rPr>
        <w:t>restored within a</w:t>
      </w:r>
      <w:r>
        <w:rPr>
          <w:rFonts w:ascii="Arial" w:cs="Arial" w:eastAsia="Arial" w:hAnsi="Arial"/>
          <w:sz w:val="19"/>
          <w:szCs w:val="19"/>
          <w:color w:val="282828"/>
        </w:rPr>
        <w:t xml:space="preserve"> period </w:t>
      </w:r>
      <w:r>
        <w:rPr>
          <w:rFonts w:ascii="Arial" w:cs="Arial" w:eastAsia="Arial" w:hAnsi="Arial"/>
          <w:sz w:val="19"/>
          <w:szCs w:val="19"/>
          <w:color w:val="000000"/>
        </w:rPr>
        <w:t>of twelve (12)</w:t>
      </w:r>
      <w:r>
        <w:rPr>
          <w:rFonts w:ascii="Arial" w:cs="Arial" w:eastAsia="Arial" w:hAnsi="Arial"/>
          <w:sz w:val="19"/>
          <w:szCs w:val="19"/>
          <w:color w:val="282828"/>
        </w:rPr>
        <w:t xml:space="preserve"> months from the </w:t>
      </w:r>
      <w:r>
        <w:rPr>
          <w:rFonts w:ascii="Arial" w:cs="Arial" w:eastAsia="Arial" w:hAnsi="Arial"/>
          <w:sz w:val="19"/>
          <w:szCs w:val="19"/>
          <w:color w:val="000000"/>
        </w:rPr>
        <w:t>date of</w:t>
      </w:r>
      <w:r>
        <w:rPr>
          <w:rFonts w:ascii="Arial" w:cs="Arial" w:eastAsia="Arial" w:hAnsi="Arial"/>
          <w:sz w:val="19"/>
          <w:szCs w:val="19"/>
          <w:color w:val="282828"/>
        </w:rPr>
        <w:t xml:space="preserve"> the </w:t>
      </w:r>
      <w:r>
        <w:rPr>
          <w:rFonts w:ascii="Arial" w:cs="Arial" w:eastAsia="Arial" w:hAnsi="Arial"/>
          <w:sz w:val="19"/>
          <w:szCs w:val="19"/>
          <w:color w:val="000000"/>
        </w:rPr>
        <w:t>happening</w:t>
      </w:r>
      <w:r>
        <w:rPr>
          <w:rFonts w:ascii="Arial" w:cs="Arial" w:eastAsia="Arial" w:hAnsi="Arial"/>
          <w:sz w:val="19"/>
          <w:szCs w:val="19"/>
          <w:color w:val="282828"/>
        </w:rPr>
        <w:t xml:space="preserve"> of such </w:t>
      </w:r>
      <w:r>
        <w:rPr>
          <w:rFonts w:ascii="Arial" w:cs="Arial" w:eastAsia="Arial" w:hAnsi="Arial"/>
          <w:sz w:val="19"/>
          <w:szCs w:val="19"/>
          <w:color w:val="000000"/>
        </w:rPr>
        <w:t xml:space="preserve">casualty, (y) Landlord </w:t>
      </w:r>
      <w:r>
        <w:rPr>
          <w:rFonts w:ascii="Arial" w:cs="Arial" w:eastAsia="Arial" w:hAnsi="Arial"/>
          <w:sz w:val="19"/>
          <w:szCs w:val="19"/>
          <w:color w:val="282828"/>
        </w:rPr>
        <w:t>shall</w:t>
      </w:r>
      <w:r>
        <w:rPr>
          <w:rFonts w:ascii="Arial" w:cs="Arial" w:eastAsia="Arial" w:hAnsi="Arial"/>
          <w:sz w:val="19"/>
          <w:szCs w:val="19"/>
          <w:color w:val="000000"/>
        </w:rPr>
        <w:t xml:space="preserve"> receive insurance proceeds </w:t>
      </w:r>
      <w:r>
        <w:rPr>
          <w:rFonts w:ascii="Arial" w:cs="Arial" w:eastAsia="Arial" w:hAnsi="Arial"/>
          <w:sz w:val="19"/>
          <w:szCs w:val="19"/>
          <w:color w:val="383838"/>
        </w:rPr>
        <w:t>sufficient</w:t>
      </w:r>
      <w:r>
        <w:rPr>
          <w:rFonts w:ascii="Arial" w:cs="Arial" w:eastAsia="Arial" w:hAnsi="Arial"/>
          <w:sz w:val="19"/>
          <w:szCs w:val="19"/>
          <w:color w:val="000000"/>
        </w:rPr>
        <w:t xml:space="preserve"> to </w:t>
      </w:r>
      <w:r>
        <w:rPr>
          <w:rFonts w:ascii="Arial" w:cs="Arial" w:eastAsia="Arial" w:hAnsi="Arial"/>
          <w:sz w:val="19"/>
          <w:szCs w:val="19"/>
          <w:color w:val="282828"/>
        </w:rPr>
        <w:t>cover</w:t>
      </w:r>
      <w:r>
        <w:rPr>
          <w:rFonts w:ascii="Arial" w:cs="Arial" w:eastAsia="Arial" w:hAnsi="Arial"/>
          <w:sz w:val="19"/>
          <w:szCs w:val="19"/>
          <w:color w:val="000000"/>
        </w:rPr>
        <w:t xml:space="preserve"> </w:t>
      </w:r>
      <w:r>
        <w:rPr>
          <w:rFonts w:ascii="Arial" w:cs="Arial" w:eastAsia="Arial" w:hAnsi="Arial"/>
          <w:sz w:val="19"/>
          <w:szCs w:val="19"/>
          <w:color w:val="383838"/>
        </w:rPr>
        <w:t>the</w:t>
      </w:r>
      <w:r>
        <w:rPr>
          <w:rFonts w:ascii="Arial" w:cs="Arial" w:eastAsia="Arial" w:hAnsi="Arial"/>
          <w:sz w:val="19"/>
          <w:szCs w:val="19"/>
          <w:color w:val="000000"/>
        </w:rPr>
        <w:t xml:space="preserve"> cost of </w:t>
      </w:r>
      <w:r>
        <w:rPr>
          <w:rFonts w:ascii="Arial" w:cs="Arial" w:eastAsia="Arial" w:hAnsi="Arial"/>
          <w:sz w:val="19"/>
          <w:szCs w:val="19"/>
          <w:color w:val="282828"/>
        </w:rPr>
        <w:t>such</w:t>
      </w:r>
      <w:r>
        <w:rPr>
          <w:rFonts w:ascii="Arial" w:cs="Arial" w:eastAsia="Arial" w:hAnsi="Arial"/>
          <w:sz w:val="19"/>
          <w:szCs w:val="19"/>
          <w:color w:val="000000"/>
        </w:rPr>
        <w:t xml:space="preserve"> repairs (</w:t>
      </w:r>
      <w:r>
        <w:rPr>
          <w:rFonts w:ascii="Arial" w:cs="Arial" w:eastAsia="Arial" w:hAnsi="Arial"/>
          <w:sz w:val="19"/>
          <w:szCs w:val="19"/>
          <w:color w:val="282828"/>
        </w:rPr>
        <w:t>except for any</w:t>
      </w:r>
      <w:r>
        <w:rPr>
          <w:rFonts w:ascii="Arial" w:cs="Arial" w:eastAsia="Arial" w:hAnsi="Arial"/>
          <w:sz w:val="19"/>
          <w:szCs w:val="19"/>
          <w:color w:val="000000"/>
        </w:rPr>
        <w:t xml:space="preserve"> </w:t>
      </w:r>
      <w:r>
        <w:rPr>
          <w:rFonts w:ascii="Arial" w:cs="Arial" w:eastAsia="Arial" w:hAnsi="Arial"/>
          <w:sz w:val="19"/>
          <w:szCs w:val="19"/>
          <w:color w:val="282828"/>
        </w:rPr>
        <w:t xml:space="preserve">deductible </w:t>
      </w:r>
      <w:r>
        <w:rPr>
          <w:rFonts w:ascii="Arial" w:cs="Arial" w:eastAsia="Arial" w:hAnsi="Arial"/>
          <w:sz w:val="19"/>
          <w:szCs w:val="19"/>
          <w:color w:val="000000"/>
        </w:rPr>
        <w:t>amount provided by Landlord’s policy, which deductible amount, if paid by Landlord,</w:t>
      </w:r>
      <w:r>
        <w:rPr>
          <w:rFonts w:ascii="Arial" w:cs="Arial" w:eastAsia="Arial" w:hAnsi="Arial"/>
          <w:sz w:val="19"/>
          <w:szCs w:val="19"/>
          <w:color w:val="282828"/>
        </w:rPr>
        <w:t xml:space="preserve"> </w:t>
      </w:r>
      <w:r>
        <w:rPr>
          <w:rFonts w:ascii="Arial" w:cs="Arial" w:eastAsia="Arial" w:hAnsi="Arial"/>
          <w:sz w:val="19"/>
          <w:szCs w:val="19"/>
          <w:color w:val="383838"/>
        </w:rPr>
        <w:t>shall</w:t>
      </w:r>
      <w:r>
        <w:rPr>
          <w:rFonts w:ascii="Arial" w:cs="Arial" w:eastAsia="Arial" w:hAnsi="Arial"/>
          <w:sz w:val="19"/>
          <w:szCs w:val="19"/>
          <w:color w:val="282828"/>
        </w:rPr>
        <w:t xml:space="preserve"> </w:t>
      </w:r>
      <w:r>
        <w:rPr>
          <w:rFonts w:ascii="Arial" w:cs="Arial" w:eastAsia="Arial" w:hAnsi="Arial"/>
          <w:sz w:val="19"/>
          <w:szCs w:val="19"/>
          <w:color w:val="000000"/>
        </w:rPr>
        <w:t>constitute</w:t>
      </w:r>
      <w:r>
        <w:rPr>
          <w:rFonts w:ascii="Arial" w:cs="Arial" w:eastAsia="Arial" w:hAnsi="Arial"/>
          <w:sz w:val="19"/>
          <w:szCs w:val="19"/>
          <w:color w:val="282828"/>
        </w:rPr>
        <w:t xml:space="preserve"> an </w:t>
      </w:r>
      <w:r>
        <w:rPr>
          <w:rFonts w:ascii="Arial" w:cs="Arial" w:eastAsia="Arial" w:hAnsi="Arial"/>
          <w:sz w:val="19"/>
          <w:szCs w:val="19"/>
          <w:color w:val="000000"/>
        </w:rPr>
        <w:t>Operating Expense), and (z)</w:t>
      </w:r>
      <w:r>
        <w:rPr>
          <w:rFonts w:ascii="Arial" w:cs="Arial" w:eastAsia="Arial" w:hAnsi="Arial"/>
          <w:sz w:val="19"/>
          <w:szCs w:val="19"/>
          <w:color w:val="282828"/>
        </w:rPr>
        <w:t xml:space="preserve"> such </w:t>
      </w:r>
      <w:r>
        <w:rPr>
          <w:rFonts w:ascii="Arial" w:cs="Arial" w:eastAsia="Arial" w:hAnsi="Arial"/>
          <w:sz w:val="19"/>
          <w:szCs w:val="19"/>
          <w:color w:val="000000"/>
        </w:rPr>
        <w:t>casualty was not intentionally caused by Tenant or its</w:t>
      </w:r>
      <w:r>
        <w:rPr>
          <w:rFonts w:ascii="Arial" w:cs="Arial" w:eastAsia="Arial" w:hAnsi="Arial"/>
          <w:sz w:val="19"/>
          <w:szCs w:val="19"/>
          <w:color w:val="282828"/>
        </w:rPr>
        <w:t xml:space="preserve"> employees, </w:t>
      </w:r>
      <w:r>
        <w:rPr>
          <w:rFonts w:ascii="Arial" w:cs="Arial" w:eastAsia="Arial" w:hAnsi="Arial"/>
          <w:sz w:val="19"/>
          <w:szCs w:val="19"/>
          <w:color w:val="383838"/>
        </w:rPr>
        <w:t>then</w:t>
      </w:r>
      <w:r>
        <w:rPr>
          <w:rFonts w:ascii="Arial" w:cs="Arial" w:eastAsia="Arial" w:hAnsi="Arial"/>
          <w:sz w:val="19"/>
          <w:szCs w:val="19"/>
          <w:color w:val="282828"/>
        </w:rPr>
        <w:t xml:space="preserve"> Landlord </w:t>
      </w:r>
      <w:r>
        <w:rPr>
          <w:rFonts w:ascii="Arial" w:cs="Arial" w:eastAsia="Arial" w:hAnsi="Arial"/>
          <w:sz w:val="19"/>
          <w:szCs w:val="19"/>
          <w:color w:val="383838"/>
        </w:rPr>
        <w:t>shall</w:t>
      </w:r>
      <w:r>
        <w:rPr>
          <w:rFonts w:ascii="Arial" w:cs="Arial" w:eastAsia="Arial" w:hAnsi="Arial"/>
          <w:sz w:val="19"/>
          <w:szCs w:val="19"/>
          <w:color w:val="282828"/>
        </w:rPr>
        <w:t xml:space="preserve"> commence </w:t>
      </w:r>
      <w:r>
        <w:rPr>
          <w:rFonts w:ascii="Arial" w:cs="Arial" w:eastAsia="Arial" w:hAnsi="Arial"/>
          <w:sz w:val="19"/>
          <w:szCs w:val="19"/>
          <w:color w:val="383838"/>
        </w:rPr>
        <w:t>and</w:t>
      </w:r>
      <w:r>
        <w:rPr>
          <w:rFonts w:ascii="Arial" w:cs="Arial" w:eastAsia="Arial" w:hAnsi="Arial"/>
          <w:sz w:val="19"/>
          <w:szCs w:val="19"/>
          <w:color w:val="282828"/>
        </w:rPr>
        <w:t xml:space="preserve"> </w:t>
      </w:r>
      <w:r>
        <w:rPr>
          <w:rFonts w:ascii="Arial" w:cs="Arial" w:eastAsia="Arial" w:hAnsi="Arial"/>
          <w:sz w:val="19"/>
          <w:szCs w:val="19"/>
          <w:color w:val="000000"/>
        </w:rPr>
        <w:t>proceed diligently with the</w:t>
      </w:r>
      <w:r>
        <w:rPr>
          <w:rFonts w:ascii="Arial" w:cs="Arial" w:eastAsia="Arial" w:hAnsi="Arial"/>
          <w:sz w:val="19"/>
          <w:szCs w:val="19"/>
          <w:color w:val="282828"/>
        </w:rPr>
        <w:t xml:space="preserve"> work </w:t>
      </w:r>
      <w:r>
        <w:rPr>
          <w:rFonts w:ascii="Arial" w:cs="Arial" w:eastAsia="Arial" w:hAnsi="Arial"/>
          <w:sz w:val="19"/>
          <w:szCs w:val="19"/>
          <w:color w:val="000000"/>
        </w:rPr>
        <w:t>of</w:t>
      </w:r>
      <w:r>
        <w:rPr>
          <w:rFonts w:ascii="Arial" w:cs="Arial" w:eastAsia="Arial" w:hAnsi="Arial"/>
          <w:sz w:val="19"/>
          <w:szCs w:val="19"/>
          <w:color w:val="282828"/>
        </w:rPr>
        <w:t xml:space="preserve"> repair, </w:t>
      </w:r>
      <w:r>
        <w:rPr>
          <w:rFonts w:ascii="Arial" w:cs="Arial" w:eastAsia="Arial" w:hAnsi="Arial"/>
          <w:sz w:val="19"/>
          <w:szCs w:val="19"/>
          <w:color w:val="000000"/>
        </w:rPr>
        <w:t>reconstruction</w:t>
      </w:r>
      <w:r>
        <w:rPr>
          <w:rFonts w:ascii="Arial" w:cs="Arial" w:eastAsia="Arial" w:hAnsi="Arial"/>
          <w:sz w:val="19"/>
          <w:szCs w:val="19"/>
          <w:color w:val="282828"/>
        </w:rPr>
        <w:t xml:space="preserve"> and </w:t>
      </w:r>
      <w:r>
        <w:rPr>
          <w:rFonts w:ascii="Arial" w:cs="Arial" w:eastAsia="Arial" w:hAnsi="Arial"/>
          <w:sz w:val="19"/>
          <w:szCs w:val="19"/>
          <w:color w:val="000000"/>
        </w:rPr>
        <w:t>restoration of the</w:t>
      </w:r>
      <w:r>
        <w:rPr>
          <w:rFonts w:ascii="Arial" w:cs="Arial" w:eastAsia="Arial" w:hAnsi="Arial"/>
          <w:sz w:val="19"/>
          <w:szCs w:val="19"/>
          <w:color w:val="282828"/>
        </w:rPr>
        <w:t xml:space="preserve"> Affected </w:t>
      </w:r>
      <w:r>
        <w:rPr>
          <w:rFonts w:ascii="Arial" w:cs="Arial" w:eastAsia="Arial" w:hAnsi="Arial"/>
          <w:sz w:val="19"/>
          <w:szCs w:val="19"/>
          <w:color w:val="383838"/>
        </w:rPr>
        <w:t>Areas</w:t>
      </w:r>
      <w:r>
        <w:rPr>
          <w:rFonts w:ascii="Arial" w:cs="Arial" w:eastAsia="Arial" w:hAnsi="Arial"/>
          <w:sz w:val="19"/>
          <w:szCs w:val="19"/>
          <w:color w:val="282828"/>
        </w:rPr>
        <w:t xml:space="preserve"> and </w:t>
      </w:r>
      <w:r>
        <w:rPr>
          <w:rFonts w:ascii="Arial" w:cs="Arial" w:eastAsia="Arial" w:hAnsi="Arial"/>
          <w:sz w:val="19"/>
          <w:szCs w:val="19"/>
          <w:color w:val="000000"/>
        </w:rPr>
        <w:t>this Lease</w:t>
      </w:r>
      <w:r>
        <w:rPr>
          <w:rFonts w:ascii="Arial" w:cs="Arial" w:eastAsia="Arial" w:hAnsi="Arial"/>
          <w:sz w:val="19"/>
          <w:szCs w:val="19"/>
          <w:color w:val="282828"/>
        </w:rPr>
        <w:t xml:space="preserve"> </w:t>
      </w:r>
      <w:r>
        <w:rPr>
          <w:rFonts w:ascii="Arial" w:cs="Arial" w:eastAsia="Arial" w:hAnsi="Arial"/>
          <w:sz w:val="19"/>
          <w:szCs w:val="19"/>
          <w:color w:val="383838"/>
        </w:rPr>
        <w:t>shall</w:t>
      </w:r>
      <w:r>
        <w:rPr>
          <w:rFonts w:ascii="Arial" w:cs="Arial" w:eastAsia="Arial" w:hAnsi="Arial"/>
          <w:sz w:val="19"/>
          <w:szCs w:val="19"/>
          <w:color w:val="282828"/>
        </w:rPr>
        <w:t xml:space="preserve"> continue </w:t>
      </w:r>
      <w:r>
        <w:rPr>
          <w:rFonts w:ascii="Arial" w:cs="Arial" w:eastAsia="Arial" w:hAnsi="Arial"/>
          <w:sz w:val="19"/>
          <w:szCs w:val="19"/>
          <w:color w:val="000000"/>
        </w:rPr>
        <w:t>in full</w:t>
      </w:r>
      <w:r>
        <w:rPr>
          <w:rFonts w:ascii="Arial" w:cs="Arial" w:eastAsia="Arial" w:hAnsi="Arial"/>
          <w:sz w:val="19"/>
          <w:szCs w:val="19"/>
          <w:color w:val="282828"/>
        </w:rPr>
        <w:t xml:space="preserve"> force and </w:t>
      </w:r>
      <w:r>
        <w:rPr>
          <w:rFonts w:ascii="Arial" w:cs="Arial" w:eastAsia="Arial" w:hAnsi="Arial"/>
          <w:sz w:val="19"/>
          <w:szCs w:val="19"/>
          <w:color w:val="000000"/>
        </w:rPr>
        <w:t>effect.</w:t>
      </w:r>
    </w:p>
    <w:p>
      <w:pPr>
        <w:spacing w:after="0" w:line="160" w:lineRule="exact"/>
        <w:rPr>
          <w:rFonts w:ascii="Arial" w:cs="Arial" w:eastAsia="Arial" w:hAnsi="Arial"/>
          <w:sz w:val="22"/>
          <w:szCs w:val="22"/>
          <w:color w:val="auto"/>
        </w:rPr>
      </w:pPr>
    </w:p>
    <w:p>
      <w:pPr>
        <w:ind w:left="1300" w:hanging="648"/>
        <w:spacing w:after="0" w:line="257" w:lineRule="auto"/>
        <w:rPr>
          <w:rFonts w:ascii="Arial" w:cs="Arial" w:eastAsia="Arial" w:hAnsi="Arial"/>
          <w:sz w:val="22"/>
          <w:szCs w:val="22"/>
          <w:color w:val="auto"/>
        </w:rPr>
      </w:pPr>
      <w:r>
        <w:rPr>
          <w:rFonts w:ascii="Arial" w:cs="Arial" w:eastAsia="Arial" w:hAnsi="Arial"/>
          <w:sz w:val="19"/>
          <w:szCs w:val="19"/>
          <w:color w:val="auto"/>
        </w:rPr>
        <w:t xml:space="preserve">24.2 In </w:t>
      </w:r>
      <w:r>
        <w:rPr>
          <w:rFonts w:ascii="Arial" w:cs="Arial" w:eastAsia="Arial" w:hAnsi="Arial"/>
          <w:sz w:val="19"/>
          <w:szCs w:val="19"/>
          <w:color w:val="383838"/>
        </w:rPr>
        <w:t>the</w:t>
      </w:r>
      <w:r>
        <w:rPr>
          <w:rFonts w:ascii="Arial" w:cs="Arial" w:eastAsia="Arial" w:hAnsi="Arial"/>
          <w:sz w:val="19"/>
          <w:szCs w:val="19"/>
          <w:color w:val="auto"/>
        </w:rPr>
        <w:t xml:space="preserve"> </w:t>
      </w:r>
      <w:r>
        <w:rPr>
          <w:rFonts w:ascii="Arial" w:cs="Arial" w:eastAsia="Arial" w:hAnsi="Arial"/>
          <w:sz w:val="19"/>
          <w:szCs w:val="19"/>
          <w:color w:val="282828"/>
        </w:rPr>
        <w:t>event of any</w:t>
      </w:r>
      <w:r>
        <w:rPr>
          <w:rFonts w:ascii="Arial" w:cs="Arial" w:eastAsia="Arial" w:hAnsi="Arial"/>
          <w:sz w:val="19"/>
          <w:szCs w:val="19"/>
          <w:color w:val="auto"/>
        </w:rPr>
        <w:t xml:space="preserve"> damage to or destruction </w:t>
      </w:r>
      <w:r>
        <w:rPr>
          <w:rFonts w:ascii="Arial" w:cs="Arial" w:eastAsia="Arial" w:hAnsi="Arial"/>
          <w:sz w:val="19"/>
          <w:szCs w:val="19"/>
          <w:color w:val="282828"/>
        </w:rPr>
        <w:t>of</w:t>
      </w:r>
      <w:r>
        <w:rPr>
          <w:rFonts w:ascii="Arial" w:cs="Arial" w:eastAsia="Arial" w:hAnsi="Arial"/>
          <w:sz w:val="19"/>
          <w:szCs w:val="19"/>
          <w:color w:val="auto"/>
        </w:rPr>
        <w:t xml:space="preserve"> the Premises or the </w:t>
      </w:r>
      <w:r>
        <w:rPr>
          <w:rFonts w:ascii="Arial" w:cs="Arial" w:eastAsia="Arial" w:hAnsi="Arial"/>
          <w:sz w:val="19"/>
          <w:szCs w:val="19"/>
          <w:color w:val="282828"/>
        </w:rPr>
        <w:t>Common</w:t>
      </w:r>
      <w:r>
        <w:rPr>
          <w:rFonts w:ascii="Arial" w:cs="Arial" w:eastAsia="Arial" w:hAnsi="Arial"/>
          <w:sz w:val="19"/>
          <w:szCs w:val="19"/>
          <w:color w:val="auto"/>
        </w:rPr>
        <w:t xml:space="preserve"> Areas </w:t>
      </w:r>
      <w:r>
        <w:rPr>
          <w:rFonts w:ascii="Arial" w:cs="Arial" w:eastAsia="Arial" w:hAnsi="Arial"/>
          <w:sz w:val="19"/>
          <w:szCs w:val="19"/>
          <w:color w:val="282828"/>
        </w:rPr>
        <w:t>other</w:t>
      </w:r>
      <w:r>
        <w:rPr>
          <w:rFonts w:ascii="Arial" w:cs="Arial" w:eastAsia="Arial" w:hAnsi="Arial"/>
          <w:sz w:val="19"/>
          <w:szCs w:val="19"/>
          <w:color w:val="auto"/>
        </w:rPr>
        <w:t xml:space="preserve"> than </w:t>
      </w:r>
      <w:r>
        <w:rPr>
          <w:rFonts w:ascii="Arial" w:cs="Arial" w:eastAsia="Arial" w:hAnsi="Arial"/>
          <w:sz w:val="19"/>
          <w:szCs w:val="19"/>
          <w:color w:val="282828"/>
        </w:rPr>
        <w:t>as described</w:t>
      </w:r>
      <w:r>
        <w:rPr>
          <w:rFonts w:ascii="Arial" w:cs="Arial" w:eastAsia="Arial" w:hAnsi="Arial"/>
          <w:sz w:val="19"/>
          <w:szCs w:val="19"/>
          <w:color w:val="auto"/>
        </w:rPr>
        <w:t xml:space="preserve"> in </w:t>
      </w:r>
      <w:r>
        <w:rPr>
          <w:rFonts w:ascii="Arial" w:cs="Arial" w:eastAsia="Arial" w:hAnsi="Arial"/>
          <w:sz w:val="19"/>
          <w:szCs w:val="19"/>
          <w:u w:val="single" w:color="auto"/>
          <w:color w:val="282828"/>
        </w:rPr>
        <w:t>Section</w:t>
      </w:r>
      <w:r>
        <w:rPr>
          <w:rFonts w:ascii="Arial" w:cs="Arial" w:eastAsia="Arial" w:hAnsi="Arial"/>
          <w:sz w:val="19"/>
          <w:szCs w:val="19"/>
          <w:color w:val="282828"/>
        </w:rPr>
        <w:t xml:space="preserve"> </w:t>
      </w:r>
      <w:r>
        <w:rPr>
          <w:rFonts w:ascii="Arial" w:cs="Arial" w:eastAsia="Arial" w:hAnsi="Arial"/>
          <w:sz w:val="19"/>
          <w:szCs w:val="19"/>
          <w:u w:val="single" w:color="auto"/>
          <w:color w:val="000000"/>
        </w:rPr>
        <w:t>24.1</w:t>
      </w:r>
      <w:r>
        <w:rPr>
          <w:rFonts w:ascii="Arial" w:cs="Arial" w:eastAsia="Arial" w:hAnsi="Arial"/>
          <w:sz w:val="19"/>
          <w:szCs w:val="19"/>
          <w:color w:val="000000"/>
        </w:rPr>
        <w:t>, Landlord</w:t>
      </w:r>
      <w:r>
        <w:rPr>
          <w:rFonts w:ascii="Arial" w:cs="Arial" w:eastAsia="Arial" w:hAnsi="Arial"/>
          <w:sz w:val="19"/>
          <w:szCs w:val="19"/>
          <w:color w:val="282828"/>
        </w:rPr>
        <w:t xml:space="preserve"> may elect </w:t>
      </w:r>
      <w:r>
        <w:rPr>
          <w:rFonts w:ascii="Arial" w:cs="Arial" w:eastAsia="Arial" w:hAnsi="Arial"/>
          <w:sz w:val="19"/>
          <w:szCs w:val="19"/>
          <w:color w:val="000000"/>
        </w:rPr>
        <w:t>to repair, reconstruct and restore the</w:t>
      </w:r>
      <w:r>
        <w:rPr>
          <w:rFonts w:ascii="Arial" w:cs="Arial" w:eastAsia="Arial" w:hAnsi="Arial"/>
          <w:sz w:val="19"/>
          <w:szCs w:val="19"/>
          <w:color w:val="282828"/>
        </w:rPr>
        <w:t xml:space="preserve"> Premises </w:t>
      </w:r>
      <w:r>
        <w:rPr>
          <w:rFonts w:ascii="Arial" w:cs="Arial" w:eastAsia="Arial" w:hAnsi="Arial"/>
          <w:sz w:val="19"/>
          <w:szCs w:val="19"/>
          <w:color w:val="000000"/>
        </w:rPr>
        <w:t>or</w:t>
      </w:r>
      <w:r>
        <w:rPr>
          <w:rFonts w:ascii="Arial" w:cs="Arial" w:eastAsia="Arial" w:hAnsi="Arial"/>
          <w:sz w:val="19"/>
          <w:szCs w:val="19"/>
          <w:color w:val="282828"/>
        </w:rPr>
        <w:t xml:space="preserve"> </w:t>
      </w:r>
      <w:r>
        <w:rPr>
          <w:rFonts w:ascii="Arial" w:cs="Arial" w:eastAsia="Arial" w:hAnsi="Arial"/>
          <w:sz w:val="19"/>
          <w:szCs w:val="19"/>
          <w:color w:val="383838"/>
        </w:rPr>
        <w:t>the</w:t>
      </w:r>
      <w:r>
        <w:rPr>
          <w:rFonts w:ascii="Arial" w:cs="Arial" w:eastAsia="Arial" w:hAnsi="Arial"/>
          <w:sz w:val="19"/>
          <w:szCs w:val="19"/>
          <w:color w:val="282828"/>
        </w:rPr>
        <w:t xml:space="preserve"> Common Areas, as </w:t>
      </w:r>
      <w:r>
        <w:rPr>
          <w:rFonts w:ascii="Arial" w:cs="Arial" w:eastAsia="Arial" w:hAnsi="Arial"/>
          <w:sz w:val="19"/>
          <w:szCs w:val="19"/>
          <w:color w:val="000000"/>
        </w:rPr>
        <w:t xml:space="preserve">applicable, in which case </w:t>
      </w:r>
      <w:r>
        <w:rPr>
          <w:rFonts w:ascii="Arial" w:cs="Arial" w:eastAsia="Arial" w:hAnsi="Arial"/>
          <w:sz w:val="19"/>
          <w:szCs w:val="19"/>
          <w:color w:val="282828"/>
        </w:rPr>
        <w:t>this</w:t>
      </w:r>
      <w:r>
        <w:rPr>
          <w:rFonts w:ascii="Arial" w:cs="Arial" w:eastAsia="Arial" w:hAnsi="Arial"/>
          <w:sz w:val="19"/>
          <w:szCs w:val="19"/>
          <w:color w:val="000000"/>
        </w:rPr>
        <w:t xml:space="preserve"> </w:t>
      </w:r>
      <w:r>
        <w:rPr>
          <w:rFonts w:ascii="Arial" w:cs="Arial" w:eastAsia="Arial" w:hAnsi="Arial"/>
          <w:sz w:val="19"/>
          <w:szCs w:val="19"/>
          <w:color w:val="383838"/>
        </w:rPr>
        <w:t>Lease shall</w:t>
      </w:r>
      <w:r>
        <w:rPr>
          <w:rFonts w:ascii="Arial" w:cs="Arial" w:eastAsia="Arial" w:hAnsi="Arial"/>
          <w:sz w:val="19"/>
          <w:szCs w:val="19"/>
          <w:color w:val="000000"/>
        </w:rPr>
        <w:t xml:space="preserve"> </w:t>
      </w:r>
      <w:r>
        <w:rPr>
          <w:rFonts w:ascii="Arial" w:cs="Arial" w:eastAsia="Arial" w:hAnsi="Arial"/>
          <w:sz w:val="19"/>
          <w:szCs w:val="19"/>
          <w:color w:val="282828"/>
        </w:rPr>
        <w:t>continue in full</w:t>
      </w:r>
      <w:r>
        <w:rPr>
          <w:rFonts w:ascii="Arial" w:cs="Arial" w:eastAsia="Arial" w:hAnsi="Arial"/>
          <w:sz w:val="19"/>
          <w:szCs w:val="19"/>
          <w:color w:val="000000"/>
        </w:rPr>
        <w:t xml:space="preserve"> force and </w:t>
      </w:r>
      <w:r>
        <w:rPr>
          <w:rFonts w:ascii="Arial" w:cs="Arial" w:eastAsia="Arial" w:hAnsi="Arial"/>
          <w:sz w:val="19"/>
          <w:szCs w:val="19"/>
          <w:color w:val="282828"/>
        </w:rPr>
        <w:t>effect.</w:t>
      </w:r>
      <w:r>
        <w:rPr>
          <w:rFonts w:ascii="Arial" w:cs="Arial" w:eastAsia="Arial" w:hAnsi="Arial"/>
          <w:sz w:val="19"/>
          <w:szCs w:val="19"/>
          <w:color w:val="000000"/>
        </w:rPr>
        <w:t xml:space="preserve"> If Landlord </w:t>
      </w:r>
      <w:r>
        <w:rPr>
          <w:rFonts w:ascii="Arial" w:cs="Arial" w:eastAsia="Arial" w:hAnsi="Arial"/>
          <w:sz w:val="19"/>
          <w:szCs w:val="19"/>
          <w:color w:val="282828"/>
        </w:rPr>
        <w:t>elects</w:t>
      </w:r>
      <w:r>
        <w:rPr>
          <w:rFonts w:ascii="Arial" w:cs="Arial" w:eastAsia="Arial" w:hAnsi="Arial"/>
          <w:sz w:val="19"/>
          <w:szCs w:val="19"/>
          <w:color w:val="000000"/>
        </w:rPr>
        <w:t xml:space="preserve"> not to repair the Building or the Project, </w:t>
      </w:r>
      <w:r>
        <w:rPr>
          <w:rFonts w:ascii="Arial" w:cs="Arial" w:eastAsia="Arial" w:hAnsi="Arial"/>
          <w:sz w:val="19"/>
          <w:szCs w:val="19"/>
          <w:color w:val="282828"/>
        </w:rPr>
        <w:t>as applicable,</w:t>
      </w:r>
      <w:r>
        <w:rPr>
          <w:rFonts w:ascii="Arial" w:cs="Arial" w:eastAsia="Arial" w:hAnsi="Arial"/>
          <w:sz w:val="19"/>
          <w:szCs w:val="19"/>
          <w:color w:val="000000"/>
        </w:rPr>
        <w:t xml:space="preserve"> then this Lease </w:t>
      </w:r>
      <w:r>
        <w:rPr>
          <w:rFonts w:ascii="Arial" w:cs="Arial" w:eastAsia="Arial" w:hAnsi="Arial"/>
          <w:sz w:val="19"/>
          <w:szCs w:val="19"/>
          <w:color w:val="282828"/>
        </w:rPr>
        <w:t>shall</w:t>
      </w:r>
      <w:r>
        <w:rPr>
          <w:rFonts w:ascii="Arial" w:cs="Arial" w:eastAsia="Arial" w:hAnsi="Arial"/>
          <w:sz w:val="19"/>
          <w:szCs w:val="19"/>
          <w:color w:val="000000"/>
        </w:rPr>
        <w:t xml:space="preserve"> terminate </w:t>
      </w:r>
      <w:r>
        <w:rPr>
          <w:rFonts w:ascii="Arial" w:cs="Arial" w:eastAsia="Arial" w:hAnsi="Arial"/>
          <w:sz w:val="19"/>
          <w:szCs w:val="19"/>
          <w:color w:val="282828"/>
        </w:rPr>
        <w:t>as of</w:t>
      </w:r>
      <w:r>
        <w:rPr>
          <w:rFonts w:ascii="Arial" w:cs="Arial" w:eastAsia="Arial" w:hAnsi="Arial"/>
          <w:sz w:val="19"/>
          <w:szCs w:val="19"/>
          <w:color w:val="000000"/>
        </w:rPr>
        <w:t xml:space="preserve"> the date of </w:t>
      </w:r>
      <w:r>
        <w:rPr>
          <w:rFonts w:ascii="Arial" w:cs="Arial" w:eastAsia="Arial" w:hAnsi="Arial"/>
          <w:sz w:val="19"/>
          <w:szCs w:val="19"/>
          <w:color w:val="282828"/>
        </w:rPr>
        <w:t>such</w:t>
      </w:r>
      <w:r>
        <w:rPr>
          <w:rFonts w:ascii="Arial" w:cs="Arial" w:eastAsia="Arial" w:hAnsi="Arial"/>
          <w:sz w:val="19"/>
          <w:szCs w:val="19"/>
          <w:color w:val="000000"/>
        </w:rPr>
        <w:t xml:space="preserve"> damage </w:t>
      </w:r>
      <w:r>
        <w:rPr>
          <w:rFonts w:ascii="Arial" w:cs="Arial" w:eastAsia="Arial" w:hAnsi="Arial"/>
          <w:sz w:val="19"/>
          <w:szCs w:val="19"/>
          <w:color w:val="282828"/>
        </w:rPr>
        <w:t>or</w:t>
      </w:r>
      <w:r>
        <w:rPr>
          <w:rFonts w:ascii="Arial" w:cs="Arial" w:eastAsia="Arial" w:hAnsi="Arial"/>
          <w:sz w:val="19"/>
          <w:szCs w:val="19"/>
          <w:color w:val="000000"/>
        </w:rPr>
        <w:t xml:space="preserve"> destruction.</w:t>
      </w:r>
    </w:p>
    <w:p>
      <w:pPr>
        <w:spacing w:after="0" w:line="144"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 xml:space="preserve">24.3 Landlord shall </w:t>
      </w:r>
      <w:r>
        <w:rPr>
          <w:rFonts w:ascii="Arial" w:cs="Arial" w:eastAsia="Arial" w:hAnsi="Arial"/>
          <w:sz w:val="22"/>
          <w:szCs w:val="22"/>
          <w:color w:val="282828"/>
        </w:rPr>
        <w:t>give</w:t>
      </w:r>
      <w:r>
        <w:rPr>
          <w:rFonts w:ascii="Arial" w:cs="Arial" w:eastAsia="Arial" w:hAnsi="Arial"/>
          <w:sz w:val="22"/>
          <w:szCs w:val="22"/>
          <w:color w:val="auto"/>
        </w:rPr>
        <w:t xml:space="preserve"> written notice </w:t>
      </w:r>
      <w:r>
        <w:rPr>
          <w:rFonts w:ascii="Arial" w:cs="Arial" w:eastAsia="Arial" w:hAnsi="Arial"/>
          <w:sz w:val="22"/>
          <w:szCs w:val="22"/>
          <w:color w:val="383838"/>
        </w:rPr>
        <w:t>to</w:t>
      </w:r>
      <w:r>
        <w:rPr>
          <w:rFonts w:ascii="Arial" w:cs="Arial" w:eastAsia="Arial" w:hAnsi="Arial"/>
          <w:sz w:val="22"/>
          <w:szCs w:val="22"/>
          <w:color w:val="auto"/>
        </w:rPr>
        <w:t xml:space="preserve"> Tenant within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color w:val="282828"/>
        </w:rPr>
        <w:t>days following the</w:t>
      </w:r>
      <w:r>
        <w:rPr>
          <w:rFonts w:ascii="Arial" w:cs="Arial" w:eastAsia="Arial" w:hAnsi="Arial"/>
          <w:sz w:val="22"/>
          <w:szCs w:val="22"/>
          <w:color w:val="auto"/>
        </w:rPr>
        <w:t xml:space="preserve"> date of damage </w:t>
      </w:r>
      <w:r>
        <w:rPr>
          <w:rFonts w:ascii="Arial" w:cs="Arial" w:eastAsia="Arial" w:hAnsi="Arial"/>
          <w:sz w:val="22"/>
          <w:szCs w:val="22"/>
          <w:color w:val="282828"/>
        </w:rPr>
        <w:t>or destruction</w:t>
      </w:r>
      <w:r>
        <w:rPr>
          <w:rFonts w:ascii="Arial" w:cs="Arial" w:eastAsia="Arial" w:hAnsi="Arial"/>
          <w:sz w:val="22"/>
          <w:szCs w:val="22"/>
          <w:color w:val="auto"/>
        </w:rPr>
        <w:t xml:space="preserve"> of its </w:t>
      </w:r>
      <w:r>
        <w:rPr>
          <w:rFonts w:ascii="Arial" w:cs="Arial" w:eastAsia="Arial" w:hAnsi="Arial"/>
          <w:sz w:val="22"/>
          <w:szCs w:val="22"/>
          <w:color w:val="282828"/>
        </w:rPr>
        <w:t xml:space="preserve">election </w:t>
      </w:r>
      <w:r>
        <w:rPr>
          <w:rFonts w:ascii="Arial" w:cs="Arial" w:eastAsia="Arial" w:hAnsi="Arial"/>
          <w:sz w:val="22"/>
          <w:szCs w:val="22"/>
          <w:color w:val="000000"/>
        </w:rPr>
        <w:t>not to repair, reconstruct</w:t>
      </w:r>
      <w:r>
        <w:rPr>
          <w:rFonts w:ascii="Arial" w:cs="Arial" w:eastAsia="Arial" w:hAnsi="Arial"/>
          <w:sz w:val="22"/>
          <w:szCs w:val="22"/>
          <w:color w:val="282828"/>
        </w:rPr>
        <w:t xml:space="preserve"> or restore </w:t>
      </w:r>
      <w:r>
        <w:rPr>
          <w:rFonts w:ascii="Arial" w:cs="Arial" w:eastAsia="Arial" w:hAnsi="Arial"/>
          <w:sz w:val="22"/>
          <w:szCs w:val="22"/>
          <w:color w:val="383838"/>
        </w:rPr>
        <w:t>the</w:t>
      </w:r>
      <w:r>
        <w:rPr>
          <w:rFonts w:ascii="Arial" w:cs="Arial" w:eastAsia="Arial" w:hAnsi="Arial"/>
          <w:sz w:val="22"/>
          <w:szCs w:val="22"/>
          <w:color w:val="282828"/>
        </w:rPr>
        <w:t xml:space="preserve"> </w:t>
      </w:r>
      <w:r>
        <w:rPr>
          <w:rFonts w:ascii="Arial" w:cs="Arial" w:eastAsia="Arial" w:hAnsi="Arial"/>
          <w:sz w:val="22"/>
          <w:szCs w:val="22"/>
          <w:color w:val="000000"/>
        </w:rPr>
        <w:t>Building or the Project,</w:t>
      </w:r>
      <w:r>
        <w:rPr>
          <w:rFonts w:ascii="Arial" w:cs="Arial" w:eastAsia="Arial" w:hAnsi="Arial"/>
          <w:sz w:val="22"/>
          <w:szCs w:val="22"/>
          <w:color w:val="282828"/>
        </w:rPr>
        <w:t xml:space="preserve"> as </w:t>
      </w:r>
      <w:r>
        <w:rPr>
          <w:rFonts w:ascii="Arial" w:cs="Arial" w:eastAsia="Arial" w:hAnsi="Arial"/>
          <w:sz w:val="22"/>
          <w:szCs w:val="22"/>
          <w:color w:val="383838"/>
        </w:rPr>
        <w:t>applicable, subject</w:t>
      </w:r>
      <w:r>
        <w:rPr>
          <w:rFonts w:ascii="Arial" w:cs="Arial" w:eastAsia="Arial" w:hAnsi="Arial"/>
          <w:sz w:val="22"/>
          <w:szCs w:val="22"/>
          <w:color w:val="282828"/>
        </w:rPr>
        <w:t xml:space="preserve"> to </w:t>
      </w:r>
      <w:r>
        <w:rPr>
          <w:rFonts w:ascii="Arial" w:cs="Arial" w:eastAsia="Arial" w:hAnsi="Arial"/>
          <w:sz w:val="22"/>
          <w:szCs w:val="22"/>
          <w:color w:val="000000"/>
        </w:rPr>
        <w:t>the</w:t>
      </w:r>
      <w:r>
        <w:rPr>
          <w:rFonts w:ascii="Arial" w:cs="Arial" w:eastAsia="Arial" w:hAnsi="Arial"/>
          <w:sz w:val="22"/>
          <w:szCs w:val="22"/>
          <w:color w:val="282828"/>
        </w:rPr>
        <w:t xml:space="preserve"> </w:t>
      </w:r>
      <w:r>
        <w:rPr>
          <w:rFonts w:ascii="Arial" w:cs="Arial" w:eastAsia="Arial" w:hAnsi="Arial"/>
          <w:sz w:val="22"/>
          <w:szCs w:val="22"/>
          <w:color w:val="383838"/>
        </w:rPr>
        <w:t>terms</w:t>
      </w:r>
      <w:r>
        <w:rPr>
          <w:rFonts w:ascii="Arial" w:cs="Arial" w:eastAsia="Arial" w:hAnsi="Arial"/>
          <w:sz w:val="22"/>
          <w:szCs w:val="22"/>
          <w:color w:val="282828"/>
        </w:rPr>
        <w:t xml:space="preserve"> </w:t>
      </w:r>
      <w:r>
        <w:rPr>
          <w:rFonts w:ascii="Arial" w:cs="Arial" w:eastAsia="Arial" w:hAnsi="Arial"/>
          <w:sz w:val="22"/>
          <w:szCs w:val="22"/>
          <w:color w:val="000000"/>
        </w:rPr>
        <w:t>of</w:t>
      </w:r>
      <w:r>
        <w:rPr>
          <w:rFonts w:ascii="Arial" w:cs="Arial" w:eastAsia="Arial" w:hAnsi="Arial"/>
          <w:sz w:val="22"/>
          <w:szCs w:val="22"/>
          <w:color w:val="282828"/>
        </w:rPr>
        <w:t xml:space="preserve"> </w:t>
      </w:r>
      <w:r>
        <w:rPr>
          <w:rFonts w:ascii="Arial" w:cs="Arial" w:eastAsia="Arial" w:hAnsi="Arial"/>
          <w:sz w:val="22"/>
          <w:szCs w:val="22"/>
          <w:color w:val="383838"/>
        </w:rPr>
        <w:t>this</w:t>
      </w:r>
      <w:r>
        <w:rPr>
          <w:rFonts w:ascii="Arial" w:cs="Arial" w:eastAsia="Arial" w:hAnsi="Arial"/>
          <w:sz w:val="22"/>
          <w:szCs w:val="22"/>
          <w:color w:val="282828"/>
        </w:rPr>
        <w:t xml:space="preserve"> </w:t>
      </w:r>
      <w:r>
        <w:rPr>
          <w:rFonts w:ascii="Arial" w:cs="Arial" w:eastAsia="Arial" w:hAnsi="Arial"/>
          <w:sz w:val="22"/>
          <w:szCs w:val="22"/>
          <w:color w:val="000000"/>
        </w:rPr>
        <w:t>Lease.</w:t>
      </w:r>
    </w:p>
    <w:p>
      <w:pPr>
        <w:spacing w:after="0" w:line="15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 xml:space="preserve">24.4   </w:t>
      </w:r>
      <w:r>
        <w:rPr>
          <w:rFonts w:ascii="Arial" w:cs="Arial" w:eastAsia="Arial" w:hAnsi="Arial"/>
          <w:sz w:val="19"/>
          <w:szCs w:val="19"/>
          <w:color w:val="383838"/>
        </w:rPr>
        <w:t>Notwithstanding</w:t>
      </w:r>
      <w:r>
        <w:rPr>
          <w:rFonts w:ascii="Arial" w:cs="Arial" w:eastAsia="Arial" w:hAnsi="Arial"/>
          <w:sz w:val="19"/>
          <w:szCs w:val="19"/>
          <w:color w:val="auto"/>
        </w:rPr>
        <w:t xml:space="preserve"> anything </w:t>
      </w:r>
      <w:r>
        <w:rPr>
          <w:rFonts w:ascii="Arial" w:cs="Arial" w:eastAsia="Arial" w:hAnsi="Arial"/>
          <w:sz w:val="19"/>
          <w:szCs w:val="19"/>
          <w:color w:val="383838"/>
        </w:rPr>
        <w:t>to</w:t>
      </w:r>
      <w:r>
        <w:rPr>
          <w:rFonts w:ascii="Arial" w:cs="Arial" w:eastAsia="Arial" w:hAnsi="Arial"/>
          <w:sz w:val="19"/>
          <w:szCs w:val="19"/>
          <w:color w:val="auto"/>
        </w:rPr>
        <w:t xml:space="preserve"> the contrary </w:t>
      </w:r>
      <w:r>
        <w:rPr>
          <w:rFonts w:ascii="Arial" w:cs="Arial" w:eastAsia="Arial" w:hAnsi="Arial"/>
          <w:sz w:val="19"/>
          <w:szCs w:val="19"/>
          <w:color w:val="282828"/>
        </w:rPr>
        <w:t>contained</w:t>
      </w:r>
      <w:r>
        <w:rPr>
          <w:rFonts w:ascii="Arial" w:cs="Arial" w:eastAsia="Arial" w:hAnsi="Arial"/>
          <w:sz w:val="19"/>
          <w:szCs w:val="19"/>
          <w:color w:val="auto"/>
        </w:rPr>
        <w:t xml:space="preserve"> in this Article, </w:t>
      </w:r>
      <w:r>
        <w:rPr>
          <w:rFonts w:ascii="Arial" w:cs="Arial" w:eastAsia="Arial" w:hAnsi="Arial"/>
          <w:sz w:val="19"/>
          <w:szCs w:val="19"/>
          <w:color w:val="383838"/>
        </w:rPr>
        <w:t>in</w:t>
      </w:r>
      <w:r>
        <w:rPr>
          <w:rFonts w:ascii="Arial" w:cs="Arial" w:eastAsia="Arial" w:hAnsi="Arial"/>
          <w:sz w:val="19"/>
          <w:szCs w:val="19"/>
          <w:color w:val="auto"/>
        </w:rPr>
        <w:t xml:space="preserve"> the </w:t>
      </w:r>
      <w:r>
        <w:rPr>
          <w:rFonts w:ascii="Arial" w:cs="Arial" w:eastAsia="Arial" w:hAnsi="Arial"/>
          <w:sz w:val="19"/>
          <w:szCs w:val="19"/>
          <w:color w:val="282828"/>
        </w:rPr>
        <w:t>event</w:t>
      </w:r>
      <w:r>
        <w:rPr>
          <w:rFonts w:ascii="Arial" w:cs="Arial" w:eastAsia="Arial" w:hAnsi="Arial"/>
          <w:sz w:val="19"/>
          <w:szCs w:val="19"/>
          <w:color w:val="auto"/>
        </w:rPr>
        <w:t xml:space="preserve"> of any damage to </w:t>
      </w:r>
      <w:r>
        <w:rPr>
          <w:rFonts w:ascii="Arial" w:cs="Arial" w:eastAsia="Arial" w:hAnsi="Arial"/>
          <w:sz w:val="19"/>
          <w:szCs w:val="19"/>
          <w:color w:val="282828"/>
        </w:rPr>
        <w:t>or</w:t>
      </w:r>
      <w:r>
        <w:rPr>
          <w:rFonts w:ascii="Arial" w:cs="Arial" w:eastAsia="Arial" w:hAnsi="Arial"/>
          <w:sz w:val="19"/>
          <w:szCs w:val="19"/>
          <w:color w:val="auto"/>
        </w:rPr>
        <w:t xml:space="preserve"> destruction of</w:t>
      </w:r>
    </w:p>
    <w:p>
      <w:pPr>
        <w:spacing w:after="0" w:line="15" w:lineRule="exact"/>
        <w:rPr>
          <w:rFonts w:ascii="Arial" w:cs="Arial" w:eastAsia="Arial" w:hAnsi="Arial"/>
          <w:sz w:val="22"/>
          <w:szCs w:val="22"/>
          <w:color w:val="auto"/>
        </w:rPr>
      </w:pPr>
    </w:p>
    <w:p>
      <w:pPr>
        <w:jc w:val="both"/>
        <w:ind w:left="1300" w:firstLine="4"/>
        <w:spacing w:after="0" w:line="244" w:lineRule="auto"/>
        <w:tabs>
          <w:tab w:leader="none" w:pos="1614" w:val="left"/>
        </w:tabs>
        <w:numPr>
          <w:ilvl w:val="1"/>
          <w:numId w:val="298"/>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color w:val="282828"/>
        </w:rPr>
        <w:t>Building</w:t>
      </w:r>
      <w:r>
        <w:rPr>
          <w:rFonts w:ascii="Arial" w:cs="Arial" w:eastAsia="Arial" w:hAnsi="Arial"/>
          <w:sz w:val="19"/>
          <w:szCs w:val="19"/>
          <w:color w:val="auto"/>
        </w:rPr>
        <w:t xml:space="preserve"> that materially and </w:t>
      </w:r>
      <w:r>
        <w:rPr>
          <w:rFonts w:ascii="Arial" w:cs="Arial" w:eastAsia="Arial" w:hAnsi="Arial"/>
          <w:sz w:val="19"/>
          <w:szCs w:val="19"/>
          <w:color w:val="282828"/>
        </w:rPr>
        <w:t>adversely</w:t>
      </w:r>
      <w:r>
        <w:rPr>
          <w:rFonts w:ascii="Arial" w:cs="Arial" w:eastAsia="Arial" w:hAnsi="Arial"/>
          <w:sz w:val="19"/>
          <w:szCs w:val="19"/>
          <w:color w:val="auto"/>
        </w:rPr>
        <w:t xml:space="preserve"> affects </w:t>
      </w:r>
      <w:r>
        <w:rPr>
          <w:rFonts w:ascii="Arial" w:cs="Arial" w:eastAsia="Arial" w:hAnsi="Arial"/>
          <w:sz w:val="19"/>
          <w:szCs w:val="19"/>
          <w:color w:val="282828"/>
        </w:rPr>
        <w:t>Tenant’s</w:t>
      </w:r>
      <w:r>
        <w:rPr>
          <w:rFonts w:ascii="Arial" w:cs="Arial" w:eastAsia="Arial" w:hAnsi="Arial"/>
          <w:sz w:val="19"/>
          <w:szCs w:val="19"/>
          <w:color w:val="auto"/>
        </w:rPr>
        <w:t xml:space="preserve"> operations </w:t>
      </w:r>
      <w:r>
        <w:rPr>
          <w:rFonts w:ascii="Arial" w:cs="Arial" w:eastAsia="Arial" w:hAnsi="Arial"/>
          <w:sz w:val="19"/>
          <w:szCs w:val="19"/>
          <w:color w:val="383838"/>
        </w:rPr>
        <w:t>within</w:t>
      </w:r>
      <w:r>
        <w:rPr>
          <w:rFonts w:ascii="Arial" w:cs="Arial" w:eastAsia="Arial" w:hAnsi="Arial"/>
          <w:sz w:val="19"/>
          <w:szCs w:val="19"/>
          <w:color w:val="auto"/>
        </w:rPr>
        <w:t xml:space="preserve"> the Premises; (b) the </w:t>
      </w:r>
      <w:r>
        <w:rPr>
          <w:rFonts w:ascii="Arial" w:cs="Arial" w:eastAsia="Arial" w:hAnsi="Arial"/>
          <w:sz w:val="19"/>
          <w:szCs w:val="19"/>
          <w:color w:val="282828"/>
        </w:rPr>
        <w:t>Common</w:t>
      </w:r>
      <w:r>
        <w:rPr>
          <w:rFonts w:ascii="Arial" w:cs="Arial" w:eastAsia="Arial" w:hAnsi="Arial"/>
          <w:sz w:val="19"/>
          <w:szCs w:val="19"/>
          <w:color w:val="auto"/>
        </w:rPr>
        <w:t xml:space="preserve"> Areas </w:t>
      </w:r>
      <w:r>
        <w:rPr>
          <w:rFonts w:ascii="Arial" w:cs="Arial" w:eastAsia="Arial" w:hAnsi="Arial"/>
          <w:sz w:val="19"/>
          <w:szCs w:val="19"/>
          <w:color w:val="282828"/>
        </w:rPr>
        <w:t>that</w:t>
      </w:r>
      <w:r>
        <w:rPr>
          <w:rFonts w:ascii="Arial" w:cs="Arial" w:eastAsia="Arial" w:hAnsi="Arial"/>
          <w:sz w:val="19"/>
          <w:szCs w:val="19"/>
          <w:color w:val="auto"/>
        </w:rPr>
        <w:t xml:space="preserve"> </w:t>
      </w:r>
      <w:r>
        <w:rPr>
          <w:rFonts w:ascii="Arial" w:cs="Arial" w:eastAsia="Arial" w:hAnsi="Arial"/>
          <w:sz w:val="19"/>
          <w:szCs w:val="19"/>
          <w:color w:val="383838"/>
        </w:rPr>
        <w:t>materially</w:t>
      </w:r>
      <w:r>
        <w:rPr>
          <w:rFonts w:ascii="Arial" w:cs="Arial" w:eastAsia="Arial" w:hAnsi="Arial"/>
          <w:sz w:val="19"/>
          <w:szCs w:val="19"/>
          <w:color w:val="auto"/>
        </w:rPr>
        <w:t xml:space="preserve"> and adversely </w:t>
      </w:r>
      <w:r>
        <w:rPr>
          <w:rFonts w:ascii="Arial" w:cs="Arial" w:eastAsia="Arial" w:hAnsi="Arial"/>
          <w:sz w:val="19"/>
          <w:szCs w:val="19"/>
          <w:color w:val="282828"/>
        </w:rPr>
        <w:t>impairs</w:t>
      </w:r>
      <w:r>
        <w:rPr>
          <w:rFonts w:ascii="Arial" w:cs="Arial" w:eastAsia="Arial" w:hAnsi="Arial"/>
          <w:sz w:val="19"/>
          <w:szCs w:val="19"/>
          <w:color w:val="auto"/>
        </w:rPr>
        <w:t xml:space="preserve"> Tenant’s access to </w:t>
      </w:r>
      <w:r>
        <w:rPr>
          <w:rFonts w:ascii="Arial" w:cs="Arial" w:eastAsia="Arial" w:hAnsi="Arial"/>
          <w:sz w:val="19"/>
          <w:szCs w:val="19"/>
          <w:color w:val="383838"/>
        </w:rPr>
        <w:t>the</w:t>
      </w:r>
      <w:r>
        <w:rPr>
          <w:rFonts w:ascii="Arial" w:cs="Arial" w:eastAsia="Arial" w:hAnsi="Arial"/>
          <w:sz w:val="19"/>
          <w:szCs w:val="19"/>
          <w:color w:val="auto"/>
        </w:rPr>
        <w:t xml:space="preserve"> Premises; or (c) </w:t>
      </w:r>
      <w:r>
        <w:rPr>
          <w:rFonts w:ascii="Arial" w:cs="Arial" w:eastAsia="Arial" w:hAnsi="Arial"/>
          <w:sz w:val="19"/>
          <w:szCs w:val="19"/>
          <w:u w:val="single" w:color="auto"/>
          <w:color w:val="auto"/>
        </w:rPr>
        <w:t>[***]</w:t>
      </w:r>
      <w:r>
        <w:rPr>
          <w:rFonts w:ascii="Arial" w:cs="Arial" w:eastAsia="Arial" w:hAnsi="Arial"/>
          <w:sz w:val="19"/>
          <w:szCs w:val="19"/>
          <w:color w:val="auto"/>
        </w:rPr>
        <w:t xml:space="preserve"> percent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282828"/>
        </w:rPr>
        <w:t>of</w:t>
      </w:r>
      <w:r>
        <w:rPr>
          <w:rFonts w:ascii="Arial" w:cs="Arial" w:eastAsia="Arial" w:hAnsi="Arial"/>
          <w:sz w:val="19"/>
          <w:szCs w:val="19"/>
          <w:color w:val="auto"/>
        </w:rPr>
        <w:t xml:space="preserve"> Tenant’s lab </w:t>
      </w:r>
      <w:r>
        <w:rPr>
          <w:rFonts w:ascii="Arial" w:cs="Arial" w:eastAsia="Arial" w:hAnsi="Arial"/>
          <w:sz w:val="19"/>
          <w:szCs w:val="19"/>
          <w:color w:val="383838"/>
        </w:rPr>
        <w:t>space</w:t>
      </w:r>
      <w:r>
        <w:rPr>
          <w:rFonts w:ascii="Arial" w:cs="Arial" w:eastAsia="Arial" w:hAnsi="Arial"/>
          <w:sz w:val="19"/>
          <w:szCs w:val="19"/>
          <w:color w:val="auto"/>
        </w:rPr>
        <w:t xml:space="preserve"> </w:t>
      </w:r>
      <w:r>
        <w:rPr>
          <w:rFonts w:ascii="Arial" w:cs="Arial" w:eastAsia="Arial" w:hAnsi="Arial"/>
          <w:sz w:val="19"/>
          <w:szCs w:val="19"/>
          <w:color w:val="282828"/>
        </w:rPr>
        <w:t>or</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282828"/>
        </w:rPr>
        <w:t>percent</w:t>
      </w:r>
      <w:r>
        <w:rPr>
          <w:rFonts w:ascii="Arial" w:cs="Arial" w:eastAsia="Arial" w:hAnsi="Arial"/>
          <w:sz w:val="19"/>
          <w:szCs w:val="19"/>
          <w:color w:val="auto"/>
        </w:rPr>
        <w:t xml:space="preserve"> </w:t>
      </w:r>
      <w:r>
        <w:rPr>
          <w:rFonts w:ascii="Arial" w:cs="Arial" w:eastAsia="Arial" w:hAnsi="Arial"/>
          <w:sz w:val="19"/>
          <w:szCs w:val="19"/>
          <w:color w:val="010101"/>
        </w:rPr>
        <w:t>(</w:t>
      </w:r>
      <w:r>
        <w:rPr>
          <w:rFonts w:ascii="Arial" w:cs="Arial" w:eastAsia="Arial" w:hAnsi="Arial"/>
          <w:sz w:val="19"/>
          <w:szCs w:val="19"/>
          <w:u w:val="single" w:color="auto"/>
          <w:color w:val="auto"/>
        </w:rPr>
        <w:t>[***]</w:t>
      </w:r>
      <w:r>
        <w:rPr>
          <w:rFonts w:ascii="Arial" w:cs="Arial" w:eastAsia="Arial" w:hAnsi="Arial"/>
          <w:sz w:val="19"/>
          <w:szCs w:val="19"/>
          <w:color w:val="010101"/>
        </w:rPr>
        <w:t>%)</w:t>
      </w:r>
      <w:r>
        <w:rPr>
          <w:rFonts w:ascii="Arial" w:cs="Arial" w:eastAsia="Arial" w:hAnsi="Arial"/>
          <w:sz w:val="19"/>
          <w:szCs w:val="19"/>
          <w:color w:val="auto"/>
        </w:rPr>
        <w:t xml:space="preserve"> </w:t>
      </w:r>
      <w:r>
        <w:rPr>
          <w:rFonts w:ascii="Arial" w:cs="Arial" w:eastAsia="Arial" w:hAnsi="Arial"/>
          <w:sz w:val="19"/>
          <w:szCs w:val="19"/>
          <w:color w:val="282828"/>
        </w:rPr>
        <w:t>of</w:t>
      </w:r>
      <w:r>
        <w:rPr>
          <w:rFonts w:ascii="Arial" w:cs="Arial" w:eastAsia="Arial" w:hAnsi="Arial"/>
          <w:sz w:val="19"/>
          <w:szCs w:val="19"/>
          <w:color w:val="auto"/>
        </w:rPr>
        <w:t xml:space="preserve"> Tenant’s </w:t>
      </w:r>
      <w:r>
        <w:rPr>
          <w:rFonts w:ascii="Arial" w:cs="Arial" w:eastAsia="Arial" w:hAnsi="Arial"/>
          <w:sz w:val="19"/>
          <w:szCs w:val="19"/>
          <w:color w:val="282828"/>
        </w:rPr>
        <w:t>office space</w:t>
      </w:r>
      <w:r>
        <w:rPr>
          <w:rFonts w:ascii="Arial" w:cs="Arial" w:eastAsia="Arial" w:hAnsi="Arial"/>
          <w:sz w:val="19"/>
          <w:szCs w:val="19"/>
          <w:color w:val="auto"/>
        </w:rPr>
        <w:t xml:space="preserve"> </w:t>
      </w:r>
      <w:r>
        <w:rPr>
          <w:rFonts w:ascii="Arial" w:cs="Arial" w:eastAsia="Arial" w:hAnsi="Arial"/>
          <w:sz w:val="19"/>
          <w:szCs w:val="19"/>
          <w:color w:val="383838"/>
        </w:rPr>
        <w:t>in</w:t>
      </w:r>
      <w:r>
        <w:rPr>
          <w:rFonts w:ascii="Arial" w:cs="Arial" w:eastAsia="Arial" w:hAnsi="Arial"/>
          <w:sz w:val="19"/>
          <w:szCs w:val="19"/>
          <w:color w:val="auto"/>
        </w:rPr>
        <w:t xml:space="preserve"> the Premises, </w:t>
      </w:r>
      <w:r>
        <w:rPr>
          <w:rFonts w:ascii="Arial" w:cs="Arial" w:eastAsia="Arial" w:hAnsi="Arial"/>
          <w:sz w:val="19"/>
          <w:szCs w:val="19"/>
          <w:color w:val="282828"/>
        </w:rPr>
        <w:t>as</w:t>
      </w:r>
      <w:r>
        <w:rPr>
          <w:rFonts w:ascii="Arial" w:cs="Arial" w:eastAsia="Arial" w:hAnsi="Arial"/>
          <w:sz w:val="19"/>
          <w:szCs w:val="19"/>
          <w:color w:val="auto"/>
        </w:rPr>
        <w:t xml:space="preserve"> determined by Landlord’s architect (each, a </w:t>
      </w:r>
      <w:r>
        <w:rPr>
          <w:rFonts w:ascii="Arial" w:cs="Arial" w:eastAsia="Arial" w:hAnsi="Arial"/>
          <w:sz w:val="19"/>
          <w:szCs w:val="19"/>
          <w:color w:val="282828"/>
        </w:rPr>
        <w:t>“</w:t>
      </w:r>
      <w:r>
        <w:rPr>
          <w:rFonts w:ascii="Arial" w:cs="Arial" w:eastAsia="Arial" w:hAnsi="Arial"/>
          <w:sz w:val="19"/>
          <w:szCs w:val="19"/>
          <w:u w:val="single" w:color="auto"/>
          <w:color w:val="282828"/>
        </w:rPr>
        <w:t>Material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Loss</w:t>
      </w:r>
      <w:r>
        <w:rPr>
          <w:rFonts w:ascii="Arial" w:cs="Arial" w:eastAsia="Arial" w:hAnsi="Arial"/>
          <w:sz w:val="19"/>
          <w:szCs w:val="19"/>
          <w:color w:val="auto"/>
        </w:rPr>
        <w:t xml:space="preserve">”), and the Premises cannot be made reasonably tenantable for Tenant’s </w:t>
      </w:r>
      <w:r>
        <w:rPr>
          <w:rFonts w:ascii="Arial" w:cs="Arial" w:eastAsia="Arial" w:hAnsi="Arial"/>
          <w:sz w:val="19"/>
          <w:szCs w:val="19"/>
          <w:color w:val="282828"/>
        </w:rPr>
        <w:t>operations</w:t>
      </w:r>
      <w:r>
        <w:rPr>
          <w:rFonts w:ascii="Arial" w:cs="Arial" w:eastAsia="Arial" w:hAnsi="Arial"/>
          <w:sz w:val="19"/>
          <w:szCs w:val="19"/>
          <w:color w:val="auto"/>
        </w:rPr>
        <w:t xml:space="preserve"> or </w:t>
      </w:r>
      <w:r>
        <w:rPr>
          <w:rFonts w:ascii="Arial" w:cs="Arial" w:eastAsia="Arial" w:hAnsi="Arial"/>
          <w:sz w:val="19"/>
          <w:szCs w:val="19"/>
          <w:color w:val="282828"/>
        </w:rPr>
        <w:t>access</w:t>
      </w:r>
      <w:r>
        <w:rPr>
          <w:rFonts w:ascii="Arial" w:cs="Arial" w:eastAsia="Arial" w:hAnsi="Arial"/>
          <w:sz w:val="19"/>
          <w:szCs w:val="19"/>
          <w:color w:val="auto"/>
        </w:rPr>
        <w:t xml:space="preserve"> to </w:t>
      </w:r>
      <w:r>
        <w:rPr>
          <w:rFonts w:ascii="Arial" w:cs="Arial" w:eastAsia="Arial" w:hAnsi="Arial"/>
          <w:sz w:val="19"/>
          <w:szCs w:val="19"/>
          <w:color w:val="282828"/>
        </w:rPr>
        <w:t>the</w:t>
      </w:r>
      <w:r>
        <w:rPr>
          <w:rFonts w:ascii="Arial" w:cs="Arial" w:eastAsia="Arial" w:hAnsi="Arial"/>
          <w:sz w:val="19"/>
          <w:szCs w:val="19"/>
          <w:color w:val="auto"/>
        </w:rPr>
        <w:t xml:space="preserve"> Premises </w:t>
      </w:r>
      <w:r>
        <w:rPr>
          <w:rFonts w:ascii="Arial" w:cs="Arial" w:eastAsia="Arial" w:hAnsi="Arial"/>
          <w:sz w:val="19"/>
          <w:szCs w:val="19"/>
          <w:color w:val="282828"/>
        </w:rPr>
        <w:t>cannot</w:t>
      </w:r>
      <w:r>
        <w:rPr>
          <w:rFonts w:ascii="Arial" w:cs="Arial" w:eastAsia="Arial" w:hAnsi="Arial"/>
          <w:sz w:val="19"/>
          <w:szCs w:val="19"/>
          <w:color w:val="auto"/>
        </w:rPr>
        <w:t xml:space="preserve"> be reasonably </w:t>
      </w:r>
      <w:r>
        <w:rPr>
          <w:rFonts w:ascii="Arial" w:cs="Arial" w:eastAsia="Arial" w:hAnsi="Arial"/>
          <w:sz w:val="19"/>
          <w:szCs w:val="19"/>
          <w:color w:val="383838"/>
        </w:rPr>
        <w:t>restored</w:t>
      </w:r>
      <w:r>
        <w:rPr>
          <w:rFonts w:ascii="Arial" w:cs="Arial" w:eastAsia="Arial" w:hAnsi="Arial"/>
          <w:sz w:val="19"/>
          <w:szCs w:val="19"/>
          <w:color w:val="auto"/>
        </w:rPr>
        <w:t xml:space="preserve"> within one </w:t>
      </w:r>
      <w:r>
        <w:rPr>
          <w:rFonts w:ascii="Arial" w:cs="Arial" w:eastAsia="Arial" w:hAnsi="Arial"/>
          <w:sz w:val="19"/>
          <w:szCs w:val="19"/>
          <w:color w:val="282828"/>
        </w:rPr>
        <w:t>year after</w:t>
      </w:r>
      <w:r>
        <w:rPr>
          <w:rFonts w:ascii="Arial" w:cs="Arial" w:eastAsia="Arial" w:hAnsi="Arial"/>
          <w:sz w:val="19"/>
          <w:szCs w:val="19"/>
          <w:color w:val="auto"/>
        </w:rPr>
        <w:t xml:space="preserve"> date of </w:t>
      </w:r>
      <w:r>
        <w:rPr>
          <w:rFonts w:ascii="Arial" w:cs="Arial" w:eastAsia="Arial" w:hAnsi="Arial"/>
          <w:sz w:val="19"/>
          <w:szCs w:val="19"/>
          <w:color w:val="282828"/>
        </w:rPr>
        <w:t>such</w:t>
      </w:r>
      <w:r>
        <w:rPr>
          <w:rFonts w:ascii="Arial" w:cs="Arial" w:eastAsia="Arial" w:hAnsi="Arial"/>
          <w:sz w:val="19"/>
          <w:szCs w:val="19"/>
          <w:color w:val="auto"/>
        </w:rPr>
        <w:t xml:space="preserve"> damage or </w:t>
      </w:r>
      <w:r>
        <w:rPr>
          <w:rFonts w:ascii="Arial" w:cs="Arial" w:eastAsia="Arial" w:hAnsi="Arial"/>
          <w:sz w:val="19"/>
          <w:szCs w:val="19"/>
          <w:color w:val="282828"/>
        </w:rPr>
        <w:t>destruction,</w:t>
      </w:r>
      <w:r>
        <w:rPr>
          <w:rFonts w:ascii="Arial" w:cs="Arial" w:eastAsia="Arial" w:hAnsi="Arial"/>
          <w:sz w:val="19"/>
          <w:szCs w:val="19"/>
          <w:color w:val="auto"/>
        </w:rPr>
        <w:t xml:space="preserve"> </w:t>
      </w:r>
      <w:r>
        <w:rPr>
          <w:rFonts w:ascii="Arial" w:cs="Arial" w:eastAsia="Arial" w:hAnsi="Arial"/>
          <w:sz w:val="19"/>
          <w:szCs w:val="19"/>
          <w:color w:val="282828"/>
        </w:rPr>
        <w:t xml:space="preserve">as reasonably estimated by </w:t>
      </w:r>
      <w:r>
        <w:rPr>
          <w:rFonts w:ascii="Arial" w:cs="Arial" w:eastAsia="Arial" w:hAnsi="Arial"/>
          <w:sz w:val="19"/>
          <w:szCs w:val="19"/>
          <w:color w:val="000000"/>
        </w:rPr>
        <w:t>Landlord</w:t>
      </w:r>
      <w:r>
        <w:rPr>
          <w:rFonts w:ascii="Arial" w:cs="Arial" w:eastAsia="Arial" w:hAnsi="Arial"/>
          <w:sz w:val="19"/>
          <w:szCs w:val="19"/>
          <w:color w:val="282828"/>
        </w:rPr>
        <w:t xml:space="preserve"> within </w:t>
      </w:r>
      <w:r>
        <w:rPr>
          <w:rFonts w:ascii="Arial" w:cs="Arial" w:eastAsia="Arial" w:hAnsi="Arial"/>
          <w:sz w:val="19"/>
          <w:szCs w:val="19"/>
          <w:u w:val="single" w:color="auto"/>
          <w:color w:val="000000"/>
        </w:rPr>
        <w:t>[***]</w:t>
      </w:r>
      <w:r>
        <w:rPr>
          <w:rFonts w:ascii="Arial" w:cs="Arial" w:eastAsia="Arial" w:hAnsi="Arial"/>
          <w:sz w:val="19"/>
          <w:szCs w:val="19"/>
          <w:color w:val="282828"/>
        </w:rPr>
        <w:t xml:space="preserve"> </w:t>
      </w:r>
      <w:r>
        <w:rPr>
          <w:rFonts w:ascii="Arial" w:cs="Arial" w:eastAsia="Arial" w:hAnsi="Arial"/>
          <w:sz w:val="19"/>
          <w:szCs w:val="19"/>
          <w:color w:val="000000"/>
        </w:rPr>
        <w:t>days</w:t>
      </w:r>
      <w:r>
        <w:rPr>
          <w:rFonts w:ascii="Arial" w:cs="Arial" w:eastAsia="Arial" w:hAnsi="Arial"/>
          <w:sz w:val="19"/>
          <w:szCs w:val="19"/>
          <w:color w:val="282828"/>
        </w:rPr>
        <w:t xml:space="preserve"> after such </w:t>
      </w:r>
      <w:r>
        <w:rPr>
          <w:rFonts w:ascii="Arial" w:cs="Arial" w:eastAsia="Arial" w:hAnsi="Arial"/>
          <w:sz w:val="19"/>
          <w:szCs w:val="19"/>
          <w:color w:val="000000"/>
        </w:rPr>
        <w:t>damage</w:t>
      </w:r>
      <w:r>
        <w:rPr>
          <w:rFonts w:ascii="Arial" w:cs="Arial" w:eastAsia="Arial" w:hAnsi="Arial"/>
          <w:sz w:val="19"/>
          <w:szCs w:val="19"/>
          <w:color w:val="282828"/>
        </w:rPr>
        <w:t xml:space="preserve"> or </w:t>
      </w:r>
      <w:r>
        <w:rPr>
          <w:rFonts w:ascii="Arial" w:cs="Arial" w:eastAsia="Arial" w:hAnsi="Arial"/>
          <w:sz w:val="19"/>
          <w:szCs w:val="19"/>
          <w:color w:val="151515"/>
        </w:rPr>
        <w:t>destruction occurred,</w:t>
      </w:r>
      <w:r>
        <w:rPr>
          <w:rFonts w:ascii="Arial" w:cs="Arial" w:eastAsia="Arial" w:hAnsi="Arial"/>
          <w:sz w:val="19"/>
          <w:szCs w:val="19"/>
          <w:color w:val="282828"/>
        </w:rPr>
        <w:t xml:space="preserve"> </w:t>
      </w:r>
      <w:r>
        <w:rPr>
          <w:rFonts w:ascii="Arial" w:cs="Arial" w:eastAsia="Arial" w:hAnsi="Arial"/>
          <w:sz w:val="19"/>
          <w:szCs w:val="19"/>
          <w:color w:val="2A2A2A"/>
        </w:rPr>
        <w:t>then Tenant</w:t>
      </w:r>
      <w:r>
        <w:rPr>
          <w:rFonts w:ascii="Arial" w:cs="Arial" w:eastAsia="Arial" w:hAnsi="Arial"/>
          <w:sz w:val="19"/>
          <w:szCs w:val="19"/>
          <w:color w:val="282828"/>
        </w:rPr>
        <w:t xml:space="preserve"> </w:t>
      </w:r>
      <w:r>
        <w:rPr>
          <w:rFonts w:ascii="Arial" w:cs="Arial" w:eastAsia="Arial" w:hAnsi="Arial"/>
          <w:sz w:val="19"/>
          <w:szCs w:val="19"/>
          <w:color w:val="2A2A2A"/>
        </w:rPr>
        <w:t xml:space="preserve">shall have the right to </w:t>
      </w:r>
      <w:r>
        <w:rPr>
          <w:rFonts w:ascii="Arial" w:cs="Arial" w:eastAsia="Arial" w:hAnsi="Arial"/>
          <w:sz w:val="19"/>
          <w:szCs w:val="19"/>
          <w:color w:val="151515"/>
        </w:rPr>
        <w:t>terminate the Lease</w:t>
      </w:r>
      <w:r>
        <w:rPr>
          <w:rFonts w:ascii="Arial" w:cs="Arial" w:eastAsia="Arial" w:hAnsi="Arial"/>
          <w:sz w:val="19"/>
          <w:szCs w:val="19"/>
          <w:color w:val="2A2A2A"/>
        </w:rPr>
        <w:t xml:space="preserve"> as of </w:t>
      </w:r>
      <w:r>
        <w:rPr>
          <w:rFonts w:ascii="Arial" w:cs="Arial" w:eastAsia="Arial" w:hAnsi="Arial"/>
          <w:sz w:val="19"/>
          <w:szCs w:val="19"/>
          <w:color w:val="151515"/>
        </w:rPr>
        <w:t>the date of</w:t>
      </w:r>
      <w:r>
        <w:rPr>
          <w:rFonts w:ascii="Arial" w:cs="Arial" w:eastAsia="Arial" w:hAnsi="Arial"/>
          <w:sz w:val="19"/>
          <w:szCs w:val="19"/>
          <w:color w:val="2A2A2A"/>
        </w:rPr>
        <w:t xml:space="preserve"> such </w:t>
      </w:r>
      <w:r>
        <w:rPr>
          <w:rFonts w:ascii="Arial" w:cs="Arial" w:eastAsia="Arial" w:hAnsi="Arial"/>
          <w:sz w:val="19"/>
          <w:szCs w:val="19"/>
          <w:color w:val="151515"/>
        </w:rPr>
        <w:t>damage</w:t>
      </w:r>
      <w:r>
        <w:rPr>
          <w:rFonts w:ascii="Arial" w:cs="Arial" w:eastAsia="Arial" w:hAnsi="Arial"/>
          <w:sz w:val="19"/>
          <w:szCs w:val="19"/>
          <w:color w:val="2A2A2A"/>
        </w:rPr>
        <w:t xml:space="preserve"> or </w:t>
      </w:r>
      <w:r>
        <w:rPr>
          <w:rFonts w:ascii="Arial" w:cs="Arial" w:eastAsia="Arial" w:hAnsi="Arial"/>
          <w:sz w:val="19"/>
          <w:szCs w:val="19"/>
          <w:color w:val="151515"/>
        </w:rPr>
        <w:t>destruction.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01" w:right="339" w:bottom="1440" w:gutter="0" w:footer="0" w:header="0"/>
        </w:sectPr>
      </w:pPr>
    </w:p>
    <w:bookmarkStart w:id="349" w:name="page350"/>
    <w:bookmarkEnd w:id="349"/>
    <w:p>
      <w:pPr>
        <w:jc w:val="both"/>
        <w:ind w:left="180" w:hanging="647"/>
        <w:spacing w:after="0" w:line="229" w:lineRule="auto"/>
        <w:tabs>
          <w:tab w:leader="none" w:pos="160"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21"/>
          <w:szCs w:val="21"/>
          <w:color w:val="2A2A2A"/>
        </w:rPr>
        <w:t xml:space="preserve">Upon </w:t>
      </w:r>
      <w:r>
        <w:rPr>
          <w:rFonts w:ascii="Arial" w:cs="Arial" w:eastAsia="Arial" w:hAnsi="Arial"/>
          <w:sz w:val="21"/>
          <w:szCs w:val="21"/>
          <w:color w:val="000000"/>
        </w:rPr>
        <w:t>any termination</w:t>
      </w:r>
      <w:r>
        <w:rPr>
          <w:rFonts w:ascii="Arial" w:cs="Arial" w:eastAsia="Arial" w:hAnsi="Arial"/>
          <w:sz w:val="21"/>
          <w:szCs w:val="21"/>
          <w:color w:val="2A2A2A"/>
        </w:rPr>
        <w:t xml:space="preserve"> of </w:t>
      </w:r>
      <w:r>
        <w:rPr>
          <w:rFonts w:ascii="Arial" w:cs="Arial" w:eastAsia="Arial" w:hAnsi="Arial"/>
          <w:sz w:val="21"/>
          <w:szCs w:val="21"/>
          <w:color w:val="000000"/>
        </w:rPr>
        <w:t>this</w:t>
      </w:r>
      <w:r>
        <w:rPr>
          <w:rFonts w:ascii="Arial" w:cs="Arial" w:eastAsia="Arial" w:hAnsi="Arial"/>
          <w:sz w:val="21"/>
          <w:szCs w:val="21"/>
          <w:color w:val="2A2A2A"/>
        </w:rPr>
        <w:t xml:space="preserve"> Lease under any </w:t>
      </w:r>
      <w:r>
        <w:rPr>
          <w:rFonts w:ascii="Arial" w:cs="Arial" w:eastAsia="Arial" w:hAnsi="Arial"/>
          <w:sz w:val="21"/>
          <w:szCs w:val="21"/>
          <w:color w:val="000000"/>
        </w:rPr>
        <w:t>of</w:t>
      </w:r>
      <w:r>
        <w:rPr>
          <w:rFonts w:ascii="Arial" w:cs="Arial" w:eastAsia="Arial" w:hAnsi="Arial"/>
          <w:sz w:val="21"/>
          <w:szCs w:val="21"/>
          <w:color w:val="2A2A2A"/>
        </w:rPr>
        <w:t xml:space="preserve"> the </w:t>
      </w:r>
      <w:r>
        <w:rPr>
          <w:rFonts w:ascii="Arial" w:cs="Arial" w:eastAsia="Arial" w:hAnsi="Arial"/>
          <w:sz w:val="21"/>
          <w:szCs w:val="21"/>
          <w:color w:val="000000"/>
        </w:rPr>
        <w:t>provi</w:t>
      </w:r>
      <w:r>
        <w:rPr>
          <w:rFonts w:ascii="Arial" w:cs="Arial" w:eastAsia="Arial" w:hAnsi="Arial"/>
          <w:sz w:val="21"/>
          <w:szCs w:val="21"/>
          <w:color w:val="444444"/>
        </w:rPr>
        <w:t>s</w:t>
      </w:r>
      <w:r>
        <w:rPr>
          <w:rFonts w:ascii="Arial" w:cs="Arial" w:eastAsia="Arial" w:hAnsi="Arial"/>
          <w:sz w:val="21"/>
          <w:szCs w:val="21"/>
          <w:color w:val="000000"/>
        </w:rPr>
        <w:t>ions of</w:t>
      </w:r>
      <w:r>
        <w:rPr>
          <w:rFonts w:ascii="Arial" w:cs="Arial" w:eastAsia="Arial" w:hAnsi="Arial"/>
          <w:sz w:val="21"/>
          <w:szCs w:val="21"/>
          <w:color w:val="2A2A2A"/>
        </w:rPr>
        <w:t xml:space="preserve"> this Article, </w:t>
      </w:r>
      <w:r>
        <w:rPr>
          <w:rFonts w:ascii="Arial" w:cs="Arial" w:eastAsia="Arial" w:hAnsi="Arial"/>
          <w:sz w:val="21"/>
          <w:szCs w:val="21"/>
          <w:color w:val="000000"/>
        </w:rPr>
        <w:t>the part</w:t>
      </w:r>
      <w:r>
        <w:rPr>
          <w:rFonts w:ascii="Arial" w:cs="Arial" w:eastAsia="Arial" w:hAnsi="Arial"/>
          <w:sz w:val="21"/>
          <w:szCs w:val="21"/>
          <w:color w:val="444444"/>
        </w:rPr>
        <w:t>i</w:t>
      </w:r>
      <w:r>
        <w:rPr>
          <w:rFonts w:ascii="Arial" w:cs="Arial" w:eastAsia="Arial" w:hAnsi="Arial"/>
          <w:sz w:val="21"/>
          <w:szCs w:val="21"/>
          <w:color w:val="2A2A2A"/>
        </w:rPr>
        <w:t xml:space="preserve">es shall </w:t>
      </w:r>
      <w:r>
        <w:rPr>
          <w:rFonts w:ascii="Arial" w:cs="Arial" w:eastAsia="Arial" w:hAnsi="Arial"/>
          <w:sz w:val="21"/>
          <w:szCs w:val="21"/>
          <w:color w:val="000000"/>
        </w:rPr>
        <w:t>be re</w:t>
      </w:r>
      <w:r>
        <w:rPr>
          <w:rFonts w:ascii="Arial" w:cs="Arial" w:eastAsia="Arial" w:hAnsi="Arial"/>
          <w:sz w:val="21"/>
          <w:szCs w:val="21"/>
          <w:color w:val="444444"/>
        </w:rPr>
        <w:t>l</w:t>
      </w:r>
      <w:r>
        <w:rPr>
          <w:rFonts w:ascii="Arial" w:cs="Arial" w:eastAsia="Arial" w:hAnsi="Arial"/>
          <w:sz w:val="21"/>
          <w:szCs w:val="21"/>
          <w:color w:val="2A2A2A"/>
        </w:rPr>
        <w:t xml:space="preserve">eased </w:t>
      </w:r>
      <w:r>
        <w:rPr>
          <w:rFonts w:ascii="Arial" w:cs="Arial" w:eastAsia="Arial" w:hAnsi="Arial"/>
          <w:sz w:val="21"/>
          <w:szCs w:val="21"/>
          <w:color w:val="000000"/>
        </w:rPr>
        <w:t>thereby</w:t>
      </w:r>
      <w:r>
        <w:rPr>
          <w:rFonts w:ascii="Arial" w:cs="Arial" w:eastAsia="Arial" w:hAnsi="Arial"/>
          <w:sz w:val="21"/>
          <w:szCs w:val="21"/>
          <w:color w:val="2A2A2A"/>
        </w:rPr>
        <w:t xml:space="preserve"> without further </w:t>
      </w:r>
      <w:r>
        <w:rPr>
          <w:rFonts w:ascii="Arial" w:cs="Arial" w:eastAsia="Arial" w:hAnsi="Arial"/>
          <w:sz w:val="21"/>
          <w:szCs w:val="21"/>
          <w:color w:val="000000"/>
        </w:rPr>
        <w:t>obligation to</w:t>
      </w:r>
      <w:r>
        <w:rPr>
          <w:rFonts w:ascii="Arial" w:cs="Arial" w:eastAsia="Arial" w:hAnsi="Arial"/>
          <w:sz w:val="21"/>
          <w:szCs w:val="21"/>
          <w:color w:val="2A2A2A"/>
        </w:rPr>
        <w:t xml:space="preserve"> the </w:t>
      </w:r>
      <w:r>
        <w:rPr>
          <w:rFonts w:ascii="Arial" w:cs="Arial" w:eastAsia="Arial" w:hAnsi="Arial"/>
          <w:sz w:val="21"/>
          <w:szCs w:val="21"/>
          <w:color w:val="000000"/>
        </w:rPr>
        <w:t>other from the date</w:t>
      </w:r>
      <w:r>
        <w:rPr>
          <w:rFonts w:ascii="Arial" w:cs="Arial" w:eastAsia="Arial" w:hAnsi="Arial"/>
          <w:sz w:val="21"/>
          <w:szCs w:val="21"/>
          <w:color w:val="2A2A2A"/>
        </w:rPr>
        <w:t xml:space="preserve"> possession of </w:t>
      </w:r>
      <w:r>
        <w:rPr>
          <w:rFonts w:ascii="Arial" w:cs="Arial" w:eastAsia="Arial" w:hAnsi="Arial"/>
          <w:sz w:val="21"/>
          <w:szCs w:val="21"/>
          <w:color w:val="000000"/>
        </w:rPr>
        <w:t>the</w:t>
      </w:r>
      <w:r>
        <w:rPr>
          <w:rFonts w:ascii="Arial" w:cs="Arial" w:eastAsia="Arial" w:hAnsi="Arial"/>
          <w:sz w:val="21"/>
          <w:szCs w:val="21"/>
          <w:color w:val="2A2A2A"/>
        </w:rPr>
        <w:t xml:space="preserve"> Premises is </w:t>
      </w:r>
      <w:r>
        <w:rPr>
          <w:rFonts w:ascii="Arial" w:cs="Arial" w:eastAsia="Arial" w:hAnsi="Arial"/>
          <w:sz w:val="21"/>
          <w:szCs w:val="21"/>
          <w:color w:val="000000"/>
        </w:rPr>
        <w:t>surrendered to Landlord</w:t>
      </w:r>
      <w:r>
        <w:rPr>
          <w:rFonts w:ascii="Arial" w:cs="Arial" w:eastAsia="Arial" w:hAnsi="Arial"/>
          <w:sz w:val="21"/>
          <w:szCs w:val="21"/>
          <w:color w:val="444444"/>
        </w:rPr>
        <w:t>,</w:t>
      </w:r>
      <w:r>
        <w:rPr>
          <w:rFonts w:ascii="Arial" w:cs="Arial" w:eastAsia="Arial" w:hAnsi="Arial"/>
          <w:sz w:val="21"/>
          <w:szCs w:val="21"/>
          <w:color w:val="2A2A2A"/>
        </w:rPr>
        <w:t xml:space="preserve"> </w:t>
      </w:r>
      <w:r>
        <w:rPr>
          <w:rFonts w:ascii="Arial" w:cs="Arial" w:eastAsia="Arial" w:hAnsi="Arial"/>
          <w:sz w:val="21"/>
          <w:szCs w:val="21"/>
          <w:color w:val="000000"/>
        </w:rPr>
        <w:t>except</w:t>
      </w:r>
      <w:r>
        <w:rPr>
          <w:rFonts w:ascii="Arial" w:cs="Arial" w:eastAsia="Arial" w:hAnsi="Arial"/>
          <w:sz w:val="21"/>
          <w:szCs w:val="21"/>
          <w:color w:val="2A2A2A"/>
        </w:rPr>
        <w:t xml:space="preserve"> with rega</w:t>
      </w:r>
      <w:r>
        <w:rPr>
          <w:rFonts w:ascii="Arial" w:cs="Arial" w:eastAsia="Arial" w:hAnsi="Arial"/>
          <w:sz w:val="21"/>
          <w:szCs w:val="21"/>
          <w:color w:val="000000"/>
        </w:rPr>
        <w:t>rd to</w:t>
      </w:r>
      <w:r>
        <w:rPr>
          <w:rFonts w:ascii="Arial" w:cs="Arial" w:eastAsia="Arial" w:hAnsi="Arial"/>
          <w:sz w:val="21"/>
          <w:szCs w:val="21"/>
          <w:color w:val="2A2A2A"/>
        </w:rPr>
        <w:t xml:space="preserve"> (a) items </w:t>
      </w:r>
      <w:r>
        <w:rPr>
          <w:rFonts w:ascii="Arial" w:cs="Arial" w:eastAsia="Arial" w:hAnsi="Arial"/>
          <w:sz w:val="21"/>
          <w:szCs w:val="21"/>
          <w:color w:val="000000"/>
        </w:rPr>
        <w:t>occurring prior to the damage or</w:t>
      </w:r>
      <w:r>
        <w:rPr>
          <w:rFonts w:ascii="Arial" w:cs="Arial" w:eastAsia="Arial" w:hAnsi="Arial"/>
          <w:sz w:val="21"/>
          <w:szCs w:val="21"/>
          <w:color w:val="2A2A2A"/>
        </w:rPr>
        <w:t xml:space="preserve"> destruction </w:t>
      </w:r>
      <w:r>
        <w:rPr>
          <w:rFonts w:ascii="Arial" w:cs="Arial" w:eastAsia="Arial" w:hAnsi="Arial"/>
          <w:sz w:val="21"/>
          <w:szCs w:val="21"/>
          <w:color w:val="000000"/>
        </w:rPr>
        <w:t>and (b)</w:t>
      </w:r>
      <w:r>
        <w:rPr>
          <w:rFonts w:ascii="Arial" w:cs="Arial" w:eastAsia="Arial" w:hAnsi="Arial"/>
          <w:sz w:val="21"/>
          <w:szCs w:val="21"/>
          <w:color w:val="2A2A2A"/>
        </w:rPr>
        <w:t xml:space="preserve"> provisions of this Lease that, </w:t>
      </w:r>
      <w:r>
        <w:rPr>
          <w:rFonts w:ascii="Arial" w:cs="Arial" w:eastAsia="Arial" w:hAnsi="Arial"/>
          <w:sz w:val="21"/>
          <w:szCs w:val="21"/>
          <w:color w:val="000000"/>
        </w:rPr>
        <w:t>by their</w:t>
      </w:r>
      <w:r>
        <w:rPr>
          <w:rFonts w:ascii="Arial" w:cs="Arial" w:eastAsia="Arial" w:hAnsi="Arial"/>
          <w:sz w:val="21"/>
          <w:szCs w:val="21"/>
          <w:color w:val="2A2A2A"/>
        </w:rPr>
        <w:t xml:space="preserve"> express </w:t>
      </w:r>
      <w:r>
        <w:rPr>
          <w:rFonts w:ascii="Arial" w:cs="Arial" w:eastAsia="Arial" w:hAnsi="Arial"/>
          <w:sz w:val="21"/>
          <w:szCs w:val="21"/>
          <w:color w:val="000000"/>
        </w:rPr>
        <w:t>terms,</w:t>
      </w:r>
      <w:r>
        <w:rPr>
          <w:rFonts w:ascii="Arial" w:cs="Arial" w:eastAsia="Arial" w:hAnsi="Arial"/>
          <w:sz w:val="21"/>
          <w:szCs w:val="21"/>
          <w:color w:val="2A2A2A"/>
        </w:rPr>
        <w:t xml:space="preserve"> survive </w:t>
      </w:r>
      <w:r>
        <w:rPr>
          <w:rFonts w:ascii="Arial" w:cs="Arial" w:eastAsia="Arial" w:hAnsi="Arial"/>
          <w:sz w:val="21"/>
          <w:szCs w:val="21"/>
          <w:color w:val="000000"/>
        </w:rPr>
        <w:t>the</w:t>
      </w:r>
      <w:r>
        <w:rPr>
          <w:rFonts w:ascii="Arial" w:cs="Arial" w:eastAsia="Arial" w:hAnsi="Arial"/>
          <w:sz w:val="21"/>
          <w:szCs w:val="21"/>
          <w:color w:val="2A2A2A"/>
        </w:rPr>
        <w:t xml:space="preserve"> expiration </w:t>
      </w:r>
      <w:r>
        <w:rPr>
          <w:rFonts w:ascii="Arial" w:cs="Arial" w:eastAsia="Arial" w:hAnsi="Arial"/>
          <w:sz w:val="21"/>
          <w:szCs w:val="21"/>
          <w:color w:val="000000"/>
        </w:rPr>
        <w:t>or</w:t>
      </w:r>
      <w:r>
        <w:rPr>
          <w:rFonts w:ascii="Arial" w:cs="Arial" w:eastAsia="Arial" w:hAnsi="Arial"/>
          <w:sz w:val="21"/>
          <w:szCs w:val="21"/>
          <w:color w:val="2A2A2A"/>
        </w:rPr>
        <w:t xml:space="preserve"> earlier </w:t>
      </w:r>
      <w:r>
        <w:rPr>
          <w:rFonts w:ascii="Arial" w:cs="Arial" w:eastAsia="Arial" w:hAnsi="Arial"/>
          <w:sz w:val="21"/>
          <w:szCs w:val="21"/>
          <w:color w:val="000000"/>
        </w:rPr>
        <w:t>termination</w:t>
      </w:r>
      <w:r>
        <w:rPr>
          <w:rFonts w:ascii="Arial" w:cs="Arial" w:eastAsia="Arial" w:hAnsi="Arial"/>
          <w:sz w:val="21"/>
          <w:szCs w:val="21"/>
          <w:color w:val="2A2A2A"/>
        </w:rPr>
        <w:t xml:space="preserve"> hereof.</w:t>
      </w:r>
    </w:p>
    <w:p>
      <w:pPr>
        <w:spacing w:after="0" w:line="158" w:lineRule="exact"/>
        <w:rPr>
          <w:sz w:val="20"/>
          <w:szCs w:val="20"/>
          <w:color w:val="auto"/>
        </w:rPr>
      </w:pPr>
    </w:p>
    <w:p>
      <w:pPr>
        <w:jc w:val="both"/>
        <w:ind w:left="180" w:hanging="647"/>
        <w:spacing w:after="0" w:line="249" w:lineRule="auto"/>
        <w:tabs>
          <w:tab w:leader="none" w:pos="160" w:val="left"/>
        </w:tabs>
        <w:rPr>
          <w:sz w:val="20"/>
          <w:szCs w:val="20"/>
          <w:color w:val="auto"/>
        </w:rPr>
      </w:pPr>
      <w:r>
        <w:rPr>
          <w:rFonts w:ascii="Arial" w:cs="Arial" w:eastAsia="Arial" w:hAnsi="Arial"/>
          <w:sz w:val="22"/>
          <w:szCs w:val="22"/>
          <w:color w:val="auto"/>
        </w:rPr>
        <w:t>24.6</w:t>
      </w:r>
      <w:r>
        <w:rPr>
          <w:sz w:val="20"/>
          <w:szCs w:val="20"/>
          <w:color w:val="auto"/>
        </w:rPr>
        <w:tab/>
      </w:r>
      <w:r>
        <w:rPr>
          <w:rFonts w:ascii="Arial" w:cs="Arial" w:eastAsia="Arial" w:hAnsi="Arial"/>
          <w:sz w:val="19"/>
          <w:szCs w:val="19"/>
          <w:color w:val="2A2A2A"/>
        </w:rPr>
        <w:t xml:space="preserve">In </w:t>
      </w:r>
      <w:r>
        <w:rPr>
          <w:rFonts w:ascii="Arial" w:cs="Arial" w:eastAsia="Arial" w:hAnsi="Arial"/>
          <w:sz w:val="19"/>
          <w:szCs w:val="19"/>
          <w:color w:val="000000"/>
        </w:rPr>
        <w:t>the</w:t>
      </w:r>
      <w:r>
        <w:rPr>
          <w:rFonts w:ascii="Arial" w:cs="Arial" w:eastAsia="Arial" w:hAnsi="Arial"/>
          <w:sz w:val="19"/>
          <w:szCs w:val="19"/>
          <w:color w:val="2A2A2A"/>
        </w:rPr>
        <w:t xml:space="preserve"> event of repair, </w:t>
      </w:r>
      <w:r>
        <w:rPr>
          <w:rFonts w:ascii="Arial" w:cs="Arial" w:eastAsia="Arial" w:hAnsi="Arial"/>
          <w:sz w:val="19"/>
          <w:szCs w:val="19"/>
          <w:color w:val="000000"/>
        </w:rPr>
        <w:t>reconstruction</w:t>
      </w:r>
      <w:r>
        <w:rPr>
          <w:rFonts w:ascii="Arial" w:cs="Arial" w:eastAsia="Arial" w:hAnsi="Arial"/>
          <w:sz w:val="19"/>
          <w:szCs w:val="19"/>
          <w:color w:val="2A2A2A"/>
        </w:rPr>
        <w:t xml:space="preserve"> and restoration as </w:t>
      </w:r>
      <w:r>
        <w:rPr>
          <w:rFonts w:ascii="Arial" w:cs="Arial" w:eastAsia="Arial" w:hAnsi="Arial"/>
          <w:sz w:val="19"/>
          <w:szCs w:val="19"/>
          <w:color w:val="000000"/>
        </w:rPr>
        <w:t>provided</w:t>
      </w:r>
      <w:r>
        <w:rPr>
          <w:rFonts w:ascii="Arial" w:cs="Arial" w:eastAsia="Arial" w:hAnsi="Arial"/>
          <w:sz w:val="19"/>
          <w:szCs w:val="19"/>
          <w:color w:val="2A2A2A"/>
        </w:rPr>
        <w:t xml:space="preserve"> in </w:t>
      </w:r>
      <w:r>
        <w:rPr>
          <w:rFonts w:ascii="Arial" w:cs="Arial" w:eastAsia="Arial" w:hAnsi="Arial"/>
          <w:sz w:val="19"/>
          <w:szCs w:val="19"/>
          <w:color w:val="000000"/>
        </w:rPr>
        <w:t>this</w:t>
      </w:r>
      <w:r>
        <w:rPr>
          <w:rFonts w:ascii="Arial" w:cs="Arial" w:eastAsia="Arial" w:hAnsi="Arial"/>
          <w:sz w:val="19"/>
          <w:szCs w:val="19"/>
          <w:color w:val="2A2A2A"/>
        </w:rPr>
        <w:t xml:space="preserve"> Article, all Rent </w:t>
      </w:r>
      <w:r>
        <w:rPr>
          <w:rFonts w:ascii="Arial" w:cs="Arial" w:eastAsia="Arial" w:hAnsi="Arial"/>
          <w:sz w:val="19"/>
          <w:szCs w:val="19"/>
          <w:color w:val="000000"/>
        </w:rPr>
        <w:t>to</w:t>
      </w:r>
      <w:r>
        <w:rPr>
          <w:rFonts w:ascii="Arial" w:cs="Arial" w:eastAsia="Arial" w:hAnsi="Arial"/>
          <w:sz w:val="19"/>
          <w:szCs w:val="19"/>
          <w:color w:val="2A2A2A"/>
        </w:rPr>
        <w:t xml:space="preserve"> be paid </w:t>
      </w:r>
      <w:r>
        <w:rPr>
          <w:rFonts w:ascii="Arial" w:cs="Arial" w:eastAsia="Arial" w:hAnsi="Arial"/>
          <w:sz w:val="19"/>
          <w:szCs w:val="19"/>
          <w:color w:val="000000"/>
        </w:rPr>
        <w:t>by</w:t>
      </w:r>
      <w:r>
        <w:rPr>
          <w:rFonts w:ascii="Arial" w:cs="Arial" w:eastAsia="Arial" w:hAnsi="Arial"/>
          <w:sz w:val="19"/>
          <w:szCs w:val="19"/>
          <w:color w:val="2A2A2A"/>
        </w:rPr>
        <w:t xml:space="preserve"> Tenant </w:t>
      </w:r>
      <w:r>
        <w:rPr>
          <w:rFonts w:ascii="Arial" w:cs="Arial" w:eastAsia="Arial" w:hAnsi="Arial"/>
          <w:sz w:val="19"/>
          <w:szCs w:val="19"/>
          <w:color w:val="000000"/>
        </w:rPr>
        <w:t>under</w:t>
      </w:r>
      <w:r>
        <w:rPr>
          <w:rFonts w:ascii="Arial" w:cs="Arial" w:eastAsia="Arial" w:hAnsi="Arial"/>
          <w:sz w:val="19"/>
          <w:szCs w:val="19"/>
          <w:color w:val="2A2A2A"/>
        </w:rPr>
        <w:t xml:space="preserve"> this </w:t>
      </w:r>
      <w:r>
        <w:rPr>
          <w:rFonts w:ascii="Arial" w:cs="Arial" w:eastAsia="Arial" w:hAnsi="Arial"/>
          <w:sz w:val="19"/>
          <w:szCs w:val="19"/>
          <w:color w:val="000000"/>
        </w:rPr>
        <w:t>Lease</w:t>
      </w:r>
      <w:r>
        <w:rPr>
          <w:rFonts w:ascii="Arial" w:cs="Arial" w:eastAsia="Arial" w:hAnsi="Arial"/>
          <w:sz w:val="19"/>
          <w:szCs w:val="19"/>
          <w:color w:val="2A2A2A"/>
        </w:rPr>
        <w:t xml:space="preserve"> shall </w:t>
      </w:r>
      <w:r>
        <w:rPr>
          <w:rFonts w:ascii="Arial" w:cs="Arial" w:eastAsia="Arial" w:hAnsi="Arial"/>
          <w:sz w:val="19"/>
          <w:szCs w:val="19"/>
          <w:color w:val="000000"/>
        </w:rPr>
        <w:t>be</w:t>
      </w:r>
      <w:r>
        <w:rPr>
          <w:rFonts w:ascii="Arial" w:cs="Arial" w:eastAsia="Arial" w:hAnsi="Arial"/>
          <w:sz w:val="19"/>
          <w:szCs w:val="19"/>
          <w:color w:val="2A2A2A"/>
        </w:rPr>
        <w:t xml:space="preserve"> abated </w:t>
      </w:r>
      <w:r>
        <w:rPr>
          <w:rFonts w:ascii="Arial" w:cs="Arial" w:eastAsia="Arial" w:hAnsi="Arial"/>
          <w:sz w:val="19"/>
          <w:szCs w:val="19"/>
          <w:color w:val="000000"/>
        </w:rPr>
        <w:t>proportionately based</w:t>
      </w:r>
      <w:r>
        <w:rPr>
          <w:rFonts w:ascii="Arial" w:cs="Arial" w:eastAsia="Arial" w:hAnsi="Arial"/>
          <w:sz w:val="19"/>
          <w:szCs w:val="19"/>
          <w:color w:val="2A2A2A"/>
        </w:rPr>
        <w:t xml:space="preserve"> on </w:t>
      </w:r>
      <w:r>
        <w:rPr>
          <w:rFonts w:ascii="Arial" w:cs="Arial" w:eastAsia="Arial" w:hAnsi="Arial"/>
          <w:sz w:val="19"/>
          <w:szCs w:val="19"/>
          <w:color w:val="000000"/>
        </w:rPr>
        <w:t>the extent to</w:t>
      </w:r>
      <w:r>
        <w:rPr>
          <w:rFonts w:ascii="Arial" w:cs="Arial" w:eastAsia="Arial" w:hAnsi="Arial"/>
          <w:sz w:val="19"/>
          <w:szCs w:val="19"/>
          <w:color w:val="2A2A2A"/>
        </w:rPr>
        <w:t xml:space="preserve"> which Tenant’s </w:t>
      </w:r>
      <w:r>
        <w:rPr>
          <w:rFonts w:ascii="Arial" w:cs="Arial" w:eastAsia="Arial" w:hAnsi="Arial"/>
          <w:sz w:val="19"/>
          <w:szCs w:val="19"/>
          <w:color w:val="000000"/>
        </w:rPr>
        <w:t>use</w:t>
      </w:r>
      <w:r>
        <w:rPr>
          <w:rFonts w:ascii="Arial" w:cs="Arial" w:eastAsia="Arial" w:hAnsi="Arial"/>
          <w:sz w:val="19"/>
          <w:szCs w:val="19"/>
          <w:color w:val="2A2A2A"/>
        </w:rPr>
        <w:t xml:space="preserve"> of the </w:t>
      </w:r>
      <w:r>
        <w:rPr>
          <w:rFonts w:ascii="Arial" w:cs="Arial" w:eastAsia="Arial" w:hAnsi="Arial"/>
          <w:sz w:val="19"/>
          <w:szCs w:val="19"/>
          <w:color w:val="000000"/>
        </w:rPr>
        <w:t>Premises is impaired</w:t>
      </w:r>
      <w:r>
        <w:rPr>
          <w:rFonts w:ascii="Arial" w:cs="Arial" w:eastAsia="Arial" w:hAnsi="Arial"/>
          <w:sz w:val="19"/>
          <w:szCs w:val="19"/>
          <w:color w:val="2A2A2A"/>
        </w:rPr>
        <w:t xml:space="preserve"> </w:t>
      </w:r>
      <w:r>
        <w:rPr>
          <w:rFonts w:ascii="Arial" w:cs="Arial" w:eastAsia="Arial" w:hAnsi="Arial"/>
          <w:sz w:val="19"/>
          <w:szCs w:val="19"/>
          <w:color w:val="000000"/>
        </w:rPr>
        <w:t xml:space="preserve">during </w:t>
      </w:r>
      <w:r>
        <w:rPr>
          <w:rFonts w:ascii="Arial" w:cs="Arial" w:eastAsia="Arial" w:hAnsi="Arial"/>
          <w:sz w:val="19"/>
          <w:szCs w:val="19"/>
          <w:color w:val="2A2A2A"/>
        </w:rPr>
        <w:t>the</w:t>
      </w:r>
      <w:r>
        <w:rPr>
          <w:rFonts w:ascii="Arial" w:cs="Arial" w:eastAsia="Arial" w:hAnsi="Arial"/>
          <w:sz w:val="19"/>
          <w:szCs w:val="19"/>
          <w:color w:val="000000"/>
        </w:rPr>
        <w:t xml:space="preserve"> period </w:t>
      </w:r>
      <w:r>
        <w:rPr>
          <w:rFonts w:ascii="Arial" w:cs="Arial" w:eastAsia="Arial" w:hAnsi="Arial"/>
          <w:sz w:val="19"/>
          <w:szCs w:val="19"/>
          <w:color w:val="2A2A2A"/>
        </w:rPr>
        <w:t>of such repair,</w:t>
      </w:r>
      <w:r>
        <w:rPr>
          <w:rFonts w:ascii="Arial" w:cs="Arial" w:eastAsia="Arial" w:hAnsi="Arial"/>
          <w:sz w:val="19"/>
          <w:szCs w:val="19"/>
          <w:color w:val="000000"/>
        </w:rPr>
        <w:t xml:space="preserve"> reconstruction </w:t>
      </w:r>
      <w:r>
        <w:rPr>
          <w:rFonts w:ascii="Arial" w:cs="Arial" w:eastAsia="Arial" w:hAnsi="Arial"/>
          <w:sz w:val="19"/>
          <w:szCs w:val="19"/>
          <w:color w:val="2A2A2A"/>
        </w:rPr>
        <w:t>or restoration,</w:t>
      </w:r>
      <w:r>
        <w:rPr>
          <w:rFonts w:ascii="Arial" w:cs="Arial" w:eastAsia="Arial" w:hAnsi="Arial"/>
          <w:sz w:val="19"/>
          <w:szCs w:val="19"/>
          <w:color w:val="000000"/>
        </w:rPr>
        <w:t xml:space="preserve"> unless </w:t>
      </w:r>
      <w:r>
        <w:rPr>
          <w:rFonts w:ascii="Arial" w:cs="Arial" w:eastAsia="Arial" w:hAnsi="Arial"/>
          <w:sz w:val="19"/>
          <w:szCs w:val="19"/>
          <w:color w:val="2A2A2A"/>
        </w:rPr>
        <w:t>Landlord provides Tenant with other space</w:t>
      </w:r>
      <w:r>
        <w:rPr>
          <w:rFonts w:ascii="Arial" w:cs="Arial" w:eastAsia="Arial" w:hAnsi="Arial"/>
          <w:sz w:val="19"/>
          <w:szCs w:val="19"/>
          <w:color w:val="000000"/>
        </w:rPr>
        <w:t xml:space="preserve"> during the period </w:t>
      </w:r>
      <w:r>
        <w:rPr>
          <w:rFonts w:ascii="Arial" w:cs="Arial" w:eastAsia="Arial" w:hAnsi="Arial"/>
          <w:sz w:val="19"/>
          <w:szCs w:val="19"/>
          <w:color w:val="2A2A2A"/>
        </w:rPr>
        <w:t>of repair that,</w:t>
      </w:r>
      <w:r>
        <w:rPr>
          <w:rFonts w:ascii="Arial" w:cs="Arial" w:eastAsia="Arial" w:hAnsi="Arial"/>
          <w:sz w:val="19"/>
          <w:szCs w:val="19"/>
          <w:color w:val="000000"/>
        </w:rPr>
        <w:t xml:space="preserve"> in </w:t>
      </w:r>
      <w:r>
        <w:rPr>
          <w:rFonts w:ascii="Arial" w:cs="Arial" w:eastAsia="Arial" w:hAnsi="Arial"/>
          <w:sz w:val="19"/>
          <w:szCs w:val="19"/>
          <w:color w:val="2A2A2A"/>
        </w:rPr>
        <w:t>Tenant’s reasonable opinion,</w:t>
      </w:r>
      <w:r>
        <w:rPr>
          <w:rFonts w:ascii="Arial" w:cs="Arial" w:eastAsia="Arial" w:hAnsi="Arial"/>
          <w:sz w:val="19"/>
          <w:szCs w:val="19"/>
          <w:color w:val="000000"/>
        </w:rPr>
        <w:t xml:space="preserve"> is </w:t>
      </w:r>
      <w:r>
        <w:rPr>
          <w:rFonts w:ascii="Arial" w:cs="Arial" w:eastAsia="Arial" w:hAnsi="Arial"/>
          <w:sz w:val="19"/>
          <w:szCs w:val="19"/>
          <w:color w:val="2A2A2A"/>
        </w:rPr>
        <w:t>suitable</w:t>
      </w:r>
      <w:r>
        <w:rPr>
          <w:rFonts w:ascii="Arial" w:cs="Arial" w:eastAsia="Arial" w:hAnsi="Arial"/>
          <w:sz w:val="19"/>
          <w:szCs w:val="19"/>
          <w:color w:val="000000"/>
        </w:rPr>
        <w:t xml:space="preserve"> for the temporary </w:t>
      </w:r>
      <w:r>
        <w:rPr>
          <w:rFonts w:ascii="Arial" w:cs="Arial" w:eastAsia="Arial" w:hAnsi="Arial"/>
          <w:sz w:val="19"/>
          <w:szCs w:val="19"/>
          <w:color w:val="2A2A2A"/>
        </w:rPr>
        <w:t>conduct of Tenant’s</w:t>
      </w:r>
      <w:r>
        <w:rPr>
          <w:rFonts w:ascii="Arial" w:cs="Arial" w:eastAsia="Arial" w:hAnsi="Arial"/>
          <w:sz w:val="19"/>
          <w:szCs w:val="19"/>
          <w:color w:val="000000"/>
        </w:rPr>
        <w:t xml:space="preserve"> business; provided, </w:t>
      </w:r>
      <w:r>
        <w:rPr>
          <w:rFonts w:ascii="Arial" w:cs="Arial" w:eastAsia="Arial" w:hAnsi="Arial"/>
          <w:sz w:val="19"/>
          <w:szCs w:val="19"/>
          <w:color w:val="2A2A2A"/>
        </w:rPr>
        <w:t>however,</w:t>
      </w:r>
      <w:r>
        <w:rPr>
          <w:rFonts w:ascii="Arial" w:cs="Arial" w:eastAsia="Arial" w:hAnsi="Arial"/>
          <w:sz w:val="19"/>
          <w:szCs w:val="19"/>
          <w:color w:val="000000"/>
        </w:rPr>
        <w:t xml:space="preserve"> that </w:t>
      </w:r>
      <w:r>
        <w:rPr>
          <w:rFonts w:ascii="Arial" w:cs="Arial" w:eastAsia="Arial" w:hAnsi="Arial"/>
          <w:sz w:val="19"/>
          <w:szCs w:val="19"/>
          <w:color w:val="2A2A2A"/>
        </w:rPr>
        <w:t>the amount of such</w:t>
      </w:r>
      <w:r>
        <w:rPr>
          <w:rFonts w:ascii="Arial" w:cs="Arial" w:eastAsia="Arial" w:hAnsi="Arial"/>
          <w:sz w:val="19"/>
          <w:szCs w:val="19"/>
          <w:color w:val="000000"/>
        </w:rPr>
        <w:t xml:space="preserve"> abatement </w:t>
      </w:r>
      <w:r>
        <w:rPr>
          <w:rFonts w:ascii="Arial" w:cs="Arial" w:eastAsia="Arial" w:hAnsi="Arial"/>
          <w:sz w:val="19"/>
          <w:szCs w:val="19"/>
          <w:color w:val="2A2A2A"/>
        </w:rPr>
        <w:t>shall</w:t>
      </w:r>
      <w:r>
        <w:rPr>
          <w:rFonts w:ascii="Arial" w:cs="Arial" w:eastAsia="Arial" w:hAnsi="Arial"/>
          <w:sz w:val="19"/>
          <w:szCs w:val="19"/>
          <w:color w:val="000000"/>
        </w:rPr>
        <w:t xml:space="preserve"> be reduced by the </w:t>
      </w:r>
      <w:r>
        <w:rPr>
          <w:rFonts w:ascii="Arial" w:cs="Arial" w:eastAsia="Arial" w:hAnsi="Arial"/>
          <w:sz w:val="19"/>
          <w:szCs w:val="19"/>
          <w:color w:val="2A2A2A"/>
        </w:rPr>
        <w:t>proceeds</w:t>
      </w:r>
      <w:r>
        <w:rPr>
          <w:rFonts w:ascii="Arial" w:cs="Arial" w:eastAsia="Arial" w:hAnsi="Arial"/>
          <w:sz w:val="19"/>
          <w:szCs w:val="19"/>
          <w:color w:val="000000"/>
        </w:rPr>
        <w:t xml:space="preserve"> of </w:t>
      </w:r>
      <w:r>
        <w:rPr>
          <w:rFonts w:ascii="Arial" w:cs="Arial" w:eastAsia="Arial" w:hAnsi="Arial"/>
          <w:sz w:val="19"/>
          <w:szCs w:val="19"/>
          <w:color w:val="2A2A2A"/>
        </w:rPr>
        <w:t>business</w:t>
      </w:r>
      <w:r>
        <w:rPr>
          <w:rFonts w:ascii="Arial" w:cs="Arial" w:eastAsia="Arial" w:hAnsi="Arial"/>
          <w:sz w:val="19"/>
          <w:szCs w:val="19"/>
          <w:color w:val="000000"/>
        </w:rPr>
        <w:t xml:space="preserve"> interruption or loss </w:t>
      </w:r>
      <w:r>
        <w:rPr>
          <w:rFonts w:ascii="Arial" w:cs="Arial" w:eastAsia="Arial" w:hAnsi="Arial"/>
          <w:sz w:val="19"/>
          <w:szCs w:val="19"/>
          <w:color w:val="2A2A2A"/>
        </w:rPr>
        <w:t>of rental income</w:t>
      </w:r>
      <w:r>
        <w:rPr>
          <w:rFonts w:ascii="Arial" w:cs="Arial" w:eastAsia="Arial" w:hAnsi="Arial"/>
          <w:sz w:val="19"/>
          <w:szCs w:val="19"/>
          <w:color w:val="000000"/>
        </w:rPr>
        <w:t xml:space="preserve"> insur</w:t>
      </w:r>
      <w:r>
        <w:rPr>
          <w:rFonts w:ascii="Arial" w:cs="Arial" w:eastAsia="Arial" w:hAnsi="Arial"/>
          <w:sz w:val="19"/>
          <w:szCs w:val="19"/>
          <w:color w:val="444444"/>
        </w:rPr>
        <w:t>a</w:t>
      </w:r>
      <w:r>
        <w:rPr>
          <w:rFonts w:ascii="Arial" w:cs="Arial" w:eastAsia="Arial" w:hAnsi="Arial"/>
          <w:sz w:val="19"/>
          <w:szCs w:val="19"/>
          <w:color w:val="000000"/>
        </w:rPr>
        <w:t xml:space="preserve">nce </w:t>
      </w:r>
      <w:r>
        <w:rPr>
          <w:rFonts w:ascii="Arial" w:cs="Arial" w:eastAsia="Arial" w:hAnsi="Arial"/>
          <w:sz w:val="19"/>
          <w:szCs w:val="19"/>
          <w:color w:val="2A2A2A"/>
        </w:rPr>
        <w:t>actually received by Tenant with</w:t>
      </w:r>
      <w:r>
        <w:rPr>
          <w:rFonts w:ascii="Arial" w:cs="Arial" w:eastAsia="Arial" w:hAnsi="Arial"/>
          <w:sz w:val="19"/>
          <w:szCs w:val="19"/>
          <w:color w:val="000000"/>
        </w:rPr>
        <w:t xml:space="preserve"> </w:t>
      </w:r>
      <w:r>
        <w:rPr>
          <w:rFonts w:ascii="Arial" w:cs="Arial" w:eastAsia="Arial" w:hAnsi="Arial"/>
          <w:sz w:val="19"/>
          <w:szCs w:val="19"/>
          <w:color w:val="444444"/>
        </w:rPr>
        <w:t>r</w:t>
      </w:r>
      <w:r>
        <w:rPr>
          <w:rFonts w:ascii="Arial" w:cs="Arial" w:eastAsia="Arial" w:hAnsi="Arial"/>
          <w:sz w:val="19"/>
          <w:szCs w:val="19"/>
          <w:color w:val="000000"/>
        </w:rPr>
        <w:t xml:space="preserve">espect </w:t>
      </w:r>
      <w:r>
        <w:rPr>
          <w:rFonts w:ascii="Arial" w:cs="Arial" w:eastAsia="Arial" w:hAnsi="Arial"/>
          <w:sz w:val="19"/>
          <w:szCs w:val="19"/>
          <w:color w:val="2A2A2A"/>
        </w:rPr>
        <w:t>to</w:t>
      </w:r>
      <w:r>
        <w:rPr>
          <w:rFonts w:ascii="Arial" w:cs="Arial" w:eastAsia="Arial" w:hAnsi="Arial"/>
          <w:sz w:val="19"/>
          <w:szCs w:val="19"/>
          <w:color w:val="000000"/>
        </w:rPr>
        <w:t xml:space="preserve"> th</w:t>
      </w:r>
      <w:r>
        <w:rPr>
          <w:rFonts w:ascii="Arial" w:cs="Arial" w:eastAsia="Arial" w:hAnsi="Arial"/>
          <w:sz w:val="19"/>
          <w:szCs w:val="19"/>
          <w:color w:val="444444"/>
        </w:rPr>
        <w:t>e</w:t>
      </w:r>
      <w:r>
        <w:rPr>
          <w:rFonts w:ascii="Arial" w:cs="Arial" w:eastAsia="Arial" w:hAnsi="Arial"/>
          <w:sz w:val="19"/>
          <w:szCs w:val="19"/>
          <w:color w:val="000000"/>
        </w:rPr>
        <w:t xml:space="preserve"> </w:t>
      </w:r>
      <w:r>
        <w:rPr>
          <w:rFonts w:ascii="Arial" w:cs="Arial" w:eastAsia="Arial" w:hAnsi="Arial"/>
          <w:sz w:val="19"/>
          <w:szCs w:val="19"/>
          <w:color w:val="2A2A2A"/>
        </w:rPr>
        <w:t>Premises</w:t>
      </w:r>
      <w:r>
        <w:rPr>
          <w:rFonts w:ascii="Arial" w:cs="Arial" w:eastAsia="Arial" w:hAnsi="Arial"/>
          <w:sz w:val="19"/>
          <w:szCs w:val="19"/>
          <w:color w:val="5E5E5E"/>
        </w:rPr>
        <w:t>.</w:t>
      </w:r>
    </w:p>
    <w:p>
      <w:pPr>
        <w:spacing w:after="0" w:line="152" w:lineRule="exact"/>
        <w:rPr>
          <w:sz w:val="20"/>
          <w:szCs w:val="20"/>
          <w:color w:val="auto"/>
        </w:rPr>
      </w:pPr>
    </w:p>
    <w:p>
      <w:pPr>
        <w:jc w:val="both"/>
        <w:ind w:left="180" w:hanging="647"/>
        <w:spacing w:after="0" w:line="247" w:lineRule="auto"/>
        <w:tabs>
          <w:tab w:leader="none" w:pos="160" w:val="left"/>
        </w:tabs>
        <w:rPr>
          <w:sz w:val="20"/>
          <w:szCs w:val="20"/>
          <w:color w:val="auto"/>
        </w:rPr>
      </w:pPr>
      <w:r>
        <w:rPr>
          <w:rFonts w:ascii="Arial" w:cs="Arial" w:eastAsia="Arial" w:hAnsi="Arial"/>
          <w:sz w:val="22"/>
          <w:szCs w:val="22"/>
          <w:color w:val="auto"/>
        </w:rPr>
        <w:t>24.7</w:t>
      </w:r>
      <w:r>
        <w:rPr>
          <w:sz w:val="20"/>
          <w:szCs w:val="20"/>
          <w:color w:val="auto"/>
        </w:rPr>
        <w:tab/>
      </w:r>
      <w:r>
        <w:rPr>
          <w:rFonts w:ascii="Arial" w:cs="Arial" w:eastAsia="Arial" w:hAnsi="Arial"/>
          <w:sz w:val="19"/>
          <w:szCs w:val="19"/>
          <w:color w:val="auto"/>
        </w:rPr>
        <w:t xml:space="preserve">Notwithstanding anything </w:t>
      </w:r>
      <w:r>
        <w:rPr>
          <w:rFonts w:ascii="Arial" w:cs="Arial" w:eastAsia="Arial" w:hAnsi="Arial"/>
          <w:sz w:val="19"/>
          <w:szCs w:val="19"/>
          <w:color w:val="151515"/>
        </w:rPr>
        <w:t>to</w:t>
      </w:r>
      <w:r>
        <w:rPr>
          <w:rFonts w:ascii="Arial" w:cs="Arial" w:eastAsia="Arial" w:hAnsi="Arial"/>
          <w:sz w:val="19"/>
          <w:szCs w:val="19"/>
          <w:color w:val="auto"/>
        </w:rPr>
        <w:t xml:space="preserve"> the contrary contained </w:t>
      </w:r>
      <w:r>
        <w:rPr>
          <w:rFonts w:ascii="Arial" w:cs="Arial" w:eastAsia="Arial" w:hAnsi="Arial"/>
          <w:sz w:val="19"/>
          <w:szCs w:val="19"/>
          <w:color w:val="151515"/>
        </w:rPr>
        <w:t>in this</w:t>
      </w:r>
      <w:r>
        <w:rPr>
          <w:rFonts w:ascii="Arial" w:cs="Arial" w:eastAsia="Arial" w:hAnsi="Arial"/>
          <w:sz w:val="19"/>
          <w:szCs w:val="19"/>
          <w:color w:val="auto"/>
        </w:rPr>
        <w:t xml:space="preserve"> Article, should Landlord </w:t>
      </w:r>
      <w:r>
        <w:rPr>
          <w:rFonts w:ascii="Arial" w:cs="Arial" w:eastAsia="Arial" w:hAnsi="Arial"/>
          <w:sz w:val="19"/>
          <w:szCs w:val="19"/>
          <w:color w:val="151515"/>
        </w:rPr>
        <w:t>be delayed</w:t>
      </w:r>
      <w:r>
        <w:rPr>
          <w:rFonts w:ascii="Arial" w:cs="Arial" w:eastAsia="Arial" w:hAnsi="Arial"/>
          <w:sz w:val="19"/>
          <w:szCs w:val="19"/>
          <w:color w:val="auto"/>
        </w:rPr>
        <w:t xml:space="preserve"> or </w:t>
      </w:r>
      <w:r>
        <w:rPr>
          <w:rFonts w:ascii="Arial" w:cs="Arial" w:eastAsia="Arial" w:hAnsi="Arial"/>
          <w:sz w:val="19"/>
          <w:szCs w:val="19"/>
          <w:color w:val="151515"/>
        </w:rPr>
        <w:t>prevented from</w:t>
      </w:r>
      <w:r>
        <w:rPr>
          <w:rFonts w:ascii="Arial" w:cs="Arial" w:eastAsia="Arial" w:hAnsi="Arial"/>
          <w:sz w:val="19"/>
          <w:szCs w:val="19"/>
          <w:color w:val="auto"/>
        </w:rPr>
        <w:t xml:space="preserve"> completing the </w:t>
      </w:r>
      <w:r>
        <w:rPr>
          <w:rFonts w:ascii="Arial" w:cs="Arial" w:eastAsia="Arial" w:hAnsi="Arial"/>
          <w:sz w:val="19"/>
          <w:szCs w:val="19"/>
          <w:color w:val="151515"/>
        </w:rPr>
        <w:t>repair,</w:t>
      </w:r>
      <w:r>
        <w:rPr>
          <w:rFonts w:ascii="Arial" w:cs="Arial" w:eastAsia="Arial" w:hAnsi="Arial"/>
          <w:sz w:val="19"/>
          <w:szCs w:val="19"/>
          <w:color w:val="auto"/>
        </w:rPr>
        <w:t xml:space="preserve"> reconstruction </w:t>
      </w:r>
      <w:r>
        <w:rPr>
          <w:rFonts w:ascii="Arial" w:cs="Arial" w:eastAsia="Arial" w:hAnsi="Arial"/>
          <w:sz w:val="19"/>
          <w:szCs w:val="19"/>
          <w:color w:val="151515"/>
        </w:rPr>
        <w:t>or restoration</w:t>
      </w:r>
      <w:r>
        <w:rPr>
          <w:rFonts w:ascii="Arial" w:cs="Arial" w:eastAsia="Arial" w:hAnsi="Arial"/>
          <w:sz w:val="19"/>
          <w:szCs w:val="19"/>
          <w:color w:val="auto"/>
        </w:rPr>
        <w:t xml:space="preserve"> of the </w:t>
      </w:r>
      <w:r>
        <w:rPr>
          <w:rFonts w:ascii="Arial" w:cs="Arial" w:eastAsia="Arial" w:hAnsi="Arial"/>
          <w:sz w:val="19"/>
          <w:szCs w:val="19"/>
          <w:color w:val="151515"/>
        </w:rPr>
        <w:t>damage</w:t>
      </w:r>
      <w:r>
        <w:rPr>
          <w:rFonts w:ascii="Arial" w:cs="Arial" w:eastAsia="Arial" w:hAnsi="Arial"/>
          <w:sz w:val="19"/>
          <w:szCs w:val="19"/>
          <w:color w:val="auto"/>
        </w:rPr>
        <w:t xml:space="preserve"> or destruction </w:t>
      </w:r>
      <w:r>
        <w:rPr>
          <w:rFonts w:ascii="Arial" w:cs="Arial" w:eastAsia="Arial" w:hAnsi="Arial"/>
          <w:sz w:val="19"/>
          <w:szCs w:val="19"/>
          <w:color w:val="151515"/>
        </w:rPr>
        <w:t>to the</w:t>
      </w:r>
      <w:r>
        <w:rPr>
          <w:rFonts w:ascii="Arial" w:cs="Arial" w:eastAsia="Arial" w:hAnsi="Arial"/>
          <w:sz w:val="19"/>
          <w:szCs w:val="19"/>
          <w:color w:val="auto"/>
        </w:rPr>
        <w:t xml:space="preserve"> Premises after </w:t>
      </w:r>
      <w:r>
        <w:rPr>
          <w:rFonts w:ascii="Arial" w:cs="Arial" w:eastAsia="Arial" w:hAnsi="Arial"/>
          <w:sz w:val="19"/>
          <w:szCs w:val="19"/>
          <w:color w:val="151515"/>
        </w:rPr>
        <w:t>the</w:t>
      </w:r>
      <w:r>
        <w:rPr>
          <w:rFonts w:ascii="Arial" w:cs="Arial" w:eastAsia="Arial" w:hAnsi="Arial"/>
          <w:sz w:val="19"/>
          <w:szCs w:val="19"/>
          <w:color w:val="auto"/>
        </w:rPr>
        <w:t xml:space="preserve"> </w:t>
      </w:r>
      <w:r>
        <w:rPr>
          <w:rFonts w:ascii="Arial" w:cs="Arial" w:eastAsia="Arial" w:hAnsi="Arial"/>
          <w:sz w:val="19"/>
          <w:szCs w:val="19"/>
          <w:color w:val="151515"/>
        </w:rPr>
        <w:t xml:space="preserve">occurrence </w:t>
      </w:r>
      <w:r>
        <w:rPr>
          <w:rFonts w:ascii="Arial" w:cs="Arial" w:eastAsia="Arial" w:hAnsi="Arial"/>
          <w:sz w:val="19"/>
          <w:szCs w:val="19"/>
          <w:color w:val="000000"/>
        </w:rPr>
        <w:t>of such</w:t>
      </w:r>
      <w:r>
        <w:rPr>
          <w:rFonts w:ascii="Arial" w:cs="Arial" w:eastAsia="Arial" w:hAnsi="Arial"/>
          <w:sz w:val="19"/>
          <w:szCs w:val="19"/>
          <w:color w:val="151515"/>
        </w:rPr>
        <w:t xml:space="preserve"> damage or </w:t>
      </w:r>
      <w:r>
        <w:rPr>
          <w:rFonts w:ascii="Arial" w:cs="Arial" w:eastAsia="Arial" w:hAnsi="Arial"/>
          <w:sz w:val="19"/>
          <w:szCs w:val="19"/>
          <w:color w:val="000000"/>
        </w:rPr>
        <w:t>destruction</w:t>
      </w:r>
      <w:r>
        <w:rPr>
          <w:rFonts w:ascii="Arial" w:cs="Arial" w:eastAsia="Arial" w:hAnsi="Arial"/>
          <w:sz w:val="19"/>
          <w:szCs w:val="19"/>
          <w:color w:val="151515"/>
        </w:rPr>
        <w:t xml:space="preserve"> by </w:t>
      </w:r>
      <w:r>
        <w:rPr>
          <w:rFonts w:ascii="Arial" w:cs="Arial" w:eastAsia="Arial" w:hAnsi="Arial"/>
          <w:sz w:val="19"/>
          <w:szCs w:val="19"/>
          <w:color w:val="000000"/>
        </w:rPr>
        <w:t>Force Majeure, then</w:t>
      </w:r>
      <w:r>
        <w:rPr>
          <w:rFonts w:ascii="Arial" w:cs="Arial" w:eastAsia="Arial" w:hAnsi="Arial"/>
          <w:sz w:val="19"/>
          <w:szCs w:val="19"/>
          <w:color w:val="151515"/>
        </w:rPr>
        <w:t xml:space="preserve"> the time </w:t>
      </w:r>
      <w:r>
        <w:rPr>
          <w:rFonts w:ascii="Arial" w:cs="Arial" w:eastAsia="Arial" w:hAnsi="Arial"/>
          <w:sz w:val="19"/>
          <w:szCs w:val="19"/>
          <w:color w:val="000000"/>
        </w:rPr>
        <w:t>for</w:t>
      </w:r>
      <w:r>
        <w:rPr>
          <w:rFonts w:ascii="Arial" w:cs="Arial" w:eastAsia="Arial" w:hAnsi="Arial"/>
          <w:sz w:val="19"/>
          <w:szCs w:val="19"/>
          <w:color w:val="151515"/>
        </w:rPr>
        <w:t xml:space="preserve"> </w:t>
      </w:r>
      <w:r>
        <w:rPr>
          <w:rFonts w:ascii="Arial" w:cs="Arial" w:eastAsia="Arial" w:hAnsi="Arial"/>
          <w:sz w:val="19"/>
          <w:szCs w:val="19"/>
          <w:color w:val="444444"/>
        </w:rPr>
        <w:t>L</w:t>
      </w:r>
      <w:r>
        <w:rPr>
          <w:rFonts w:ascii="Arial" w:cs="Arial" w:eastAsia="Arial" w:hAnsi="Arial"/>
          <w:sz w:val="19"/>
          <w:szCs w:val="19"/>
          <w:color w:val="000000"/>
        </w:rPr>
        <w:t>and</w:t>
      </w:r>
      <w:r>
        <w:rPr>
          <w:rFonts w:ascii="Arial" w:cs="Arial" w:eastAsia="Arial" w:hAnsi="Arial"/>
          <w:sz w:val="19"/>
          <w:szCs w:val="19"/>
          <w:color w:val="444444"/>
        </w:rPr>
        <w:t>l</w:t>
      </w:r>
      <w:r>
        <w:rPr>
          <w:rFonts w:ascii="Arial" w:cs="Arial" w:eastAsia="Arial" w:hAnsi="Arial"/>
          <w:sz w:val="19"/>
          <w:szCs w:val="19"/>
          <w:color w:val="151515"/>
        </w:rPr>
        <w:t xml:space="preserve">ord </w:t>
      </w:r>
      <w:r>
        <w:rPr>
          <w:rFonts w:ascii="Arial" w:cs="Arial" w:eastAsia="Arial" w:hAnsi="Arial"/>
          <w:sz w:val="19"/>
          <w:szCs w:val="19"/>
          <w:color w:val="000000"/>
        </w:rPr>
        <w:t>to</w:t>
      </w:r>
      <w:r>
        <w:rPr>
          <w:rFonts w:ascii="Arial" w:cs="Arial" w:eastAsia="Arial" w:hAnsi="Arial"/>
          <w:sz w:val="19"/>
          <w:szCs w:val="19"/>
          <w:color w:val="151515"/>
        </w:rPr>
        <w:t xml:space="preserve"> comm</w:t>
      </w:r>
      <w:r>
        <w:rPr>
          <w:rFonts w:ascii="Arial" w:cs="Arial" w:eastAsia="Arial" w:hAnsi="Arial"/>
          <w:sz w:val="19"/>
          <w:szCs w:val="19"/>
          <w:color w:val="000000"/>
        </w:rPr>
        <w:t>ence</w:t>
      </w:r>
      <w:r>
        <w:rPr>
          <w:rFonts w:ascii="Arial" w:cs="Arial" w:eastAsia="Arial" w:hAnsi="Arial"/>
          <w:sz w:val="19"/>
          <w:szCs w:val="19"/>
          <w:color w:val="151515"/>
        </w:rPr>
        <w:t xml:space="preserve"> or </w:t>
      </w:r>
      <w:r>
        <w:rPr>
          <w:rFonts w:ascii="Arial" w:cs="Arial" w:eastAsia="Arial" w:hAnsi="Arial"/>
          <w:sz w:val="19"/>
          <w:szCs w:val="19"/>
          <w:color w:val="000000"/>
        </w:rPr>
        <w:t>complete</w:t>
      </w:r>
      <w:r>
        <w:rPr>
          <w:rFonts w:ascii="Arial" w:cs="Arial" w:eastAsia="Arial" w:hAnsi="Arial"/>
          <w:sz w:val="19"/>
          <w:szCs w:val="19"/>
          <w:color w:val="151515"/>
        </w:rPr>
        <w:t xml:space="preserve"> </w:t>
      </w:r>
      <w:r>
        <w:rPr>
          <w:rFonts w:ascii="Arial" w:cs="Arial" w:eastAsia="Arial" w:hAnsi="Arial"/>
          <w:sz w:val="19"/>
          <w:szCs w:val="19"/>
          <w:color w:val="000000"/>
        </w:rPr>
        <w:t xml:space="preserve">repairs shall </w:t>
      </w:r>
      <w:r>
        <w:rPr>
          <w:rFonts w:ascii="Arial" w:cs="Arial" w:eastAsia="Arial" w:hAnsi="Arial"/>
          <w:sz w:val="19"/>
          <w:szCs w:val="19"/>
          <w:color w:val="151515"/>
        </w:rPr>
        <w:t>be</w:t>
      </w:r>
      <w:r>
        <w:rPr>
          <w:rFonts w:ascii="Arial" w:cs="Arial" w:eastAsia="Arial" w:hAnsi="Arial"/>
          <w:sz w:val="19"/>
          <w:szCs w:val="19"/>
          <w:color w:val="000000"/>
        </w:rPr>
        <w:t xml:space="preserve"> extended on a day-for-day basis;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however, after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151515"/>
        </w:rPr>
        <w:t>days</w:t>
      </w:r>
      <w:r>
        <w:rPr>
          <w:rFonts w:ascii="Arial" w:cs="Arial" w:eastAsia="Arial" w:hAnsi="Arial"/>
          <w:sz w:val="19"/>
          <w:szCs w:val="19"/>
          <w:color w:val="000000"/>
        </w:rPr>
        <w:t xml:space="preserve"> of such </w:t>
      </w:r>
      <w:r>
        <w:rPr>
          <w:rFonts w:ascii="Arial" w:cs="Arial" w:eastAsia="Arial" w:hAnsi="Arial"/>
          <w:sz w:val="19"/>
          <w:szCs w:val="19"/>
          <w:color w:val="151515"/>
        </w:rPr>
        <w:t>delay</w:t>
      </w:r>
      <w:r>
        <w:rPr>
          <w:rFonts w:ascii="Arial" w:cs="Arial" w:eastAsia="Arial" w:hAnsi="Arial"/>
          <w:sz w:val="19"/>
          <w:szCs w:val="19"/>
          <w:color w:val="444444"/>
        </w:rPr>
        <w:t>,</w:t>
      </w:r>
      <w:r>
        <w:rPr>
          <w:rFonts w:ascii="Arial" w:cs="Arial" w:eastAsia="Arial" w:hAnsi="Arial"/>
          <w:sz w:val="19"/>
          <w:szCs w:val="19"/>
          <w:color w:val="000000"/>
        </w:rPr>
        <w:t xml:space="preserve"> </w:t>
      </w:r>
      <w:r>
        <w:rPr>
          <w:rFonts w:ascii="Arial" w:cs="Arial" w:eastAsia="Arial" w:hAnsi="Arial"/>
          <w:sz w:val="19"/>
          <w:szCs w:val="19"/>
          <w:color w:val="151515"/>
        </w:rPr>
        <w:t>that, at</w:t>
      </w:r>
      <w:r>
        <w:rPr>
          <w:rFonts w:ascii="Arial" w:cs="Arial" w:eastAsia="Arial" w:hAnsi="Arial"/>
          <w:sz w:val="19"/>
          <w:szCs w:val="19"/>
          <w:color w:val="000000"/>
        </w:rPr>
        <w:t xml:space="preserve"> Landlord’s election, </w:t>
      </w:r>
      <w:r>
        <w:rPr>
          <w:rFonts w:ascii="Arial" w:cs="Arial" w:eastAsia="Arial" w:hAnsi="Arial"/>
          <w:sz w:val="19"/>
          <w:szCs w:val="19"/>
          <w:color w:val="151515"/>
        </w:rPr>
        <w:t>Landlord</w:t>
      </w:r>
      <w:r>
        <w:rPr>
          <w:rFonts w:ascii="Arial" w:cs="Arial" w:eastAsia="Arial" w:hAnsi="Arial"/>
          <w:sz w:val="19"/>
          <w:szCs w:val="19"/>
          <w:color w:val="000000"/>
        </w:rPr>
        <w:t xml:space="preserve"> shall </w:t>
      </w:r>
      <w:r>
        <w:rPr>
          <w:rFonts w:ascii="Arial" w:cs="Arial" w:eastAsia="Arial" w:hAnsi="Arial"/>
          <w:sz w:val="19"/>
          <w:szCs w:val="19"/>
          <w:color w:val="151515"/>
        </w:rPr>
        <w:t>be relieved</w:t>
      </w:r>
      <w:r>
        <w:rPr>
          <w:rFonts w:ascii="Arial" w:cs="Arial" w:eastAsia="Arial" w:hAnsi="Arial"/>
          <w:sz w:val="19"/>
          <w:szCs w:val="19"/>
          <w:color w:val="000000"/>
        </w:rPr>
        <w:t xml:space="preserve"> of </w:t>
      </w:r>
      <w:r>
        <w:rPr>
          <w:rFonts w:ascii="Arial" w:cs="Arial" w:eastAsia="Arial" w:hAnsi="Arial"/>
          <w:sz w:val="19"/>
          <w:szCs w:val="19"/>
          <w:color w:val="151515"/>
        </w:rPr>
        <w:t>its</w:t>
      </w:r>
      <w:r>
        <w:rPr>
          <w:rFonts w:ascii="Arial" w:cs="Arial" w:eastAsia="Arial" w:hAnsi="Arial"/>
          <w:sz w:val="19"/>
          <w:szCs w:val="19"/>
          <w:color w:val="000000"/>
        </w:rPr>
        <w:t xml:space="preserve"> obligation </w:t>
      </w:r>
      <w:r>
        <w:rPr>
          <w:rFonts w:ascii="Arial" w:cs="Arial" w:eastAsia="Arial" w:hAnsi="Arial"/>
          <w:sz w:val="19"/>
          <w:szCs w:val="19"/>
          <w:color w:val="151515"/>
        </w:rPr>
        <w:t>to</w:t>
      </w:r>
      <w:r>
        <w:rPr>
          <w:rFonts w:ascii="Arial" w:cs="Arial" w:eastAsia="Arial" w:hAnsi="Arial"/>
          <w:sz w:val="19"/>
          <w:szCs w:val="19"/>
          <w:color w:val="000000"/>
        </w:rPr>
        <w:t xml:space="preserve"> make such </w:t>
      </w:r>
      <w:r>
        <w:rPr>
          <w:rFonts w:ascii="Arial" w:cs="Arial" w:eastAsia="Arial" w:hAnsi="Arial"/>
          <w:sz w:val="19"/>
          <w:szCs w:val="19"/>
          <w:color w:val="151515"/>
        </w:rPr>
        <w:t>repair, reconstruction</w:t>
      </w:r>
      <w:r>
        <w:rPr>
          <w:rFonts w:ascii="Arial" w:cs="Arial" w:eastAsia="Arial" w:hAnsi="Arial"/>
          <w:sz w:val="19"/>
          <w:szCs w:val="19"/>
          <w:color w:val="000000"/>
        </w:rPr>
        <w:t xml:space="preserve"> or </w:t>
      </w:r>
      <w:r>
        <w:rPr>
          <w:rFonts w:ascii="Arial" w:cs="Arial" w:eastAsia="Arial" w:hAnsi="Arial"/>
          <w:sz w:val="19"/>
          <w:szCs w:val="19"/>
          <w:color w:val="151515"/>
        </w:rPr>
        <w:t>restoration.</w:t>
      </w:r>
      <w:r>
        <w:rPr>
          <w:rFonts w:ascii="Arial" w:cs="Arial" w:eastAsia="Arial" w:hAnsi="Arial"/>
          <w:sz w:val="19"/>
          <w:szCs w:val="19"/>
          <w:color w:val="000000"/>
        </w:rPr>
        <w:t xml:space="preserve"> If </w:t>
      </w:r>
      <w:r>
        <w:rPr>
          <w:rFonts w:ascii="Arial" w:cs="Arial" w:eastAsia="Arial" w:hAnsi="Arial"/>
          <w:sz w:val="19"/>
          <w:szCs w:val="19"/>
          <w:color w:val="151515"/>
        </w:rPr>
        <w:t>Land</w:t>
      </w:r>
      <w:r>
        <w:rPr>
          <w:rFonts w:ascii="Arial" w:cs="Arial" w:eastAsia="Arial" w:hAnsi="Arial"/>
          <w:sz w:val="19"/>
          <w:szCs w:val="19"/>
          <w:color w:val="444444"/>
        </w:rPr>
        <w:t>l</w:t>
      </w:r>
      <w:r>
        <w:rPr>
          <w:rFonts w:ascii="Arial" w:cs="Arial" w:eastAsia="Arial" w:hAnsi="Arial"/>
          <w:sz w:val="19"/>
          <w:szCs w:val="19"/>
          <w:color w:val="000000"/>
        </w:rPr>
        <w:t xml:space="preserve">ord </w:t>
      </w:r>
      <w:r>
        <w:rPr>
          <w:rFonts w:ascii="Arial" w:cs="Arial" w:eastAsia="Arial" w:hAnsi="Arial"/>
          <w:sz w:val="19"/>
          <w:szCs w:val="19"/>
          <w:color w:val="151515"/>
        </w:rPr>
        <w:t>elects</w:t>
      </w:r>
      <w:r>
        <w:rPr>
          <w:rFonts w:ascii="Arial" w:cs="Arial" w:eastAsia="Arial" w:hAnsi="Arial"/>
          <w:sz w:val="19"/>
          <w:szCs w:val="19"/>
          <w:color w:val="000000"/>
        </w:rPr>
        <w:t xml:space="preserve"> not </w:t>
      </w:r>
      <w:r>
        <w:rPr>
          <w:rFonts w:ascii="Arial" w:cs="Arial" w:eastAsia="Arial" w:hAnsi="Arial"/>
          <w:sz w:val="19"/>
          <w:szCs w:val="19"/>
          <w:color w:val="151515"/>
        </w:rPr>
        <w:t>to make</w:t>
      </w:r>
      <w:r>
        <w:rPr>
          <w:rFonts w:ascii="Arial" w:cs="Arial" w:eastAsia="Arial" w:hAnsi="Arial"/>
          <w:sz w:val="19"/>
          <w:szCs w:val="19"/>
          <w:color w:val="000000"/>
        </w:rPr>
        <w:t xml:space="preserve"> such </w:t>
      </w:r>
      <w:r>
        <w:rPr>
          <w:rFonts w:ascii="Arial" w:cs="Arial" w:eastAsia="Arial" w:hAnsi="Arial"/>
          <w:sz w:val="19"/>
          <w:szCs w:val="19"/>
          <w:color w:val="151515"/>
        </w:rPr>
        <w:t>repair, reconstruction</w:t>
      </w:r>
      <w:r>
        <w:rPr>
          <w:rFonts w:ascii="Arial" w:cs="Arial" w:eastAsia="Arial" w:hAnsi="Arial"/>
          <w:sz w:val="19"/>
          <w:szCs w:val="19"/>
          <w:color w:val="000000"/>
        </w:rPr>
        <w:t xml:space="preserve"> or </w:t>
      </w:r>
      <w:r>
        <w:rPr>
          <w:rFonts w:ascii="Arial" w:cs="Arial" w:eastAsia="Arial" w:hAnsi="Arial"/>
          <w:sz w:val="19"/>
          <w:szCs w:val="19"/>
          <w:color w:val="151515"/>
        </w:rPr>
        <w:t>restoration</w:t>
      </w:r>
      <w:r>
        <w:rPr>
          <w:rFonts w:ascii="Arial" w:cs="Arial" w:eastAsia="Arial" w:hAnsi="Arial"/>
          <w:sz w:val="19"/>
          <w:szCs w:val="19"/>
          <w:color w:val="000000"/>
        </w:rPr>
        <w:t xml:space="preserve"> and </w:t>
      </w:r>
      <w:r>
        <w:rPr>
          <w:rFonts w:ascii="Arial" w:cs="Arial" w:eastAsia="Arial" w:hAnsi="Arial"/>
          <w:sz w:val="19"/>
          <w:szCs w:val="19"/>
          <w:color w:val="444444"/>
        </w:rPr>
        <w:t>s</w:t>
      </w:r>
      <w:r>
        <w:rPr>
          <w:rFonts w:ascii="Arial" w:cs="Arial" w:eastAsia="Arial" w:hAnsi="Arial"/>
          <w:sz w:val="19"/>
          <w:szCs w:val="19"/>
          <w:color w:val="151515"/>
        </w:rPr>
        <w:t>uch</w:t>
      </w:r>
      <w:r>
        <w:rPr>
          <w:rFonts w:ascii="Arial" w:cs="Arial" w:eastAsia="Arial" w:hAnsi="Arial"/>
          <w:sz w:val="19"/>
          <w:szCs w:val="19"/>
          <w:color w:val="000000"/>
        </w:rPr>
        <w:t xml:space="preserve"> damage </w:t>
      </w:r>
      <w:r>
        <w:rPr>
          <w:rFonts w:ascii="Arial" w:cs="Arial" w:eastAsia="Arial" w:hAnsi="Arial"/>
          <w:sz w:val="19"/>
          <w:szCs w:val="19"/>
          <w:color w:val="151515"/>
        </w:rPr>
        <w:t>or destruction constitutes</w:t>
      </w:r>
      <w:r>
        <w:rPr>
          <w:rFonts w:ascii="Arial" w:cs="Arial" w:eastAsia="Arial" w:hAnsi="Arial"/>
          <w:sz w:val="19"/>
          <w:szCs w:val="19"/>
          <w:color w:val="000000"/>
        </w:rPr>
        <w:t xml:space="preserve"> </w:t>
      </w:r>
      <w:r>
        <w:rPr>
          <w:rFonts w:ascii="Arial" w:cs="Arial" w:eastAsia="Arial" w:hAnsi="Arial"/>
          <w:sz w:val="19"/>
          <w:szCs w:val="19"/>
          <w:color w:val="151515"/>
        </w:rPr>
        <w:t xml:space="preserve">a </w:t>
      </w:r>
      <w:r>
        <w:rPr>
          <w:rFonts w:ascii="Arial" w:cs="Arial" w:eastAsia="Arial" w:hAnsi="Arial"/>
          <w:sz w:val="19"/>
          <w:szCs w:val="19"/>
          <w:color w:val="000000"/>
        </w:rPr>
        <w:t>Material Loss,</w:t>
      </w:r>
      <w:r>
        <w:rPr>
          <w:rFonts w:ascii="Arial" w:cs="Arial" w:eastAsia="Arial" w:hAnsi="Arial"/>
          <w:sz w:val="19"/>
          <w:szCs w:val="19"/>
          <w:color w:val="151515"/>
        </w:rPr>
        <w:t xml:space="preserve"> then Tenant </w:t>
      </w:r>
      <w:r>
        <w:rPr>
          <w:rFonts w:ascii="Arial" w:cs="Arial" w:eastAsia="Arial" w:hAnsi="Arial"/>
          <w:sz w:val="19"/>
          <w:szCs w:val="19"/>
          <w:color w:val="000000"/>
        </w:rPr>
        <w:t>shall</w:t>
      </w:r>
      <w:r>
        <w:rPr>
          <w:rFonts w:ascii="Arial" w:cs="Arial" w:eastAsia="Arial" w:hAnsi="Arial"/>
          <w:sz w:val="19"/>
          <w:szCs w:val="19"/>
          <w:color w:val="151515"/>
        </w:rPr>
        <w:t xml:space="preserve"> have </w:t>
      </w:r>
      <w:r>
        <w:rPr>
          <w:rFonts w:ascii="Arial" w:cs="Arial" w:eastAsia="Arial" w:hAnsi="Arial"/>
          <w:sz w:val="19"/>
          <w:szCs w:val="19"/>
          <w:color w:val="000000"/>
        </w:rPr>
        <w:t>a</w:t>
      </w:r>
      <w:r>
        <w:rPr>
          <w:rFonts w:ascii="Arial" w:cs="Arial" w:eastAsia="Arial" w:hAnsi="Arial"/>
          <w:sz w:val="19"/>
          <w:szCs w:val="19"/>
          <w:color w:val="151515"/>
        </w:rPr>
        <w:t xml:space="preserve"> right </w:t>
      </w:r>
      <w:r>
        <w:rPr>
          <w:rFonts w:ascii="Arial" w:cs="Arial" w:eastAsia="Arial" w:hAnsi="Arial"/>
          <w:sz w:val="19"/>
          <w:szCs w:val="19"/>
          <w:color w:val="000000"/>
        </w:rPr>
        <w:t>to</w:t>
      </w:r>
      <w:r>
        <w:rPr>
          <w:rFonts w:ascii="Arial" w:cs="Arial" w:eastAsia="Arial" w:hAnsi="Arial"/>
          <w:sz w:val="19"/>
          <w:szCs w:val="19"/>
          <w:color w:val="151515"/>
        </w:rPr>
        <w:t xml:space="preserve"> terminate this </w:t>
      </w:r>
      <w:r>
        <w:rPr>
          <w:rFonts w:ascii="Arial" w:cs="Arial" w:eastAsia="Arial" w:hAnsi="Arial"/>
          <w:sz w:val="19"/>
          <w:szCs w:val="19"/>
          <w:color w:val="000000"/>
        </w:rPr>
        <w:t>Lease as of</w:t>
      </w:r>
      <w:r>
        <w:rPr>
          <w:rFonts w:ascii="Arial" w:cs="Arial" w:eastAsia="Arial" w:hAnsi="Arial"/>
          <w:sz w:val="19"/>
          <w:szCs w:val="19"/>
          <w:color w:val="151515"/>
        </w:rPr>
        <w:t xml:space="preserve"> the </w:t>
      </w:r>
      <w:r>
        <w:rPr>
          <w:rFonts w:ascii="Arial" w:cs="Arial" w:eastAsia="Arial" w:hAnsi="Arial"/>
          <w:sz w:val="19"/>
          <w:szCs w:val="19"/>
          <w:color w:val="000000"/>
        </w:rPr>
        <w:t>date</w:t>
      </w:r>
      <w:r>
        <w:rPr>
          <w:rFonts w:ascii="Arial" w:cs="Arial" w:eastAsia="Arial" w:hAnsi="Arial"/>
          <w:sz w:val="19"/>
          <w:szCs w:val="19"/>
          <w:color w:val="151515"/>
        </w:rPr>
        <w:t xml:space="preserve"> of </w:t>
      </w:r>
      <w:r>
        <w:rPr>
          <w:rFonts w:ascii="Arial" w:cs="Arial" w:eastAsia="Arial" w:hAnsi="Arial"/>
          <w:sz w:val="19"/>
          <w:szCs w:val="19"/>
          <w:color w:val="000000"/>
        </w:rPr>
        <w:t>such damage</w:t>
      </w:r>
      <w:r>
        <w:rPr>
          <w:rFonts w:ascii="Arial" w:cs="Arial" w:eastAsia="Arial" w:hAnsi="Arial"/>
          <w:sz w:val="19"/>
          <w:szCs w:val="19"/>
          <w:color w:val="151515"/>
        </w:rPr>
        <w:t xml:space="preserve"> or destruction.</w:t>
      </w:r>
    </w:p>
    <w:p>
      <w:pPr>
        <w:spacing w:after="0" w:line="154" w:lineRule="exact"/>
        <w:rPr>
          <w:sz w:val="20"/>
          <w:szCs w:val="20"/>
          <w:color w:val="auto"/>
        </w:rPr>
      </w:pPr>
    </w:p>
    <w:p>
      <w:pPr>
        <w:jc w:val="both"/>
        <w:ind w:left="180" w:hanging="647"/>
        <w:spacing w:after="0" w:line="244" w:lineRule="auto"/>
        <w:tabs>
          <w:tab w:leader="none" w:pos="160" w:val="left"/>
        </w:tabs>
        <w:rPr>
          <w:sz w:val="20"/>
          <w:szCs w:val="20"/>
          <w:color w:val="auto"/>
        </w:rPr>
      </w:pPr>
      <w:r>
        <w:rPr>
          <w:rFonts w:ascii="Arial" w:cs="Arial" w:eastAsia="Arial" w:hAnsi="Arial"/>
          <w:sz w:val="22"/>
          <w:szCs w:val="22"/>
          <w:color w:val="auto"/>
        </w:rPr>
        <w:t>24.8</w:t>
      </w:r>
      <w:r>
        <w:rPr>
          <w:sz w:val="20"/>
          <w:szCs w:val="20"/>
          <w:color w:val="auto"/>
        </w:rPr>
        <w:tab/>
      </w:r>
      <w:r>
        <w:rPr>
          <w:rFonts w:ascii="Arial" w:cs="Arial" w:eastAsia="Arial" w:hAnsi="Arial"/>
          <w:sz w:val="19"/>
          <w:szCs w:val="19"/>
          <w:color w:val="2A2A2A"/>
        </w:rPr>
        <w:t xml:space="preserve">If Landlord is obligated </w:t>
      </w:r>
      <w:r>
        <w:rPr>
          <w:rFonts w:ascii="Arial" w:cs="Arial" w:eastAsia="Arial" w:hAnsi="Arial"/>
          <w:sz w:val="19"/>
          <w:szCs w:val="19"/>
          <w:color w:val="000000"/>
        </w:rPr>
        <w:t>to</w:t>
      </w:r>
      <w:r>
        <w:rPr>
          <w:rFonts w:ascii="Arial" w:cs="Arial" w:eastAsia="Arial" w:hAnsi="Arial"/>
          <w:sz w:val="19"/>
          <w:szCs w:val="19"/>
          <w:color w:val="2A2A2A"/>
        </w:rPr>
        <w:t xml:space="preserve"> or </w:t>
      </w:r>
      <w:r>
        <w:rPr>
          <w:rFonts w:ascii="Arial" w:cs="Arial" w:eastAsia="Arial" w:hAnsi="Arial"/>
          <w:sz w:val="19"/>
          <w:szCs w:val="19"/>
          <w:color w:val="000000"/>
        </w:rPr>
        <w:t>elects to repair,</w:t>
      </w:r>
      <w:r>
        <w:rPr>
          <w:rFonts w:ascii="Arial" w:cs="Arial" w:eastAsia="Arial" w:hAnsi="Arial"/>
          <w:sz w:val="19"/>
          <w:szCs w:val="19"/>
          <w:color w:val="2A2A2A"/>
        </w:rPr>
        <w:t xml:space="preserve"> reconstruct or restore as herein provided, </w:t>
      </w:r>
      <w:r>
        <w:rPr>
          <w:rFonts w:ascii="Arial" w:cs="Arial" w:eastAsia="Arial" w:hAnsi="Arial"/>
          <w:sz w:val="19"/>
          <w:szCs w:val="19"/>
          <w:color w:val="000000"/>
        </w:rPr>
        <w:t>then Landlord</w:t>
      </w:r>
      <w:r>
        <w:rPr>
          <w:rFonts w:ascii="Arial" w:cs="Arial" w:eastAsia="Arial" w:hAnsi="Arial"/>
          <w:sz w:val="19"/>
          <w:szCs w:val="19"/>
          <w:color w:val="2A2A2A"/>
        </w:rPr>
        <w:t xml:space="preserve"> shall </w:t>
      </w:r>
      <w:r>
        <w:rPr>
          <w:rFonts w:ascii="Arial" w:cs="Arial" w:eastAsia="Arial" w:hAnsi="Arial"/>
          <w:sz w:val="19"/>
          <w:szCs w:val="19"/>
          <w:color w:val="000000"/>
        </w:rPr>
        <w:t>be</w:t>
      </w:r>
      <w:r>
        <w:rPr>
          <w:rFonts w:ascii="Arial" w:cs="Arial" w:eastAsia="Arial" w:hAnsi="Arial"/>
          <w:sz w:val="19"/>
          <w:szCs w:val="19"/>
          <w:color w:val="2A2A2A"/>
        </w:rPr>
        <w:t xml:space="preserve"> </w:t>
      </w:r>
      <w:r>
        <w:rPr>
          <w:rFonts w:ascii="Arial" w:cs="Arial" w:eastAsia="Arial" w:hAnsi="Arial"/>
          <w:sz w:val="19"/>
          <w:szCs w:val="19"/>
          <w:color w:val="000000"/>
        </w:rPr>
        <w:t xml:space="preserve">obligated to </w:t>
      </w:r>
      <w:r>
        <w:rPr>
          <w:rFonts w:ascii="Arial" w:cs="Arial" w:eastAsia="Arial" w:hAnsi="Arial"/>
          <w:sz w:val="19"/>
          <w:szCs w:val="19"/>
          <w:color w:val="2A2A2A"/>
        </w:rPr>
        <w:t>make such repair,</w:t>
      </w:r>
      <w:r>
        <w:rPr>
          <w:rFonts w:ascii="Arial" w:cs="Arial" w:eastAsia="Arial" w:hAnsi="Arial"/>
          <w:sz w:val="19"/>
          <w:szCs w:val="19"/>
          <w:color w:val="000000"/>
        </w:rPr>
        <w:t xml:space="preserve"> reconstruction </w:t>
      </w:r>
      <w:r>
        <w:rPr>
          <w:rFonts w:ascii="Arial" w:cs="Arial" w:eastAsia="Arial" w:hAnsi="Arial"/>
          <w:sz w:val="19"/>
          <w:szCs w:val="19"/>
          <w:color w:val="2A2A2A"/>
        </w:rPr>
        <w:t>or</w:t>
      </w:r>
      <w:r>
        <w:rPr>
          <w:rFonts w:ascii="Arial" w:cs="Arial" w:eastAsia="Arial" w:hAnsi="Arial"/>
          <w:sz w:val="19"/>
          <w:szCs w:val="19"/>
          <w:color w:val="000000"/>
        </w:rPr>
        <w:t xml:space="preserve"> restoration </w:t>
      </w:r>
      <w:r>
        <w:rPr>
          <w:rFonts w:ascii="Arial" w:cs="Arial" w:eastAsia="Arial" w:hAnsi="Arial"/>
          <w:sz w:val="19"/>
          <w:szCs w:val="19"/>
          <w:color w:val="2A2A2A"/>
        </w:rPr>
        <w:t>only with regard to</w:t>
      </w:r>
      <w:r>
        <w:rPr>
          <w:rFonts w:ascii="Arial" w:cs="Arial" w:eastAsia="Arial" w:hAnsi="Arial"/>
          <w:sz w:val="19"/>
          <w:szCs w:val="19"/>
          <w:color w:val="000000"/>
        </w:rPr>
        <w:t xml:space="preserve"> (a) those portions of the Premises that </w:t>
      </w:r>
      <w:r>
        <w:rPr>
          <w:rFonts w:ascii="Arial" w:cs="Arial" w:eastAsia="Arial" w:hAnsi="Arial"/>
          <w:sz w:val="19"/>
          <w:szCs w:val="19"/>
          <w:color w:val="2A2A2A"/>
        </w:rPr>
        <w:t>were</w:t>
      </w:r>
      <w:r>
        <w:rPr>
          <w:rFonts w:ascii="Arial" w:cs="Arial" w:eastAsia="Arial" w:hAnsi="Arial"/>
          <w:sz w:val="19"/>
          <w:szCs w:val="19"/>
          <w:color w:val="000000"/>
        </w:rPr>
        <w:t xml:space="preserve"> originally </w:t>
      </w:r>
      <w:r>
        <w:rPr>
          <w:rFonts w:ascii="Arial" w:cs="Arial" w:eastAsia="Arial" w:hAnsi="Arial"/>
          <w:sz w:val="19"/>
          <w:szCs w:val="19"/>
          <w:color w:val="2A2A2A"/>
        </w:rPr>
        <w:t>provided at Landlord’s expense</w:t>
      </w:r>
      <w:r>
        <w:rPr>
          <w:rFonts w:ascii="Arial" w:cs="Arial" w:eastAsia="Arial" w:hAnsi="Arial"/>
          <w:sz w:val="19"/>
          <w:szCs w:val="19"/>
          <w:color w:val="000000"/>
        </w:rPr>
        <w:t xml:space="preserve"> or in </w:t>
      </w:r>
      <w:r>
        <w:rPr>
          <w:rFonts w:ascii="Arial" w:cs="Arial" w:eastAsia="Arial" w:hAnsi="Arial"/>
          <w:sz w:val="19"/>
          <w:szCs w:val="19"/>
          <w:color w:val="2A2A2A"/>
        </w:rPr>
        <w:t>existence at</w:t>
      </w:r>
      <w:r>
        <w:rPr>
          <w:rFonts w:ascii="Arial" w:cs="Arial" w:eastAsia="Arial" w:hAnsi="Arial"/>
          <w:sz w:val="19"/>
          <w:szCs w:val="19"/>
          <w:color w:val="000000"/>
        </w:rPr>
        <w:t xml:space="preserve"> the </w:t>
      </w:r>
      <w:r>
        <w:rPr>
          <w:rFonts w:ascii="Arial" w:cs="Arial" w:eastAsia="Arial" w:hAnsi="Arial"/>
          <w:sz w:val="19"/>
          <w:szCs w:val="19"/>
          <w:color w:val="2A2A2A"/>
        </w:rPr>
        <w:t>Commencement Date and (b) the</w:t>
      </w:r>
      <w:r>
        <w:rPr>
          <w:rFonts w:ascii="Arial" w:cs="Arial" w:eastAsia="Arial" w:hAnsi="Arial"/>
          <w:sz w:val="19"/>
          <w:szCs w:val="19"/>
          <w:color w:val="000000"/>
        </w:rPr>
        <w:t xml:space="preserve"> </w:t>
      </w:r>
      <w:r>
        <w:rPr>
          <w:rFonts w:ascii="Arial" w:cs="Arial" w:eastAsia="Arial" w:hAnsi="Arial"/>
          <w:sz w:val="19"/>
          <w:szCs w:val="19"/>
          <w:color w:val="2A2A2A"/>
        </w:rPr>
        <w:t xml:space="preserve">Common Area </w:t>
      </w:r>
      <w:r>
        <w:rPr>
          <w:rFonts w:ascii="Arial" w:cs="Arial" w:eastAsia="Arial" w:hAnsi="Arial"/>
          <w:sz w:val="19"/>
          <w:szCs w:val="19"/>
          <w:color w:val="000000"/>
        </w:rPr>
        <w:t>portion of</w:t>
      </w:r>
      <w:r>
        <w:rPr>
          <w:rFonts w:ascii="Arial" w:cs="Arial" w:eastAsia="Arial" w:hAnsi="Arial"/>
          <w:sz w:val="19"/>
          <w:szCs w:val="19"/>
          <w:color w:val="2A2A2A"/>
        </w:rPr>
        <w:t xml:space="preserve"> the Affected </w:t>
      </w:r>
      <w:r>
        <w:rPr>
          <w:rFonts w:ascii="Arial" w:cs="Arial" w:eastAsia="Arial" w:hAnsi="Arial"/>
          <w:sz w:val="19"/>
          <w:szCs w:val="19"/>
          <w:color w:val="000000"/>
        </w:rPr>
        <w:t>Areas.</w:t>
      </w:r>
      <w:r>
        <w:rPr>
          <w:rFonts w:ascii="Arial" w:cs="Arial" w:eastAsia="Arial" w:hAnsi="Arial"/>
          <w:sz w:val="19"/>
          <w:szCs w:val="19"/>
          <w:color w:val="2A2A2A"/>
        </w:rPr>
        <w:t xml:space="preserve"> </w:t>
      </w:r>
      <w:r>
        <w:rPr>
          <w:rFonts w:ascii="Arial" w:cs="Arial" w:eastAsia="Arial" w:hAnsi="Arial"/>
          <w:sz w:val="19"/>
          <w:szCs w:val="19"/>
          <w:color w:val="444444"/>
        </w:rPr>
        <w:t>T</w:t>
      </w:r>
      <w:r>
        <w:rPr>
          <w:rFonts w:ascii="Arial" w:cs="Arial" w:eastAsia="Arial" w:hAnsi="Arial"/>
          <w:sz w:val="19"/>
          <w:szCs w:val="19"/>
          <w:color w:val="000000"/>
        </w:rPr>
        <w:t>he</w:t>
      </w:r>
      <w:r>
        <w:rPr>
          <w:rFonts w:ascii="Arial" w:cs="Arial" w:eastAsia="Arial" w:hAnsi="Arial"/>
          <w:sz w:val="19"/>
          <w:szCs w:val="19"/>
          <w:color w:val="2A2A2A"/>
        </w:rPr>
        <w:t xml:space="preserve"> repair, reconstruction </w:t>
      </w:r>
      <w:r>
        <w:rPr>
          <w:rFonts w:ascii="Arial" w:cs="Arial" w:eastAsia="Arial" w:hAnsi="Arial"/>
          <w:sz w:val="19"/>
          <w:szCs w:val="19"/>
          <w:color w:val="000000"/>
        </w:rPr>
        <w:t>or</w:t>
      </w:r>
      <w:r>
        <w:rPr>
          <w:rFonts w:ascii="Arial" w:cs="Arial" w:eastAsia="Arial" w:hAnsi="Arial"/>
          <w:sz w:val="19"/>
          <w:szCs w:val="19"/>
          <w:color w:val="2A2A2A"/>
        </w:rPr>
        <w:t xml:space="preserve"> restoration </w:t>
      </w:r>
      <w:r>
        <w:rPr>
          <w:rFonts w:ascii="Arial" w:cs="Arial" w:eastAsia="Arial" w:hAnsi="Arial"/>
          <w:sz w:val="19"/>
          <w:szCs w:val="19"/>
          <w:color w:val="000000"/>
        </w:rPr>
        <w:t>of</w:t>
      </w:r>
      <w:r>
        <w:rPr>
          <w:rFonts w:ascii="Arial" w:cs="Arial" w:eastAsia="Arial" w:hAnsi="Arial"/>
          <w:sz w:val="19"/>
          <w:szCs w:val="19"/>
          <w:color w:val="2A2A2A"/>
        </w:rPr>
        <w:t xml:space="preserve"> improvements </w:t>
      </w:r>
      <w:r>
        <w:rPr>
          <w:rFonts w:ascii="Arial" w:cs="Arial" w:eastAsia="Arial" w:hAnsi="Arial"/>
          <w:sz w:val="19"/>
          <w:szCs w:val="19"/>
          <w:color w:val="000000"/>
        </w:rPr>
        <w:t>not</w:t>
      </w:r>
      <w:r>
        <w:rPr>
          <w:rFonts w:ascii="Arial" w:cs="Arial" w:eastAsia="Arial" w:hAnsi="Arial"/>
          <w:sz w:val="19"/>
          <w:szCs w:val="19"/>
          <w:color w:val="2A2A2A"/>
        </w:rPr>
        <w:t xml:space="preserve"> originally </w:t>
      </w:r>
      <w:r>
        <w:rPr>
          <w:rFonts w:ascii="Arial" w:cs="Arial" w:eastAsia="Arial" w:hAnsi="Arial"/>
          <w:sz w:val="19"/>
          <w:szCs w:val="19"/>
          <w:color w:val="000000"/>
        </w:rPr>
        <w:t>provided by Landlord</w:t>
      </w:r>
      <w:r>
        <w:rPr>
          <w:rFonts w:ascii="Arial" w:cs="Arial" w:eastAsia="Arial" w:hAnsi="Arial"/>
          <w:sz w:val="19"/>
          <w:szCs w:val="19"/>
          <w:color w:val="2A2A2A"/>
        </w:rPr>
        <w:t xml:space="preserve"> at Landlord’s expense </w:t>
      </w:r>
      <w:r>
        <w:rPr>
          <w:rFonts w:ascii="Arial" w:cs="Arial" w:eastAsia="Arial" w:hAnsi="Arial"/>
          <w:sz w:val="19"/>
          <w:szCs w:val="19"/>
          <w:color w:val="000000"/>
        </w:rPr>
        <w:t>or</w:t>
      </w:r>
      <w:r>
        <w:rPr>
          <w:rFonts w:ascii="Arial" w:cs="Arial" w:eastAsia="Arial" w:hAnsi="Arial"/>
          <w:sz w:val="19"/>
          <w:szCs w:val="19"/>
          <w:color w:val="2A2A2A"/>
        </w:rPr>
        <w:t xml:space="preserve"> in existence as of </w:t>
      </w:r>
      <w:r>
        <w:rPr>
          <w:rFonts w:ascii="Arial" w:cs="Arial" w:eastAsia="Arial" w:hAnsi="Arial"/>
          <w:sz w:val="19"/>
          <w:szCs w:val="19"/>
          <w:color w:val="000000"/>
        </w:rPr>
        <w:t>the</w:t>
      </w:r>
      <w:r>
        <w:rPr>
          <w:rFonts w:ascii="Arial" w:cs="Arial" w:eastAsia="Arial" w:hAnsi="Arial"/>
          <w:sz w:val="19"/>
          <w:szCs w:val="19"/>
          <w:color w:val="2A2A2A"/>
        </w:rPr>
        <w:t xml:space="preserve"> Commencement Date shall </w:t>
      </w:r>
      <w:r>
        <w:rPr>
          <w:rFonts w:ascii="Arial" w:cs="Arial" w:eastAsia="Arial" w:hAnsi="Arial"/>
          <w:sz w:val="19"/>
          <w:szCs w:val="19"/>
          <w:color w:val="000000"/>
        </w:rPr>
        <w:t>be</w:t>
      </w:r>
      <w:r>
        <w:rPr>
          <w:rFonts w:ascii="Arial" w:cs="Arial" w:eastAsia="Arial" w:hAnsi="Arial"/>
          <w:sz w:val="19"/>
          <w:szCs w:val="19"/>
          <w:color w:val="2A2A2A"/>
        </w:rPr>
        <w:t xml:space="preserve"> the obligation </w:t>
      </w:r>
      <w:r>
        <w:rPr>
          <w:rFonts w:ascii="Arial" w:cs="Arial" w:eastAsia="Arial" w:hAnsi="Arial"/>
          <w:sz w:val="19"/>
          <w:szCs w:val="19"/>
          <w:color w:val="000000"/>
        </w:rPr>
        <w:t>of</w:t>
      </w:r>
      <w:r>
        <w:rPr>
          <w:rFonts w:ascii="Arial" w:cs="Arial" w:eastAsia="Arial" w:hAnsi="Arial"/>
          <w:sz w:val="19"/>
          <w:szCs w:val="19"/>
          <w:color w:val="2A2A2A"/>
        </w:rPr>
        <w:t xml:space="preserve"> Tenant. In the </w:t>
      </w:r>
      <w:r>
        <w:rPr>
          <w:rFonts w:ascii="Arial" w:cs="Arial" w:eastAsia="Arial" w:hAnsi="Arial"/>
          <w:sz w:val="19"/>
          <w:szCs w:val="19"/>
          <w:color w:val="000000"/>
        </w:rPr>
        <w:t>event</w:t>
      </w:r>
      <w:r>
        <w:rPr>
          <w:rFonts w:ascii="Arial" w:cs="Arial" w:eastAsia="Arial" w:hAnsi="Arial"/>
          <w:sz w:val="19"/>
          <w:szCs w:val="19"/>
          <w:color w:val="2A2A2A"/>
        </w:rPr>
        <w:t xml:space="preserve"> Tenant </w:t>
      </w:r>
      <w:r>
        <w:rPr>
          <w:rFonts w:ascii="Arial" w:cs="Arial" w:eastAsia="Arial" w:hAnsi="Arial"/>
          <w:sz w:val="19"/>
          <w:szCs w:val="19"/>
          <w:color w:val="000000"/>
        </w:rPr>
        <w:t>has</w:t>
      </w:r>
      <w:r>
        <w:rPr>
          <w:rFonts w:ascii="Arial" w:cs="Arial" w:eastAsia="Arial" w:hAnsi="Arial"/>
          <w:sz w:val="19"/>
          <w:szCs w:val="19"/>
          <w:color w:val="2A2A2A"/>
        </w:rPr>
        <w:t xml:space="preserve"> elected </w:t>
      </w:r>
      <w:r>
        <w:rPr>
          <w:rFonts w:ascii="Arial" w:cs="Arial" w:eastAsia="Arial" w:hAnsi="Arial"/>
          <w:sz w:val="19"/>
          <w:szCs w:val="19"/>
          <w:color w:val="000000"/>
        </w:rPr>
        <w:t>to upgrade</w:t>
      </w:r>
      <w:r>
        <w:rPr>
          <w:rFonts w:ascii="Arial" w:cs="Arial" w:eastAsia="Arial" w:hAnsi="Arial"/>
          <w:sz w:val="19"/>
          <w:szCs w:val="19"/>
          <w:color w:val="2A2A2A"/>
        </w:rPr>
        <w:t xml:space="preserve"> certain </w:t>
      </w:r>
      <w:r>
        <w:rPr>
          <w:rFonts w:ascii="Arial" w:cs="Arial" w:eastAsia="Arial" w:hAnsi="Arial"/>
          <w:sz w:val="19"/>
          <w:szCs w:val="19"/>
          <w:color w:val="000000"/>
        </w:rPr>
        <w:t>improvements</w:t>
      </w:r>
      <w:r>
        <w:rPr>
          <w:rFonts w:ascii="Arial" w:cs="Arial" w:eastAsia="Arial" w:hAnsi="Arial"/>
          <w:sz w:val="19"/>
          <w:szCs w:val="19"/>
          <w:color w:val="2A2A2A"/>
        </w:rPr>
        <w:t xml:space="preserve"> from </w:t>
      </w:r>
      <w:r>
        <w:rPr>
          <w:rFonts w:ascii="Arial" w:cs="Arial" w:eastAsia="Arial" w:hAnsi="Arial"/>
          <w:sz w:val="19"/>
          <w:szCs w:val="19"/>
          <w:color w:val="000000"/>
        </w:rPr>
        <w:t>the Building</w:t>
      </w:r>
      <w:r>
        <w:rPr>
          <w:rFonts w:ascii="Arial" w:cs="Arial" w:eastAsia="Arial" w:hAnsi="Arial"/>
          <w:sz w:val="19"/>
          <w:szCs w:val="19"/>
          <w:color w:val="2A2A2A"/>
        </w:rPr>
        <w:t xml:space="preserve"> Standard, </w:t>
      </w:r>
      <w:r>
        <w:rPr>
          <w:rFonts w:ascii="Arial" w:cs="Arial" w:eastAsia="Arial" w:hAnsi="Arial"/>
          <w:sz w:val="19"/>
          <w:szCs w:val="19"/>
          <w:color w:val="000000"/>
        </w:rPr>
        <w:t xml:space="preserve">Landlord </w:t>
      </w:r>
      <w:r>
        <w:rPr>
          <w:rFonts w:ascii="Arial" w:cs="Arial" w:eastAsia="Arial" w:hAnsi="Arial"/>
          <w:sz w:val="19"/>
          <w:szCs w:val="19"/>
          <w:color w:val="2A2A2A"/>
        </w:rPr>
        <w:t>shall,</w:t>
      </w:r>
      <w:r>
        <w:rPr>
          <w:rFonts w:ascii="Arial" w:cs="Arial" w:eastAsia="Arial" w:hAnsi="Arial"/>
          <w:sz w:val="19"/>
          <w:szCs w:val="19"/>
          <w:color w:val="000000"/>
        </w:rPr>
        <w:t xml:space="preserve"> upon </w:t>
      </w:r>
      <w:r>
        <w:rPr>
          <w:rFonts w:ascii="Arial" w:cs="Arial" w:eastAsia="Arial" w:hAnsi="Arial"/>
          <w:sz w:val="19"/>
          <w:szCs w:val="19"/>
          <w:color w:val="2A2A2A"/>
        </w:rPr>
        <w:t>the</w:t>
      </w:r>
      <w:r>
        <w:rPr>
          <w:rFonts w:ascii="Arial" w:cs="Arial" w:eastAsia="Arial" w:hAnsi="Arial"/>
          <w:sz w:val="19"/>
          <w:szCs w:val="19"/>
          <w:color w:val="000000"/>
        </w:rPr>
        <w:t xml:space="preserve"> need for </w:t>
      </w:r>
      <w:r>
        <w:rPr>
          <w:rFonts w:ascii="Arial" w:cs="Arial" w:eastAsia="Arial" w:hAnsi="Arial"/>
          <w:sz w:val="19"/>
          <w:szCs w:val="19"/>
          <w:color w:val="2A2A2A"/>
        </w:rPr>
        <w:t>replacement</w:t>
      </w:r>
      <w:r>
        <w:rPr>
          <w:rFonts w:ascii="Arial" w:cs="Arial" w:eastAsia="Arial" w:hAnsi="Arial"/>
          <w:sz w:val="19"/>
          <w:szCs w:val="19"/>
          <w:color w:val="000000"/>
        </w:rPr>
        <w:t xml:space="preserve"> due to </w:t>
      </w:r>
      <w:r>
        <w:rPr>
          <w:rFonts w:ascii="Arial" w:cs="Arial" w:eastAsia="Arial" w:hAnsi="Arial"/>
          <w:sz w:val="19"/>
          <w:szCs w:val="19"/>
          <w:color w:val="2A2A2A"/>
        </w:rPr>
        <w:t>an</w:t>
      </w:r>
      <w:r>
        <w:rPr>
          <w:rFonts w:ascii="Arial" w:cs="Arial" w:eastAsia="Arial" w:hAnsi="Arial"/>
          <w:sz w:val="19"/>
          <w:szCs w:val="19"/>
          <w:color w:val="000000"/>
        </w:rPr>
        <w:t xml:space="preserve"> insured loss, provide only </w:t>
      </w:r>
      <w:r>
        <w:rPr>
          <w:rFonts w:ascii="Arial" w:cs="Arial" w:eastAsia="Arial" w:hAnsi="Arial"/>
          <w:sz w:val="19"/>
          <w:szCs w:val="19"/>
          <w:color w:val="2A2A2A"/>
        </w:rPr>
        <w:t>the</w:t>
      </w:r>
      <w:r>
        <w:rPr>
          <w:rFonts w:ascii="Arial" w:cs="Arial" w:eastAsia="Arial" w:hAnsi="Arial"/>
          <w:sz w:val="19"/>
          <w:szCs w:val="19"/>
          <w:color w:val="000000"/>
        </w:rPr>
        <w:t xml:space="preserve"> Building </w:t>
      </w:r>
      <w:r>
        <w:rPr>
          <w:rFonts w:ascii="Arial" w:cs="Arial" w:eastAsia="Arial" w:hAnsi="Arial"/>
          <w:sz w:val="19"/>
          <w:szCs w:val="19"/>
          <w:color w:val="2A2A2A"/>
        </w:rPr>
        <w:t>Standard,</w:t>
      </w:r>
      <w:r>
        <w:rPr>
          <w:rFonts w:ascii="Arial" w:cs="Arial" w:eastAsia="Arial" w:hAnsi="Arial"/>
          <w:sz w:val="19"/>
          <w:szCs w:val="19"/>
          <w:color w:val="000000"/>
        </w:rPr>
        <w:t xml:space="preserve"> unless </w:t>
      </w:r>
      <w:r>
        <w:rPr>
          <w:rFonts w:ascii="Arial" w:cs="Arial" w:eastAsia="Arial" w:hAnsi="Arial"/>
          <w:sz w:val="19"/>
          <w:szCs w:val="19"/>
          <w:color w:val="2A2A2A"/>
        </w:rPr>
        <w:t xml:space="preserve">Tenant </w:t>
      </w:r>
      <w:r>
        <w:rPr>
          <w:rFonts w:ascii="Arial" w:cs="Arial" w:eastAsia="Arial" w:hAnsi="Arial"/>
          <w:sz w:val="19"/>
          <w:szCs w:val="19"/>
          <w:color w:val="000000"/>
        </w:rPr>
        <w:t>again</w:t>
      </w:r>
      <w:r>
        <w:rPr>
          <w:rFonts w:ascii="Arial" w:cs="Arial" w:eastAsia="Arial" w:hAnsi="Arial"/>
          <w:sz w:val="19"/>
          <w:szCs w:val="19"/>
          <w:color w:val="2A2A2A"/>
        </w:rPr>
        <w:t xml:space="preserve"> elects to </w:t>
      </w:r>
      <w:r>
        <w:rPr>
          <w:rFonts w:ascii="Arial" w:cs="Arial" w:eastAsia="Arial" w:hAnsi="Arial"/>
          <w:sz w:val="19"/>
          <w:szCs w:val="19"/>
          <w:color w:val="000000"/>
        </w:rPr>
        <w:t>upgrade</w:t>
      </w:r>
      <w:r>
        <w:rPr>
          <w:rFonts w:ascii="Arial" w:cs="Arial" w:eastAsia="Arial" w:hAnsi="Arial"/>
          <w:sz w:val="19"/>
          <w:szCs w:val="19"/>
          <w:color w:val="2A2A2A"/>
        </w:rPr>
        <w:t xml:space="preserve"> such improvements and </w:t>
      </w:r>
      <w:r>
        <w:rPr>
          <w:rFonts w:ascii="Arial" w:cs="Arial" w:eastAsia="Arial" w:hAnsi="Arial"/>
          <w:sz w:val="19"/>
          <w:szCs w:val="19"/>
          <w:color w:val="000000"/>
        </w:rPr>
        <w:t>pay</w:t>
      </w:r>
      <w:r>
        <w:rPr>
          <w:rFonts w:ascii="Arial" w:cs="Arial" w:eastAsia="Arial" w:hAnsi="Arial"/>
          <w:sz w:val="19"/>
          <w:szCs w:val="19"/>
          <w:color w:val="2A2A2A"/>
        </w:rPr>
        <w:t xml:space="preserve"> any incremental </w:t>
      </w:r>
      <w:r>
        <w:rPr>
          <w:rFonts w:ascii="Arial" w:cs="Arial" w:eastAsia="Arial" w:hAnsi="Arial"/>
          <w:sz w:val="19"/>
          <w:szCs w:val="19"/>
          <w:color w:val="000000"/>
        </w:rPr>
        <w:t>costs related</w:t>
      </w:r>
      <w:r>
        <w:rPr>
          <w:rFonts w:ascii="Arial" w:cs="Arial" w:eastAsia="Arial" w:hAnsi="Arial"/>
          <w:sz w:val="19"/>
          <w:szCs w:val="19"/>
          <w:color w:val="2A2A2A"/>
        </w:rPr>
        <w:t xml:space="preserve"> thereto, except </w:t>
      </w:r>
      <w:r>
        <w:rPr>
          <w:rFonts w:ascii="Arial" w:cs="Arial" w:eastAsia="Arial" w:hAnsi="Arial"/>
          <w:sz w:val="19"/>
          <w:szCs w:val="19"/>
          <w:color w:val="000000"/>
        </w:rPr>
        <w:t>to the</w:t>
      </w:r>
      <w:r>
        <w:rPr>
          <w:rFonts w:ascii="Arial" w:cs="Arial" w:eastAsia="Arial" w:hAnsi="Arial"/>
          <w:sz w:val="19"/>
          <w:szCs w:val="19"/>
          <w:color w:val="2A2A2A"/>
        </w:rPr>
        <w:t xml:space="preserve"> </w:t>
      </w:r>
      <w:r>
        <w:rPr>
          <w:rFonts w:ascii="Arial" w:cs="Arial" w:eastAsia="Arial" w:hAnsi="Arial"/>
          <w:sz w:val="19"/>
          <w:szCs w:val="19"/>
          <w:color w:val="000000"/>
        </w:rPr>
        <w:t>extent tha</w:t>
      </w:r>
      <w:r>
        <w:rPr>
          <w:rFonts w:ascii="Arial" w:cs="Arial" w:eastAsia="Arial" w:hAnsi="Arial"/>
          <w:sz w:val="19"/>
          <w:szCs w:val="19"/>
          <w:color w:val="444444"/>
        </w:rPr>
        <w:t>t</w:t>
      </w:r>
      <w:r>
        <w:rPr>
          <w:rFonts w:ascii="Arial" w:cs="Arial" w:eastAsia="Arial" w:hAnsi="Arial"/>
          <w:sz w:val="19"/>
          <w:szCs w:val="19"/>
          <w:color w:val="000000"/>
        </w:rPr>
        <w:t xml:space="preserve"> </w:t>
      </w:r>
      <w:r>
        <w:rPr>
          <w:rFonts w:ascii="Arial" w:cs="Arial" w:eastAsia="Arial" w:hAnsi="Arial"/>
          <w:sz w:val="19"/>
          <w:szCs w:val="19"/>
          <w:color w:val="2A2A2A"/>
        </w:rPr>
        <w:t>excess</w:t>
      </w:r>
      <w:r>
        <w:rPr>
          <w:rFonts w:ascii="Arial" w:cs="Arial" w:eastAsia="Arial" w:hAnsi="Arial"/>
          <w:sz w:val="19"/>
          <w:szCs w:val="19"/>
          <w:color w:val="000000"/>
        </w:rPr>
        <w:t xml:space="preserve"> insurance </w:t>
      </w:r>
      <w:r>
        <w:rPr>
          <w:rFonts w:ascii="Arial" w:cs="Arial" w:eastAsia="Arial" w:hAnsi="Arial"/>
          <w:sz w:val="19"/>
          <w:szCs w:val="19"/>
          <w:color w:val="2A2A2A"/>
        </w:rPr>
        <w:t>proceeds,</w:t>
      </w:r>
      <w:r>
        <w:rPr>
          <w:rFonts w:ascii="Arial" w:cs="Arial" w:eastAsia="Arial" w:hAnsi="Arial"/>
          <w:sz w:val="19"/>
          <w:szCs w:val="19"/>
          <w:color w:val="000000"/>
        </w:rPr>
        <w:t xml:space="preserve"> if </w:t>
      </w:r>
      <w:r>
        <w:rPr>
          <w:rFonts w:ascii="Arial" w:cs="Arial" w:eastAsia="Arial" w:hAnsi="Arial"/>
          <w:sz w:val="19"/>
          <w:szCs w:val="19"/>
          <w:color w:val="2A2A2A"/>
        </w:rPr>
        <w:t>received, are adequate</w:t>
      </w:r>
      <w:r>
        <w:rPr>
          <w:rFonts w:ascii="Arial" w:cs="Arial" w:eastAsia="Arial" w:hAnsi="Arial"/>
          <w:sz w:val="19"/>
          <w:szCs w:val="19"/>
          <w:color w:val="000000"/>
        </w:rPr>
        <w:t xml:space="preserve"> to provide </w:t>
      </w:r>
      <w:r>
        <w:rPr>
          <w:rFonts w:ascii="Arial" w:cs="Arial" w:eastAsia="Arial" w:hAnsi="Arial"/>
          <w:sz w:val="19"/>
          <w:szCs w:val="19"/>
          <w:color w:val="2A2A2A"/>
        </w:rPr>
        <w:t>such</w:t>
      </w:r>
      <w:r>
        <w:rPr>
          <w:rFonts w:ascii="Arial" w:cs="Arial" w:eastAsia="Arial" w:hAnsi="Arial"/>
          <w:sz w:val="19"/>
          <w:szCs w:val="19"/>
          <w:color w:val="000000"/>
        </w:rPr>
        <w:t xml:space="preserve"> upgrades, in </w:t>
      </w:r>
      <w:r>
        <w:rPr>
          <w:rFonts w:ascii="Arial" w:cs="Arial" w:eastAsia="Arial" w:hAnsi="Arial"/>
          <w:sz w:val="19"/>
          <w:szCs w:val="19"/>
          <w:color w:val="2A2A2A"/>
        </w:rPr>
        <w:t>addition</w:t>
      </w:r>
      <w:r>
        <w:rPr>
          <w:rFonts w:ascii="Arial" w:cs="Arial" w:eastAsia="Arial" w:hAnsi="Arial"/>
          <w:sz w:val="19"/>
          <w:szCs w:val="19"/>
          <w:color w:val="000000"/>
        </w:rPr>
        <w:t xml:space="preserve"> to providing </w:t>
      </w:r>
      <w:r>
        <w:rPr>
          <w:rFonts w:ascii="Arial" w:cs="Arial" w:eastAsia="Arial" w:hAnsi="Arial"/>
          <w:sz w:val="19"/>
          <w:szCs w:val="19"/>
          <w:color w:val="2A2A2A"/>
        </w:rPr>
        <w:t xml:space="preserve">for </w:t>
      </w:r>
      <w:r>
        <w:rPr>
          <w:rFonts w:ascii="Arial" w:cs="Arial" w:eastAsia="Arial" w:hAnsi="Arial"/>
          <w:sz w:val="19"/>
          <w:szCs w:val="19"/>
          <w:color w:val="000000"/>
        </w:rPr>
        <w:t>basic repair,</w:t>
      </w:r>
      <w:r>
        <w:rPr>
          <w:rFonts w:ascii="Arial" w:cs="Arial" w:eastAsia="Arial" w:hAnsi="Arial"/>
          <w:sz w:val="19"/>
          <w:szCs w:val="19"/>
          <w:color w:val="2A2A2A"/>
        </w:rPr>
        <w:t xml:space="preserve"> reconstruction </w:t>
      </w:r>
      <w:r>
        <w:rPr>
          <w:rFonts w:ascii="Arial" w:cs="Arial" w:eastAsia="Arial" w:hAnsi="Arial"/>
          <w:sz w:val="19"/>
          <w:szCs w:val="19"/>
          <w:color w:val="000000"/>
        </w:rPr>
        <w:t>and restoration</w:t>
      </w:r>
      <w:r>
        <w:rPr>
          <w:rFonts w:ascii="Arial" w:cs="Arial" w:eastAsia="Arial" w:hAnsi="Arial"/>
          <w:sz w:val="19"/>
          <w:szCs w:val="19"/>
          <w:color w:val="2A2A2A"/>
        </w:rPr>
        <w:t xml:space="preserve"> of </w:t>
      </w:r>
      <w:r>
        <w:rPr>
          <w:rFonts w:ascii="Arial" w:cs="Arial" w:eastAsia="Arial" w:hAnsi="Arial"/>
          <w:sz w:val="19"/>
          <w:szCs w:val="19"/>
          <w:color w:val="000000"/>
        </w:rPr>
        <w:t>the</w:t>
      </w:r>
      <w:r>
        <w:rPr>
          <w:rFonts w:ascii="Arial" w:cs="Arial" w:eastAsia="Arial" w:hAnsi="Arial"/>
          <w:sz w:val="19"/>
          <w:szCs w:val="19"/>
          <w:color w:val="2A2A2A"/>
        </w:rPr>
        <w:t xml:space="preserve"> Premises, </w:t>
      </w:r>
      <w:r>
        <w:rPr>
          <w:rFonts w:ascii="Arial" w:cs="Arial" w:eastAsia="Arial" w:hAnsi="Arial"/>
          <w:sz w:val="19"/>
          <w:szCs w:val="19"/>
          <w:color w:val="000000"/>
        </w:rPr>
        <w:t>the</w:t>
      </w:r>
      <w:r>
        <w:rPr>
          <w:rFonts w:ascii="Arial" w:cs="Arial" w:eastAsia="Arial" w:hAnsi="Arial"/>
          <w:sz w:val="19"/>
          <w:szCs w:val="19"/>
          <w:color w:val="2A2A2A"/>
        </w:rPr>
        <w:t xml:space="preserve"> Building </w:t>
      </w:r>
      <w:r>
        <w:rPr>
          <w:rFonts w:ascii="Arial" w:cs="Arial" w:eastAsia="Arial" w:hAnsi="Arial"/>
          <w:sz w:val="19"/>
          <w:szCs w:val="19"/>
          <w:color w:val="000000"/>
        </w:rPr>
        <w:t>and the Project.</w:t>
      </w:r>
    </w:p>
    <w:p>
      <w:pPr>
        <w:spacing w:after="0" w:line="155" w:lineRule="exact"/>
        <w:rPr>
          <w:sz w:val="20"/>
          <w:szCs w:val="20"/>
          <w:color w:val="auto"/>
        </w:rPr>
      </w:pPr>
    </w:p>
    <w:p>
      <w:pPr>
        <w:jc w:val="both"/>
        <w:ind w:left="180" w:hanging="647"/>
        <w:spacing w:after="0" w:line="221" w:lineRule="auto"/>
        <w:tabs>
          <w:tab w:leader="none" w:pos="160" w:val="left"/>
        </w:tabs>
        <w:rPr>
          <w:sz w:val="20"/>
          <w:szCs w:val="20"/>
          <w:color w:val="auto"/>
        </w:rPr>
      </w:pPr>
      <w:r>
        <w:rPr>
          <w:rFonts w:ascii="Arial" w:cs="Arial" w:eastAsia="Arial" w:hAnsi="Arial"/>
          <w:sz w:val="22"/>
          <w:szCs w:val="22"/>
          <w:color w:val="auto"/>
        </w:rPr>
        <w:t>24.9</w:t>
      </w:r>
      <w:r>
        <w:rPr>
          <w:sz w:val="20"/>
          <w:szCs w:val="20"/>
          <w:color w:val="auto"/>
        </w:rPr>
        <w:tab/>
      </w:r>
      <w:r>
        <w:rPr>
          <w:rFonts w:ascii="Arial" w:cs="Arial" w:eastAsia="Arial" w:hAnsi="Arial"/>
          <w:sz w:val="21"/>
          <w:szCs w:val="21"/>
          <w:color w:val="auto"/>
        </w:rPr>
        <w:t xml:space="preserve">Notwithstanding anything to the contrary contained </w:t>
      </w:r>
      <w:r>
        <w:rPr>
          <w:rFonts w:ascii="Arial" w:cs="Arial" w:eastAsia="Arial" w:hAnsi="Arial"/>
          <w:sz w:val="21"/>
          <w:szCs w:val="21"/>
          <w:color w:val="151515"/>
        </w:rPr>
        <w:t>in this</w:t>
      </w:r>
      <w:r>
        <w:rPr>
          <w:rFonts w:ascii="Arial" w:cs="Arial" w:eastAsia="Arial" w:hAnsi="Arial"/>
          <w:sz w:val="21"/>
          <w:szCs w:val="21"/>
          <w:color w:val="auto"/>
        </w:rPr>
        <w:t xml:space="preserve"> Article, Landlord shall </w:t>
      </w:r>
      <w:r>
        <w:rPr>
          <w:rFonts w:ascii="Arial" w:cs="Arial" w:eastAsia="Arial" w:hAnsi="Arial"/>
          <w:sz w:val="21"/>
          <w:szCs w:val="21"/>
          <w:color w:val="151515"/>
        </w:rPr>
        <w:t>not have any</w:t>
      </w:r>
      <w:r>
        <w:rPr>
          <w:rFonts w:ascii="Arial" w:cs="Arial" w:eastAsia="Arial" w:hAnsi="Arial"/>
          <w:sz w:val="21"/>
          <w:szCs w:val="21"/>
          <w:color w:val="auto"/>
        </w:rPr>
        <w:t xml:space="preserve"> obligation whatsoever to repair, </w:t>
      </w:r>
      <w:r>
        <w:rPr>
          <w:rFonts w:ascii="Arial" w:cs="Arial" w:eastAsia="Arial" w:hAnsi="Arial"/>
          <w:sz w:val="21"/>
          <w:szCs w:val="21"/>
          <w:color w:val="151515"/>
        </w:rPr>
        <w:t>reconstruct or</w:t>
      </w:r>
      <w:r>
        <w:rPr>
          <w:rFonts w:ascii="Arial" w:cs="Arial" w:eastAsia="Arial" w:hAnsi="Arial"/>
          <w:sz w:val="21"/>
          <w:szCs w:val="21"/>
          <w:color w:val="auto"/>
        </w:rPr>
        <w:t xml:space="preserve"> restore the </w:t>
      </w:r>
      <w:r>
        <w:rPr>
          <w:rFonts w:ascii="Arial" w:cs="Arial" w:eastAsia="Arial" w:hAnsi="Arial"/>
          <w:sz w:val="21"/>
          <w:szCs w:val="21"/>
          <w:color w:val="151515"/>
        </w:rPr>
        <w:t>Premises</w:t>
      </w:r>
      <w:r>
        <w:rPr>
          <w:rFonts w:ascii="Arial" w:cs="Arial" w:eastAsia="Arial" w:hAnsi="Arial"/>
          <w:sz w:val="21"/>
          <w:szCs w:val="21"/>
          <w:color w:val="auto"/>
        </w:rPr>
        <w:t xml:space="preserve"> if the </w:t>
      </w:r>
      <w:r>
        <w:rPr>
          <w:rFonts w:ascii="Arial" w:cs="Arial" w:eastAsia="Arial" w:hAnsi="Arial"/>
          <w:sz w:val="21"/>
          <w:szCs w:val="21"/>
          <w:color w:val="151515"/>
        </w:rPr>
        <w:t>damage</w:t>
      </w:r>
      <w:r>
        <w:rPr>
          <w:rFonts w:ascii="Arial" w:cs="Arial" w:eastAsia="Arial" w:hAnsi="Arial"/>
          <w:sz w:val="21"/>
          <w:szCs w:val="21"/>
          <w:color w:val="auto"/>
        </w:rPr>
        <w:t xml:space="preserve"> resulting </w:t>
      </w:r>
      <w:r>
        <w:rPr>
          <w:rFonts w:ascii="Arial" w:cs="Arial" w:eastAsia="Arial" w:hAnsi="Arial"/>
          <w:sz w:val="21"/>
          <w:szCs w:val="21"/>
          <w:color w:val="151515"/>
        </w:rPr>
        <w:t>from</w:t>
      </w:r>
      <w:r>
        <w:rPr>
          <w:rFonts w:ascii="Arial" w:cs="Arial" w:eastAsia="Arial" w:hAnsi="Arial"/>
          <w:sz w:val="21"/>
          <w:szCs w:val="21"/>
          <w:color w:val="auto"/>
        </w:rPr>
        <w:t xml:space="preserve"> any casualty covered </w:t>
      </w:r>
      <w:r>
        <w:rPr>
          <w:rFonts w:ascii="Arial" w:cs="Arial" w:eastAsia="Arial" w:hAnsi="Arial"/>
          <w:sz w:val="21"/>
          <w:szCs w:val="21"/>
          <w:color w:val="151515"/>
        </w:rPr>
        <w:t>under</w:t>
      </w:r>
      <w:r>
        <w:rPr>
          <w:rFonts w:ascii="Arial" w:cs="Arial" w:eastAsia="Arial" w:hAnsi="Arial"/>
          <w:sz w:val="21"/>
          <w:szCs w:val="21"/>
          <w:color w:val="auto"/>
        </w:rPr>
        <w:t xml:space="preserve"> </w:t>
      </w:r>
      <w:r>
        <w:rPr>
          <w:rFonts w:ascii="Arial" w:cs="Arial" w:eastAsia="Arial" w:hAnsi="Arial"/>
          <w:sz w:val="21"/>
          <w:szCs w:val="21"/>
          <w:color w:val="151515"/>
        </w:rPr>
        <w:t xml:space="preserve">this Article </w:t>
      </w:r>
      <w:r>
        <w:rPr>
          <w:rFonts w:ascii="Arial" w:cs="Arial" w:eastAsia="Arial" w:hAnsi="Arial"/>
          <w:sz w:val="21"/>
          <w:szCs w:val="21"/>
          <w:color w:val="000000"/>
        </w:rPr>
        <w:t>occurs during</w:t>
      </w:r>
      <w:r>
        <w:rPr>
          <w:rFonts w:ascii="Arial" w:cs="Arial" w:eastAsia="Arial" w:hAnsi="Arial"/>
          <w:sz w:val="21"/>
          <w:szCs w:val="21"/>
          <w:color w:val="151515"/>
        </w:rPr>
        <w:t xml:space="preserve"> the last </w:t>
      </w:r>
      <w:r>
        <w:rPr>
          <w:rFonts w:ascii="Arial" w:cs="Arial" w:eastAsia="Arial" w:hAnsi="Arial"/>
          <w:sz w:val="21"/>
          <w:szCs w:val="21"/>
          <w:u w:val="single" w:color="auto"/>
          <w:color w:val="000000"/>
        </w:rPr>
        <w:t>[***]</w:t>
      </w:r>
      <w:r>
        <w:rPr>
          <w:rFonts w:ascii="Arial" w:cs="Arial" w:eastAsia="Arial" w:hAnsi="Arial"/>
          <w:sz w:val="21"/>
          <w:szCs w:val="21"/>
          <w:color w:val="151515"/>
        </w:rPr>
        <w:t xml:space="preserve"> </w:t>
      </w:r>
      <w:r>
        <w:rPr>
          <w:rFonts w:ascii="Arial" w:cs="Arial" w:eastAsia="Arial" w:hAnsi="Arial"/>
          <w:sz w:val="21"/>
          <w:szCs w:val="21"/>
          <w:color w:val="1C1C1C"/>
        </w:rPr>
        <w:t>months of the</w:t>
      </w:r>
      <w:r>
        <w:rPr>
          <w:rFonts w:ascii="Arial" w:cs="Arial" w:eastAsia="Arial" w:hAnsi="Arial"/>
          <w:sz w:val="21"/>
          <w:szCs w:val="21"/>
          <w:color w:val="151515"/>
        </w:rPr>
        <w:t xml:space="preserve"> </w:t>
      </w:r>
      <w:r>
        <w:rPr>
          <w:rFonts w:ascii="Arial" w:cs="Arial" w:eastAsia="Arial" w:hAnsi="Arial"/>
          <w:sz w:val="21"/>
          <w:szCs w:val="21"/>
          <w:color w:val="343434"/>
        </w:rPr>
        <w:t>Term</w:t>
      </w:r>
      <w:r>
        <w:rPr>
          <w:rFonts w:ascii="Arial" w:cs="Arial" w:eastAsia="Arial" w:hAnsi="Arial"/>
          <w:sz w:val="21"/>
          <w:szCs w:val="21"/>
          <w:color w:val="151515"/>
        </w:rPr>
        <w:t xml:space="preserve"> </w:t>
      </w:r>
      <w:r>
        <w:rPr>
          <w:rFonts w:ascii="Arial" w:cs="Arial" w:eastAsia="Arial" w:hAnsi="Arial"/>
          <w:sz w:val="21"/>
          <w:szCs w:val="21"/>
          <w:color w:val="1C1C1C"/>
        </w:rPr>
        <w:t>or any extension hereof or to the extent that insurance</w:t>
      </w:r>
      <w:r>
        <w:rPr>
          <w:rFonts w:ascii="Arial" w:cs="Arial" w:eastAsia="Arial" w:hAnsi="Arial"/>
          <w:sz w:val="21"/>
          <w:szCs w:val="21"/>
          <w:color w:val="BFBFBF"/>
        </w:rPr>
        <w:t>.</w:t>
      </w:r>
      <w:r>
        <w:rPr>
          <w:rFonts w:ascii="Arial" w:cs="Arial" w:eastAsia="Arial" w:hAnsi="Arial"/>
          <w:sz w:val="21"/>
          <w:szCs w:val="21"/>
          <w:color w:val="151515"/>
        </w:rPr>
        <w:t xml:space="preserve"> </w:t>
      </w:r>
      <w:r>
        <w:rPr>
          <w:rFonts w:ascii="Arial" w:cs="Arial" w:eastAsia="Arial" w:hAnsi="Arial"/>
          <w:sz w:val="21"/>
          <w:szCs w:val="21"/>
          <w:color w:val="1C1C1C"/>
        </w:rPr>
        <w:t xml:space="preserve">proceeds are not </w:t>
      </w:r>
      <w:r>
        <w:rPr>
          <w:rFonts w:ascii="Arial" w:cs="Arial" w:eastAsia="Arial" w:hAnsi="Arial"/>
          <w:sz w:val="21"/>
          <w:szCs w:val="21"/>
          <w:color w:val="343434"/>
        </w:rPr>
        <w:t>available;</w:t>
      </w:r>
      <w:r>
        <w:rPr>
          <w:rFonts w:ascii="Arial" w:cs="Arial" w:eastAsia="Arial" w:hAnsi="Arial"/>
          <w:sz w:val="21"/>
          <w:szCs w:val="21"/>
          <w:color w:val="1C1C1C"/>
        </w:rPr>
        <w:t xml:space="preserve"> provided, however, if Landlord elects not ot make such repair, reconstruction or restoration and </w:t>
      </w:r>
      <w:r>
        <w:rPr>
          <w:rFonts w:ascii="Arial" w:cs="Arial" w:eastAsia="Arial" w:hAnsi="Arial"/>
          <w:sz w:val="21"/>
          <w:szCs w:val="21"/>
          <w:color w:val="343434"/>
        </w:rPr>
        <w:t>such</w:t>
      </w:r>
      <w:r>
        <w:rPr>
          <w:rFonts w:ascii="Arial" w:cs="Arial" w:eastAsia="Arial" w:hAnsi="Arial"/>
          <w:sz w:val="21"/>
          <w:szCs w:val="21"/>
          <w:color w:val="1C1C1C"/>
        </w:rPr>
        <w:t xml:space="preserve"> damage or destruction constitutes a Material </w:t>
      </w:r>
      <w:r>
        <w:rPr>
          <w:rFonts w:ascii="Arial" w:cs="Arial" w:eastAsia="Arial" w:hAnsi="Arial"/>
          <w:sz w:val="21"/>
          <w:szCs w:val="21"/>
          <w:color w:val="343434"/>
        </w:rPr>
        <w:t>Loss, then</w:t>
      </w:r>
      <w:r>
        <w:rPr>
          <w:rFonts w:ascii="Arial" w:cs="Arial" w:eastAsia="Arial" w:hAnsi="Arial"/>
          <w:sz w:val="21"/>
          <w:szCs w:val="21"/>
          <w:color w:val="1C1C1C"/>
        </w:rPr>
        <w:t xml:space="preserve"> Tenant </w:t>
      </w:r>
      <w:r>
        <w:rPr>
          <w:rFonts w:ascii="Arial" w:cs="Arial" w:eastAsia="Arial" w:hAnsi="Arial"/>
          <w:sz w:val="21"/>
          <w:szCs w:val="21"/>
          <w:color w:val="343434"/>
        </w:rPr>
        <w:t>shal</w:t>
      </w:r>
      <w:r>
        <w:rPr>
          <w:rFonts w:ascii="Arial" w:cs="Arial" w:eastAsia="Arial" w:hAnsi="Arial"/>
          <w:sz w:val="21"/>
          <w:szCs w:val="21"/>
          <w:color w:val="050505"/>
        </w:rPr>
        <w:t>l</w:t>
      </w:r>
      <w:r>
        <w:rPr>
          <w:rFonts w:ascii="Arial" w:cs="Arial" w:eastAsia="Arial" w:hAnsi="Arial"/>
          <w:sz w:val="21"/>
          <w:szCs w:val="21"/>
          <w:color w:val="1C1C1C"/>
        </w:rPr>
        <w:t xml:space="preserve"> have the right to terminate this Lease </w:t>
      </w:r>
      <w:r>
        <w:rPr>
          <w:rFonts w:ascii="Arial" w:cs="Arial" w:eastAsia="Arial" w:hAnsi="Arial"/>
          <w:sz w:val="21"/>
          <w:szCs w:val="21"/>
          <w:color w:val="343434"/>
        </w:rPr>
        <w:t>as</w:t>
      </w:r>
      <w:r>
        <w:rPr>
          <w:rFonts w:ascii="Arial" w:cs="Arial" w:eastAsia="Arial" w:hAnsi="Arial"/>
          <w:sz w:val="21"/>
          <w:szCs w:val="21"/>
          <w:color w:val="1C1C1C"/>
        </w:rPr>
        <w:t xml:space="preserve"> of </w:t>
      </w:r>
      <w:r>
        <w:rPr>
          <w:rFonts w:ascii="Arial" w:cs="Arial" w:eastAsia="Arial" w:hAnsi="Arial"/>
          <w:sz w:val="21"/>
          <w:szCs w:val="21"/>
          <w:color w:val="343434"/>
        </w:rPr>
        <w:t>the</w:t>
      </w:r>
      <w:r>
        <w:rPr>
          <w:rFonts w:ascii="Arial" w:cs="Arial" w:eastAsia="Arial" w:hAnsi="Arial"/>
          <w:sz w:val="21"/>
          <w:szCs w:val="21"/>
          <w:color w:val="1C1C1C"/>
        </w:rPr>
        <w:t xml:space="preserve"> date of </w:t>
      </w:r>
      <w:r>
        <w:rPr>
          <w:rFonts w:ascii="Arial" w:cs="Arial" w:eastAsia="Arial" w:hAnsi="Arial"/>
          <w:sz w:val="21"/>
          <w:szCs w:val="21"/>
          <w:color w:val="343434"/>
        </w:rPr>
        <w:t>such</w:t>
      </w:r>
      <w:r>
        <w:rPr>
          <w:rFonts w:ascii="Arial" w:cs="Arial" w:eastAsia="Arial" w:hAnsi="Arial"/>
          <w:sz w:val="21"/>
          <w:szCs w:val="21"/>
          <w:color w:val="1C1C1C"/>
        </w:rPr>
        <w:t xml:space="preserve"> damage or destruction. </w:t>
      </w:r>
      <w:r>
        <w:rPr>
          <w:rFonts w:ascii="Arial" w:cs="Arial" w:eastAsia="Arial" w:hAnsi="Arial"/>
          <w:sz w:val="21"/>
          <w:szCs w:val="21"/>
          <w:color w:val="343434"/>
        </w:rPr>
        <w:t>Notwithstanding</w:t>
      </w:r>
      <w:r>
        <w:rPr>
          <w:rFonts w:ascii="Arial" w:cs="Arial" w:eastAsia="Arial" w:hAnsi="Arial"/>
          <w:sz w:val="21"/>
          <w:szCs w:val="21"/>
          <w:color w:val="1C1C1C"/>
        </w:rPr>
        <w:t xml:space="preserve"> anything </w:t>
      </w:r>
      <w:r>
        <w:rPr>
          <w:rFonts w:ascii="Arial" w:cs="Arial" w:eastAsia="Arial" w:hAnsi="Arial"/>
          <w:sz w:val="21"/>
          <w:szCs w:val="21"/>
          <w:color w:val="343434"/>
        </w:rPr>
        <w:t>to</w:t>
      </w:r>
      <w:r>
        <w:rPr>
          <w:rFonts w:ascii="Arial" w:cs="Arial" w:eastAsia="Arial" w:hAnsi="Arial"/>
          <w:sz w:val="21"/>
          <w:szCs w:val="21"/>
          <w:color w:val="1C1C1C"/>
        </w:rPr>
        <w:t xml:space="preserve"> the contrary contained in </w:t>
      </w:r>
      <w:r>
        <w:rPr>
          <w:rFonts w:ascii="Arial" w:cs="Arial" w:eastAsia="Arial" w:hAnsi="Arial"/>
          <w:sz w:val="21"/>
          <w:szCs w:val="21"/>
          <w:color w:val="343434"/>
        </w:rPr>
        <w:t>this</w:t>
      </w:r>
      <w:r>
        <w:rPr>
          <w:rFonts w:ascii="Arial" w:cs="Arial" w:eastAsia="Arial" w:hAnsi="Arial"/>
          <w:sz w:val="21"/>
          <w:szCs w:val="21"/>
          <w:color w:val="1C1C1C"/>
        </w:rPr>
        <w:t xml:space="preserve"> Article, in the event that any </w:t>
      </w:r>
      <w:r>
        <w:rPr>
          <w:rFonts w:ascii="Arial" w:cs="Arial" w:eastAsia="Arial" w:hAnsi="Arial"/>
          <w:sz w:val="21"/>
          <w:szCs w:val="21"/>
          <w:color w:val="343434"/>
        </w:rPr>
        <w:t>Material</w:t>
      </w:r>
      <w:r>
        <w:rPr>
          <w:rFonts w:ascii="Arial" w:cs="Arial" w:eastAsia="Arial" w:hAnsi="Arial"/>
          <w:sz w:val="21"/>
          <w:szCs w:val="21"/>
          <w:color w:val="1C1C1C"/>
        </w:rPr>
        <w:t xml:space="preserve"> Loss occurs during the last </w:t>
      </w:r>
      <w:r>
        <w:rPr>
          <w:rFonts w:ascii="Arial" w:cs="Arial" w:eastAsia="Arial" w:hAnsi="Arial"/>
          <w:sz w:val="21"/>
          <w:szCs w:val="21"/>
          <w:u w:val="single" w:color="auto"/>
          <w:color w:val="000000"/>
        </w:rPr>
        <w:t>[***]</w:t>
      </w:r>
      <w:r>
        <w:rPr>
          <w:rFonts w:ascii="Arial" w:cs="Arial" w:eastAsia="Arial" w:hAnsi="Arial"/>
          <w:sz w:val="21"/>
          <w:szCs w:val="21"/>
          <w:color w:val="1C1C1C"/>
        </w:rPr>
        <w:t xml:space="preserve"> </w:t>
      </w:r>
      <w:r>
        <w:rPr>
          <w:rFonts w:ascii="Arial" w:cs="Arial" w:eastAsia="Arial" w:hAnsi="Arial"/>
          <w:sz w:val="21"/>
          <w:szCs w:val="21"/>
          <w:color w:val="343434"/>
        </w:rPr>
        <w:t>months</w:t>
      </w:r>
      <w:r>
        <w:rPr>
          <w:rFonts w:ascii="Arial" w:cs="Arial" w:eastAsia="Arial" w:hAnsi="Arial"/>
          <w:sz w:val="21"/>
          <w:szCs w:val="21"/>
          <w:color w:val="1C1C1C"/>
        </w:rPr>
        <w:t xml:space="preserve"> of </w:t>
      </w:r>
      <w:r>
        <w:rPr>
          <w:rFonts w:ascii="Arial" w:cs="Arial" w:eastAsia="Arial" w:hAnsi="Arial"/>
          <w:sz w:val="21"/>
          <w:szCs w:val="21"/>
          <w:color w:val="343434"/>
        </w:rPr>
        <w:t>the</w:t>
      </w:r>
      <w:r>
        <w:rPr>
          <w:rFonts w:ascii="Arial" w:cs="Arial" w:eastAsia="Arial" w:hAnsi="Arial"/>
          <w:sz w:val="21"/>
          <w:szCs w:val="21"/>
          <w:color w:val="1C1C1C"/>
        </w:rPr>
        <w:t xml:space="preserve"> Term and </w:t>
      </w:r>
      <w:r>
        <w:rPr>
          <w:rFonts w:ascii="Arial" w:cs="Arial" w:eastAsia="Arial" w:hAnsi="Arial"/>
          <w:sz w:val="21"/>
          <w:szCs w:val="21"/>
          <w:color w:val="050505"/>
        </w:rPr>
        <w:t>th</w:t>
      </w:r>
      <w:r>
        <w:rPr>
          <w:rFonts w:ascii="Arial" w:cs="Arial" w:eastAsia="Arial" w:hAnsi="Arial"/>
          <w:sz w:val="21"/>
          <w:szCs w:val="21"/>
          <w:color w:val="343434"/>
        </w:rPr>
        <w:t>e</w:t>
      </w:r>
      <w:r>
        <w:rPr>
          <w:rFonts w:ascii="Arial" w:cs="Arial" w:eastAsia="Arial" w:hAnsi="Arial"/>
          <w:sz w:val="21"/>
          <w:szCs w:val="21"/>
          <w:color w:val="050505"/>
        </w:rPr>
        <w:t xml:space="preserve"> </w:t>
      </w:r>
      <w:r>
        <w:rPr>
          <w:rFonts w:ascii="Arial" w:cs="Arial" w:eastAsia="Arial" w:hAnsi="Arial"/>
          <w:sz w:val="21"/>
          <w:szCs w:val="21"/>
          <w:color w:val="1C1C1C"/>
        </w:rPr>
        <w:t>Premises cannot be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120"/>
          </w:cols>
          <w:pgMar w:left="1440" w:top="1401" w:right="339" w:bottom="1440" w:gutter="0" w:footer="0" w:header="0"/>
        </w:sectPr>
      </w:pPr>
    </w:p>
    <w:bookmarkStart w:id="350" w:name="page351"/>
    <w:bookmarkEnd w:id="350"/>
    <w:p>
      <w:pPr>
        <w:jc w:val="both"/>
        <w:ind w:left="1300" w:right="20"/>
        <w:spacing w:after="0" w:line="223" w:lineRule="auto"/>
        <w:rPr>
          <w:sz w:val="20"/>
          <w:szCs w:val="20"/>
          <w:color w:val="auto"/>
        </w:rPr>
      </w:pPr>
      <w:r>
        <w:rPr>
          <w:rFonts w:ascii="Arial" w:cs="Arial" w:eastAsia="Arial" w:hAnsi="Arial"/>
          <w:sz w:val="22"/>
          <w:szCs w:val="22"/>
          <w:color w:val="1C1C1C"/>
        </w:rPr>
        <w:t xml:space="preserve">restored within </w:t>
      </w:r>
      <w:r>
        <w:rPr>
          <w:rFonts w:ascii="Arial" w:cs="Arial" w:eastAsia="Arial" w:hAnsi="Arial"/>
          <w:sz w:val="22"/>
          <w:szCs w:val="22"/>
          <w:u w:val="single" w:color="auto"/>
          <w:color w:val="000000"/>
        </w:rPr>
        <w:t>[***]</w:t>
      </w:r>
      <w:r>
        <w:rPr>
          <w:rFonts w:ascii="Arial" w:cs="Arial" w:eastAsia="Arial" w:hAnsi="Arial"/>
          <w:sz w:val="22"/>
          <w:szCs w:val="22"/>
          <w:color w:val="1C1C1C"/>
        </w:rPr>
        <w:t xml:space="preserve"> months after the date of </w:t>
      </w:r>
      <w:r>
        <w:rPr>
          <w:rFonts w:ascii="Arial" w:cs="Arial" w:eastAsia="Arial" w:hAnsi="Arial"/>
          <w:sz w:val="22"/>
          <w:szCs w:val="22"/>
          <w:color w:val="343434"/>
        </w:rPr>
        <w:t>such</w:t>
      </w:r>
      <w:r>
        <w:rPr>
          <w:rFonts w:ascii="Arial" w:cs="Arial" w:eastAsia="Arial" w:hAnsi="Arial"/>
          <w:sz w:val="22"/>
          <w:szCs w:val="22"/>
          <w:color w:val="1C1C1C"/>
        </w:rPr>
        <w:t xml:space="preserve"> damage or destruction, as reasonably estimated by Landlord </w:t>
      </w:r>
      <w:r>
        <w:rPr>
          <w:rFonts w:ascii="Arial" w:cs="Arial" w:eastAsia="Arial" w:hAnsi="Arial"/>
          <w:sz w:val="22"/>
          <w:szCs w:val="22"/>
          <w:color w:val="343434"/>
        </w:rPr>
        <w:t xml:space="preserve">within </w:t>
      </w:r>
      <w:r>
        <w:rPr>
          <w:rFonts w:ascii="Arial" w:cs="Arial" w:eastAsia="Arial" w:hAnsi="Arial"/>
          <w:sz w:val="22"/>
          <w:szCs w:val="22"/>
          <w:u w:val="single" w:color="auto"/>
          <w:color w:val="000000"/>
        </w:rPr>
        <w:t>[***]</w:t>
      </w:r>
      <w:r>
        <w:rPr>
          <w:rFonts w:ascii="Arial" w:cs="Arial" w:eastAsia="Arial" w:hAnsi="Arial"/>
          <w:sz w:val="22"/>
          <w:szCs w:val="22"/>
          <w:color w:val="343434"/>
        </w:rPr>
        <w:t xml:space="preserve"> </w:t>
      </w:r>
      <w:r>
        <w:rPr>
          <w:rFonts w:ascii="Arial" w:cs="Arial" w:eastAsia="Arial" w:hAnsi="Arial"/>
          <w:sz w:val="22"/>
          <w:szCs w:val="22"/>
          <w:color w:val="1C1C1C"/>
        </w:rPr>
        <w:t>days after</w:t>
      </w:r>
      <w:r>
        <w:rPr>
          <w:rFonts w:ascii="Arial" w:cs="Arial" w:eastAsia="Arial" w:hAnsi="Arial"/>
          <w:sz w:val="22"/>
          <w:szCs w:val="22"/>
          <w:color w:val="343434"/>
        </w:rPr>
        <w:t xml:space="preserve"> such </w:t>
      </w:r>
      <w:r>
        <w:rPr>
          <w:rFonts w:ascii="Arial" w:cs="Arial" w:eastAsia="Arial" w:hAnsi="Arial"/>
          <w:sz w:val="22"/>
          <w:szCs w:val="22"/>
          <w:color w:val="1C1C1C"/>
        </w:rPr>
        <w:t>damage or destruction occurred, then Tenant shall have the right to</w:t>
      </w:r>
      <w:r>
        <w:rPr>
          <w:rFonts w:ascii="Arial" w:cs="Arial" w:eastAsia="Arial" w:hAnsi="Arial"/>
          <w:sz w:val="22"/>
          <w:szCs w:val="22"/>
          <w:color w:val="343434"/>
        </w:rPr>
        <w:t xml:space="preserve"> terminate the Lease </w:t>
      </w:r>
      <w:r>
        <w:rPr>
          <w:rFonts w:ascii="Arial" w:cs="Arial" w:eastAsia="Arial" w:hAnsi="Arial"/>
          <w:sz w:val="22"/>
          <w:szCs w:val="22"/>
          <w:color w:val="1C1C1C"/>
        </w:rPr>
        <w:t>as of the date of</w:t>
      </w:r>
      <w:r>
        <w:rPr>
          <w:rFonts w:ascii="Arial" w:cs="Arial" w:eastAsia="Arial" w:hAnsi="Arial"/>
          <w:sz w:val="22"/>
          <w:szCs w:val="22"/>
          <w:color w:val="343434"/>
        </w:rPr>
        <w:t xml:space="preserve"> such damage or </w:t>
      </w:r>
      <w:r>
        <w:rPr>
          <w:rFonts w:ascii="Arial" w:cs="Arial" w:eastAsia="Arial" w:hAnsi="Arial"/>
          <w:sz w:val="22"/>
          <w:szCs w:val="22"/>
          <w:color w:val="1C1C1C"/>
        </w:rPr>
        <w:t>destruction.</w:t>
      </w:r>
    </w:p>
    <w:p>
      <w:pPr>
        <w:spacing w:after="0" w:line="159" w:lineRule="exact"/>
        <w:rPr>
          <w:sz w:val="20"/>
          <w:szCs w:val="20"/>
          <w:color w:val="auto"/>
        </w:rPr>
      </w:pPr>
    </w:p>
    <w:p>
      <w:pPr>
        <w:jc w:val="both"/>
        <w:ind w:left="1300" w:hanging="647"/>
        <w:spacing w:after="0" w:line="249" w:lineRule="auto"/>
        <w:rPr>
          <w:sz w:val="20"/>
          <w:szCs w:val="20"/>
          <w:color w:val="auto"/>
        </w:rPr>
      </w:pPr>
      <w:r>
        <w:rPr>
          <w:rFonts w:ascii="Arial" w:cs="Arial" w:eastAsia="Arial" w:hAnsi="Arial"/>
          <w:sz w:val="19"/>
          <w:szCs w:val="19"/>
          <w:color w:val="auto"/>
        </w:rPr>
        <w:t xml:space="preserve">24.10 Landlord’s obligation, </w:t>
      </w:r>
      <w:r>
        <w:rPr>
          <w:rFonts w:ascii="Arial" w:cs="Arial" w:eastAsia="Arial" w:hAnsi="Arial"/>
          <w:sz w:val="19"/>
          <w:szCs w:val="19"/>
          <w:color w:val="343434"/>
        </w:rPr>
        <w:t>shou</w:t>
      </w:r>
      <w:r>
        <w:rPr>
          <w:rFonts w:ascii="Arial" w:cs="Arial" w:eastAsia="Arial" w:hAnsi="Arial"/>
          <w:sz w:val="19"/>
          <w:szCs w:val="19"/>
          <w:color w:val="050505"/>
        </w:rPr>
        <w:t>ld</w:t>
      </w:r>
      <w:r>
        <w:rPr>
          <w:rFonts w:ascii="Arial" w:cs="Arial" w:eastAsia="Arial" w:hAnsi="Arial"/>
          <w:sz w:val="19"/>
          <w:szCs w:val="19"/>
          <w:color w:val="auto"/>
        </w:rPr>
        <w:t xml:space="preserve"> it elect or be obligated to repair or rebuild, </w:t>
      </w:r>
      <w:r>
        <w:rPr>
          <w:rFonts w:ascii="Arial" w:cs="Arial" w:eastAsia="Arial" w:hAnsi="Arial"/>
          <w:sz w:val="19"/>
          <w:szCs w:val="19"/>
          <w:color w:val="343434"/>
        </w:rPr>
        <w:t>shall</w:t>
      </w:r>
      <w:r>
        <w:rPr>
          <w:rFonts w:ascii="Arial" w:cs="Arial" w:eastAsia="Arial" w:hAnsi="Arial"/>
          <w:sz w:val="19"/>
          <w:szCs w:val="19"/>
          <w:color w:val="auto"/>
        </w:rPr>
        <w:t xml:space="preserve"> be limited </w:t>
      </w:r>
      <w:r>
        <w:rPr>
          <w:rFonts w:ascii="Arial" w:cs="Arial" w:eastAsia="Arial" w:hAnsi="Arial"/>
          <w:sz w:val="19"/>
          <w:szCs w:val="19"/>
          <w:color w:val="343434"/>
        </w:rPr>
        <w:t>to</w:t>
      </w:r>
      <w:r>
        <w:rPr>
          <w:rFonts w:ascii="Arial" w:cs="Arial" w:eastAsia="Arial" w:hAnsi="Arial"/>
          <w:sz w:val="19"/>
          <w:szCs w:val="19"/>
          <w:color w:val="auto"/>
        </w:rPr>
        <w:t xml:space="preserve"> the Affected Areas. Tenant </w:t>
      </w:r>
      <w:r>
        <w:rPr>
          <w:rFonts w:ascii="Arial" w:cs="Arial" w:eastAsia="Arial" w:hAnsi="Arial"/>
          <w:sz w:val="19"/>
          <w:szCs w:val="19"/>
          <w:color w:val="343434"/>
        </w:rPr>
        <w:t>shall,</w:t>
      </w:r>
      <w:r>
        <w:rPr>
          <w:rFonts w:ascii="Arial" w:cs="Arial" w:eastAsia="Arial" w:hAnsi="Arial"/>
          <w:sz w:val="19"/>
          <w:szCs w:val="19"/>
          <w:color w:val="auto"/>
        </w:rPr>
        <w:t xml:space="preserve"> at its expense, replace or fully repair </w:t>
      </w:r>
      <w:r>
        <w:rPr>
          <w:rFonts w:ascii="Arial" w:cs="Arial" w:eastAsia="Arial" w:hAnsi="Arial"/>
          <w:sz w:val="19"/>
          <w:szCs w:val="19"/>
          <w:color w:val="343434"/>
        </w:rPr>
        <w:t>a</w:t>
      </w:r>
      <w:r>
        <w:rPr>
          <w:rFonts w:ascii="Arial" w:cs="Arial" w:eastAsia="Arial" w:hAnsi="Arial"/>
          <w:sz w:val="19"/>
          <w:szCs w:val="19"/>
          <w:color w:val="050505"/>
        </w:rPr>
        <w:t>ll</w:t>
      </w:r>
      <w:r>
        <w:rPr>
          <w:rFonts w:ascii="Arial" w:cs="Arial" w:eastAsia="Arial" w:hAnsi="Arial"/>
          <w:sz w:val="19"/>
          <w:szCs w:val="19"/>
          <w:color w:val="auto"/>
        </w:rPr>
        <w:t xml:space="preserve"> of Tenant’s personal property and any Alterations installed by Tenant existing at the </w:t>
      </w:r>
      <w:r>
        <w:rPr>
          <w:rFonts w:ascii="Arial" w:cs="Arial" w:eastAsia="Arial" w:hAnsi="Arial"/>
          <w:sz w:val="19"/>
          <w:szCs w:val="19"/>
          <w:color w:val="050505"/>
        </w:rPr>
        <w:t>time</w:t>
      </w:r>
      <w:r>
        <w:rPr>
          <w:rFonts w:ascii="Arial" w:cs="Arial" w:eastAsia="Arial" w:hAnsi="Arial"/>
          <w:sz w:val="19"/>
          <w:szCs w:val="19"/>
          <w:color w:val="auto"/>
        </w:rPr>
        <w:t xml:space="preserve"> of </w:t>
      </w:r>
      <w:r>
        <w:rPr>
          <w:rFonts w:ascii="Arial" w:cs="Arial" w:eastAsia="Arial" w:hAnsi="Arial"/>
          <w:sz w:val="19"/>
          <w:szCs w:val="19"/>
          <w:color w:val="343434"/>
        </w:rPr>
        <w:t>such</w:t>
      </w:r>
      <w:r>
        <w:rPr>
          <w:rFonts w:ascii="Arial" w:cs="Arial" w:eastAsia="Arial" w:hAnsi="Arial"/>
          <w:sz w:val="19"/>
          <w:szCs w:val="19"/>
          <w:color w:val="auto"/>
        </w:rPr>
        <w:t xml:space="preserve"> damage or destruction. If Affected Areas are to be repaired in accordance with the </w:t>
      </w:r>
      <w:r>
        <w:rPr>
          <w:rFonts w:ascii="Arial" w:cs="Arial" w:eastAsia="Arial" w:hAnsi="Arial"/>
          <w:sz w:val="19"/>
          <w:szCs w:val="19"/>
          <w:color w:val="343434"/>
        </w:rPr>
        <w:t>foregoing,</w:t>
      </w:r>
      <w:r>
        <w:rPr>
          <w:rFonts w:ascii="Arial" w:cs="Arial" w:eastAsia="Arial" w:hAnsi="Arial"/>
          <w:sz w:val="19"/>
          <w:szCs w:val="19"/>
          <w:color w:val="auto"/>
        </w:rPr>
        <w:t xml:space="preserve"> Landlord </w:t>
      </w:r>
      <w:r>
        <w:rPr>
          <w:rFonts w:ascii="Arial" w:cs="Arial" w:eastAsia="Arial" w:hAnsi="Arial"/>
          <w:sz w:val="19"/>
          <w:szCs w:val="19"/>
          <w:color w:val="343434"/>
        </w:rPr>
        <w:t>shall make</w:t>
      </w:r>
      <w:r>
        <w:rPr>
          <w:rFonts w:ascii="Arial" w:cs="Arial" w:eastAsia="Arial" w:hAnsi="Arial"/>
          <w:sz w:val="19"/>
          <w:szCs w:val="19"/>
          <w:color w:val="auto"/>
        </w:rPr>
        <w:t xml:space="preserve"> available to Tenant any portion of </w:t>
      </w:r>
      <w:r>
        <w:rPr>
          <w:rFonts w:ascii="Arial" w:cs="Arial" w:eastAsia="Arial" w:hAnsi="Arial"/>
          <w:sz w:val="19"/>
          <w:szCs w:val="19"/>
          <w:color w:val="343434"/>
        </w:rPr>
        <w:t>insurance</w:t>
      </w:r>
      <w:r>
        <w:rPr>
          <w:rFonts w:ascii="Arial" w:cs="Arial" w:eastAsia="Arial" w:hAnsi="Arial"/>
          <w:sz w:val="19"/>
          <w:szCs w:val="19"/>
          <w:color w:val="auto"/>
        </w:rPr>
        <w:t xml:space="preserve"> proceeds </w:t>
      </w:r>
      <w:r>
        <w:rPr>
          <w:rFonts w:ascii="Arial" w:cs="Arial" w:eastAsia="Arial" w:hAnsi="Arial"/>
          <w:sz w:val="19"/>
          <w:szCs w:val="19"/>
          <w:color w:val="343434"/>
        </w:rPr>
        <w:t>it</w:t>
      </w:r>
      <w:r>
        <w:rPr>
          <w:rFonts w:ascii="Arial" w:cs="Arial" w:eastAsia="Arial" w:hAnsi="Arial"/>
          <w:sz w:val="19"/>
          <w:szCs w:val="19"/>
          <w:color w:val="auto"/>
        </w:rPr>
        <w:t xml:space="preserve"> receives that </w:t>
      </w:r>
      <w:r>
        <w:rPr>
          <w:rFonts w:ascii="Arial" w:cs="Arial" w:eastAsia="Arial" w:hAnsi="Arial"/>
          <w:sz w:val="19"/>
          <w:szCs w:val="19"/>
          <w:color w:val="343434"/>
        </w:rPr>
        <w:t>are</w:t>
      </w:r>
      <w:r>
        <w:rPr>
          <w:rFonts w:ascii="Arial" w:cs="Arial" w:eastAsia="Arial" w:hAnsi="Arial"/>
          <w:sz w:val="19"/>
          <w:szCs w:val="19"/>
          <w:color w:val="auto"/>
        </w:rPr>
        <w:t xml:space="preserve"> </w:t>
      </w:r>
      <w:r>
        <w:rPr>
          <w:rFonts w:ascii="Arial" w:cs="Arial" w:eastAsia="Arial" w:hAnsi="Arial"/>
          <w:sz w:val="19"/>
          <w:szCs w:val="19"/>
          <w:color w:val="343434"/>
        </w:rPr>
        <w:t>allocab</w:t>
      </w:r>
      <w:r>
        <w:rPr>
          <w:rFonts w:ascii="Arial" w:cs="Arial" w:eastAsia="Arial" w:hAnsi="Arial"/>
          <w:sz w:val="19"/>
          <w:szCs w:val="19"/>
          <w:color w:val="050505"/>
        </w:rPr>
        <w:t>le</w:t>
      </w:r>
      <w:r>
        <w:rPr>
          <w:rFonts w:ascii="Arial" w:cs="Arial" w:eastAsia="Arial" w:hAnsi="Arial"/>
          <w:sz w:val="19"/>
          <w:szCs w:val="19"/>
          <w:color w:val="343434"/>
        </w:rPr>
        <w:t xml:space="preserve"> </w:t>
      </w:r>
      <w:r>
        <w:rPr>
          <w:rFonts w:ascii="Arial" w:cs="Arial" w:eastAsia="Arial" w:hAnsi="Arial"/>
          <w:sz w:val="19"/>
          <w:szCs w:val="19"/>
          <w:color w:val="000000"/>
        </w:rPr>
        <w:t>to the Alterations constructed by Tenant pursuant to this Lease; provided Tenant is not then</w:t>
      </w:r>
      <w:r>
        <w:rPr>
          <w:rFonts w:ascii="Arial" w:cs="Arial" w:eastAsia="Arial" w:hAnsi="Arial"/>
          <w:sz w:val="19"/>
          <w:szCs w:val="19"/>
          <w:color w:val="343434"/>
        </w:rPr>
        <w:t xml:space="preserve"> in </w:t>
      </w:r>
      <w:r>
        <w:rPr>
          <w:rFonts w:ascii="Arial" w:cs="Arial" w:eastAsia="Arial" w:hAnsi="Arial"/>
          <w:sz w:val="19"/>
          <w:szCs w:val="19"/>
          <w:color w:val="000000"/>
        </w:rPr>
        <w:t>default</w:t>
      </w:r>
      <w:r>
        <w:rPr>
          <w:rFonts w:ascii="Arial" w:cs="Arial" w:eastAsia="Arial" w:hAnsi="Arial"/>
          <w:sz w:val="19"/>
          <w:szCs w:val="19"/>
          <w:color w:val="343434"/>
        </w:rPr>
        <w:t xml:space="preserve"> </w:t>
      </w:r>
      <w:r>
        <w:rPr>
          <w:rFonts w:ascii="Arial" w:cs="Arial" w:eastAsia="Arial" w:hAnsi="Arial"/>
          <w:sz w:val="19"/>
          <w:szCs w:val="19"/>
          <w:color w:val="000000"/>
        </w:rPr>
        <w:t xml:space="preserve">under this Lease, </w:t>
      </w:r>
      <w:r>
        <w:rPr>
          <w:rFonts w:ascii="Arial" w:cs="Arial" w:eastAsia="Arial" w:hAnsi="Arial"/>
          <w:sz w:val="19"/>
          <w:szCs w:val="19"/>
          <w:color w:val="343434"/>
        </w:rPr>
        <w:t>and subject to</w:t>
      </w:r>
      <w:r>
        <w:rPr>
          <w:rFonts w:ascii="Arial" w:cs="Arial" w:eastAsia="Arial" w:hAnsi="Arial"/>
          <w:sz w:val="19"/>
          <w:szCs w:val="19"/>
          <w:color w:val="000000"/>
        </w:rPr>
        <w:t xml:space="preserve"> the requirements of any Lender of Landlord.</w:t>
      </w:r>
    </w:p>
    <w:p>
      <w:pPr>
        <w:spacing w:after="0" w:line="152"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Eminent Domain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22" w:lineRule="auto"/>
        <w:rPr>
          <w:rFonts w:ascii="Arial" w:cs="Arial" w:eastAsia="Arial" w:hAnsi="Arial"/>
          <w:sz w:val="22"/>
          <w:szCs w:val="22"/>
          <w:color w:val="auto"/>
        </w:rPr>
      </w:pPr>
      <w:r>
        <w:rPr>
          <w:rFonts w:ascii="Arial" w:cs="Arial" w:eastAsia="Arial" w:hAnsi="Arial"/>
          <w:sz w:val="21"/>
          <w:szCs w:val="21"/>
          <w:color w:val="auto"/>
        </w:rPr>
        <w:t xml:space="preserve">25.1 </w:t>
      </w:r>
      <w:r>
        <w:rPr>
          <w:rFonts w:ascii="Arial" w:cs="Arial" w:eastAsia="Arial" w:hAnsi="Arial"/>
          <w:sz w:val="21"/>
          <w:szCs w:val="21"/>
          <w:color w:val="050505"/>
        </w:rPr>
        <w:t>In</w:t>
      </w:r>
      <w:r>
        <w:rPr>
          <w:rFonts w:ascii="Arial" w:cs="Arial" w:eastAsia="Arial" w:hAnsi="Arial"/>
          <w:sz w:val="21"/>
          <w:szCs w:val="21"/>
          <w:color w:val="auto"/>
        </w:rPr>
        <w:t xml:space="preserve"> the event (a) the whole of </w:t>
      </w:r>
      <w:r>
        <w:rPr>
          <w:rFonts w:ascii="Arial" w:cs="Arial" w:eastAsia="Arial" w:hAnsi="Arial"/>
          <w:sz w:val="21"/>
          <w:szCs w:val="21"/>
          <w:color w:val="343434"/>
        </w:rPr>
        <w:t>all</w:t>
      </w:r>
      <w:r>
        <w:rPr>
          <w:rFonts w:ascii="Arial" w:cs="Arial" w:eastAsia="Arial" w:hAnsi="Arial"/>
          <w:sz w:val="21"/>
          <w:szCs w:val="21"/>
          <w:color w:val="auto"/>
        </w:rPr>
        <w:t xml:space="preserve"> or either of the </w:t>
      </w:r>
      <w:r>
        <w:rPr>
          <w:rFonts w:ascii="Arial" w:cs="Arial" w:eastAsia="Arial" w:hAnsi="Arial"/>
          <w:sz w:val="21"/>
          <w:szCs w:val="21"/>
          <w:color w:val="343434"/>
        </w:rPr>
        <w:t>Affected</w:t>
      </w:r>
      <w:r>
        <w:rPr>
          <w:rFonts w:ascii="Arial" w:cs="Arial" w:eastAsia="Arial" w:hAnsi="Arial"/>
          <w:sz w:val="21"/>
          <w:szCs w:val="21"/>
          <w:color w:val="auto"/>
        </w:rPr>
        <w:t xml:space="preserve"> Areas or (b) such </w:t>
      </w:r>
      <w:r>
        <w:rPr>
          <w:rFonts w:ascii="Arial" w:cs="Arial" w:eastAsia="Arial" w:hAnsi="Arial"/>
          <w:sz w:val="21"/>
          <w:szCs w:val="21"/>
          <w:color w:val="343434"/>
        </w:rPr>
        <w:t>part</w:t>
      </w:r>
      <w:r>
        <w:rPr>
          <w:rFonts w:ascii="Arial" w:cs="Arial" w:eastAsia="Arial" w:hAnsi="Arial"/>
          <w:sz w:val="21"/>
          <w:szCs w:val="21"/>
          <w:color w:val="auto"/>
        </w:rPr>
        <w:t xml:space="preserve"> thereof </w:t>
      </w:r>
      <w:r>
        <w:rPr>
          <w:rFonts w:ascii="Arial" w:cs="Arial" w:eastAsia="Arial" w:hAnsi="Arial"/>
          <w:sz w:val="21"/>
          <w:szCs w:val="21"/>
          <w:color w:val="343434"/>
        </w:rPr>
        <w:t>as shall substantially</w:t>
      </w:r>
      <w:r>
        <w:rPr>
          <w:rFonts w:ascii="Arial" w:cs="Arial" w:eastAsia="Arial" w:hAnsi="Arial"/>
          <w:sz w:val="21"/>
          <w:szCs w:val="21"/>
          <w:color w:val="auto"/>
        </w:rPr>
        <w:t xml:space="preserve"> interfere with Tenant’s use and occupancy of the Premises for the Permitted </w:t>
      </w:r>
      <w:r>
        <w:rPr>
          <w:rFonts w:ascii="Arial" w:cs="Arial" w:eastAsia="Arial" w:hAnsi="Arial"/>
          <w:sz w:val="21"/>
          <w:szCs w:val="21"/>
          <w:color w:val="343434"/>
        </w:rPr>
        <w:t>Use shall</w:t>
      </w:r>
      <w:r>
        <w:rPr>
          <w:rFonts w:ascii="Arial" w:cs="Arial" w:eastAsia="Arial" w:hAnsi="Arial"/>
          <w:sz w:val="21"/>
          <w:szCs w:val="21"/>
          <w:color w:val="auto"/>
        </w:rPr>
        <w:t xml:space="preserve"> be </w:t>
      </w:r>
      <w:r>
        <w:rPr>
          <w:rFonts w:ascii="Arial" w:cs="Arial" w:eastAsia="Arial" w:hAnsi="Arial"/>
          <w:sz w:val="21"/>
          <w:szCs w:val="21"/>
          <w:color w:val="050505"/>
        </w:rPr>
        <w:t>taken</w:t>
      </w:r>
      <w:r>
        <w:rPr>
          <w:rFonts w:ascii="Arial" w:cs="Arial" w:eastAsia="Arial" w:hAnsi="Arial"/>
          <w:sz w:val="21"/>
          <w:szCs w:val="21"/>
          <w:color w:val="auto"/>
        </w:rPr>
        <w:t xml:space="preserve"> for any public or quasi-public purpose by any lawful power or authority by exercise of the right of appropriation, condemnation or eminent domain, or </w:t>
      </w:r>
      <w:r>
        <w:rPr>
          <w:rFonts w:ascii="Arial" w:cs="Arial" w:eastAsia="Arial" w:hAnsi="Arial"/>
          <w:sz w:val="21"/>
          <w:szCs w:val="21"/>
          <w:color w:val="343434"/>
        </w:rPr>
        <w:t>sold</w:t>
      </w:r>
      <w:r>
        <w:rPr>
          <w:rFonts w:ascii="Arial" w:cs="Arial" w:eastAsia="Arial" w:hAnsi="Arial"/>
          <w:sz w:val="21"/>
          <w:szCs w:val="21"/>
          <w:color w:val="auto"/>
        </w:rPr>
        <w:t xml:space="preserve"> to prevent </w:t>
      </w:r>
      <w:r>
        <w:rPr>
          <w:rFonts w:ascii="Arial" w:cs="Arial" w:eastAsia="Arial" w:hAnsi="Arial"/>
          <w:sz w:val="21"/>
          <w:szCs w:val="21"/>
          <w:color w:val="343434"/>
        </w:rPr>
        <w:t>such</w:t>
      </w:r>
      <w:r>
        <w:rPr>
          <w:rFonts w:ascii="Arial" w:cs="Arial" w:eastAsia="Arial" w:hAnsi="Arial"/>
          <w:sz w:val="21"/>
          <w:szCs w:val="21"/>
          <w:color w:val="auto"/>
        </w:rPr>
        <w:t xml:space="preserve"> taking, Tenant or Landlord </w:t>
      </w:r>
      <w:r>
        <w:rPr>
          <w:rFonts w:ascii="Arial" w:cs="Arial" w:eastAsia="Arial" w:hAnsi="Arial"/>
          <w:sz w:val="21"/>
          <w:szCs w:val="21"/>
          <w:color w:val="343434"/>
        </w:rPr>
        <w:t>may</w:t>
      </w:r>
      <w:r>
        <w:rPr>
          <w:rFonts w:ascii="Arial" w:cs="Arial" w:eastAsia="Arial" w:hAnsi="Arial"/>
          <w:sz w:val="21"/>
          <w:szCs w:val="21"/>
          <w:color w:val="auto"/>
        </w:rPr>
        <w:t xml:space="preserve"> terminate this Lease effective </w:t>
      </w:r>
      <w:r>
        <w:rPr>
          <w:rFonts w:ascii="Arial" w:cs="Arial" w:eastAsia="Arial" w:hAnsi="Arial"/>
          <w:sz w:val="21"/>
          <w:szCs w:val="21"/>
          <w:color w:val="343434"/>
        </w:rPr>
        <w:t>as</w:t>
      </w:r>
      <w:r>
        <w:rPr>
          <w:rFonts w:ascii="Arial" w:cs="Arial" w:eastAsia="Arial" w:hAnsi="Arial"/>
          <w:sz w:val="21"/>
          <w:szCs w:val="21"/>
          <w:color w:val="auto"/>
        </w:rPr>
        <w:t xml:space="preserve"> of </w:t>
      </w:r>
      <w:r>
        <w:rPr>
          <w:rFonts w:ascii="Arial" w:cs="Arial" w:eastAsia="Arial" w:hAnsi="Arial"/>
          <w:sz w:val="21"/>
          <w:szCs w:val="21"/>
          <w:color w:val="343434"/>
        </w:rPr>
        <w:t>the</w:t>
      </w:r>
      <w:r>
        <w:rPr>
          <w:rFonts w:ascii="Arial" w:cs="Arial" w:eastAsia="Arial" w:hAnsi="Arial"/>
          <w:sz w:val="21"/>
          <w:szCs w:val="21"/>
          <w:color w:val="auto"/>
        </w:rPr>
        <w:t xml:space="preserve"> date possession </w:t>
      </w:r>
      <w:r>
        <w:rPr>
          <w:rFonts w:ascii="Arial" w:cs="Arial" w:eastAsia="Arial" w:hAnsi="Arial"/>
          <w:sz w:val="21"/>
          <w:szCs w:val="21"/>
          <w:color w:val="343434"/>
        </w:rPr>
        <w:t>is required</w:t>
      </w:r>
      <w:r>
        <w:rPr>
          <w:rFonts w:ascii="Arial" w:cs="Arial" w:eastAsia="Arial" w:hAnsi="Arial"/>
          <w:sz w:val="21"/>
          <w:szCs w:val="21"/>
          <w:color w:val="auto"/>
        </w:rPr>
        <w:t xml:space="preserve"> to be </w:t>
      </w:r>
      <w:r>
        <w:rPr>
          <w:rFonts w:ascii="Arial" w:cs="Arial" w:eastAsia="Arial" w:hAnsi="Arial"/>
          <w:sz w:val="21"/>
          <w:szCs w:val="21"/>
          <w:color w:val="343434"/>
        </w:rPr>
        <w:t>surrendered</w:t>
      </w:r>
      <w:r>
        <w:rPr>
          <w:rFonts w:ascii="Arial" w:cs="Arial" w:eastAsia="Arial" w:hAnsi="Arial"/>
          <w:sz w:val="21"/>
          <w:szCs w:val="21"/>
          <w:color w:val="auto"/>
        </w:rPr>
        <w:t xml:space="preserve"> to </w:t>
      </w:r>
      <w:r>
        <w:rPr>
          <w:rFonts w:ascii="Arial" w:cs="Arial" w:eastAsia="Arial" w:hAnsi="Arial"/>
          <w:sz w:val="21"/>
          <w:szCs w:val="21"/>
          <w:color w:val="343434"/>
        </w:rPr>
        <w:t>said authority,</w:t>
      </w:r>
      <w:r>
        <w:rPr>
          <w:rFonts w:ascii="Arial" w:cs="Arial" w:eastAsia="Arial" w:hAnsi="Arial"/>
          <w:sz w:val="21"/>
          <w:szCs w:val="21"/>
          <w:color w:val="auto"/>
        </w:rPr>
        <w:t xml:space="preserve"> except with regard to (y) </w:t>
      </w:r>
      <w:r>
        <w:rPr>
          <w:rFonts w:ascii="Arial" w:cs="Arial" w:eastAsia="Arial" w:hAnsi="Arial"/>
          <w:sz w:val="21"/>
          <w:szCs w:val="21"/>
          <w:color w:val="343434"/>
        </w:rPr>
        <w:t>items</w:t>
      </w:r>
      <w:r>
        <w:rPr>
          <w:rFonts w:ascii="Arial" w:cs="Arial" w:eastAsia="Arial" w:hAnsi="Arial"/>
          <w:sz w:val="21"/>
          <w:szCs w:val="21"/>
          <w:color w:val="auto"/>
        </w:rPr>
        <w:t xml:space="preserve"> occurring prior to the damage or destruction and (z) provisions of this </w:t>
      </w:r>
      <w:r>
        <w:rPr>
          <w:rFonts w:ascii="Arial" w:cs="Arial" w:eastAsia="Arial" w:hAnsi="Arial"/>
          <w:sz w:val="21"/>
          <w:szCs w:val="21"/>
          <w:color w:val="343434"/>
        </w:rPr>
        <w:t>Lease</w:t>
      </w:r>
      <w:r>
        <w:rPr>
          <w:rFonts w:ascii="Arial" w:cs="Arial" w:eastAsia="Arial" w:hAnsi="Arial"/>
          <w:sz w:val="21"/>
          <w:szCs w:val="21"/>
          <w:color w:val="auto"/>
        </w:rPr>
        <w:t xml:space="preserve"> that, by their express terms, </w:t>
      </w:r>
      <w:r>
        <w:rPr>
          <w:rFonts w:ascii="Arial" w:cs="Arial" w:eastAsia="Arial" w:hAnsi="Arial"/>
          <w:sz w:val="21"/>
          <w:szCs w:val="21"/>
          <w:color w:val="343434"/>
        </w:rPr>
        <w:t>survive</w:t>
      </w:r>
      <w:r>
        <w:rPr>
          <w:rFonts w:ascii="Arial" w:cs="Arial" w:eastAsia="Arial" w:hAnsi="Arial"/>
          <w:sz w:val="21"/>
          <w:szCs w:val="21"/>
          <w:color w:val="auto"/>
        </w:rPr>
        <w:t xml:space="preserve"> the </w:t>
      </w:r>
      <w:r>
        <w:rPr>
          <w:rFonts w:ascii="Arial" w:cs="Arial" w:eastAsia="Arial" w:hAnsi="Arial"/>
          <w:sz w:val="21"/>
          <w:szCs w:val="21"/>
          <w:color w:val="343434"/>
        </w:rPr>
        <w:t>expiration</w:t>
      </w:r>
      <w:r>
        <w:rPr>
          <w:rFonts w:ascii="Arial" w:cs="Arial" w:eastAsia="Arial" w:hAnsi="Arial"/>
          <w:sz w:val="21"/>
          <w:szCs w:val="21"/>
          <w:color w:val="auto"/>
        </w:rPr>
        <w:t xml:space="preserve"> or </w:t>
      </w:r>
      <w:r>
        <w:rPr>
          <w:rFonts w:ascii="Arial" w:cs="Arial" w:eastAsia="Arial" w:hAnsi="Arial"/>
          <w:sz w:val="21"/>
          <w:szCs w:val="21"/>
          <w:color w:val="343434"/>
        </w:rPr>
        <w:t xml:space="preserve">earlier termination </w:t>
      </w:r>
      <w:r>
        <w:rPr>
          <w:rFonts w:ascii="Arial" w:cs="Arial" w:eastAsia="Arial" w:hAnsi="Arial"/>
          <w:sz w:val="21"/>
          <w:szCs w:val="21"/>
          <w:color w:val="000000"/>
        </w:rPr>
        <w:t>hereof.</w:t>
      </w:r>
    </w:p>
    <w:p>
      <w:pPr>
        <w:spacing w:after="0" w:line="164" w:lineRule="exact"/>
        <w:rPr>
          <w:rFonts w:ascii="Arial" w:cs="Arial" w:eastAsia="Arial" w:hAnsi="Arial"/>
          <w:sz w:val="22"/>
          <w:szCs w:val="22"/>
          <w:color w:val="auto"/>
        </w:rPr>
      </w:pPr>
    </w:p>
    <w:p>
      <w:pPr>
        <w:ind w:left="1300" w:hanging="648"/>
        <w:spacing w:after="0" w:line="244" w:lineRule="auto"/>
        <w:rPr>
          <w:rFonts w:ascii="Arial" w:cs="Arial" w:eastAsia="Arial" w:hAnsi="Arial"/>
          <w:sz w:val="22"/>
          <w:szCs w:val="22"/>
          <w:color w:val="auto"/>
        </w:rPr>
      </w:pPr>
      <w:r>
        <w:rPr>
          <w:rFonts w:ascii="Arial" w:cs="Arial" w:eastAsia="Arial" w:hAnsi="Arial"/>
          <w:sz w:val="19"/>
          <w:szCs w:val="19"/>
          <w:color w:val="auto"/>
        </w:rPr>
        <w:t xml:space="preserve">25.2 In the event of a partial taking of (a) the Building or </w:t>
      </w:r>
      <w:r>
        <w:rPr>
          <w:rFonts w:ascii="Arial" w:cs="Arial" w:eastAsia="Arial" w:hAnsi="Arial"/>
          <w:sz w:val="19"/>
          <w:szCs w:val="19"/>
          <w:color w:val="343434"/>
        </w:rPr>
        <w:t>the</w:t>
      </w:r>
      <w:r>
        <w:rPr>
          <w:rFonts w:ascii="Arial" w:cs="Arial" w:eastAsia="Arial" w:hAnsi="Arial"/>
          <w:sz w:val="19"/>
          <w:szCs w:val="19"/>
          <w:color w:val="auto"/>
        </w:rPr>
        <w:t xml:space="preserve"> Common Areas or </w:t>
      </w:r>
      <w:r>
        <w:rPr>
          <w:rFonts w:ascii="Arial" w:cs="Arial" w:eastAsia="Arial" w:hAnsi="Arial"/>
          <w:sz w:val="19"/>
          <w:szCs w:val="19"/>
          <w:color w:val="343434"/>
        </w:rPr>
        <w:t>(b)</w:t>
      </w:r>
      <w:r>
        <w:rPr>
          <w:rFonts w:ascii="Arial" w:cs="Arial" w:eastAsia="Arial" w:hAnsi="Arial"/>
          <w:sz w:val="19"/>
          <w:szCs w:val="19"/>
          <w:color w:val="auto"/>
        </w:rPr>
        <w:t xml:space="preserve"> drives, walkways or </w:t>
      </w:r>
      <w:r>
        <w:rPr>
          <w:rFonts w:ascii="Arial" w:cs="Arial" w:eastAsia="Arial" w:hAnsi="Arial"/>
          <w:sz w:val="19"/>
          <w:szCs w:val="19"/>
          <w:color w:val="343434"/>
        </w:rPr>
        <w:t>parking</w:t>
      </w:r>
      <w:r>
        <w:rPr>
          <w:rFonts w:ascii="Arial" w:cs="Arial" w:eastAsia="Arial" w:hAnsi="Arial"/>
          <w:sz w:val="19"/>
          <w:szCs w:val="19"/>
          <w:color w:val="auto"/>
        </w:rPr>
        <w:t xml:space="preserve"> areas </w:t>
      </w:r>
      <w:r>
        <w:rPr>
          <w:rFonts w:ascii="Arial" w:cs="Arial" w:eastAsia="Arial" w:hAnsi="Arial"/>
          <w:sz w:val="19"/>
          <w:szCs w:val="19"/>
          <w:color w:val="343434"/>
        </w:rPr>
        <w:t xml:space="preserve">serving </w:t>
      </w:r>
      <w:r>
        <w:rPr>
          <w:rFonts w:ascii="Arial" w:cs="Arial" w:eastAsia="Arial" w:hAnsi="Arial"/>
          <w:sz w:val="19"/>
          <w:szCs w:val="19"/>
          <w:color w:val="000000"/>
        </w:rPr>
        <w:t>the Building or the Project for any</w:t>
      </w:r>
      <w:r>
        <w:rPr>
          <w:rFonts w:ascii="Arial" w:cs="Arial" w:eastAsia="Arial" w:hAnsi="Arial"/>
          <w:sz w:val="19"/>
          <w:szCs w:val="19"/>
          <w:color w:val="343434"/>
        </w:rPr>
        <w:t xml:space="preserve"> public </w:t>
      </w:r>
      <w:r>
        <w:rPr>
          <w:rFonts w:ascii="Arial" w:cs="Arial" w:eastAsia="Arial" w:hAnsi="Arial"/>
          <w:sz w:val="19"/>
          <w:szCs w:val="19"/>
          <w:color w:val="000000"/>
        </w:rPr>
        <w:t>or quasi-public</w:t>
      </w:r>
      <w:r>
        <w:rPr>
          <w:rFonts w:ascii="Arial" w:cs="Arial" w:eastAsia="Arial" w:hAnsi="Arial"/>
          <w:sz w:val="19"/>
          <w:szCs w:val="19"/>
          <w:color w:val="343434"/>
        </w:rPr>
        <w:t xml:space="preserve"> purpose </w:t>
      </w:r>
      <w:r>
        <w:rPr>
          <w:rFonts w:ascii="Arial" w:cs="Arial" w:eastAsia="Arial" w:hAnsi="Arial"/>
          <w:sz w:val="19"/>
          <w:szCs w:val="19"/>
          <w:color w:val="000000"/>
        </w:rPr>
        <w:t>by</w:t>
      </w:r>
      <w:r>
        <w:rPr>
          <w:rFonts w:ascii="Arial" w:cs="Arial" w:eastAsia="Arial" w:hAnsi="Arial"/>
          <w:sz w:val="19"/>
          <w:szCs w:val="19"/>
          <w:color w:val="343434"/>
        </w:rPr>
        <w:t xml:space="preserve"> any </w:t>
      </w:r>
      <w:r>
        <w:rPr>
          <w:rFonts w:ascii="Arial" w:cs="Arial" w:eastAsia="Arial" w:hAnsi="Arial"/>
          <w:sz w:val="19"/>
          <w:szCs w:val="19"/>
          <w:color w:val="000000"/>
        </w:rPr>
        <w:t>lawful power or authority by</w:t>
      </w:r>
      <w:r>
        <w:rPr>
          <w:rFonts w:ascii="Arial" w:cs="Arial" w:eastAsia="Arial" w:hAnsi="Arial"/>
          <w:sz w:val="19"/>
          <w:szCs w:val="19"/>
          <w:color w:val="343434"/>
        </w:rPr>
        <w:t xml:space="preserve"> </w:t>
      </w:r>
      <w:r>
        <w:rPr>
          <w:rFonts w:ascii="Arial" w:cs="Arial" w:eastAsia="Arial" w:hAnsi="Arial"/>
          <w:sz w:val="19"/>
          <w:szCs w:val="19"/>
          <w:color w:val="000000"/>
        </w:rPr>
        <w:t xml:space="preserve">exercise </w:t>
      </w:r>
      <w:r>
        <w:rPr>
          <w:rFonts w:ascii="Arial" w:cs="Arial" w:eastAsia="Arial" w:hAnsi="Arial"/>
          <w:sz w:val="19"/>
          <w:szCs w:val="19"/>
          <w:color w:val="343434"/>
        </w:rPr>
        <w:t>of</w:t>
      </w:r>
      <w:r>
        <w:rPr>
          <w:rFonts w:ascii="Arial" w:cs="Arial" w:eastAsia="Arial" w:hAnsi="Arial"/>
          <w:sz w:val="19"/>
          <w:szCs w:val="19"/>
          <w:color w:val="000000"/>
        </w:rPr>
        <w:t xml:space="preserve"> right of appropriation, condemnation, or eminent domain, or sold to prevent </w:t>
      </w:r>
      <w:r>
        <w:rPr>
          <w:rFonts w:ascii="Arial" w:cs="Arial" w:eastAsia="Arial" w:hAnsi="Arial"/>
          <w:sz w:val="19"/>
          <w:szCs w:val="19"/>
          <w:color w:val="343434"/>
        </w:rPr>
        <w:t>such taking,</w:t>
      </w:r>
      <w:r>
        <w:rPr>
          <w:rFonts w:ascii="Arial" w:cs="Arial" w:eastAsia="Arial" w:hAnsi="Arial"/>
          <w:sz w:val="19"/>
          <w:szCs w:val="19"/>
          <w:color w:val="000000"/>
        </w:rPr>
        <w:t xml:space="preserve"> then, without regard to whether any portion of the Premises occupied by Tenant was </w:t>
      </w:r>
      <w:r>
        <w:rPr>
          <w:rFonts w:ascii="Arial" w:cs="Arial" w:eastAsia="Arial" w:hAnsi="Arial"/>
          <w:sz w:val="19"/>
          <w:szCs w:val="19"/>
          <w:color w:val="343434"/>
        </w:rPr>
        <w:t>so</w:t>
      </w:r>
      <w:r>
        <w:rPr>
          <w:rFonts w:ascii="Arial" w:cs="Arial" w:eastAsia="Arial" w:hAnsi="Arial"/>
          <w:sz w:val="19"/>
          <w:szCs w:val="19"/>
          <w:color w:val="000000"/>
        </w:rPr>
        <w:t xml:space="preserve"> taken, </w:t>
      </w:r>
      <w:r>
        <w:rPr>
          <w:rFonts w:ascii="Arial" w:cs="Arial" w:eastAsia="Arial" w:hAnsi="Arial"/>
          <w:sz w:val="19"/>
          <w:szCs w:val="19"/>
          <w:color w:val="343434"/>
        </w:rPr>
        <w:t>Landlord may</w:t>
      </w:r>
      <w:r>
        <w:rPr>
          <w:rFonts w:ascii="Arial" w:cs="Arial" w:eastAsia="Arial" w:hAnsi="Arial"/>
          <w:sz w:val="19"/>
          <w:szCs w:val="19"/>
          <w:color w:val="000000"/>
        </w:rPr>
        <w:t xml:space="preserve"> elect to terminate this </w:t>
      </w:r>
      <w:r>
        <w:rPr>
          <w:rFonts w:ascii="Arial" w:cs="Arial" w:eastAsia="Arial" w:hAnsi="Arial"/>
          <w:sz w:val="19"/>
          <w:szCs w:val="19"/>
          <w:color w:val="343434"/>
        </w:rPr>
        <w:t>Lease</w:t>
      </w:r>
      <w:r>
        <w:rPr>
          <w:rFonts w:ascii="Arial" w:cs="Arial" w:eastAsia="Arial" w:hAnsi="Arial"/>
          <w:sz w:val="19"/>
          <w:szCs w:val="19"/>
          <w:color w:val="000000"/>
        </w:rPr>
        <w:t xml:space="preserve"> (except with regard to (a) items occurring prior to the damage or destruction and (b) provisions of this Lease that, by </w:t>
      </w:r>
      <w:r>
        <w:rPr>
          <w:rFonts w:ascii="Arial" w:cs="Arial" w:eastAsia="Arial" w:hAnsi="Arial"/>
          <w:sz w:val="19"/>
          <w:szCs w:val="19"/>
          <w:color w:val="343434"/>
        </w:rPr>
        <w:t>their</w:t>
      </w:r>
      <w:r>
        <w:rPr>
          <w:rFonts w:ascii="Arial" w:cs="Arial" w:eastAsia="Arial" w:hAnsi="Arial"/>
          <w:sz w:val="19"/>
          <w:szCs w:val="19"/>
          <w:color w:val="000000"/>
        </w:rPr>
        <w:t xml:space="preserve"> express </w:t>
      </w:r>
      <w:r>
        <w:rPr>
          <w:rFonts w:ascii="Arial" w:cs="Arial" w:eastAsia="Arial" w:hAnsi="Arial"/>
          <w:sz w:val="19"/>
          <w:szCs w:val="19"/>
          <w:color w:val="343434"/>
        </w:rPr>
        <w:t>terms, survive</w:t>
      </w:r>
      <w:r>
        <w:rPr>
          <w:rFonts w:ascii="Arial" w:cs="Arial" w:eastAsia="Arial" w:hAnsi="Arial"/>
          <w:sz w:val="19"/>
          <w:szCs w:val="19"/>
          <w:color w:val="000000"/>
        </w:rPr>
        <w:t xml:space="preserve"> the expiration or earlier termination hereof) as of </w:t>
      </w:r>
      <w:r>
        <w:rPr>
          <w:rFonts w:ascii="Arial" w:cs="Arial" w:eastAsia="Arial" w:hAnsi="Arial"/>
          <w:sz w:val="19"/>
          <w:szCs w:val="19"/>
          <w:color w:val="343434"/>
        </w:rPr>
        <w:t>such</w:t>
      </w:r>
      <w:r>
        <w:rPr>
          <w:rFonts w:ascii="Arial" w:cs="Arial" w:eastAsia="Arial" w:hAnsi="Arial"/>
          <w:sz w:val="19"/>
          <w:szCs w:val="19"/>
          <w:color w:val="000000"/>
        </w:rPr>
        <w:t xml:space="preserve"> taking if </w:t>
      </w:r>
      <w:r>
        <w:rPr>
          <w:rFonts w:ascii="Arial" w:cs="Arial" w:eastAsia="Arial" w:hAnsi="Arial"/>
          <w:sz w:val="19"/>
          <w:szCs w:val="19"/>
          <w:color w:val="343434"/>
        </w:rPr>
        <w:t>such</w:t>
      </w:r>
      <w:r>
        <w:rPr>
          <w:rFonts w:ascii="Arial" w:cs="Arial" w:eastAsia="Arial" w:hAnsi="Arial"/>
          <w:sz w:val="19"/>
          <w:szCs w:val="19"/>
          <w:color w:val="000000"/>
        </w:rPr>
        <w:t xml:space="preserve"> </w:t>
      </w:r>
      <w:r>
        <w:rPr>
          <w:rFonts w:ascii="Arial" w:cs="Arial" w:eastAsia="Arial" w:hAnsi="Arial"/>
          <w:sz w:val="19"/>
          <w:szCs w:val="19"/>
          <w:color w:val="343434"/>
        </w:rPr>
        <w:t xml:space="preserve">taking </w:t>
      </w:r>
      <w:r>
        <w:rPr>
          <w:rFonts w:ascii="Arial" w:cs="Arial" w:eastAsia="Arial" w:hAnsi="Arial"/>
          <w:sz w:val="19"/>
          <w:szCs w:val="19"/>
          <w:color w:val="000000"/>
        </w:rPr>
        <w:t>is, in Landlord’s reasonable opinion,</w:t>
      </w:r>
      <w:r>
        <w:rPr>
          <w:rFonts w:ascii="Arial" w:cs="Arial" w:eastAsia="Arial" w:hAnsi="Arial"/>
          <w:sz w:val="19"/>
          <w:szCs w:val="19"/>
          <w:color w:val="343434"/>
        </w:rPr>
        <w:t xml:space="preserve"> of a </w:t>
      </w:r>
      <w:r>
        <w:rPr>
          <w:rFonts w:ascii="Arial" w:cs="Arial" w:eastAsia="Arial" w:hAnsi="Arial"/>
          <w:sz w:val="19"/>
          <w:szCs w:val="19"/>
          <w:color w:val="000000"/>
        </w:rPr>
        <w:t>material nature</w:t>
      </w:r>
      <w:r>
        <w:rPr>
          <w:rFonts w:ascii="Arial" w:cs="Arial" w:eastAsia="Arial" w:hAnsi="Arial"/>
          <w:sz w:val="19"/>
          <w:szCs w:val="19"/>
          <w:color w:val="343434"/>
        </w:rPr>
        <w:t xml:space="preserve"> such </w:t>
      </w:r>
      <w:r>
        <w:rPr>
          <w:rFonts w:ascii="Arial" w:cs="Arial" w:eastAsia="Arial" w:hAnsi="Arial"/>
          <w:sz w:val="19"/>
          <w:szCs w:val="19"/>
          <w:color w:val="000000"/>
        </w:rPr>
        <w:t>as to</w:t>
      </w:r>
      <w:r>
        <w:rPr>
          <w:rFonts w:ascii="Arial" w:cs="Arial" w:eastAsia="Arial" w:hAnsi="Arial"/>
          <w:sz w:val="19"/>
          <w:szCs w:val="19"/>
          <w:color w:val="343434"/>
        </w:rPr>
        <w:t xml:space="preserve"> make </w:t>
      </w:r>
      <w:r>
        <w:rPr>
          <w:rFonts w:ascii="Arial" w:cs="Arial" w:eastAsia="Arial" w:hAnsi="Arial"/>
          <w:sz w:val="19"/>
          <w:szCs w:val="19"/>
          <w:color w:val="000000"/>
        </w:rPr>
        <w:t>it uneconomical</w:t>
      </w:r>
      <w:r>
        <w:rPr>
          <w:rFonts w:ascii="Arial" w:cs="Arial" w:eastAsia="Arial" w:hAnsi="Arial"/>
          <w:sz w:val="19"/>
          <w:szCs w:val="19"/>
          <w:color w:val="343434"/>
        </w:rPr>
        <w:t xml:space="preserve"> to </w:t>
      </w:r>
      <w:r>
        <w:rPr>
          <w:rFonts w:ascii="Arial" w:cs="Arial" w:eastAsia="Arial" w:hAnsi="Arial"/>
          <w:sz w:val="19"/>
          <w:szCs w:val="19"/>
          <w:color w:val="000000"/>
        </w:rPr>
        <w:t>continue use</w:t>
      </w:r>
      <w:r>
        <w:rPr>
          <w:rFonts w:ascii="Arial" w:cs="Arial" w:eastAsia="Arial" w:hAnsi="Arial"/>
          <w:sz w:val="19"/>
          <w:szCs w:val="19"/>
          <w:color w:val="343434"/>
        </w:rPr>
        <w:t xml:space="preserve"> </w:t>
      </w:r>
      <w:r>
        <w:rPr>
          <w:rFonts w:ascii="Arial" w:cs="Arial" w:eastAsia="Arial" w:hAnsi="Arial"/>
          <w:sz w:val="19"/>
          <w:szCs w:val="19"/>
          <w:color w:val="000000"/>
        </w:rPr>
        <w:t xml:space="preserve">of the unappropriated portion for purposes of </w:t>
      </w:r>
      <w:r>
        <w:rPr>
          <w:rFonts w:ascii="Arial" w:cs="Arial" w:eastAsia="Arial" w:hAnsi="Arial"/>
          <w:sz w:val="19"/>
          <w:szCs w:val="19"/>
          <w:color w:val="343434"/>
        </w:rPr>
        <w:t>renting</w:t>
      </w:r>
      <w:r>
        <w:rPr>
          <w:rFonts w:ascii="Arial" w:cs="Arial" w:eastAsia="Arial" w:hAnsi="Arial"/>
          <w:sz w:val="19"/>
          <w:szCs w:val="19"/>
          <w:color w:val="000000"/>
        </w:rPr>
        <w:t xml:space="preserve"> office or </w:t>
      </w:r>
      <w:r>
        <w:rPr>
          <w:rFonts w:ascii="Arial" w:cs="Arial" w:eastAsia="Arial" w:hAnsi="Arial"/>
          <w:sz w:val="19"/>
          <w:szCs w:val="19"/>
          <w:color w:val="050505"/>
        </w:rPr>
        <w:t>laboratory</w:t>
      </w:r>
      <w:r>
        <w:rPr>
          <w:rFonts w:ascii="Arial" w:cs="Arial" w:eastAsia="Arial" w:hAnsi="Arial"/>
          <w:sz w:val="19"/>
          <w:szCs w:val="19"/>
          <w:color w:val="000000"/>
        </w:rPr>
        <w:t xml:space="preserve"> </w:t>
      </w:r>
      <w:r>
        <w:rPr>
          <w:rFonts w:ascii="Arial" w:cs="Arial" w:eastAsia="Arial" w:hAnsi="Arial"/>
          <w:sz w:val="19"/>
          <w:szCs w:val="19"/>
          <w:color w:val="343434"/>
        </w:rPr>
        <w:t>space and</w:t>
      </w:r>
      <w:r>
        <w:rPr>
          <w:rFonts w:ascii="Arial" w:cs="Arial" w:eastAsia="Arial" w:hAnsi="Arial"/>
          <w:sz w:val="19"/>
          <w:szCs w:val="19"/>
          <w:color w:val="000000"/>
        </w:rPr>
        <w:t xml:space="preserve"> Landlord </w:t>
      </w:r>
      <w:r>
        <w:rPr>
          <w:rFonts w:ascii="Arial" w:cs="Arial" w:eastAsia="Arial" w:hAnsi="Arial"/>
          <w:sz w:val="19"/>
          <w:szCs w:val="19"/>
          <w:color w:val="343434"/>
        </w:rPr>
        <w:t>terminates</w:t>
      </w:r>
      <w:r>
        <w:rPr>
          <w:rFonts w:ascii="Arial" w:cs="Arial" w:eastAsia="Arial" w:hAnsi="Arial"/>
          <w:sz w:val="19"/>
          <w:szCs w:val="19"/>
          <w:color w:val="000000"/>
        </w:rPr>
        <w:t xml:space="preserve"> all of the other </w:t>
      </w:r>
      <w:r>
        <w:rPr>
          <w:rFonts w:ascii="Arial" w:cs="Arial" w:eastAsia="Arial" w:hAnsi="Arial"/>
          <w:sz w:val="19"/>
          <w:szCs w:val="19"/>
          <w:color w:val="343434"/>
        </w:rPr>
        <w:t>leases</w:t>
      </w:r>
      <w:r>
        <w:rPr>
          <w:rFonts w:ascii="Arial" w:cs="Arial" w:eastAsia="Arial" w:hAnsi="Arial"/>
          <w:sz w:val="19"/>
          <w:szCs w:val="19"/>
          <w:color w:val="000000"/>
        </w:rPr>
        <w:t xml:space="preserve"> </w:t>
      </w:r>
      <w:r>
        <w:rPr>
          <w:rFonts w:ascii="Arial" w:cs="Arial" w:eastAsia="Arial" w:hAnsi="Arial"/>
          <w:sz w:val="19"/>
          <w:szCs w:val="19"/>
          <w:color w:val="050505"/>
        </w:rPr>
        <w:t>in</w:t>
      </w:r>
      <w:r>
        <w:rPr>
          <w:rFonts w:ascii="Arial" w:cs="Arial" w:eastAsia="Arial" w:hAnsi="Arial"/>
          <w:sz w:val="19"/>
          <w:szCs w:val="19"/>
          <w:color w:val="000000"/>
        </w:rPr>
        <w:t xml:space="preserve"> the Project </w:t>
      </w:r>
      <w:r>
        <w:rPr>
          <w:rFonts w:ascii="Arial" w:cs="Arial" w:eastAsia="Arial" w:hAnsi="Arial"/>
          <w:sz w:val="19"/>
          <w:szCs w:val="19"/>
          <w:color w:val="343434"/>
        </w:rPr>
        <w:t>s</w:t>
      </w:r>
      <w:r>
        <w:rPr>
          <w:rFonts w:ascii="Arial" w:cs="Arial" w:eastAsia="Arial" w:hAnsi="Arial"/>
          <w:sz w:val="19"/>
          <w:szCs w:val="19"/>
          <w:color w:val="050505"/>
        </w:rPr>
        <w:t>im</w:t>
      </w:r>
      <w:r>
        <w:rPr>
          <w:rFonts w:ascii="Arial" w:cs="Arial" w:eastAsia="Arial" w:hAnsi="Arial"/>
          <w:sz w:val="19"/>
          <w:szCs w:val="19"/>
          <w:color w:val="343434"/>
        </w:rPr>
        <w:t>i</w:t>
      </w:r>
      <w:r>
        <w:rPr>
          <w:rFonts w:ascii="Arial" w:cs="Arial" w:eastAsia="Arial" w:hAnsi="Arial"/>
          <w:sz w:val="19"/>
          <w:szCs w:val="19"/>
          <w:color w:val="050505"/>
        </w:rPr>
        <w:t>larly</w:t>
      </w:r>
      <w:r>
        <w:rPr>
          <w:rFonts w:ascii="Arial" w:cs="Arial" w:eastAsia="Arial" w:hAnsi="Arial"/>
          <w:sz w:val="19"/>
          <w:szCs w:val="19"/>
          <w:color w:val="000000"/>
        </w:rPr>
        <w:t xml:space="preserve"> </w:t>
      </w:r>
      <w:r>
        <w:rPr>
          <w:rFonts w:ascii="Arial" w:cs="Arial" w:eastAsia="Arial" w:hAnsi="Arial"/>
          <w:sz w:val="19"/>
          <w:szCs w:val="19"/>
          <w:color w:val="343434"/>
        </w:rPr>
        <w:t>affected.</w:t>
      </w:r>
    </w:p>
    <w:p>
      <w:pPr>
        <w:spacing w:after="0" w:line="160" w:lineRule="exact"/>
        <w:rPr>
          <w:rFonts w:ascii="Arial" w:cs="Arial" w:eastAsia="Arial" w:hAnsi="Arial"/>
          <w:sz w:val="22"/>
          <w:szCs w:val="22"/>
          <w:color w:val="auto"/>
        </w:rPr>
      </w:pPr>
    </w:p>
    <w:p>
      <w:pPr>
        <w:ind w:left="1300" w:right="20" w:hanging="648"/>
        <w:spacing w:after="0" w:line="268" w:lineRule="auto"/>
        <w:rPr>
          <w:rFonts w:ascii="Arial" w:cs="Arial" w:eastAsia="Arial" w:hAnsi="Arial"/>
          <w:sz w:val="22"/>
          <w:szCs w:val="22"/>
          <w:color w:val="auto"/>
        </w:rPr>
      </w:pPr>
      <w:r>
        <w:rPr>
          <w:rFonts w:ascii="Arial" w:cs="Arial" w:eastAsia="Arial" w:hAnsi="Arial"/>
          <w:sz w:val="19"/>
          <w:szCs w:val="19"/>
          <w:color w:val="auto"/>
        </w:rPr>
        <w:t xml:space="preserve">25.3 Tenant shall </w:t>
      </w:r>
      <w:r>
        <w:rPr>
          <w:rFonts w:ascii="Arial" w:cs="Arial" w:eastAsia="Arial" w:hAnsi="Arial"/>
          <w:sz w:val="19"/>
          <w:szCs w:val="19"/>
          <w:color w:val="0F0F0F"/>
        </w:rPr>
        <w:t>be entitled</w:t>
      </w:r>
      <w:r>
        <w:rPr>
          <w:rFonts w:ascii="Arial" w:cs="Arial" w:eastAsia="Arial" w:hAnsi="Arial"/>
          <w:sz w:val="19"/>
          <w:szCs w:val="19"/>
          <w:color w:val="auto"/>
        </w:rPr>
        <w:t xml:space="preserve"> </w:t>
      </w:r>
      <w:r>
        <w:rPr>
          <w:rFonts w:ascii="Arial" w:cs="Arial" w:eastAsia="Arial" w:hAnsi="Arial"/>
          <w:sz w:val="19"/>
          <w:szCs w:val="19"/>
          <w:color w:val="1F1F1F"/>
        </w:rPr>
        <w:t>to any</w:t>
      </w:r>
      <w:r>
        <w:rPr>
          <w:rFonts w:ascii="Arial" w:cs="Arial" w:eastAsia="Arial" w:hAnsi="Arial"/>
          <w:sz w:val="19"/>
          <w:szCs w:val="19"/>
          <w:color w:val="auto"/>
        </w:rPr>
        <w:t xml:space="preserve"> award that </w:t>
      </w:r>
      <w:r>
        <w:rPr>
          <w:rFonts w:ascii="Arial" w:cs="Arial" w:eastAsia="Arial" w:hAnsi="Arial"/>
          <w:sz w:val="19"/>
          <w:szCs w:val="19"/>
          <w:color w:val="1F1F1F"/>
        </w:rPr>
        <w:t>is</w:t>
      </w:r>
      <w:r>
        <w:rPr>
          <w:rFonts w:ascii="Arial" w:cs="Arial" w:eastAsia="Arial" w:hAnsi="Arial"/>
          <w:sz w:val="19"/>
          <w:szCs w:val="19"/>
          <w:color w:val="auto"/>
        </w:rPr>
        <w:t xml:space="preserve"> specifically </w:t>
      </w:r>
      <w:r>
        <w:rPr>
          <w:rFonts w:ascii="Arial" w:cs="Arial" w:eastAsia="Arial" w:hAnsi="Arial"/>
          <w:sz w:val="19"/>
          <w:szCs w:val="19"/>
          <w:color w:val="1F1F1F"/>
        </w:rPr>
        <w:t>awarded</w:t>
      </w:r>
      <w:r>
        <w:rPr>
          <w:rFonts w:ascii="Arial" w:cs="Arial" w:eastAsia="Arial" w:hAnsi="Arial"/>
          <w:sz w:val="19"/>
          <w:szCs w:val="19"/>
          <w:color w:val="auto"/>
        </w:rPr>
        <w:t xml:space="preserve"> as </w:t>
      </w:r>
      <w:r>
        <w:rPr>
          <w:rFonts w:ascii="Arial" w:cs="Arial" w:eastAsia="Arial" w:hAnsi="Arial"/>
          <w:sz w:val="19"/>
          <w:szCs w:val="19"/>
          <w:color w:val="1F1F1F"/>
        </w:rPr>
        <w:t>compensation for</w:t>
      </w:r>
      <w:r>
        <w:rPr>
          <w:rFonts w:ascii="Arial" w:cs="Arial" w:eastAsia="Arial" w:hAnsi="Arial"/>
          <w:sz w:val="19"/>
          <w:szCs w:val="19"/>
          <w:color w:val="auto"/>
        </w:rPr>
        <w:t xml:space="preserve"> </w:t>
      </w:r>
      <w:r>
        <w:rPr>
          <w:rFonts w:ascii="Arial" w:cs="Arial" w:eastAsia="Arial" w:hAnsi="Arial"/>
          <w:sz w:val="19"/>
          <w:szCs w:val="19"/>
          <w:color w:val="0F0F0F"/>
        </w:rPr>
        <w:t>(a)</w:t>
      </w:r>
      <w:r>
        <w:rPr>
          <w:rFonts w:ascii="Arial" w:cs="Arial" w:eastAsia="Arial" w:hAnsi="Arial"/>
          <w:sz w:val="19"/>
          <w:szCs w:val="19"/>
          <w:color w:val="auto"/>
        </w:rPr>
        <w:t xml:space="preserve"> the taking </w:t>
      </w:r>
      <w:r>
        <w:rPr>
          <w:rFonts w:ascii="Arial" w:cs="Arial" w:eastAsia="Arial" w:hAnsi="Arial"/>
          <w:sz w:val="19"/>
          <w:szCs w:val="19"/>
          <w:color w:val="1F1F1F"/>
        </w:rPr>
        <w:t>of</w:t>
      </w:r>
      <w:r>
        <w:rPr>
          <w:rFonts w:ascii="Arial" w:cs="Arial" w:eastAsia="Arial" w:hAnsi="Arial"/>
          <w:sz w:val="19"/>
          <w:szCs w:val="19"/>
          <w:color w:val="auto"/>
        </w:rPr>
        <w:t xml:space="preserve"> Tenant’s </w:t>
      </w:r>
      <w:r>
        <w:rPr>
          <w:rFonts w:ascii="Arial" w:cs="Arial" w:eastAsia="Arial" w:hAnsi="Arial"/>
          <w:sz w:val="19"/>
          <w:szCs w:val="19"/>
          <w:color w:val="1F1F1F"/>
        </w:rPr>
        <w:t xml:space="preserve">personal </w:t>
      </w:r>
      <w:r>
        <w:rPr>
          <w:rFonts w:ascii="Arial" w:cs="Arial" w:eastAsia="Arial" w:hAnsi="Arial"/>
          <w:sz w:val="19"/>
          <w:szCs w:val="19"/>
          <w:color w:val="000000"/>
        </w:rPr>
        <w:t>property</w:t>
      </w:r>
      <w:r>
        <w:rPr>
          <w:rFonts w:ascii="Arial" w:cs="Arial" w:eastAsia="Arial" w:hAnsi="Arial"/>
          <w:sz w:val="19"/>
          <w:szCs w:val="19"/>
          <w:color w:val="1F1F1F"/>
        </w:rPr>
        <w:t xml:space="preserve"> that </w:t>
      </w:r>
      <w:r>
        <w:rPr>
          <w:rFonts w:ascii="Arial" w:cs="Arial" w:eastAsia="Arial" w:hAnsi="Arial"/>
          <w:sz w:val="19"/>
          <w:szCs w:val="19"/>
          <w:color w:val="000000"/>
        </w:rPr>
        <w:t>was installed</w:t>
      </w:r>
      <w:r>
        <w:rPr>
          <w:rFonts w:ascii="Arial" w:cs="Arial" w:eastAsia="Arial" w:hAnsi="Arial"/>
          <w:sz w:val="19"/>
          <w:szCs w:val="19"/>
          <w:color w:val="1F1F1F"/>
        </w:rPr>
        <w:t xml:space="preserve"> at </w:t>
      </w:r>
      <w:r>
        <w:rPr>
          <w:rFonts w:ascii="Arial" w:cs="Arial" w:eastAsia="Arial" w:hAnsi="Arial"/>
          <w:sz w:val="19"/>
          <w:szCs w:val="19"/>
          <w:color w:val="000000"/>
        </w:rPr>
        <w:t>Tenant’s</w:t>
      </w:r>
      <w:r>
        <w:rPr>
          <w:rFonts w:ascii="Arial" w:cs="Arial" w:eastAsia="Arial" w:hAnsi="Arial"/>
          <w:sz w:val="19"/>
          <w:szCs w:val="19"/>
          <w:color w:val="1F1F1F"/>
        </w:rPr>
        <w:t xml:space="preserve"> expense </w:t>
      </w:r>
      <w:r>
        <w:rPr>
          <w:rFonts w:ascii="Arial" w:cs="Arial" w:eastAsia="Arial" w:hAnsi="Arial"/>
          <w:sz w:val="19"/>
          <w:szCs w:val="19"/>
          <w:color w:val="0F0F0F"/>
        </w:rPr>
        <w:t>and (b) the</w:t>
      </w:r>
      <w:r>
        <w:rPr>
          <w:rFonts w:ascii="Arial" w:cs="Arial" w:eastAsia="Arial" w:hAnsi="Arial"/>
          <w:sz w:val="19"/>
          <w:szCs w:val="19"/>
          <w:color w:val="1F1F1F"/>
        </w:rPr>
        <w:t xml:space="preserve"> </w:t>
      </w:r>
      <w:r>
        <w:rPr>
          <w:rFonts w:ascii="Arial" w:cs="Arial" w:eastAsia="Arial" w:hAnsi="Arial"/>
          <w:sz w:val="19"/>
          <w:szCs w:val="19"/>
          <w:color w:val="000000"/>
        </w:rPr>
        <w:t>costs</w:t>
      </w:r>
      <w:r>
        <w:rPr>
          <w:rFonts w:ascii="Arial" w:cs="Arial" w:eastAsia="Arial" w:hAnsi="Arial"/>
          <w:sz w:val="19"/>
          <w:szCs w:val="19"/>
          <w:color w:val="1F1F1F"/>
        </w:rPr>
        <w:t xml:space="preserve"> of Tenant </w:t>
      </w:r>
      <w:r>
        <w:rPr>
          <w:rFonts w:ascii="Arial" w:cs="Arial" w:eastAsia="Arial" w:hAnsi="Arial"/>
          <w:sz w:val="19"/>
          <w:szCs w:val="19"/>
          <w:color w:val="000000"/>
        </w:rPr>
        <w:t>moving to</w:t>
      </w:r>
      <w:r>
        <w:rPr>
          <w:rFonts w:ascii="Arial" w:cs="Arial" w:eastAsia="Arial" w:hAnsi="Arial"/>
          <w:sz w:val="19"/>
          <w:szCs w:val="19"/>
          <w:color w:val="1F1F1F"/>
        </w:rPr>
        <w:t xml:space="preserve"> a </w:t>
      </w:r>
      <w:r>
        <w:rPr>
          <w:rFonts w:ascii="Arial" w:cs="Arial" w:eastAsia="Arial" w:hAnsi="Arial"/>
          <w:sz w:val="19"/>
          <w:szCs w:val="19"/>
          <w:color w:val="0F0F0F"/>
        </w:rPr>
        <w:t>new</w:t>
      </w:r>
      <w:r>
        <w:rPr>
          <w:rFonts w:ascii="Arial" w:cs="Arial" w:eastAsia="Arial" w:hAnsi="Arial"/>
          <w:sz w:val="19"/>
          <w:szCs w:val="19"/>
          <w:color w:val="1F1F1F"/>
        </w:rPr>
        <w:t xml:space="preserve"> location. Except </w:t>
      </w:r>
      <w:r>
        <w:rPr>
          <w:rFonts w:ascii="Arial" w:cs="Arial" w:eastAsia="Arial" w:hAnsi="Arial"/>
          <w:sz w:val="19"/>
          <w:szCs w:val="19"/>
          <w:color w:val="000000"/>
        </w:rPr>
        <w:t>as set forth in</w:t>
      </w:r>
      <w:r>
        <w:rPr>
          <w:rFonts w:ascii="Arial" w:cs="Arial" w:eastAsia="Arial" w:hAnsi="Arial"/>
          <w:sz w:val="19"/>
          <w:szCs w:val="19"/>
          <w:color w:val="1F1F1F"/>
        </w:rPr>
        <w:t xml:space="preserve"> the previous </w:t>
      </w:r>
      <w:r>
        <w:rPr>
          <w:rFonts w:ascii="Arial" w:cs="Arial" w:eastAsia="Arial" w:hAnsi="Arial"/>
          <w:sz w:val="19"/>
          <w:szCs w:val="19"/>
          <w:color w:val="000000"/>
        </w:rPr>
        <w:t>sentence, any</w:t>
      </w:r>
      <w:r>
        <w:rPr>
          <w:rFonts w:ascii="Arial" w:cs="Arial" w:eastAsia="Arial" w:hAnsi="Arial"/>
          <w:sz w:val="19"/>
          <w:szCs w:val="19"/>
          <w:color w:val="1F1F1F"/>
        </w:rPr>
        <w:t xml:space="preserve"> award </w:t>
      </w:r>
      <w:r>
        <w:rPr>
          <w:rFonts w:ascii="Arial" w:cs="Arial" w:eastAsia="Arial" w:hAnsi="Arial"/>
          <w:sz w:val="19"/>
          <w:szCs w:val="19"/>
          <w:color w:val="000000"/>
        </w:rPr>
        <w:t>for such</w:t>
      </w:r>
      <w:r>
        <w:rPr>
          <w:rFonts w:ascii="Arial" w:cs="Arial" w:eastAsia="Arial" w:hAnsi="Arial"/>
          <w:sz w:val="19"/>
          <w:szCs w:val="19"/>
          <w:color w:val="1F1F1F"/>
        </w:rPr>
        <w:t xml:space="preserve"> taking </w:t>
      </w:r>
      <w:r>
        <w:rPr>
          <w:rFonts w:ascii="Arial" w:cs="Arial" w:eastAsia="Arial" w:hAnsi="Arial"/>
          <w:sz w:val="19"/>
          <w:szCs w:val="19"/>
          <w:color w:val="000000"/>
        </w:rPr>
        <w:t>shall</w:t>
      </w:r>
      <w:r>
        <w:rPr>
          <w:rFonts w:ascii="Arial" w:cs="Arial" w:eastAsia="Arial" w:hAnsi="Arial"/>
          <w:sz w:val="19"/>
          <w:szCs w:val="19"/>
          <w:color w:val="1F1F1F"/>
        </w:rPr>
        <w:t xml:space="preserve"> </w:t>
      </w:r>
      <w:r>
        <w:rPr>
          <w:rFonts w:ascii="Arial" w:cs="Arial" w:eastAsia="Arial" w:hAnsi="Arial"/>
          <w:sz w:val="19"/>
          <w:szCs w:val="19"/>
          <w:color w:val="0F0F0F"/>
        </w:rPr>
        <w:t>be</w:t>
      </w:r>
      <w:r>
        <w:rPr>
          <w:rFonts w:ascii="Arial" w:cs="Arial" w:eastAsia="Arial" w:hAnsi="Arial"/>
          <w:sz w:val="19"/>
          <w:szCs w:val="19"/>
          <w:color w:val="1F1F1F"/>
        </w:rPr>
        <w:t xml:space="preserve"> </w:t>
      </w:r>
      <w:r>
        <w:rPr>
          <w:rFonts w:ascii="Arial" w:cs="Arial" w:eastAsia="Arial" w:hAnsi="Arial"/>
          <w:sz w:val="19"/>
          <w:szCs w:val="19"/>
          <w:color w:val="000000"/>
        </w:rPr>
        <w:t>the property</w:t>
      </w:r>
      <w:r>
        <w:rPr>
          <w:rFonts w:ascii="Arial" w:cs="Arial" w:eastAsia="Arial" w:hAnsi="Arial"/>
          <w:sz w:val="19"/>
          <w:szCs w:val="19"/>
          <w:color w:val="1F1F1F"/>
        </w:rPr>
        <w:t xml:space="preserve"> of </w:t>
      </w:r>
      <w:r>
        <w:rPr>
          <w:rFonts w:ascii="Arial" w:cs="Arial" w:eastAsia="Arial" w:hAnsi="Arial"/>
          <w:sz w:val="19"/>
          <w:szCs w:val="19"/>
          <w:color w:val="0F0F0F"/>
        </w:rPr>
        <w:t>Landlord.</w:t>
      </w:r>
    </w:p>
    <w:p>
      <w:pPr>
        <w:spacing w:after="0" w:line="132" w:lineRule="exact"/>
        <w:rPr>
          <w:rFonts w:ascii="Arial" w:cs="Arial" w:eastAsia="Arial" w:hAnsi="Arial"/>
          <w:sz w:val="22"/>
          <w:szCs w:val="22"/>
          <w:color w:val="auto"/>
        </w:rPr>
      </w:pPr>
    </w:p>
    <w:p>
      <w:pPr>
        <w:ind w:left="1300" w:hanging="648"/>
        <w:spacing w:after="0" w:line="257" w:lineRule="auto"/>
        <w:rPr>
          <w:rFonts w:ascii="Arial" w:cs="Arial" w:eastAsia="Arial" w:hAnsi="Arial"/>
          <w:sz w:val="22"/>
          <w:szCs w:val="22"/>
          <w:color w:val="auto"/>
        </w:rPr>
      </w:pPr>
      <w:r>
        <w:rPr>
          <w:rFonts w:ascii="Arial" w:cs="Arial" w:eastAsia="Arial" w:hAnsi="Arial"/>
          <w:sz w:val="19"/>
          <w:szCs w:val="19"/>
          <w:color w:val="auto"/>
        </w:rPr>
        <w:t xml:space="preserve">25.4 If, upon </w:t>
      </w:r>
      <w:r>
        <w:rPr>
          <w:rFonts w:ascii="Arial" w:cs="Arial" w:eastAsia="Arial" w:hAnsi="Arial"/>
          <w:sz w:val="19"/>
          <w:szCs w:val="19"/>
          <w:color w:val="0F0F0F"/>
        </w:rPr>
        <w:t>any</w:t>
      </w:r>
      <w:r>
        <w:rPr>
          <w:rFonts w:ascii="Arial" w:cs="Arial" w:eastAsia="Arial" w:hAnsi="Arial"/>
          <w:sz w:val="19"/>
          <w:szCs w:val="19"/>
          <w:color w:val="auto"/>
        </w:rPr>
        <w:t xml:space="preserve"> taking of </w:t>
      </w:r>
      <w:r>
        <w:rPr>
          <w:rFonts w:ascii="Arial" w:cs="Arial" w:eastAsia="Arial" w:hAnsi="Arial"/>
          <w:sz w:val="19"/>
          <w:szCs w:val="19"/>
          <w:color w:val="2F2F2F"/>
        </w:rPr>
        <w:t>the</w:t>
      </w:r>
      <w:r>
        <w:rPr>
          <w:rFonts w:ascii="Arial" w:cs="Arial" w:eastAsia="Arial" w:hAnsi="Arial"/>
          <w:sz w:val="19"/>
          <w:szCs w:val="19"/>
          <w:color w:val="auto"/>
        </w:rPr>
        <w:t xml:space="preserve"> </w:t>
      </w:r>
      <w:r>
        <w:rPr>
          <w:rFonts w:ascii="Arial" w:cs="Arial" w:eastAsia="Arial" w:hAnsi="Arial"/>
          <w:sz w:val="19"/>
          <w:szCs w:val="19"/>
          <w:color w:val="0F0F0F"/>
        </w:rPr>
        <w:t>nature described</w:t>
      </w:r>
      <w:r>
        <w:rPr>
          <w:rFonts w:ascii="Arial" w:cs="Arial" w:eastAsia="Arial" w:hAnsi="Arial"/>
          <w:sz w:val="19"/>
          <w:szCs w:val="19"/>
          <w:color w:val="auto"/>
        </w:rPr>
        <w:t xml:space="preserve"> in </w:t>
      </w:r>
      <w:r>
        <w:rPr>
          <w:rFonts w:ascii="Arial" w:cs="Arial" w:eastAsia="Arial" w:hAnsi="Arial"/>
          <w:sz w:val="19"/>
          <w:szCs w:val="19"/>
          <w:color w:val="0F0F0F"/>
        </w:rPr>
        <w:t>this</w:t>
      </w:r>
      <w:r>
        <w:rPr>
          <w:rFonts w:ascii="Arial" w:cs="Arial" w:eastAsia="Arial" w:hAnsi="Arial"/>
          <w:sz w:val="19"/>
          <w:szCs w:val="19"/>
          <w:color w:val="auto"/>
        </w:rPr>
        <w:t xml:space="preserve"> </w:t>
      </w:r>
      <w:r>
        <w:rPr>
          <w:rFonts w:ascii="Arial" w:cs="Arial" w:eastAsia="Arial" w:hAnsi="Arial"/>
          <w:sz w:val="19"/>
          <w:szCs w:val="19"/>
          <w:color w:val="2F2F2F"/>
        </w:rPr>
        <w:t>Article,</w:t>
      </w:r>
      <w:r>
        <w:rPr>
          <w:rFonts w:ascii="Arial" w:cs="Arial" w:eastAsia="Arial" w:hAnsi="Arial"/>
          <w:sz w:val="19"/>
          <w:szCs w:val="19"/>
          <w:color w:val="auto"/>
        </w:rPr>
        <w:t xml:space="preserve"> </w:t>
      </w:r>
      <w:r>
        <w:rPr>
          <w:rFonts w:ascii="Arial" w:cs="Arial" w:eastAsia="Arial" w:hAnsi="Arial"/>
          <w:sz w:val="19"/>
          <w:szCs w:val="19"/>
          <w:color w:val="0F0F0F"/>
        </w:rPr>
        <w:t>this</w:t>
      </w:r>
      <w:r>
        <w:rPr>
          <w:rFonts w:ascii="Arial" w:cs="Arial" w:eastAsia="Arial" w:hAnsi="Arial"/>
          <w:sz w:val="19"/>
          <w:szCs w:val="19"/>
          <w:color w:val="auto"/>
        </w:rPr>
        <w:t xml:space="preserve"> Lease continues </w:t>
      </w:r>
      <w:r>
        <w:rPr>
          <w:rFonts w:ascii="Arial" w:cs="Arial" w:eastAsia="Arial" w:hAnsi="Arial"/>
          <w:sz w:val="19"/>
          <w:szCs w:val="19"/>
          <w:color w:val="0F0F0F"/>
        </w:rPr>
        <w:t>in</w:t>
      </w:r>
      <w:r>
        <w:rPr>
          <w:rFonts w:ascii="Arial" w:cs="Arial" w:eastAsia="Arial" w:hAnsi="Arial"/>
          <w:sz w:val="19"/>
          <w:szCs w:val="19"/>
          <w:color w:val="auto"/>
        </w:rPr>
        <w:t xml:space="preserve"> effect, then </w:t>
      </w:r>
      <w:r>
        <w:rPr>
          <w:rFonts w:ascii="Arial" w:cs="Arial" w:eastAsia="Arial" w:hAnsi="Arial"/>
          <w:sz w:val="19"/>
          <w:szCs w:val="19"/>
          <w:color w:val="0F0F0F"/>
        </w:rPr>
        <w:t>Landlord</w:t>
      </w:r>
      <w:r>
        <w:rPr>
          <w:rFonts w:ascii="Arial" w:cs="Arial" w:eastAsia="Arial" w:hAnsi="Arial"/>
          <w:sz w:val="19"/>
          <w:szCs w:val="19"/>
          <w:color w:val="auto"/>
        </w:rPr>
        <w:t xml:space="preserve"> </w:t>
      </w:r>
      <w:r>
        <w:rPr>
          <w:rFonts w:ascii="Arial" w:cs="Arial" w:eastAsia="Arial" w:hAnsi="Arial"/>
          <w:sz w:val="19"/>
          <w:szCs w:val="19"/>
          <w:color w:val="2F2F2F"/>
        </w:rPr>
        <w:t>shall</w:t>
      </w:r>
      <w:r>
        <w:rPr>
          <w:rFonts w:ascii="Arial" w:cs="Arial" w:eastAsia="Arial" w:hAnsi="Arial"/>
          <w:sz w:val="19"/>
          <w:szCs w:val="19"/>
          <w:color w:val="auto"/>
        </w:rPr>
        <w:t xml:space="preserve"> </w:t>
      </w:r>
      <w:r>
        <w:rPr>
          <w:rFonts w:ascii="Arial" w:cs="Arial" w:eastAsia="Arial" w:hAnsi="Arial"/>
          <w:sz w:val="19"/>
          <w:szCs w:val="19"/>
          <w:color w:val="0F0F0F"/>
        </w:rPr>
        <w:t xml:space="preserve">promptly </w:t>
      </w:r>
      <w:r>
        <w:rPr>
          <w:rFonts w:ascii="Arial" w:cs="Arial" w:eastAsia="Arial" w:hAnsi="Arial"/>
          <w:sz w:val="19"/>
          <w:szCs w:val="19"/>
          <w:color w:val="000000"/>
        </w:rPr>
        <w:t>proceed to</w:t>
      </w:r>
      <w:r>
        <w:rPr>
          <w:rFonts w:ascii="Arial" w:cs="Arial" w:eastAsia="Arial" w:hAnsi="Arial"/>
          <w:sz w:val="19"/>
          <w:szCs w:val="19"/>
          <w:color w:val="0F0F0F"/>
        </w:rPr>
        <w:t xml:space="preserve"> </w:t>
      </w:r>
      <w:r>
        <w:rPr>
          <w:rFonts w:ascii="Arial" w:cs="Arial" w:eastAsia="Arial" w:hAnsi="Arial"/>
          <w:sz w:val="19"/>
          <w:szCs w:val="19"/>
          <w:color w:val="2F2F2F"/>
        </w:rPr>
        <w:t>restore</w:t>
      </w:r>
      <w:r>
        <w:rPr>
          <w:rFonts w:ascii="Arial" w:cs="Arial" w:eastAsia="Arial" w:hAnsi="Arial"/>
          <w:sz w:val="19"/>
          <w:szCs w:val="19"/>
          <w:color w:val="0F0F0F"/>
        </w:rPr>
        <w:t xml:space="preserve"> </w:t>
      </w:r>
      <w:r>
        <w:rPr>
          <w:rFonts w:ascii="Arial" w:cs="Arial" w:eastAsia="Arial" w:hAnsi="Arial"/>
          <w:sz w:val="19"/>
          <w:szCs w:val="19"/>
          <w:color w:val="000000"/>
        </w:rPr>
        <w:t>the</w:t>
      </w:r>
      <w:r>
        <w:rPr>
          <w:rFonts w:ascii="Arial" w:cs="Arial" w:eastAsia="Arial" w:hAnsi="Arial"/>
          <w:sz w:val="19"/>
          <w:szCs w:val="19"/>
          <w:color w:val="0F0F0F"/>
        </w:rPr>
        <w:t xml:space="preserve"> </w:t>
      </w:r>
      <w:r>
        <w:rPr>
          <w:rFonts w:ascii="Arial" w:cs="Arial" w:eastAsia="Arial" w:hAnsi="Arial"/>
          <w:sz w:val="19"/>
          <w:szCs w:val="19"/>
          <w:color w:val="2F2F2F"/>
        </w:rPr>
        <w:t>Affected</w:t>
      </w:r>
      <w:r>
        <w:rPr>
          <w:rFonts w:ascii="Arial" w:cs="Arial" w:eastAsia="Arial" w:hAnsi="Arial"/>
          <w:sz w:val="19"/>
          <w:szCs w:val="19"/>
          <w:color w:val="0F0F0F"/>
        </w:rPr>
        <w:t xml:space="preserve"> </w:t>
      </w:r>
      <w:r>
        <w:rPr>
          <w:rFonts w:ascii="Arial" w:cs="Arial" w:eastAsia="Arial" w:hAnsi="Arial"/>
          <w:sz w:val="19"/>
          <w:szCs w:val="19"/>
          <w:color w:val="000000"/>
        </w:rPr>
        <w:t>Areas to</w:t>
      </w:r>
      <w:r>
        <w:rPr>
          <w:rFonts w:ascii="Arial" w:cs="Arial" w:eastAsia="Arial" w:hAnsi="Arial"/>
          <w:sz w:val="19"/>
          <w:szCs w:val="19"/>
          <w:color w:val="0F0F0F"/>
        </w:rPr>
        <w:t xml:space="preserve"> </w:t>
      </w:r>
      <w:r>
        <w:rPr>
          <w:rFonts w:ascii="Arial" w:cs="Arial" w:eastAsia="Arial" w:hAnsi="Arial"/>
          <w:sz w:val="19"/>
          <w:szCs w:val="19"/>
          <w:color w:val="2F2F2F"/>
        </w:rPr>
        <w:t>substantially</w:t>
      </w:r>
      <w:r>
        <w:rPr>
          <w:rFonts w:ascii="Arial" w:cs="Arial" w:eastAsia="Arial" w:hAnsi="Arial"/>
          <w:sz w:val="19"/>
          <w:szCs w:val="19"/>
          <w:color w:val="0F0F0F"/>
        </w:rPr>
        <w:t xml:space="preserve"> their </w:t>
      </w:r>
      <w:r>
        <w:rPr>
          <w:rFonts w:ascii="Arial" w:cs="Arial" w:eastAsia="Arial" w:hAnsi="Arial"/>
          <w:sz w:val="19"/>
          <w:szCs w:val="19"/>
          <w:color w:val="2F2F2F"/>
        </w:rPr>
        <w:t>same</w:t>
      </w:r>
      <w:r>
        <w:rPr>
          <w:rFonts w:ascii="Arial" w:cs="Arial" w:eastAsia="Arial" w:hAnsi="Arial"/>
          <w:sz w:val="19"/>
          <w:szCs w:val="19"/>
          <w:color w:val="0F0F0F"/>
        </w:rPr>
        <w:t xml:space="preserve"> </w:t>
      </w:r>
      <w:r>
        <w:rPr>
          <w:rFonts w:ascii="Arial" w:cs="Arial" w:eastAsia="Arial" w:hAnsi="Arial"/>
          <w:sz w:val="19"/>
          <w:szCs w:val="19"/>
          <w:color w:val="000000"/>
        </w:rPr>
        <w:t>condition prior to</w:t>
      </w:r>
      <w:r>
        <w:rPr>
          <w:rFonts w:ascii="Arial" w:cs="Arial" w:eastAsia="Arial" w:hAnsi="Arial"/>
          <w:sz w:val="19"/>
          <w:szCs w:val="19"/>
          <w:color w:val="0F0F0F"/>
        </w:rPr>
        <w:t xml:space="preserve"> </w:t>
      </w:r>
      <w:r>
        <w:rPr>
          <w:rFonts w:ascii="Arial" w:cs="Arial" w:eastAsia="Arial" w:hAnsi="Arial"/>
          <w:sz w:val="19"/>
          <w:szCs w:val="19"/>
          <w:color w:val="2F2F2F"/>
        </w:rPr>
        <w:t>such partial</w:t>
      </w:r>
      <w:r>
        <w:rPr>
          <w:rFonts w:ascii="Arial" w:cs="Arial" w:eastAsia="Arial" w:hAnsi="Arial"/>
          <w:sz w:val="19"/>
          <w:szCs w:val="19"/>
          <w:color w:val="0F0F0F"/>
        </w:rPr>
        <w:t xml:space="preserve"> </w:t>
      </w:r>
      <w:r>
        <w:rPr>
          <w:rFonts w:ascii="Arial" w:cs="Arial" w:eastAsia="Arial" w:hAnsi="Arial"/>
          <w:sz w:val="19"/>
          <w:szCs w:val="19"/>
          <w:color w:val="000000"/>
        </w:rPr>
        <w:t>taking.</w:t>
      </w:r>
      <w:r>
        <w:rPr>
          <w:rFonts w:ascii="Arial" w:cs="Arial" w:eastAsia="Arial" w:hAnsi="Arial"/>
          <w:sz w:val="19"/>
          <w:szCs w:val="19"/>
          <w:color w:val="0F0F0F"/>
        </w:rPr>
        <w:t xml:space="preserve"> </w:t>
      </w:r>
      <w:r>
        <w:rPr>
          <w:rFonts w:ascii="Arial" w:cs="Arial" w:eastAsia="Arial" w:hAnsi="Arial"/>
          <w:sz w:val="19"/>
          <w:szCs w:val="19"/>
          <w:color w:val="2F2F2F"/>
        </w:rPr>
        <w:t xml:space="preserve">To </w:t>
      </w:r>
      <w:r>
        <w:rPr>
          <w:rFonts w:ascii="Arial" w:cs="Arial" w:eastAsia="Arial" w:hAnsi="Arial"/>
          <w:sz w:val="19"/>
          <w:szCs w:val="19"/>
          <w:color w:val="0F0F0F"/>
        </w:rPr>
        <w:t>the</w:t>
      </w:r>
      <w:r>
        <w:rPr>
          <w:rFonts w:ascii="Arial" w:cs="Arial" w:eastAsia="Arial" w:hAnsi="Arial"/>
          <w:sz w:val="19"/>
          <w:szCs w:val="19"/>
          <w:color w:val="2F2F2F"/>
        </w:rPr>
        <w:t xml:space="preserve"> extent such </w:t>
      </w:r>
      <w:r>
        <w:rPr>
          <w:rFonts w:ascii="Arial" w:cs="Arial" w:eastAsia="Arial" w:hAnsi="Arial"/>
          <w:sz w:val="19"/>
          <w:szCs w:val="19"/>
          <w:color w:val="0F0F0F"/>
        </w:rPr>
        <w:t>restoration</w:t>
      </w:r>
      <w:r>
        <w:rPr>
          <w:rFonts w:ascii="Arial" w:cs="Arial" w:eastAsia="Arial" w:hAnsi="Arial"/>
          <w:sz w:val="19"/>
          <w:szCs w:val="19"/>
          <w:color w:val="2F2F2F"/>
        </w:rPr>
        <w:t xml:space="preserve"> </w:t>
      </w:r>
      <w:r>
        <w:rPr>
          <w:rFonts w:ascii="Arial" w:cs="Arial" w:eastAsia="Arial" w:hAnsi="Arial"/>
          <w:sz w:val="19"/>
          <w:szCs w:val="19"/>
          <w:color w:val="000000"/>
        </w:rPr>
        <w:t>is</w:t>
      </w:r>
      <w:r>
        <w:rPr>
          <w:rFonts w:ascii="Arial" w:cs="Arial" w:eastAsia="Arial" w:hAnsi="Arial"/>
          <w:sz w:val="19"/>
          <w:szCs w:val="19"/>
          <w:color w:val="2F2F2F"/>
        </w:rPr>
        <w:t xml:space="preserve"> </w:t>
      </w:r>
      <w:r>
        <w:rPr>
          <w:rFonts w:ascii="Arial" w:cs="Arial" w:eastAsia="Arial" w:hAnsi="Arial"/>
          <w:sz w:val="19"/>
          <w:szCs w:val="19"/>
          <w:color w:val="0F0F0F"/>
        </w:rPr>
        <w:t>infeasible,</w:t>
      </w:r>
      <w:r>
        <w:rPr>
          <w:rFonts w:ascii="Arial" w:cs="Arial" w:eastAsia="Arial" w:hAnsi="Arial"/>
          <w:sz w:val="19"/>
          <w:szCs w:val="19"/>
          <w:color w:val="2F2F2F"/>
        </w:rPr>
        <w:t xml:space="preserve"> as </w:t>
      </w:r>
      <w:r>
        <w:rPr>
          <w:rFonts w:ascii="Arial" w:cs="Arial" w:eastAsia="Arial" w:hAnsi="Arial"/>
          <w:sz w:val="19"/>
          <w:szCs w:val="19"/>
          <w:color w:val="000000"/>
        </w:rPr>
        <w:t>determ</w:t>
      </w:r>
      <w:r>
        <w:rPr>
          <w:rFonts w:ascii="Arial" w:cs="Arial" w:eastAsia="Arial" w:hAnsi="Arial"/>
          <w:sz w:val="19"/>
          <w:szCs w:val="19"/>
          <w:color w:val="484848"/>
        </w:rPr>
        <w:t>i</w:t>
      </w:r>
      <w:r>
        <w:rPr>
          <w:rFonts w:ascii="Arial" w:cs="Arial" w:eastAsia="Arial" w:hAnsi="Arial"/>
          <w:sz w:val="19"/>
          <w:szCs w:val="19"/>
          <w:color w:val="0F0F0F"/>
        </w:rPr>
        <w:t>n</w:t>
      </w:r>
      <w:r>
        <w:rPr>
          <w:rFonts w:ascii="Arial" w:cs="Arial" w:eastAsia="Arial" w:hAnsi="Arial"/>
          <w:sz w:val="19"/>
          <w:szCs w:val="19"/>
          <w:color w:val="2F2F2F"/>
        </w:rPr>
        <w:t xml:space="preserve">ed </w:t>
      </w:r>
      <w:r>
        <w:rPr>
          <w:rFonts w:ascii="Arial" w:cs="Arial" w:eastAsia="Arial" w:hAnsi="Arial"/>
          <w:sz w:val="19"/>
          <w:szCs w:val="19"/>
          <w:color w:val="000000"/>
        </w:rPr>
        <w:t>by Landlord in</w:t>
      </w:r>
      <w:r>
        <w:rPr>
          <w:rFonts w:ascii="Arial" w:cs="Arial" w:eastAsia="Arial" w:hAnsi="Arial"/>
          <w:sz w:val="19"/>
          <w:szCs w:val="19"/>
          <w:color w:val="2F2F2F"/>
        </w:rPr>
        <w:t xml:space="preserve"> </w:t>
      </w:r>
      <w:r>
        <w:rPr>
          <w:rFonts w:ascii="Arial" w:cs="Arial" w:eastAsia="Arial" w:hAnsi="Arial"/>
          <w:sz w:val="19"/>
          <w:szCs w:val="19"/>
          <w:color w:val="0F0F0F"/>
        </w:rPr>
        <w:t>its</w:t>
      </w:r>
      <w:r>
        <w:rPr>
          <w:rFonts w:ascii="Arial" w:cs="Arial" w:eastAsia="Arial" w:hAnsi="Arial"/>
          <w:sz w:val="19"/>
          <w:szCs w:val="19"/>
          <w:color w:val="2F2F2F"/>
        </w:rPr>
        <w:t xml:space="preserve"> reasonable </w:t>
      </w:r>
      <w:r>
        <w:rPr>
          <w:rFonts w:ascii="Arial" w:cs="Arial" w:eastAsia="Arial" w:hAnsi="Arial"/>
          <w:sz w:val="19"/>
          <w:szCs w:val="19"/>
          <w:color w:val="000000"/>
        </w:rPr>
        <w:t>d</w:t>
      </w:r>
      <w:r>
        <w:rPr>
          <w:rFonts w:ascii="Arial" w:cs="Arial" w:eastAsia="Arial" w:hAnsi="Arial"/>
          <w:sz w:val="19"/>
          <w:szCs w:val="19"/>
          <w:color w:val="484848"/>
        </w:rPr>
        <w:t>i</w:t>
      </w:r>
      <w:r>
        <w:rPr>
          <w:rFonts w:ascii="Arial" w:cs="Arial" w:eastAsia="Arial" w:hAnsi="Arial"/>
          <w:sz w:val="19"/>
          <w:szCs w:val="19"/>
          <w:color w:val="2F2F2F"/>
        </w:rPr>
        <w:t>scre</w:t>
      </w:r>
      <w:r>
        <w:rPr>
          <w:rFonts w:ascii="Arial" w:cs="Arial" w:eastAsia="Arial" w:hAnsi="Arial"/>
          <w:sz w:val="19"/>
          <w:szCs w:val="19"/>
          <w:color w:val="0F0F0F"/>
        </w:rPr>
        <w:t>ti</w:t>
      </w:r>
      <w:r>
        <w:rPr>
          <w:rFonts w:ascii="Arial" w:cs="Arial" w:eastAsia="Arial" w:hAnsi="Arial"/>
          <w:sz w:val="19"/>
          <w:szCs w:val="19"/>
          <w:color w:val="2F2F2F"/>
        </w:rPr>
        <w:t>on</w:t>
      </w:r>
      <w:r>
        <w:rPr>
          <w:rFonts w:ascii="Arial" w:cs="Arial" w:eastAsia="Arial" w:hAnsi="Arial"/>
          <w:sz w:val="19"/>
          <w:szCs w:val="19"/>
          <w:color w:val="484848"/>
        </w:rPr>
        <w:t>,</w:t>
      </w:r>
      <w:r>
        <w:rPr>
          <w:rFonts w:ascii="Arial" w:cs="Arial" w:eastAsia="Arial" w:hAnsi="Arial"/>
          <w:sz w:val="19"/>
          <w:szCs w:val="19"/>
          <w:color w:val="2F2F2F"/>
        </w:rPr>
        <w:t xml:space="preserve"> the </w:t>
      </w:r>
      <w:r>
        <w:rPr>
          <w:rFonts w:ascii="Arial" w:cs="Arial" w:eastAsia="Arial" w:hAnsi="Arial"/>
          <w:sz w:val="19"/>
          <w:szCs w:val="19"/>
          <w:color w:val="000000"/>
        </w:rPr>
        <w:t>Rent</w:t>
      </w:r>
      <w:r>
        <w:rPr>
          <w:rFonts w:ascii="Arial" w:cs="Arial" w:eastAsia="Arial" w:hAnsi="Arial"/>
          <w:sz w:val="19"/>
          <w:szCs w:val="19"/>
          <w:color w:val="2F2F2F"/>
        </w:rPr>
        <w:t xml:space="preserve"> shall </w:t>
      </w:r>
      <w:r>
        <w:rPr>
          <w:rFonts w:ascii="Arial" w:cs="Arial" w:eastAsia="Arial" w:hAnsi="Arial"/>
          <w:sz w:val="19"/>
          <w:szCs w:val="19"/>
          <w:color w:val="0F0F0F"/>
        </w:rPr>
        <w:t xml:space="preserve">be </w:t>
      </w:r>
      <w:r>
        <w:rPr>
          <w:rFonts w:ascii="Arial" w:cs="Arial" w:eastAsia="Arial" w:hAnsi="Arial"/>
          <w:sz w:val="19"/>
          <w:szCs w:val="19"/>
          <w:color w:val="000000"/>
        </w:rPr>
        <w:t>decreased</w:t>
      </w:r>
      <w:r>
        <w:rPr>
          <w:rFonts w:ascii="Arial" w:cs="Arial" w:eastAsia="Arial" w:hAnsi="Arial"/>
          <w:sz w:val="19"/>
          <w:szCs w:val="19"/>
          <w:color w:val="0F0F0F"/>
        </w:rPr>
        <w:t xml:space="preserve"> </w:t>
      </w:r>
      <w:r>
        <w:rPr>
          <w:rFonts w:ascii="Arial" w:cs="Arial" w:eastAsia="Arial" w:hAnsi="Arial"/>
          <w:sz w:val="19"/>
          <w:szCs w:val="19"/>
          <w:color w:val="2F2F2F"/>
        </w:rPr>
        <w:t>proportionately to</w:t>
      </w:r>
      <w:r>
        <w:rPr>
          <w:rFonts w:ascii="Arial" w:cs="Arial" w:eastAsia="Arial" w:hAnsi="Arial"/>
          <w:sz w:val="19"/>
          <w:szCs w:val="19"/>
          <w:color w:val="0F0F0F"/>
        </w:rPr>
        <w:t xml:space="preserve"> reflect </w:t>
      </w:r>
      <w:r>
        <w:rPr>
          <w:rFonts w:ascii="Arial" w:cs="Arial" w:eastAsia="Arial" w:hAnsi="Arial"/>
          <w:sz w:val="19"/>
          <w:szCs w:val="19"/>
          <w:color w:val="2F2F2F"/>
        </w:rPr>
        <w:t>the</w:t>
      </w:r>
      <w:r>
        <w:rPr>
          <w:rFonts w:ascii="Arial" w:cs="Arial" w:eastAsia="Arial" w:hAnsi="Arial"/>
          <w:sz w:val="19"/>
          <w:szCs w:val="19"/>
          <w:color w:val="0F0F0F"/>
        </w:rPr>
        <w:t xml:space="preserve"> loss </w:t>
      </w:r>
      <w:r>
        <w:rPr>
          <w:rFonts w:ascii="Arial" w:cs="Arial" w:eastAsia="Arial" w:hAnsi="Arial"/>
          <w:sz w:val="19"/>
          <w:szCs w:val="19"/>
          <w:color w:val="000000"/>
        </w:rPr>
        <w:t>of</w:t>
      </w:r>
      <w:r>
        <w:rPr>
          <w:rFonts w:ascii="Arial" w:cs="Arial" w:eastAsia="Arial" w:hAnsi="Arial"/>
          <w:sz w:val="19"/>
          <w:szCs w:val="19"/>
          <w:color w:val="0F0F0F"/>
        </w:rPr>
        <w:t xml:space="preserve"> any </w:t>
      </w:r>
      <w:r>
        <w:rPr>
          <w:rFonts w:ascii="Arial" w:cs="Arial" w:eastAsia="Arial" w:hAnsi="Arial"/>
          <w:sz w:val="19"/>
          <w:szCs w:val="19"/>
          <w:color w:val="000000"/>
        </w:rPr>
        <w:t>portion</w:t>
      </w:r>
      <w:r>
        <w:rPr>
          <w:rFonts w:ascii="Arial" w:cs="Arial" w:eastAsia="Arial" w:hAnsi="Arial"/>
          <w:sz w:val="19"/>
          <w:szCs w:val="19"/>
          <w:color w:val="0F0F0F"/>
        </w:rPr>
        <w:t xml:space="preserve"> </w:t>
      </w:r>
      <w:r>
        <w:rPr>
          <w:rFonts w:ascii="Arial" w:cs="Arial" w:eastAsia="Arial" w:hAnsi="Arial"/>
          <w:sz w:val="19"/>
          <w:szCs w:val="19"/>
          <w:color w:val="2F2F2F"/>
        </w:rPr>
        <w:t>of</w:t>
      </w:r>
      <w:r>
        <w:rPr>
          <w:rFonts w:ascii="Arial" w:cs="Arial" w:eastAsia="Arial" w:hAnsi="Arial"/>
          <w:sz w:val="19"/>
          <w:szCs w:val="19"/>
          <w:color w:val="0F0F0F"/>
        </w:rPr>
        <w:t xml:space="preserve"> </w:t>
      </w:r>
      <w:r>
        <w:rPr>
          <w:rFonts w:ascii="Arial" w:cs="Arial" w:eastAsia="Arial" w:hAnsi="Arial"/>
          <w:sz w:val="19"/>
          <w:szCs w:val="19"/>
          <w:color w:val="000000"/>
        </w:rPr>
        <w:t>the</w:t>
      </w:r>
      <w:r>
        <w:rPr>
          <w:rFonts w:ascii="Arial" w:cs="Arial" w:eastAsia="Arial" w:hAnsi="Arial"/>
          <w:sz w:val="19"/>
          <w:szCs w:val="19"/>
          <w:color w:val="0F0F0F"/>
        </w:rPr>
        <w:t xml:space="preserve"> </w:t>
      </w:r>
      <w:r>
        <w:rPr>
          <w:rFonts w:ascii="Arial" w:cs="Arial" w:eastAsia="Arial" w:hAnsi="Arial"/>
          <w:sz w:val="19"/>
          <w:szCs w:val="19"/>
          <w:color w:val="2F2F2F"/>
        </w:rPr>
        <w:t>Premises</w:t>
      </w:r>
      <w:r>
        <w:rPr>
          <w:rFonts w:ascii="Arial" w:cs="Arial" w:eastAsia="Arial" w:hAnsi="Arial"/>
          <w:sz w:val="19"/>
          <w:szCs w:val="19"/>
          <w:color w:val="0F0F0F"/>
        </w:rPr>
        <w:t xml:space="preserve"> </w:t>
      </w:r>
      <w:r>
        <w:rPr>
          <w:rFonts w:ascii="Arial" w:cs="Arial" w:eastAsia="Arial" w:hAnsi="Arial"/>
          <w:sz w:val="19"/>
          <w:szCs w:val="19"/>
          <w:color w:val="000000"/>
        </w:rPr>
        <w:t>no</w:t>
      </w:r>
      <w:r>
        <w:rPr>
          <w:rFonts w:ascii="Arial" w:cs="Arial" w:eastAsia="Arial" w:hAnsi="Arial"/>
          <w:sz w:val="19"/>
          <w:szCs w:val="19"/>
          <w:color w:val="0F0F0F"/>
        </w:rPr>
        <w:t xml:space="preserve"> longer </w:t>
      </w:r>
      <w:r>
        <w:rPr>
          <w:rFonts w:ascii="Arial" w:cs="Arial" w:eastAsia="Arial" w:hAnsi="Arial"/>
          <w:sz w:val="19"/>
          <w:szCs w:val="19"/>
          <w:color w:val="000000"/>
        </w:rPr>
        <w:t>available</w:t>
      </w:r>
      <w:r>
        <w:rPr>
          <w:rFonts w:ascii="Arial" w:cs="Arial" w:eastAsia="Arial" w:hAnsi="Arial"/>
          <w:sz w:val="19"/>
          <w:szCs w:val="19"/>
          <w:color w:val="0F0F0F"/>
        </w:rPr>
        <w:t xml:space="preserve"> to </w:t>
      </w:r>
      <w:r>
        <w:rPr>
          <w:rFonts w:ascii="Arial" w:cs="Arial" w:eastAsia="Arial" w:hAnsi="Arial"/>
          <w:sz w:val="19"/>
          <w:szCs w:val="19"/>
          <w:color w:val="2F2F2F"/>
        </w:rPr>
        <w:t>Tenant.</w:t>
      </w:r>
    </w:p>
    <w:p>
      <w:pPr>
        <w:spacing w:after="0" w:line="144" w:lineRule="exact"/>
        <w:rPr>
          <w:rFonts w:ascii="Arial" w:cs="Arial" w:eastAsia="Arial" w:hAnsi="Arial"/>
          <w:sz w:val="22"/>
          <w:szCs w:val="22"/>
          <w:color w:val="auto"/>
        </w:rPr>
      </w:pPr>
    </w:p>
    <w:p>
      <w:pPr>
        <w:ind w:left="660" w:hanging="652"/>
        <w:spacing w:after="0"/>
        <w:tabs>
          <w:tab w:leader="none" w:pos="660"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Surrender</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01" w:right="339" w:bottom="1440" w:gutter="0" w:footer="0" w:header="0"/>
        </w:sectPr>
      </w:pPr>
    </w:p>
    <w:bookmarkStart w:id="351" w:name="page352"/>
    <w:bookmarkEnd w:id="351"/>
    <w:p>
      <w:pPr>
        <w:jc w:val="both"/>
        <w:ind w:left="1300" w:hanging="647"/>
        <w:spacing w:after="0" w:line="246" w:lineRule="auto"/>
        <w:tabs>
          <w:tab w:leader="none" w:pos="128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19"/>
          <w:szCs w:val="19"/>
          <w:color w:val="2F2F2F"/>
        </w:rPr>
        <w:t xml:space="preserve">At </w:t>
      </w:r>
      <w:r>
        <w:rPr>
          <w:rFonts w:ascii="Arial" w:cs="Arial" w:eastAsia="Arial" w:hAnsi="Arial"/>
          <w:sz w:val="19"/>
          <w:szCs w:val="19"/>
          <w:color w:val="0F0F0F"/>
        </w:rPr>
        <w:t>least</w:t>
      </w:r>
      <w:r>
        <w:rPr>
          <w:rFonts w:ascii="Arial" w:cs="Arial" w:eastAsia="Arial" w:hAnsi="Arial"/>
          <w:sz w:val="19"/>
          <w:szCs w:val="19"/>
          <w:color w:val="2F2F2F"/>
        </w:rPr>
        <w:t xml:space="preserve"> </w:t>
      </w:r>
      <w:r>
        <w:rPr>
          <w:rFonts w:ascii="Arial" w:cs="Arial" w:eastAsia="Arial" w:hAnsi="Arial"/>
          <w:sz w:val="19"/>
          <w:szCs w:val="19"/>
          <w:u w:val="single" w:color="auto"/>
          <w:color w:val="000000"/>
        </w:rPr>
        <w:t>[***]</w:t>
      </w:r>
      <w:r>
        <w:rPr>
          <w:rFonts w:ascii="Arial" w:cs="Arial" w:eastAsia="Arial" w:hAnsi="Arial"/>
          <w:sz w:val="19"/>
          <w:szCs w:val="19"/>
          <w:color w:val="2F2F2F"/>
        </w:rPr>
        <w:t xml:space="preserve"> </w:t>
      </w:r>
      <w:r>
        <w:rPr>
          <w:rFonts w:ascii="Arial" w:cs="Arial" w:eastAsia="Arial" w:hAnsi="Arial"/>
          <w:sz w:val="19"/>
          <w:szCs w:val="19"/>
          <w:color w:val="0F0F0F"/>
        </w:rPr>
        <w:t>days</w:t>
      </w:r>
      <w:r>
        <w:rPr>
          <w:rFonts w:ascii="Arial" w:cs="Arial" w:eastAsia="Arial" w:hAnsi="Arial"/>
          <w:sz w:val="19"/>
          <w:szCs w:val="19"/>
          <w:color w:val="2F2F2F"/>
        </w:rPr>
        <w:t xml:space="preserve"> </w:t>
      </w:r>
      <w:r>
        <w:rPr>
          <w:rFonts w:ascii="Arial" w:cs="Arial" w:eastAsia="Arial" w:hAnsi="Arial"/>
          <w:sz w:val="19"/>
          <w:szCs w:val="19"/>
          <w:color w:val="000000"/>
        </w:rPr>
        <w:t>prior</w:t>
      </w:r>
      <w:r>
        <w:rPr>
          <w:rFonts w:ascii="Arial" w:cs="Arial" w:eastAsia="Arial" w:hAnsi="Arial"/>
          <w:sz w:val="19"/>
          <w:szCs w:val="19"/>
          <w:color w:val="2F2F2F"/>
        </w:rPr>
        <w:t xml:space="preserve"> </w:t>
      </w:r>
      <w:r>
        <w:rPr>
          <w:rFonts w:ascii="Arial" w:cs="Arial" w:eastAsia="Arial" w:hAnsi="Arial"/>
          <w:sz w:val="19"/>
          <w:szCs w:val="19"/>
          <w:color w:val="0F0F0F"/>
        </w:rPr>
        <w:t>to</w:t>
      </w:r>
      <w:r>
        <w:rPr>
          <w:rFonts w:ascii="Arial" w:cs="Arial" w:eastAsia="Arial" w:hAnsi="Arial"/>
          <w:sz w:val="19"/>
          <w:szCs w:val="19"/>
          <w:color w:val="2F2F2F"/>
        </w:rPr>
        <w:t xml:space="preserve"> Tenant’s surrender of </w:t>
      </w:r>
      <w:r>
        <w:rPr>
          <w:rFonts w:ascii="Arial" w:cs="Arial" w:eastAsia="Arial" w:hAnsi="Arial"/>
          <w:sz w:val="19"/>
          <w:szCs w:val="19"/>
          <w:color w:val="000000"/>
        </w:rPr>
        <w:t>possession of</w:t>
      </w:r>
      <w:r>
        <w:rPr>
          <w:rFonts w:ascii="Arial" w:cs="Arial" w:eastAsia="Arial" w:hAnsi="Arial"/>
          <w:sz w:val="19"/>
          <w:szCs w:val="19"/>
          <w:color w:val="2F2F2F"/>
        </w:rPr>
        <w:t xml:space="preserve"> any </w:t>
      </w:r>
      <w:r>
        <w:rPr>
          <w:rFonts w:ascii="Arial" w:cs="Arial" w:eastAsia="Arial" w:hAnsi="Arial"/>
          <w:sz w:val="19"/>
          <w:szCs w:val="19"/>
          <w:color w:val="000000"/>
        </w:rPr>
        <w:t>part of the Premises,</w:t>
      </w:r>
      <w:r>
        <w:rPr>
          <w:rFonts w:ascii="Arial" w:cs="Arial" w:eastAsia="Arial" w:hAnsi="Arial"/>
          <w:sz w:val="19"/>
          <w:szCs w:val="19"/>
          <w:color w:val="2F2F2F"/>
        </w:rPr>
        <w:t xml:space="preserve"> </w:t>
      </w:r>
      <w:r>
        <w:rPr>
          <w:rFonts w:ascii="Arial" w:cs="Arial" w:eastAsia="Arial" w:hAnsi="Arial"/>
          <w:sz w:val="19"/>
          <w:szCs w:val="19"/>
          <w:color w:val="0F0F0F"/>
        </w:rPr>
        <w:t>if</w:t>
      </w:r>
      <w:r>
        <w:rPr>
          <w:rFonts w:ascii="Arial" w:cs="Arial" w:eastAsia="Arial" w:hAnsi="Arial"/>
          <w:sz w:val="19"/>
          <w:szCs w:val="19"/>
          <w:color w:val="2F2F2F"/>
        </w:rPr>
        <w:t xml:space="preserve"> </w:t>
      </w:r>
      <w:r>
        <w:rPr>
          <w:rFonts w:ascii="Arial" w:cs="Arial" w:eastAsia="Arial" w:hAnsi="Arial"/>
          <w:sz w:val="19"/>
          <w:szCs w:val="19"/>
          <w:color w:val="000000"/>
        </w:rPr>
        <w:t>the</w:t>
      </w:r>
      <w:r>
        <w:rPr>
          <w:rFonts w:ascii="Arial" w:cs="Arial" w:eastAsia="Arial" w:hAnsi="Arial"/>
          <w:sz w:val="19"/>
          <w:szCs w:val="19"/>
          <w:color w:val="2F2F2F"/>
        </w:rPr>
        <w:t xml:space="preserve"> </w:t>
      </w:r>
      <w:r>
        <w:rPr>
          <w:rFonts w:ascii="Arial" w:cs="Arial" w:eastAsia="Arial" w:hAnsi="Arial"/>
          <w:sz w:val="19"/>
          <w:szCs w:val="19"/>
          <w:color w:val="0F0F0F"/>
        </w:rPr>
        <w:t>Permitted</w:t>
      </w:r>
      <w:r>
        <w:rPr>
          <w:rFonts w:ascii="Arial" w:cs="Arial" w:eastAsia="Arial" w:hAnsi="Arial"/>
          <w:sz w:val="19"/>
          <w:szCs w:val="19"/>
          <w:color w:val="2F2F2F"/>
        </w:rPr>
        <w:t xml:space="preserve"> </w:t>
      </w:r>
      <w:r>
        <w:rPr>
          <w:rFonts w:ascii="Arial" w:cs="Arial" w:eastAsia="Arial" w:hAnsi="Arial"/>
          <w:sz w:val="19"/>
          <w:szCs w:val="19"/>
          <w:color w:val="000000"/>
        </w:rPr>
        <w:t>Use</w:t>
      </w:r>
      <w:r>
        <w:rPr>
          <w:rFonts w:ascii="Arial" w:cs="Arial" w:eastAsia="Arial" w:hAnsi="Arial"/>
          <w:sz w:val="19"/>
          <w:szCs w:val="19"/>
          <w:color w:val="2F2F2F"/>
        </w:rPr>
        <w:t xml:space="preserve"> </w:t>
      </w:r>
      <w:r>
        <w:rPr>
          <w:rFonts w:ascii="Arial" w:cs="Arial" w:eastAsia="Arial" w:hAnsi="Arial"/>
          <w:sz w:val="19"/>
          <w:szCs w:val="19"/>
          <w:color w:val="0F0F0F"/>
        </w:rPr>
        <w:t>is</w:t>
      </w:r>
      <w:r>
        <w:rPr>
          <w:rFonts w:ascii="Arial" w:cs="Arial" w:eastAsia="Arial" w:hAnsi="Arial"/>
          <w:sz w:val="19"/>
          <w:szCs w:val="19"/>
          <w:color w:val="2F2F2F"/>
        </w:rPr>
        <w:t xml:space="preserve"> </w:t>
      </w:r>
      <w:r>
        <w:rPr>
          <w:rFonts w:ascii="Arial" w:cs="Arial" w:eastAsia="Arial" w:hAnsi="Arial"/>
          <w:sz w:val="19"/>
          <w:szCs w:val="19"/>
          <w:color w:val="000000"/>
        </w:rPr>
        <w:t>for</w:t>
      </w:r>
      <w:r>
        <w:rPr>
          <w:rFonts w:ascii="Arial" w:cs="Arial" w:eastAsia="Arial" w:hAnsi="Arial"/>
          <w:sz w:val="19"/>
          <w:szCs w:val="19"/>
          <w:color w:val="2F2F2F"/>
        </w:rPr>
        <w:t xml:space="preserve"> </w:t>
      </w:r>
      <w:r>
        <w:rPr>
          <w:rFonts w:ascii="Arial" w:cs="Arial" w:eastAsia="Arial" w:hAnsi="Arial"/>
          <w:sz w:val="19"/>
          <w:szCs w:val="19"/>
          <w:color w:val="000000"/>
        </w:rPr>
        <w:t>other than office use</w:t>
      </w:r>
      <w:r>
        <w:rPr>
          <w:rFonts w:ascii="Arial" w:cs="Arial" w:eastAsia="Arial" w:hAnsi="Arial"/>
          <w:sz w:val="19"/>
          <w:szCs w:val="19"/>
          <w:color w:val="484848"/>
        </w:rPr>
        <w:t>,</w:t>
      </w:r>
      <w:r>
        <w:rPr>
          <w:rFonts w:ascii="Arial" w:cs="Arial" w:eastAsia="Arial" w:hAnsi="Arial"/>
          <w:sz w:val="19"/>
          <w:szCs w:val="19"/>
          <w:color w:val="000000"/>
        </w:rPr>
        <w:t xml:space="preserve"> </w:t>
      </w:r>
      <w:r>
        <w:rPr>
          <w:rFonts w:ascii="Arial" w:cs="Arial" w:eastAsia="Arial" w:hAnsi="Arial"/>
          <w:sz w:val="19"/>
          <w:szCs w:val="19"/>
          <w:color w:val="2F2F2F"/>
        </w:rPr>
        <w:t>Tenant shall provide</w:t>
      </w:r>
      <w:r>
        <w:rPr>
          <w:rFonts w:ascii="Arial" w:cs="Arial" w:eastAsia="Arial" w:hAnsi="Arial"/>
          <w:sz w:val="19"/>
          <w:szCs w:val="19"/>
          <w:color w:val="000000"/>
        </w:rPr>
        <w:t xml:space="preserve"> </w:t>
      </w:r>
      <w:r>
        <w:rPr>
          <w:rFonts w:ascii="Arial" w:cs="Arial" w:eastAsia="Arial" w:hAnsi="Arial"/>
          <w:sz w:val="19"/>
          <w:szCs w:val="19"/>
          <w:color w:val="0F0F0F"/>
        </w:rPr>
        <w:t>Landlord</w:t>
      </w:r>
      <w:r>
        <w:rPr>
          <w:rFonts w:ascii="Arial" w:cs="Arial" w:eastAsia="Arial" w:hAnsi="Arial"/>
          <w:sz w:val="19"/>
          <w:szCs w:val="19"/>
          <w:color w:val="000000"/>
        </w:rPr>
        <w:t xml:space="preserve"> with </w:t>
      </w:r>
      <w:r>
        <w:rPr>
          <w:rFonts w:ascii="Arial" w:cs="Arial" w:eastAsia="Arial" w:hAnsi="Arial"/>
          <w:sz w:val="19"/>
          <w:szCs w:val="19"/>
          <w:color w:val="2F2F2F"/>
        </w:rPr>
        <w:t>(a)</w:t>
      </w:r>
      <w:r>
        <w:rPr>
          <w:rFonts w:ascii="Arial" w:cs="Arial" w:eastAsia="Arial" w:hAnsi="Arial"/>
          <w:sz w:val="19"/>
          <w:szCs w:val="19"/>
          <w:color w:val="000000"/>
        </w:rPr>
        <w:t xml:space="preserve"> a facility decomm</w:t>
      </w:r>
      <w:r>
        <w:rPr>
          <w:rFonts w:ascii="Arial" w:cs="Arial" w:eastAsia="Arial" w:hAnsi="Arial"/>
          <w:sz w:val="19"/>
          <w:szCs w:val="19"/>
          <w:color w:val="484848"/>
        </w:rPr>
        <w:t>i</w:t>
      </w:r>
      <w:r>
        <w:rPr>
          <w:rFonts w:ascii="Arial" w:cs="Arial" w:eastAsia="Arial" w:hAnsi="Arial"/>
          <w:sz w:val="19"/>
          <w:szCs w:val="19"/>
          <w:color w:val="2F2F2F"/>
        </w:rPr>
        <w:t>ssio</w:t>
      </w:r>
      <w:r>
        <w:rPr>
          <w:rFonts w:ascii="Arial" w:cs="Arial" w:eastAsia="Arial" w:hAnsi="Arial"/>
          <w:sz w:val="19"/>
          <w:szCs w:val="19"/>
          <w:color w:val="0F0F0F"/>
        </w:rPr>
        <w:t>ning</w:t>
      </w:r>
      <w:r>
        <w:rPr>
          <w:rFonts w:ascii="Arial" w:cs="Arial" w:eastAsia="Arial" w:hAnsi="Arial"/>
          <w:sz w:val="19"/>
          <w:szCs w:val="19"/>
          <w:color w:val="000000"/>
        </w:rPr>
        <w:t xml:space="preserve"> and </w:t>
      </w:r>
      <w:r>
        <w:rPr>
          <w:rFonts w:ascii="Arial" w:cs="Arial" w:eastAsia="Arial" w:hAnsi="Arial"/>
          <w:sz w:val="19"/>
          <w:szCs w:val="19"/>
          <w:color w:val="0F0F0F"/>
        </w:rPr>
        <w:t>Hazardous</w:t>
      </w:r>
      <w:r>
        <w:rPr>
          <w:rFonts w:ascii="Arial" w:cs="Arial" w:eastAsia="Arial" w:hAnsi="Arial"/>
          <w:sz w:val="19"/>
          <w:szCs w:val="19"/>
          <w:color w:val="000000"/>
        </w:rPr>
        <w:t xml:space="preserve"> Materials closure plan </w:t>
      </w:r>
      <w:r>
        <w:rPr>
          <w:rFonts w:ascii="Arial" w:cs="Arial" w:eastAsia="Arial" w:hAnsi="Arial"/>
          <w:sz w:val="19"/>
          <w:szCs w:val="19"/>
          <w:color w:val="2F2F2F"/>
        </w:rPr>
        <w:t>for</w:t>
      </w:r>
      <w:r>
        <w:rPr>
          <w:rFonts w:ascii="Arial" w:cs="Arial" w:eastAsia="Arial" w:hAnsi="Arial"/>
          <w:sz w:val="19"/>
          <w:szCs w:val="19"/>
          <w:color w:val="000000"/>
        </w:rPr>
        <w:t xml:space="preserve"> </w:t>
      </w:r>
      <w:r>
        <w:rPr>
          <w:rFonts w:ascii="Arial" w:cs="Arial" w:eastAsia="Arial" w:hAnsi="Arial"/>
          <w:sz w:val="19"/>
          <w:szCs w:val="19"/>
          <w:color w:val="0F0F0F"/>
        </w:rPr>
        <w:t>the</w:t>
      </w:r>
      <w:r>
        <w:rPr>
          <w:rFonts w:ascii="Arial" w:cs="Arial" w:eastAsia="Arial" w:hAnsi="Arial"/>
          <w:sz w:val="19"/>
          <w:szCs w:val="19"/>
          <w:color w:val="000000"/>
        </w:rPr>
        <w:t xml:space="preserve"> </w:t>
      </w:r>
      <w:r>
        <w:rPr>
          <w:rFonts w:ascii="Arial" w:cs="Arial" w:eastAsia="Arial" w:hAnsi="Arial"/>
          <w:sz w:val="19"/>
          <w:szCs w:val="19"/>
          <w:color w:val="2F2F2F"/>
        </w:rPr>
        <w:t>Premises</w:t>
      </w:r>
      <w:r>
        <w:rPr>
          <w:rFonts w:ascii="Arial" w:cs="Arial" w:eastAsia="Arial" w:hAnsi="Arial"/>
          <w:sz w:val="19"/>
          <w:szCs w:val="19"/>
          <w:color w:val="000000"/>
        </w:rPr>
        <w:t xml:space="preserve"> </w:t>
      </w:r>
      <w:r>
        <w:rPr>
          <w:rFonts w:ascii="Arial" w:cs="Arial" w:eastAsia="Arial" w:hAnsi="Arial"/>
          <w:sz w:val="19"/>
          <w:szCs w:val="19"/>
          <w:color w:val="0F0F0F"/>
        </w:rPr>
        <w:t>(“</w:t>
      </w:r>
      <w:r>
        <w:rPr>
          <w:rFonts w:ascii="Arial" w:cs="Arial" w:eastAsia="Arial" w:hAnsi="Arial"/>
          <w:sz w:val="19"/>
          <w:szCs w:val="19"/>
          <w:u w:val="single" w:color="auto"/>
          <w:color w:val="0F0F0F"/>
        </w:rPr>
        <w:t>Exit</w:t>
      </w:r>
      <w:r>
        <w:rPr>
          <w:rFonts w:ascii="Arial" w:cs="Arial" w:eastAsia="Arial" w:hAnsi="Arial"/>
          <w:sz w:val="19"/>
          <w:szCs w:val="19"/>
          <w:color w:val="000000"/>
        </w:rPr>
        <w:t xml:space="preserve"> </w:t>
      </w:r>
      <w:r>
        <w:rPr>
          <w:rFonts w:ascii="Arial" w:cs="Arial" w:eastAsia="Arial" w:hAnsi="Arial"/>
          <w:sz w:val="19"/>
          <w:szCs w:val="19"/>
          <w:u w:val="single" w:color="auto"/>
          <w:color w:val="2F2F2F"/>
        </w:rPr>
        <w:t>Survey</w:t>
      </w:r>
      <w:r>
        <w:rPr>
          <w:rFonts w:ascii="Arial" w:cs="Arial" w:eastAsia="Arial" w:hAnsi="Arial"/>
          <w:sz w:val="19"/>
          <w:szCs w:val="19"/>
          <w:color w:val="2F2F2F"/>
        </w:rPr>
        <w:t>”)</w:t>
      </w:r>
      <w:r>
        <w:rPr>
          <w:rFonts w:ascii="Arial" w:cs="Arial" w:eastAsia="Arial" w:hAnsi="Arial"/>
          <w:sz w:val="19"/>
          <w:szCs w:val="19"/>
          <w:color w:val="000000"/>
        </w:rPr>
        <w:t xml:space="preserve"> </w:t>
      </w:r>
      <w:r>
        <w:rPr>
          <w:rFonts w:ascii="Arial" w:cs="Arial" w:eastAsia="Arial" w:hAnsi="Arial"/>
          <w:sz w:val="19"/>
          <w:szCs w:val="19"/>
          <w:color w:val="0F0F0F"/>
        </w:rPr>
        <w:t>prepared by</w:t>
      </w:r>
      <w:r>
        <w:rPr>
          <w:rFonts w:ascii="Arial" w:cs="Arial" w:eastAsia="Arial" w:hAnsi="Arial"/>
          <w:sz w:val="19"/>
          <w:szCs w:val="19"/>
          <w:color w:val="000000"/>
        </w:rPr>
        <w:t xml:space="preserve"> </w:t>
      </w:r>
      <w:r>
        <w:rPr>
          <w:rFonts w:ascii="Arial" w:cs="Arial" w:eastAsia="Arial" w:hAnsi="Arial"/>
          <w:sz w:val="19"/>
          <w:szCs w:val="19"/>
          <w:color w:val="2F2F2F"/>
        </w:rPr>
        <w:t>an</w:t>
      </w:r>
      <w:r>
        <w:rPr>
          <w:rFonts w:ascii="Arial" w:cs="Arial" w:eastAsia="Arial" w:hAnsi="Arial"/>
          <w:sz w:val="19"/>
          <w:szCs w:val="19"/>
          <w:color w:val="000000"/>
        </w:rPr>
        <w:t xml:space="preserve"> </w:t>
      </w:r>
      <w:r>
        <w:rPr>
          <w:rFonts w:ascii="Arial" w:cs="Arial" w:eastAsia="Arial" w:hAnsi="Arial"/>
          <w:sz w:val="19"/>
          <w:szCs w:val="19"/>
          <w:color w:val="0F0F0F"/>
        </w:rPr>
        <w:t>independent</w:t>
      </w:r>
      <w:r>
        <w:rPr>
          <w:rFonts w:ascii="Arial" w:cs="Arial" w:eastAsia="Arial" w:hAnsi="Arial"/>
          <w:sz w:val="19"/>
          <w:szCs w:val="19"/>
          <w:color w:val="000000"/>
        </w:rPr>
        <w:t xml:space="preserve"> </w:t>
      </w:r>
      <w:r>
        <w:rPr>
          <w:rFonts w:ascii="Arial" w:cs="Arial" w:eastAsia="Arial" w:hAnsi="Arial"/>
          <w:sz w:val="19"/>
          <w:szCs w:val="19"/>
          <w:color w:val="2F2F2F"/>
        </w:rPr>
        <w:t>third party</w:t>
      </w:r>
      <w:r>
        <w:rPr>
          <w:rFonts w:ascii="Arial" w:cs="Arial" w:eastAsia="Arial" w:hAnsi="Arial"/>
          <w:sz w:val="19"/>
          <w:szCs w:val="19"/>
          <w:color w:val="000000"/>
        </w:rPr>
        <w:t xml:space="preserve"> </w:t>
      </w:r>
      <w:r>
        <w:rPr>
          <w:rFonts w:ascii="Arial" w:cs="Arial" w:eastAsia="Arial" w:hAnsi="Arial"/>
          <w:sz w:val="19"/>
          <w:szCs w:val="19"/>
          <w:color w:val="0F0F0F"/>
        </w:rPr>
        <w:t>reasonably</w:t>
      </w:r>
      <w:r>
        <w:rPr>
          <w:rFonts w:ascii="Arial" w:cs="Arial" w:eastAsia="Arial" w:hAnsi="Arial"/>
          <w:sz w:val="19"/>
          <w:szCs w:val="19"/>
          <w:color w:val="000000"/>
        </w:rPr>
        <w:t xml:space="preserve"> acceptable </w:t>
      </w:r>
      <w:r>
        <w:rPr>
          <w:rFonts w:ascii="Arial" w:cs="Arial" w:eastAsia="Arial" w:hAnsi="Arial"/>
          <w:sz w:val="19"/>
          <w:szCs w:val="19"/>
          <w:color w:val="0F0F0F"/>
        </w:rPr>
        <w:t>to</w:t>
      </w:r>
      <w:r>
        <w:rPr>
          <w:rFonts w:ascii="Arial" w:cs="Arial" w:eastAsia="Arial" w:hAnsi="Arial"/>
          <w:sz w:val="19"/>
          <w:szCs w:val="19"/>
          <w:color w:val="000000"/>
        </w:rPr>
        <w:t xml:space="preserve"> Landlord, and </w:t>
      </w:r>
      <w:r>
        <w:rPr>
          <w:rFonts w:ascii="Arial" w:cs="Arial" w:eastAsia="Arial" w:hAnsi="Arial"/>
          <w:sz w:val="19"/>
          <w:szCs w:val="19"/>
          <w:color w:val="0F0F0F"/>
        </w:rPr>
        <w:t>(b)</w:t>
      </w:r>
      <w:r>
        <w:rPr>
          <w:rFonts w:ascii="Arial" w:cs="Arial" w:eastAsia="Arial" w:hAnsi="Arial"/>
          <w:sz w:val="19"/>
          <w:szCs w:val="19"/>
          <w:color w:val="000000"/>
        </w:rPr>
        <w:t xml:space="preserve"> written evidence of all </w:t>
      </w:r>
      <w:r>
        <w:rPr>
          <w:rFonts w:ascii="Arial" w:cs="Arial" w:eastAsia="Arial" w:hAnsi="Arial"/>
          <w:sz w:val="19"/>
          <w:szCs w:val="19"/>
          <w:color w:val="2F2F2F"/>
        </w:rPr>
        <w:t>appropriate governmental releases obtained</w:t>
      </w:r>
      <w:r>
        <w:rPr>
          <w:rFonts w:ascii="Arial" w:cs="Arial" w:eastAsia="Arial" w:hAnsi="Arial"/>
          <w:sz w:val="19"/>
          <w:szCs w:val="19"/>
          <w:color w:val="000000"/>
        </w:rPr>
        <w:t xml:space="preserve"> </w:t>
      </w:r>
      <w:r>
        <w:rPr>
          <w:rFonts w:ascii="Arial" w:cs="Arial" w:eastAsia="Arial" w:hAnsi="Arial"/>
          <w:sz w:val="19"/>
          <w:szCs w:val="19"/>
          <w:color w:val="0F0F0F"/>
        </w:rPr>
        <w:t>by Tenant</w:t>
      </w:r>
      <w:r>
        <w:rPr>
          <w:rFonts w:ascii="Arial" w:cs="Arial" w:eastAsia="Arial" w:hAnsi="Arial"/>
          <w:sz w:val="19"/>
          <w:szCs w:val="19"/>
          <w:color w:val="000000"/>
        </w:rPr>
        <w:t xml:space="preserve"> </w:t>
      </w:r>
      <w:r>
        <w:rPr>
          <w:rFonts w:ascii="Arial" w:cs="Arial" w:eastAsia="Arial" w:hAnsi="Arial"/>
          <w:sz w:val="19"/>
          <w:szCs w:val="19"/>
          <w:color w:val="2F2F2F"/>
        </w:rPr>
        <w:t>in</w:t>
      </w:r>
      <w:r>
        <w:rPr>
          <w:rFonts w:ascii="Arial" w:cs="Arial" w:eastAsia="Arial" w:hAnsi="Arial"/>
          <w:sz w:val="19"/>
          <w:szCs w:val="19"/>
          <w:color w:val="000000"/>
        </w:rPr>
        <w:t xml:space="preserve"> accordance with Applicable </w:t>
      </w:r>
      <w:r>
        <w:rPr>
          <w:rFonts w:ascii="Arial" w:cs="Arial" w:eastAsia="Arial" w:hAnsi="Arial"/>
          <w:sz w:val="19"/>
          <w:szCs w:val="19"/>
          <w:color w:val="2F2F2F"/>
        </w:rPr>
        <w:t>Laws, including</w:t>
      </w:r>
      <w:r>
        <w:rPr>
          <w:rFonts w:ascii="Arial" w:cs="Arial" w:eastAsia="Arial" w:hAnsi="Arial"/>
          <w:sz w:val="19"/>
          <w:szCs w:val="19"/>
          <w:color w:val="000000"/>
        </w:rPr>
        <w:t xml:space="preserve"> </w:t>
      </w:r>
      <w:r>
        <w:rPr>
          <w:rFonts w:ascii="Arial" w:cs="Arial" w:eastAsia="Arial" w:hAnsi="Arial"/>
          <w:sz w:val="19"/>
          <w:szCs w:val="19"/>
          <w:color w:val="0F0F0F"/>
        </w:rPr>
        <w:t>laws</w:t>
      </w:r>
      <w:r>
        <w:rPr>
          <w:rFonts w:ascii="Arial" w:cs="Arial" w:eastAsia="Arial" w:hAnsi="Arial"/>
          <w:sz w:val="19"/>
          <w:szCs w:val="19"/>
          <w:color w:val="000000"/>
        </w:rPr>
        <w:t xml:space="preserve"> </w:t>
      </w:r>
      <w:r>
        <w:rPr>
          <w:rFonts w:ascii="Arial" w:cs="Arial" w:eastAsia="Arial" w:hAnsi="Arial"/>
          <w:sz w:val="19"/>
          <w:szCs w:val="19"/>
          <w:color w:val="2F2F2F"/>
        </w:rPr>
        <w:t>pertaining</w:t>
      </w:r>
      <w:r>
        <w:rPr>
          <w:rFonts w:ascii="Arial" w:cs="Arial" w:eastAsia="Arial" w:hAnsi="Arial"/>
          <w:sz w:val="19"/>
          <w:szCs w:val="19"/>
          <w:color w:val="000000"/>
        </w:rPr>
        <w:t xml:space="preserve"> </w:t>
      </w:r>
      <w:r>
        <w:rPr>
          <w:rFonts w:ascii="Arial" w:cs="Arial" w:eastAsia="Arial" w:hAnsi="Arial"/>
          <w:sz w:val="19"/>
          <w:szCs w:val="19"/>
          <w:color w:val="0F0F0F"/>
        </w:rPr>
        <w:t>to</w:t>
      </w:r>
      <w:r>
        <w:rPr>
          <w:rFonts w:ascii="Arial" w:cs="Arial" w:eastAsia="Arial" w:hAnsi="Arial"/>
          <w:sz w:val="19"/>
          <w:szCs w:val="19"/>
          <w:color w:val="000000"/>
        </w:rPr>
        <w:t xml:space="preserve"> the </w:t>
      </w:r>
      <w:r>
        <w:rPr>
          <w:rFonts w:ascii="Arial" w:cs="Arial" w:eastAsia="Arial" w:hAnsi="Arial"/>
          <w:sz w:val="19"/>
          <w:szCs w:val="19"/>
          <w:color w:val="2F2F2F"/>
        </w:rPr>
        <w:t>surrender</w:t>
      </w:r>
      <w:r>
        <w:rPr>
          <w:rFonts w:ascii="Arial" w:cs="Arial" w:eastAsia="Arial" w:hAnsi="Arial"/>
          <w:sz w:val="19"/>
          <w:szCs w:val="19"/>
          <w:color w:val="000000"/>
        </w:rPr>
        <w:t xml:space="preserve"> of </w:t>
      </w:r>
      <w:r>
        <w:rPr>
          <w:rFonts w:ascii="Arial" w:cs="Arial" w:eastAsia="Arial" w:hAnsi="Arial"/>
          <w:sz w:val="19"/>
          <w:szCs w:val="19"/>
          <w:color w:val="0F0F0F"/>
        </w:rPr>
        <w:t>the Premises.</w:t>
      </w:r>
      <w:r>
        <w:rPr>
          <w:rFonts w:ascii="Arial" w:cs="Arial" w:eastAsia="Arial" w:hAnsi="Arial"/>
          <w:sz w:val="19"/>
          <w:szCs w:val="19"/>
          <w:color w:val="000000"/>
        </w:rPr>
        <w:t xml:space="preserve"> </w:t>
      </w:r>
      <w:r>
        <w:rPr>
          <w:rFonts w:ascii="Arial" w:cs="Arial" w:eastAsia="Arial" w:hAnsi="Arial"/>
          <w:sz w:val="19"/>
          <w:szCs w:val="19"/>
          <w:color w:val="2F2F2F"/>
        </w:rPr>
        <w:t>In</w:t>
      </w:r>
      <w:r>
        <w:rPr>
          <w:rFonts w:ascii="Arial" w:cs="Arial" w:eastAsia="Arial" w:hAnsi="Arial"/>
          <w:sz w:val="19"/>
          <w:szCs w:val="19"/>
          <w:color w:val="000000"/>
        </w:rPr>
        <w:t xml:space="preserve"> addition, </w:t>
      </w:r>
      <w:r>
        <w:rPr>
          <w:rFonts w:ascii="Arial" w:cs="Arial" w:eastAsia="Arial" w:hAnsi="Arial"/>
          <w:sz w:val="19"/>
          <w:szCs w:val="19"/>
          <w:color w:val="0F0F0F"/>
        </w:rPr>
        <w:t>Tenant</w:t>
      </w:r>
      <w:r>
        <w:rPr>
          <w:rFonts w:ascii="Arial" w:cs="Arial" w:eastAsia="Arial" w:hAnsi="Arial"/>
          <w:sz w:val="19"/>
          <w:szCs w:val="19"/>
          <w:color w:val="000000"/>
        </w:rPr>
        <w:t xml:space="preserve"> </w:t>
      </w:r>
      <w:r>
        <w:rPr>
          <w:rFonts w:ascii="Arial" w:cs="Arial" w:eastAsia="Arial" w:hAnsi="Arial"/>
          <w:sz w:val="19"/>
          <w:szCs w:val="19"/>
          <w:color w:val="2F2F2F"/>
        </w:rPr>
        <w:t>agrees</w:t>
      </w:r>
      <w:r>
        <w:rPr>
          <w:rFonts w:ascii="Arial" w:cs="Arial" w:eastAsia="Arial" w:hAnsi="Arial"/>
          <w:sz w:val="19"/>
          <w:szCs w:val="19"/>
          <w:color w:val="000000"/>
        </w:rPr>
        <w:t xml:space="preserve"> </w:t>
      </w:r>
      <w:r>
        <w:rPr>
          <w:rFonts w:ascii="Arial" w:cs="Arial" w:eastAsia="Arial" w:hAnsi="Arial"/>
          <w:sz w:val="19"/>
          <w:szCs w:val="19"/>
          <w:color w:val="0F0F0F"/>
        </w:rPr>
        <w:t>to remain</w:t>
      </w:r>
      <w:r>
        <w:rPr>
          <w:rFonts w:ascii="Arial" w:cs="Arial" w:eastAsia="Arial" w:hAnsi="Arial"/>
          <w:sz w:val="19"/>
          <w:szCs w:val="19"/>
          <w:color w:val="000000"/>
        </w:rPr>
        <w:t xml:space="preserve"> responsible after </w:t>
      </w:r>
      <w:r>
        <w:rPr>
          <w:rFonts w:ascii="Arial" w:cs="Arial" w:eastAsia="Arial" w:hAnsi="Arial"/>
          <w:sz w:val="19"/>
          <w:szCs w:val="19"/>
          <w:color w:val="0F0F0F"/>
        </w:rPr>
        <w:t>the</w:t>
      </w:r>
      <w:r>
        <w:rPr>
          <w:rFonts w:ascii="Arial" w:cs="Arial" w:eastAsia="Arial" w:hAnsi="Arial"/>
          <w:sz w:val="19"/>
          <w:szCs w:val="19"/>
          <w:color w:val="000000"/>
        </w:rPr>
        <w:t xml:space="preserve"> </w:t>
      </w:r>
      <w:r>
        <w:rPr>
          <w:rFonts w:ascii="Arial" w:cs="Arial" w:eastAsia="Arial" w:hAnsi="Arial"/>
          <w:sz w:val="19"/>
          <w:szCs w:val="19"/>
          <w:color w:val="2F2F2F"/>
        </w:rPr>
        <w:t>surrender</w:t>
      </w:r>
      <w:r>
        <w:rPr>
          <w:rFonts w:ascii="Arial" w:cs="Arial" w:eastAsia="Arial" w:hAnsi="Arial"/>
          <w:sz w:val="19"/>
          <w:szCs w:val="19"/>
          <w:color w:val="000000"/>
        </w:rPr>
        <w:t xml:space="preserve"> of </w:t>
      </w:r>
      <w:r>
        <w:rPr>
          <w:rFonts w:ascii="Arial" w:cs="Arial" w:eastAsia="Arial" w:hAnsi="Arial"/>
          <w:sz w:val="19"/>
          <w:szCs w:val="19"/>
          <w:color w:val="0F0F0F"/>
        </w:rPr>
        <w:t>the</w:t>
      </w:r>
      <w:r>
        <w:rPr>
          <w:rFonts w:ascii="Arial" w:cs="Arial" w:eastAsia="Arial" w:hAnsi="Arial"/>
          <w:sz w:val="19"/>
          <w:szCs w:val="19"/>
          <w:color w:val="000000"/>
        </w:rPr>
        <w:t xml:space="preserve"> Premises </w:t>
      </w:r>
      <w:r>
        <w:rPr>
          <w:rFonts w:ascii="Arial" w:cs="Arial" w:eastAsia="Arial" w:hAnsi="Arial"/>
          <w:sz w:val="19"/>
          <w:szCs w:val="19"/>
          <w:color w:val="0F0F0F"/>
        </w:rPr>
        <w:t>for</w:t>
      </w:r>
      <w:r>
        <w:rPr>
          <w:rFonts w:ascii="Arial" w:cs="Arial" w:eastAsia="Arial" w:hAnsi="Arial"/>
          <w:sz w:val="19"/>
          <w:szCs w:val="19"/>
          <w:color w:val="000000"/>
        </w:rPr>
        <w:t xml:space="preserve"> the </w:t>
      </w:r>
      <w:r>
        <w:rPr>
          <w:rFonts w:ascii="Arial" w:cs="Arial" w:eastAsia="Arial" w:hAnsi="Arial"/>
          <w:sz w:val="19"/>
          <w:szCs w:val="19"/>
          <w:color w:val="0F0F0F"/>
        </w:rPr>
        <w:t>remediation</w:t>
      </w:r>
      <w:r>
        <w:rPr>
          <w:rFonts w:ascii="Arial" w:cs="Arial" w:eastAsia="Arial" w:hAnsi="Arial"/>
          <w:sz w:val="19"/>
          <w:szCs w:val="19"/>
          <w:color w:val="000000"/>
        </w:rPr>
        <w:t xml:space="preserve"> of </w:t>
      </w:r>
      <w:r>
        <w:rPr>
          <w:rFonts w:ascii="Arial" w:cs="Arial" w:eastAsia="Arial" w:hAnsi="Arial"/>
          <w:sz w:val="19"/>
          <w:szCs w:val="19"/>
          <w:color w:val="2F2F2F"/>
        </w:rPr>
        <w:t>any</w:t>
      </w:r>
      <w:r>
        <w:rPr>
          <w:rFonts w:ascii="Arial" w:cs="Arial" w:eastAsia="Arial" w:hAnsi="Arial"/>
          <w:sz w:val="19"/>
          <w:szCs w:val="19"/>
          <w:color w:val="000000"/>
        </w:rPr>
        <w:t xml:space="preserve"> </w:t>
      </w:r>
      <w:r>
        <w:rPr>
          <w:rFonts w:ascii="Arial" w:cs="Arial" w:eastAsia="Arial" w:hAnsi="Arial"/>
          <w:sz w:val="19"/>
          <w:szCs w:val="19"/>
          <w:color w:val="0F0F0F"/>
        </w:rPr>
        <w:t>recognized</w:t>
      </w:r>
      <w:r>
        <w:rPr>
          <w:rFonts w:ascii="Arial" w:cs="Arial" w:eastAsia="Arial" w:hAnsi="Arial"/>
          <w:sz w:val="19"/>
          <w:szCs w:val="19"/>
          <w:color w:val="000000"/>
        </w:rPr>
        <w:t xml:space="preserve"> </w:t>
      </w:r>
      <w:r>
        <w:rPr>
          <w:rFonts w:ascii="Arial" w:cs="Arial" w:eastAsia="Arial" w:hAnsi="Arial"/>
          <w:sz w:val="19"/>
          <w:szCs w:val="19"/>
          <w:color w:val="2F2F2F"/>
        </w:rPr>
        <w:t>environmental</w:t>
      </w:r>
      <w:r>
        <w:rPr>
          <w:rFonts w:ascii="Arial" w:cs="Arial" w:eastAsia="Arial" w:hAnsi="Arial"/>
          <w:sz w:val="19"/>
          <w:szCs w:val="19"/>
          <w:color w:val="000000"/>
        </w:rPr>
        <w:t xml:space="preserve"> conditions </w:t>
      </w:r>
      <w:r>
        <w:rPr>
          <w:rFonts w:ascii="Arial" w:cs="Arial" w:eastAsia="Arial" w:hAnsi="Arial"/>
          <w:sz w:val="19"/>
          <w:szCs w:val="19"/>
          <w:color w:val="2F2F2F"/>
        </w:rPr>
        <w:t>set</w:t>
      </w:r>
      <w:r>
        <w:rPr>
          <w:rFonts w:ascii="Arial" w:cs="Arial" w:eastAsia="Arial" w:hAnsi="Arial"/>
          <w:sz w:val="19"/>
          <w:szCs w:val="19"/>
          <w:color w:val="000000"/>
        </w:rPr>
        <w:t xml:space="preserve"> </w:t>
      </w:r>
      <w:r>
        <w:rPr>
          <w:rFonts w:ascii="Arial" w:cs="Arial" w:eastAsia="Arial" w:hAnsi="Arial"/>
          <w:sz w:val="19"/>
          <w:szCs w:val="19"/>
          <w:color w:val="2F2F2F"/>
        </w:rPr>
        <w:t xml:space="preserve">forth </w:t>
      </w:r>
      <w:r>
        <w:rPr>
          <w:rFonts w:ascii="Arial" w:cs="Arial" w:eastAsia="Arial" w:hAnsi="Arial"/>
          <w:sz w:val="19"/>
          <w:szCs w:val="19"/>
          <w:color w:val="0F0F0F"/>
        </w:rPr>
        <w:t>in</w:t>
      </w:r>
      <w:r>
        <w:rPr>
          <w:rFonts w:ascii="Arial" w:cs="Arial" w:eastAsia="Arial" w:hAnsi="Arial"/>
          <w:sz w:val="19"/>
          <w:szCs w:val="19"/>
          <w:color w:val="2F2F2F"/>
        </w:rPr>
        <w:t xml:space="preserve"> </w:t>
      </w:r>
      <w:r>
        <w:rPr>
          <w:rFonts w:ascii="Arial" w:cs="Arial" w:eastAsia="Arial" w:hAnsi="Arial"/>
          <w:sz w:val="19"/>
          <w:szCs w:val="19"/>
          <w:color w:val="000000"/>
        </w:rPr>
        <w:t>the</w:t>
      </w:r>
      <w:r>
        <w:rPr>
          <w:rFonts w:ascii="Arial" w:cs="Arial" w:eastAsia="Arial" w:hAnsi="Arial"/>
          <w:sz w:val="19"/>
          <w:szCs w:val="19"/>
          <w:color w:val="2F2F2F"/>
        </w:rPr>
        <w:t xml:space="preserve"> Exit Survey </w:t>
      </w:r>
      <w:r>
        <w:rPr>
          <w:rFonts w:ascii="Arial" w:cs="Arial" w:eastAsia="Arial" w:hAnsi="Arial"/>
          <w:sz w:val="19"/>
          <w:szCs w:val="19"/>
          <w:color w:val="000000"/>
        </w:rPr>
        <w:t>and</w:t>
      </w:r>
      <w:r>
        <w:rPr>
          <w:rFonts w:ascii="Arial" w:cs="Arial" w:eastAsia="Arial" w:hAnsi="Arial"/>
          <w:sz w:val="19"/>
          <w:szCs w:val="19"/>
          <w:color w:val="2F2F2F"/>
        </w:rPr>
        <w:t xml:space="preserve"> compliance </w:t>
      </w:r>
      <w:r>
        <w:rPr>
          <w:rFonts w:ascii="Arial" w:cs="Arial" w:eastAsia="Arial" w:hAnsi="Arial"/>
          <w:sz w:val="19"/>
          <w:szCs w:val="19"/>
          <w:color w:val="000000"/>
        </w:rPr>
        <w:t>with</w:t>
      </w:r>
      <w:r>
        <w:rPr>
          <w:rFonts w:ascii="Arial" w:cs="Arial" w:eastAsia="Arial" w:hAnsi="Arial"/>
          <w:sz w:val="19"/>
          <w:szCs w:val="19"/>
          <w:color w:val="2F2F2F"/>
        </w:rPr>
        <w:t xml:space="preserve"> any </w:t>
      </w:r>
      <w:r>
        <w:rPr>
          <w:rFonts w:ascii="Arial" w:cs="Arial" w:eastAsia="Arial" w:hAnsi="Arial"/>
          <w:sz w:val="19"/>
          <w:szCs w:val="19"/>
          <w:color w:val="000000"/>
        </w:rPr>
        <w:t>recommendations</w:t>
      </w:r>
      <w:r>
        <w:rPr>
          <w:rFonts w:ascii="Arial" w:cs="Arial" w:eastAsia="Arial" w:hAnsi="Arial"/>
          <w:sz w:val="19"/>
          <w:szCs w:val="19"/>
          <w:color w:val="2F2F2F"/>
        </w:rPr>
        <w:t xml:space="preserve"> set </w:t>
      </w:r>
      <w:r>
        <w:rPr>
          <w:rFonts w:ascii="Arial" w:cs="Arial" w:eastAsia="Arial" w:hAnsi="Arial"/>
          <w:sz w:val="19"/>
          <w:szCs w:val="19"/>
          <w:color w:val="000000"/>
        </w:rPr>
        <w:t>forth in</w:t>
      </w:r>
      <w:r>
        <w:rPr>
          <w:rFonts w:ascii="Arial" w:cs="Arial" w:eastAsia="Arial" w:hAnsi="Arial"/>
          <w:sz w:val="19"/>
          <w:szCs w:val="19"/>
          <w:color w:val="2F2F2F"/>
        </w:rPr>
        <w:t xml:space="preserve"> </w:t>
      </w:r>
      <w:r>
        <w:rPr>
          <w:rFonts w:ascii="Arial" w:cs="Arial" w:eastAsia="Arial" w:hAnsi="Arial"/>
          <w:sz w:val="19"/>
          <w:szCs w:val="19"/>
          <w:color w:val="0F0F0F"/>
        </w:rPr>
        <w:t>the</w:t>
      </w:r>
      <w:r>
        <w:rPr>
          <w:rFonts w:ascii="Arial" w:cs="Arial" w:eastAsia="Arial" w:hAnsi="Arial"/>
          <w:sz w:val="19"/>
          <w:szCs w:val="19"/>
          <w:color w:val="2F2F2F"/>
        </w:rPr>
        <w:t xml:space="preserve"> Exit Survey. Tenant’s </w:t>
      </w:r>
      <w:r>
        <w:rPr>
          <w:rFonts w:ascii="Arial" w:cs="Arial" w:eastAsia="Arial" w:hAnsi="Arial"/>
          <w:sz w:val="19"/>
          <w:szCs w:val="19"/>
          <w:color w:val="000000"/>
        </w:rPr>
        <w:t xml:space="preserve">obligations under this </w:t>
      </w:r>
      <w:r>
        <w:rPr>
          <w:rFonts w:ascii="Arial" w:cs="Arial" w:eastAsia="Arial" w:hAnsi="Arial"/>
          <w:sz w:val="19"/>
          <w:szCs w:val="19"/>
          <w:color w:val="2F2F2F"/>
        </w:rPr>
        <w:t>Section shall</w:t>
      </w:r>
      <w:r>
        <w:rPr>
          <w:rFonts w:ascii="Arial" w:cs="Arial" w:eastAsia="Arial" w:hAnsi="Arial"/>
          <w:sz w:val="19"/>
          <w:szCs w:val="19"/>
          <w:color w:val="000000"/>
        </w:rPr>
        <w:t xml:space="preserve"> survive </w:t>
      </w:r>
      <w:r>
        <w:rPr>
          <w:rFonts w:ascii="Arial" w:cs="Arial" w:eastAsia="Arial" w:hAnsi="Arial"/>
          <w:sz w:val="19"/>
          <w:szCs w:val="19"/>
          <w:color w:val="0F0F0F"/>
        </w:rPr>
        <w:t>the</w:t>
      </w:r>
      <w:r>
        <w:rPr>
          <w:rFonts w:ascii="Arial" w:cs="Arial" w:eastAsia="Arial" w:hAnsi="Arial"/>
          <w:sz w:val="19"/>
          <w:szCs w:val="19"/>
          <w:color w:val="000000"/>
        </w:rPr>
        <w:t xml:space="preserve"> expiration or </w:t>
      </w:r>
      <w:r>
        <w:rPr>
          <w:rFonts w:ascii="Arial" w:cs="Arial" w:eastAsia="Arial" w:hAnsi="Arial"/>
          <w:sz w:val="19"/>
          <w:szCs w:val="19"/>
          <w:color w:val="2F2F2F"/>
        </w:rPr>
        <w:t>earlier</w:t>
      </w:r>
      <w:r>
        <w:rPr>
          <w:rFonts w:ascii="Arial" w:cs="Arial" w:eastAsia="Arial" w:hAnsi="Arial"/>
          <w:sz w:val="19"/>
          <w:szCs w:val="19"/>
          <w:color w:val="000000"/>
        </w:rPr>
        <w:t xml:space="preserve"> </w:t>
      </w:r>
      <w:r>
        <w:rPr>
          <w:rFonts w:ascii="Arial" w:cs="Arial" w:eastAsia="Arial" w:hAnsi="Arial"/>
          <w:sz w:val="19"/>
          <w:szCs w:val="19"/>
          <w:color w:val="0F0F0F"/>
        </w:rPr>
        <w:t>termination of the Lease.</w:t>
      </w:r>
    </w:p>
    <w:p>
      <w:pPr>
        <w:spacing w:after="0" w:line="152"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21"/>
          <w:szCs w:val="21"/>
          <w:color w:val="auto"/>
        </w:rPr>
        <w:t xml:space="preserve">No surrender of </w:t>
      </w:r>
      <w:r>
        <w:rPr>
          <w:rFonts w:ascii="Arial" w:cs="Arial" w:eastAsia="Arial" w:hAnsi="Arial"/>
          <w:sz w:val="21"/>
          <w:szCs w:val="21"/>
          <w:color w:val="1F1F1F"/>
        </w:rPr>
        <w:t>possession of</w:t>
      </w:r>
      <w:r>
        <w:rPr>
          <w:rFonts w:ascii="Arial" w:cs="Arial" w:eastAsia="Arial" w:hAnsi="Arial"/>
          <w:sz w:val="21"/>
          <w:szCs w:val="21"/>
          <w:color w:val="auto"/>
        </w:rPr>
        <w:t xml:space="preserve"> </w:t>
      </w:r>
      <w:r>
        <w:rPr>
          <w:rFonts w:ascii="Arial" w:cs="Arial" w:eastAsia="Arial" w:hAnsi="Arial"/>
          <w:sz w:val="21"/>
          <w:szCs w:val="21"/>
          <w:color w:val="0F0F0F"/>
        </w:rPr>
        <w:t>any</w:t>
      </w:r>
      <w:r>
        <w:rPr>
          <w:rFonts w:ascii="Arial" w:cs="Arial" w:eastAsia="Arial" w:hAnsi="Arial"/>
          <w:sz w:val="21"/>
          <w:szCs w:val="21"/>
          <w:color w:val="auto"/>
        </w:rPr>
        <w:t xml:space="preserve"> </w:t>
      </w:r>
      <w:r>
        <w:rPr>
          <w:rFonts w:ascii="Arial" w:cs="Arial" w:eastAsia="Arial" w:hAnsi="Arial"/>
          <w:sz w:val="21"/>
          <w:szCs w:val="21"/>
          <w:color w:val="1F1F1F"/>
        </w:rPr>
        <w:t>part of the</w:t>
      </w:r>
      <w:r>
        <w:rPr>
          <w:rFonts w:ascii="Arial" w:cs="Arial" w:eastAsia="Arial" w:hAnsi="Arial"/>
          <w:sz w:val="21"/>
          <w:szCs w:val="21"/>
          <w:color w:val="auto"/>
        </w:rPr>
        <w:t xml:space="preserve"> </w:t>
      </w:r>
      <w:r>
        <w:rPr>
          <w:rFonts w:ascii="Arial" w:cs="Arial" w:eastAsia="Arial" w:hAnsi="Arial"/>
          <w:sz w:val="21"/>
          <w:szCs w:val="21"/>
          <w:color w:val="0F0F0F"/>
        </w:rPr>
        <w:t>Premises</w:t>
      </w:r>
      <w:r>
        <w:rPr>
          <w:rFonts w:ascii="Arial" w:cs="Arial" w:eastAsia="Arial" w:hAnsi="Arial"/>
          <w:sz w:val="21"/>
          <w:szCs w:val="21"/>
          <w:color w:val="auto"/>
        </w:rPr>
        <w:t xml:space="preserve"> shall </w:t>
      </w:r>
      <w:r>
        <w:rPr>
          <w:rFonts w:ascii="Arial" w:cs="Arial" w:eastAsia="Arial" w:hAnsi="Arial"/>
          <w:sz w:val="21"/>
          <w:szCs w:val="21"/>
          <w:color w:val="1F1F1F"/>
        </w:rPr>
        <w:t>release Tenant</w:t>
      </w:r>
      <w:r>
        <w:rPr>
          <w:rFonts w:ascii="Arial" w:cs="Arial" w:eastAsia="Arial" w:hAnsi="Arial"/>
          <w:sz w:val="21"/>
          <w:szCs w:val="21"/>
          <w:color w:val="auto"/>
        </w:rPr>
        <w:t xml:space="preserve"> from </w:t>
      </w:r>
      <w:r>
        <w:rPr>
          <w:rFonts w:ascii="Arial" w:cs="Arial" w:eastAsia="Arial" w:hAnsi="Arial"/>
          <w:sz w:val="21"/>
          <w:szCs w:val="21"/>
          <w:color w:val="1F1F1F"/>
        </w:rPr>
        <w:t>any of</w:t>
      </w:r>
      <w:r>
        <w:rPr>
          <w:rFonts w:ascii="Arial" w:cs="Arial" w:eastAsia="Arial" w:hAnsi="Arial"/>
          <w:sz w:val="21"/>
          <w:szCs w:val="21"/>
          <w:color w:val="auto"/>
        </w:rPr>
        <w:t xml:space="preserve"> its obligations under </w:t>
      </w:r>
      <w:r>
        <w:rPr>
          <w:rFonts w:ascii="Arial" w:cs="Arial" w:eastAsia="Arial" w:hAnsi="Arial"/>
          <w:sz w:val="21"/>
          <w:szCs w:val="21"/>
          <w:u w:val="single" w:color="auto"/>
          <w:color w:val="auto"/>
        </w:rPr>
        <w:t>Section 26.1</w:t>
      </w:r>
      <w:r>
        <w:rPr>
          <w:rFonts w:ascii="Arial" w:cs="Arial" w:eastAsia="Arial" w:hAnsi="Arial"/>
          <w:sz w:val="21"/>
          <w:szCs w:val="21"/>
          <w:color w:val="auto"/>
        </w:rPr>
        <w:t xml:space="preserve">, </w:t>
      </w:r>
      <w:r>
        <w:rPr>
          <w:rFonts w:ascii="Arial" w:cs="Arial" w:eastAsia="Arial" w:hAnsi="Arial"/>
          <w:sz w:val="21"/>
          <w:szCs w:val="21"/>
          <w:color w:val="1F1F1F"/>
        </w:rPr>
        <w:t>unless</w:t>
      </w:r>
      <w:r>
        <w:rPr>
          <w:rFonts w:ascii="Arial" w:cs="Arial" w:eastAsia="Arial" w:hAnsi="Arial"/>
          <w:sz w:val="21"/>
          <w:szCs w:val="21"/>
          <w:color w:val="auto"/>
        </w:rPr>
        <w:t xml:space="preserve"> such surrender </w:t>
      </w:r>
      <w:r>
        <w:rPr>
          <w:rFonts w:ascii="Arial" w:cs="Arial" w:eastAsia="Arial" w:hAnsi="Arial"/>
          <w:sz w:val="21"/>
          <w:szCs w:val="21"/>
          <w:color w:val="1F1F1F"/>
        </w:rPr>
        <w:t>is</w:t>
      </w:r>
      <w:r>
        <w:rPr>
          <w:rFonts w:ascii="Arial" w:cs="Arial" w:eastAsia="Arial" w:hAnsi="Arial"/>
          <w:sz w:val="21"/>
          <w:szCs w:val="21"/>
          <w:color w:val="auto"/>
        </w:rPr>
        <w:t xml:space="preserve"> accepted </w:t>
      </w:r>
      <w:r>
        <w:rPr>
          <w:rFonts w:ascii="Arial" w:cs="Arial" w:eastAsia="Arial" w:hAnsi="Arial"/>
          <w:sz w:val="21"/>
          <w:szCs w:val="21"/>
          <w:color w:val="0F0F0F"/>
        </w:rPr>
        <w:t>in</w:t>
      </w:r>
      <w:r>
        <w:rPr>
          <w:rFonts w:ascii="Arial" w:cs="Arial" w:eastAsia="Arial" w:hAnsi="Arial"/>
          <w:sz w:val="21"/>
          <w:szCs w:val="21"/>
          <w:color w:val="auto"/>
        </w:rPr>
        <w:t xml:space="preserve"> </w:t>
      </w:r>
      <w:r>
        <w:rPr>
          <w:rFonts w:ascii="Arial" w:cs="Arial" w:eastAsia="Arial" w:hAnsi="Arial"/>
          <w:sz w:val="21"/>
          <w:szCs w:val="21"/>
          <w:color w:val="1F1F1F"/>
        </w:rPr>
        <w:t>writing by Landlord</w:t>
      </w:r>
      <w:r>
        <w:rPr>
          <w:rFonts w:ascii="Arial" w:cs="Arial" w:eastAsia="Arial" w:hAnsi="Arial"/>
          <w:sz w:val="21"/>
          <w:szCs w:val="21"/>
          <w:color w:val="auto"/>
        </w:rPr>
        <w:t xml:space="preserve"> </w:t>
      </w:r>
      <w:r>
        <w:rPr>
          <w:rFonts w:ascii="Arial" w:cs="Arial" w:eastAsia="Arial" w:hAnsi="Arial"/>
          <w:sz w:val="21"/>
          <w:szCs w:val="21"/>
          <w:color w:val="0F0F0F"/>
        </w:rPr>
        <w:t>in its reasonable discretion.</w:t>
      </w:r>
    </w:p>
    <w:p>
      <w:pPr>
        <w:spacing w:after="0" w:line="151" w:lineRule="exact"/>
        <w:rPr>
          <w:sz w:val="20"/>
          <w:szCs w:val="20"/>
          <w:color w:val="auto"/>
        </w:rPr>
      </w:pPr>
    </w:p>
    <w:p>
      <w:pPr>
        <w:jc w:val="both"/>
        <w:ind w:left="1300" w:right="20" w:hanging="647"/>
        <w:spacing w:after="0" w:line="234" w:lineRule="auto"/>
        <w:tabs>
          <w:tab w:leader="none" w:pos="1280" w:val="left"/>
        </w:tabs>
        <w:rPr>
          <w:sz w:val="20"/>
          <w:szCs w:val="20"/>
          <w:color w:val="auto"/>
        </w:rPr>
      </w:pPr>
      <w:r>
        <w:rPr>
          <w:rFonts w:ascii="Arial" w:cs="Arial" w:eastAsia="Arial" w:hAnsi="Arial"/>
          <w:sz w:val="22"/>
          <w:szCs w:val="22"/>
          <w:color w:val="auto"/>
        </w:rPr>
        <w:t>26.3</w:t>
      </w:r>
      <w:r>
        <w:rPr>
          <w:sz w:val="20"/>
          <w:szCs w:val="20"/>
          <w:color w:val="auto"/>
        </w:rPr>
        <w:tab/>
      </w:r>
      <w:r>
        <w:rPr>
          <w:rFonts w:ascii="Arial" w:cs="Arial" w:eastAsia="Arial" w:hAnsi="Arial"/>
          <w:sz w:val="21"/>
          <w:szCs w:val="21"/>
          <w:color w:val="auto"/>
        </w:rPr>
        <w:t xml:space="preserve">The </w:t>
      </w:r>
      <w:r>
        <w:rPr>
          <w:rFonts w:ascii="Arial" w:cs="Arial" w:eastAsia="Arial" w:hAnsi="Arial"/>
          <w:sz w:val="21"/>
          <w:szCs w:val="21"/>
          <w:color w:val="2F2F2F"/>
        </w:rPr>
        <w:t>voluntary</w:t>
      </w:r>
      <w:r>
        <w:rPr>
          <w:rFonts w:ascii="Arial" w:cs="Arial" w:eastAsia="Arial" w:hAnsi="Arial"/>
          <w:sz w:val="21"/>
          <w:szCs w:val="21"/>
          <w:color w:val="auto"/>
        </w:rPr>
        <w:t xml:space="preserve"> or </w:t>
      </w:r>
      <w:r>
        <w:rPr>
          <w:rFonts w:ascii="Arial" w:cs="Arial" w:eastAsia="Arial" w:hAnsi="Arial"/>
          <w:sz w:val="21"/>
          <w:szCs w:val="21"/>
          <w:color w:val="0F0F0F"/>
        </w:rPr>
        <w:t>other</w:t>
      </w:r>
      <w:r>
        <w:rPr>
          <w:rFonts w:ascii="Arial" w:cs="Arial" w:eastAsia="Arial" w:hAnsi="Arial"/>
          <w:sz w:val="21"/>
          <w:szCs w:val="21"/>
          <w:color w:val="auto"/>
        </w:rPr>
        <w:t xml:space="preserve"> </w:t>
      </w:r>
      <w:r>
        <w:rPr>
          <w:rFonts w:ascii="Arial" w:cs="Arial" w:eastAsia="Arial" w:hAnsi="Arial"/>
          <w:sz w:val="21"/>
          <w:szCs w:val="21"/>
          <w:color w:val="2F2F2F"/>
        </w:rPr>
        <w:t>surrender</w:t>
      </w:r>
      <w:r>
        <w:rPr>
          <w:rFonts w:ascii="Arial" w:cs="Arial" w:eastAsia="Arial" w:hAnsi="Arial"/>
          <w:sz w:val="21"/>
          <w:szCs w:val="21"/>
          <w:color w:val="auto"/>
        </w:rPr>
        <w:t xml:space="preserve"> of </w:t>
      </w:r>
      <w:r>
        <w:rPr>
          <w:rFonts w:ascii="Arial" w:cs="Arial" w:eastAsia="Arial" w:hAnsi="Arial"/>
          <w:sz w:val="21"/>
          <w:szCs w:val="21"/>
          <w:color w:val="2F2F2F"/>
        </w:rPr>
        <w:t>this</w:t>
      </w:r>
      <w:r>
        <w:rPr>
          <w:rFonts w:ascii="Arial" w:cs="Arial" w:eastAsia="Arial" w:hAnsi="Arial"/>
          <w:sz w:val="21"/>
          <w:szCs w:val="21"/>
          <w:color w:val="auto"/>
        </w:rPr>
        <w:t xml:space="preserve"> Lease by </w:t>
      </w:r>
      <w:r>
        <w:rPr>
          <w:rFonts w:ascii="Arial" w:cs="Arial" w:eastAsia="Arial" w:hAnsi="Arial"/>
          <w:sz w:val="21"/>
          <w:szCs w:val="21"/>
          <w:color w:val="2F2F2F"/>
        </w:rPr>
        <w:t>Tenant shall</w:t>
      </w:r>
      <w:r>
        <w:rPr>
          <w:rFonts w:ascii="Arial" w:cs="Arial" w:eastAsia="Arial" w:hAnsi="Arial"/>
          <w:sz w:val="21"/>
          <w:szCs w:val="21"/>
          <w:color w:val="auto"/>
        </w:rPr>
        <w:t xml:space="preserve"> </w:t>
      </w:r>
      <w:r>
        <w:rPr>
          <w:rFonts w:ascii="Arial" w:cs="Arial" w:eastAsia="Arial" w:hAnsi="Arial"/>
          <w:sz w:val="21"/>
          <w:szCs w:val="21"/>
          <w:color w:val="0F0F0F"/>
        </w:rPr>
        <w:t>not</w:t>
      </w:r>
      <w:r>
        <w:rPr>
          <w:rFonts w:ascii="Arial" w:cs="Arial" w:eastAsia="Arial" w:hAnsi="Arial"/>
          <w:sz w:val="21"/>
          <w:szCs w:val="21"/>
          <w:color w:val="auto"/>
        </w:rPr>
        <w:t xml:space="preserve"> effect </w:t>
      </w:r>
      <w:r>
        <w:rPr>
          <w:rFonts w:ascii="Arial" w:cs="Arial" w:eastAsia="Arial" w:hAnsi="Arial"/>
          <w:sz w:val="21"/>
          <w:szCs w:val="21"/>
          <w:color w:val="2F2F2F"/>
        </w:rPr>
        <w:t>a</w:t>
      </w:r>
      <w:r>
        <w:rPr>
          <w:rFonts w:ascii="Arial" w:cs="Arial" w:eastAsia="Arial" w:hAnsi="Arial"/>
          <w:sz w:val="21"/>
          <w:szCs w:val="21"/>
          <w:color w:val="auto"/>
        </w:rPr>
        <w:t xml:space="preserve"> merger with Landlord’s </w:t>
      </w:r>
      <w:r>
        <w:rPr>
          <w:rFonts w:ascii="Arial" w:cs="Arial" w:eastAsia="Arial" w:hAnsi="Arial"/>
          <w:sz w:val="21"/>
          <w:szCs w:val="21"/>
          <w:color w:val="2F2F2F"/>
        </w:rPr>
        <w:t>fee title</w:t>
      </w:r>
      <w:r>
        <w:rPr>
          <w:rFonts w:ascii="Arial" w:cs="Arial" w:eastAsia="Arial" w:hAnsi="Arial"/>
          <w:sz w:val="21"/>
          <w:szCs w:val="21"/>
          <w:color w:val="auto"/>
        </w:rPr>
        <w:t xml:space="preserve"> </w:t>
      </w:r>
      <w:r>
        <w:rPr>
          <w:rFonts w:ascii="Arial" w:cs="Arial" w:eastAsia="Arial" w:hAnsi="Arial"/>
          <w:sz w:val="21"/>
          <w:szCs w:val="21"/>
          <w:color w:val="0F0F0F"/>
        </w:rPr>
        <w:t>or</w:t>
      </w:r>
      <w:r>
        <w:rPr>
          <w:rFonts w:ascii="Arial" w:cs="Arial" w:eastAsia="Arial" w:hAnsi="Arial"/>
          <w:sz w:val="21"/>
          <w:szCs w:val="21"/>
          <w:color w:val="auto"/>
        </w:rPr>
        <w:t xml:space="preserve"> </w:t>
      </w:r>
      <w:r>
        <w:rPr>
          <w:rFonts w:ascii="Arial" w:cs="Arial" w:eastAsia="Arial" w:hAnsi="Arial"/>
          <w:sz w:val="21"/>
          <w:szCs w:val="21"/>
          <w:color w:val="484848"/>
        </w:rPr>
        <w:t>l</w:t>
      </w:r>
      <w:r>
        <w:rPr>
          <w:rFonts w:ascii="Arial" w:cs="Arial" w:eastAsia="Arial" w:hAnsi="Arial"/>
          <w:sz w:val="21"/>
          <w:szCs w:val="21"/>
          <w:color w:val="000000"/>
        </w:rPr>
        <w:t>easehold</w:t>
      </w:r>
      <w:r>
        <w:rPr>
          <w:rFonts w:ascii="Arial" w:cs="Arial" w:eastAsia="Arial" w:hAnsi="Arial"/>
          <w:sz w:val="21"/>
          <w:szCs w:val="21"/>
          <w:color w:val="484848"/>
        </w:rPr>
        <w:t xml:space="preserve"> </w:t>
      </w:r>
      <w:r>
        <w:rPr>
          <w:rFonts w:ascii="Arial" w:cs="Arial" w:eastAsia="Arial" w:hAnsi="Arial"/>
          <w:sz w:val="21"/>
          <w:szCs w:val="21"/>
          <w:color w:val="2F2F2F"/>
        </w:rPr>
        <w:t>interest</w:t>
      </w:r>
      <w:r>
        <w:rPr>
          <w:rFonts w:ascii="Arial" w:cs="Arial" w:eastAsia="Arial" w:hAnsi="Arial"/>
          <w:sz w:val="21"/>
          <w:szCs w:val="21"/>
          <w:color w:val="484848"/>
        </w:rPr>
        <w:t xml:space="preserve"> </w:t>
      </w:r>
      <w:r>
        <w:rPr>
          <w:rFonts w:ascii="Arial" w:cs="Arial" w:eastAsia="Arial" w:hAnsi="Arial"/>
          <w:sz w:val="21"/>
          <w:szCs w:val="21"/>
          <w:color w:val="000000"/>
        </w:rPr>
        <w:t>in the Premises</w:t>
      </w:r>
      <w:r>
        <w:rPr>
          <w:rFonts w:ascii="Arial" w:cs="Arial" w:eastAsia="Arial" w:hAnsi="Arial"/>
          <w:sz w:val="21"/>
          <w:szCs w:val="21"/>
          <w:color w:val="484848"/>
        </w:rPr>
        <w:t xml:space="preserve">, </w:t>
      </w:r>
      <w:r>
        <w:rPr>
          <w:rFonts w:ascii="Arial" w:cs="Arial" w:eastAsia="Arial" w:hAnsi="Arial"/>
          <w:sz w:val="21"/>
          <w:szCs w:val="21"/>
          <w:color w:val="2F2F2F"/>
        </w:rPr>
        <w:t>the</w:t>
      </w:r>
      <w:r>
        <w:rPr>
          <w:rFonts w:ascii="Arial" w:cs="Arial" w:eastAsia="Arial" w:hAnsi="Arial"/>
          <w:sz w:val="21"/>
          <w:szCs w:val="21"/>
          <w:color w:val="484848"/>
        </w:rPr>
        <w:t xml:space="preserve"> </w:t>
      </w:r>
      <w:r>
        <w:rPr>
          <w:rFonts w:ascii="Arial" w:cs="Arial" w:eastAsia="Arial" w:hAnsi="Arial"/>
          <w:sz w:val="21"/>
          <w:szCs w:val="21"/>
          <w:color w:val="0F0F0F"/>
        </w:rPr>
        <w:t>Building,</w:t>
      </w:r>
      <w:r>
        <w:rPr>
          <w:rFonts w:ascii="Arial" w:cs="Arial" w:eastAsia="Arial" w:hAnsi="Arial"/>
          <w:sz w:val="21"/>
          <w:szCs w:val="21"/>
          <w:color w:val="484848"/>
        </w:rPr>
        <w:t xml:space="preserve"> </w:t>
      </w:r>
      <w:r>
        <w:rPr>
          <w:rFonts w:ascii="Arial" w:cs="Arial" w:eastAsia="Arial" w:hAnsi="Arial"/>
          <w:sz w:val="21"/>
          <w:szCs w:val="21"/>
          <w:color w:val="000000"/>
        </w:rPr>
        <w:t>the Property</w:t>
      </w:r>
      <w:r>
        <w:rPr>
          <w:rFonts w:ascii="Arial" w:cs="Arial" w:eastAsia="Arial" w:hAnsi="Arial"/>
          <w:sz w:val="21"/>
          <w:szCs w:val="21"/>
          <w:color w:val="484848"/>
        </w:rPr>
        <w:t xml:space="preserve"> </w:t>
      </w:r>
      <w:r>
        <w:rPr>
          <w:rFonts w:ascii="Arial" w:cs="Arial" w:eastAsia="Arial" w:hAnsi="Arial"/>
          <w:sz w:val="21"/>
          <w:szCs w:val="21"/>
          <w:color w:val="2F2F2F"/>
        </w:rPr>
        <w:t>or the Project,</w:t>
      </w:r>
      <w:r>
        <w:rPr>
          <w:rFonts w:ascii="Arial" w:cs="Arial" w:eastAsia="Arial" w:hAnsi="Arial"/>
          <w:sz w:val="21"/>
          <w:szCs w:val="21"/>
          <w:color w:val="484848"/>
        </w:rPr>
        <w:t xml:space="preserve"> </w:t>
      </w:r>
      <w:r>
        <w:rPr>
          <w:rFonts w:ascii="Arial" w:cs="Arial" w:eastAsia="Arial" w:hAnsi="Arial"/>
          <w:sz w:val="21"/>
          <w:szCs w:val="21"/>
          <w:color w:val="000000"/>
        </w:rPr>
        <w:t>unless</w:t>
      </w:r>
      <w:r>
        <w:rPr>
          <w:rFonts w:ascii="Arial" w:cs="Arial" w:eastAsia="Arial" w:hAnsi="Arial"/>
          <w:sz w:val="21"/>
          <w:szCs w:val="21"/>
          <w:color w:val="484848"/>
        </w:rPr>
        <w:t xml:space="preserve"> </w:t>
      </w:r>
      <w:r>
        <w:rPr>
          <w:rFonts w:ascii="Arial" w:cs="Arial" w:eastAsia="Arial" w:hAnsi="Arial"/>
          <w:sz w:val="21"/>
          <w:szCs w:val="21"/>
          <w:color w:val="0F0F0F"/>
        </w:rPr>
        <w:t>Landlord</w:t>
      </w:r>
      <w:r>
        <w:rPr>
          <w:rFonts w:ascii="Arial" w:cs="Arial" w:eastAsia="Arial" w:hAnsi="Arial"/>
          <w:sz w:val="21"/>
          <w:szCs w:val="21"/>
          <w:color w:val="484848"/>
        </w:rPr>
        <w:t xml:space="preserve"> </w:t>
      </w:r>
      <w:r>
        <w:rPr>
          <w:rFonts w:ascii="Arial" w:cs="Arial" w:eastAsia="Arial" w:hAnsi="Arial"/>
          <w:sz w:val="21"/>
          <w:szCs w:val="21"/>
          <w:color w:val="000000"/>
        </w:rPr>
        <w:t>consents in writing</w:t>
      </w:r>
      <w:r>
        <w:rPr>
          <w:rFonts w:ascii="Arial" w:cs="Arial" w:eastAsia="Arial" w:hAnsi="Arial"/>
          <w:sz w:val="21"/>
          <w:szCs w:val="21"/>
          <w:color w:val="484848"/>
        </w:rPr>
        <w:t xml:space="preserve">, </w:t>
      </w:r>
      <w:r>
        <w:rPr>
          <w:rFonts w:ascii="Arial" w:cs="Arial" w:eastAsia="Arial" w:hAnsi="Arial"/>
          <w:sz w:val="21"/>
          <w:szCs w:val="21"/>
          <w:color w:val="000000"/>
        </w:rPr>
        <w:t xml:space="preserve">and </w:t>
      </w:r>
      <w:r>
        <w:rPr>
          <w:rFonts w:ascii="Arial" w:cs="Arial" w:eastAsia="Arial" w:hAnsi="Arial"/>
          <w:sz w:val="21"/>
          <w:szCs w:val="21"/>
          <w:color w:val="2F2F2F"/>
        </w:rPr>
        <w:t>shall,</w:t>
      </w:r>
      <w:r>
        <w:rPr>
          <w:rFonts w:ascii="Arial" w:cs="Arial" w:eastAsia="Arial" w:hAnsi="Arial"/>
          <w:sz w:val="21"/>
          <w:szCs w:val="21"/>
          <w:color w:val="000000"/>
        </w:rPr>
        <w:t xml:space="preserve"> at Landlord’s </w:t>
      </w:r>
      <w:r>
        <w:rPr>
          <w:rFonts w:ascii="Arial" w:cs="Arial" w:eastAsia="Arial" w:hAnsi="Arial"/>
          <w:sz w:val="21"/>
          <w:szCs w:val="21"/>
          <w:color w:val="2F2F2F"/>
        </w:rPr>
        <w:t>op</w:t>
      </w:r>
      <w:r>
        <w:rPr>
          <w:rFonts w:ascii="Arial" w:cs="Arial" w:eastAsia="Arial" w:hAnsi="Arial"/>
          <w:sz w:val="21"/>
          <w:szCs w:val="21"/>
          <w:color w:val="0F0F0F"/>
        </w:rPr>
        <w:t>ti</w:t>
      </w:r>
      <w:r>
        <w:rPr>
          <w:rFonts w:ascii="Arial" w:cs="Arial" w:eastAsia="Arial" w:hAnsi="Arial"/>
          <w:sz w:val="21"/>
          <w:szCs w:val="21"/>
          <w:color w:val="2F2F2F"/>
        </w:rPr>
        <w:t>on,</w:t>
      </w:r>
      <w:r>
        <w:rPr>
          <w:rFonts w:ascii="Arial" w:cs="Arial" w:eastAsia="Arial" w:hAnsi="Arial"/>
          <w:sz w:val="21"/>
          <w:szCs w:val="21"/>
          <w:color w:val="000000"/>
        </w:rPr>
        <w:t xml:space="preserve"> operate as an </w:t>
      </w:r>
      <w:r>
        <w:rPr>
          <w:rFonts w:ascii="Arial" w:cs="Arial" w:eastAsia="Arial" w:hAnsi="Arial"/>
          <w:sz w:val="21"/>
          <w:szCs w:val="21"/>
          <w:color w:val="2F2F2F"/>
        </w:rPr>
        <w:t>assignment</w:t>
      </w:r>
      <w:r>
        <w:rPr>
          <w:rFonts w:ascii="Arial" w:cs="Arial" w:eastAsia="Arial" w:hAnsi="Arial"/>
          <w:sz w:val="21"/>
          <w:szCs w:val="21"/>
          <w:color w:val="000000"/>
        </w:rPr>
        <w:t xml:space="preserve"> </w:t>
      </w:r>
      <w:r>
        <w:rPr>
          <w:rFonts w:ascii="Arial" w:cs="Arial" w:eastAsia="Arial" w:hAnsi="Arial"/>
          <w:sz w:val="21"/>
          <w:szCs w:val="21"/>
          <w:color w:val="0F0F0F"/>
        </w:rPr>
        <w:t>to</w:t>
      </w:r>
      <w:r>
        <w:rPr>
          <w:rFonts w:ascii="Arial" w:cs="Arial" w:eastAsia="Arial" w:hAnsi="Arial"/>
          <w:sz w:val="21"/>
          <w:szCs w:val="21"/>
          <w:color w:val="000000"/>
        </w:rPr>
        <w:t xml:space="preserve"> Landlord of any or </w:t>
      </w:r>
      <w:r>
        <w:rPr>
          <w:rFonts w:ascii="Arial" w:cs="Arial" w:eastAsia="Arial" w:hAnsi="Arial"/>
          <w:sz w:val="21"/>
          <w:szCs w:val="21"/>
          <w:color w:val="2F2F2F"/>
        </w:rPr>
        <w:t>all subleases.</w:t>
      </w:r>
    </w:p>
    <w:p>
      <w:pPr>
        <w:spacing w:after="0" w:line="158" w:lineRule="exact"/>
        <w:rPr>
          <w:sz w:val="20"/>
          <w:szCs w:val="20"/>
          <w:color w:val="auto"/>
        </w:rPr>
      </w:pPr>
    </w:p>
    <w:p>
      <w:pPr>
        <w:jc w:val="both"/>
        <w:ind w:left="1300" w:hanging="647"/>
        <w:spacing w:after="0" w:line="226" w:lineRule="auto"/>
        <w:tabs>
          <w:tab w:leader="none" w:pos="1280" w:val="left"/>
        </w:tabs>
        <w:rPr>
          <w:sz w:val="20"/>
          <w:szCs w:val="20"/>
          <w:color w:val="auto"/>
        </w:rPr>
      </w:pPr>
      <w:r>
        <w:rPr>
          <w:rFonts w:ascii="Arial" w:cs="Arial" w:eastAsia="Arial" w:hAnsi="Arial"/>
          <w:sz w:val="22"/>
          <w:szCs w:val="22"/>
          <w:color w:val="auto"/>
        </w:rPr>
        <w:t>26.4</w:t>
      </w:r>
      <w:r>
        <w:rPr>
          <w:sz w:val="20"/>
          <w:szCs w:val="20"/>
          <w:color w:val="auto"/>
        </w:rPr>
        <w:tab/>
      </w:r>
      <w:r>
        <w:rPr>
          <w:rFonts w:ascii="Arial" w:cs="Arial" w:eastAsia="Arial" w:hAnsi="Arial"/>
          <w:sz w:val="21"/>
          <w:szCs w:val="21"/>
          <w:color w:val="0F0F0F"/>
        </w:rPr>
        <w:t xml:space="preserve">The </w:t>
      </w:r>
      <w:r>
        <w:rPr>
          <w:rFonts w:ascii="Arial" w:cs="Arial" w:eastAsia="Arial" w:hAnsi="Arial"/>
          <w:sz w:val="21"/>
          <w:szCs w:val="21"/>
          <w:color w:val="2F2F2F"/>
        </w:rPr>
        <w:t>voluntary</w:t>
      </w:r>
      <w:r>
        <w:rPr>
          <w:rFonts w:ascii="Arial" w:cs="Arial" w:eastAsia="Arial" w:hAnsi="Arial"/>
          <w:sz w:val="21"/>
          <w:szCs w:val="21"/>
          <w:color w:val="0F0F0F"/>
        </w:rPr>
        <w:t xml:space="preserve"> </w:t>
      </w:r>
      <w:r>
        <w:rPr>
          <w:rFonts w:ascii="Arial" w:cs="Arial" w:eastAsia="Arial" w:hAnsi="Arial"/>
          <w:sz w:val="21"/>
          <w:szCs w:val="21"/>
          <w:color w:val="000000"/>
        </w:rPr>
        <w:t>or</w:t>
      </w:r>
      <w:r>
        <w:rPr>
          <w:rFonts w:ascii="Arial" w:cs="Arial" w:eastAsia="Arial" w:hAnsi="Arial"/>
          <w:sz w:val="21"/>
          <w:szCs w:val="21"/>
          <w:color w:val="0F0F0F"/>
        </w:rPr>
        <w:t xml:space="preserve"> </w:t>
      </w:r>
      <w:r>
        <w:rPr>
          <w:rFonts w:ascii="Arial" w:cs="Arial" w:eastAsia="Arial" w:hAnsi="Arial"/>
          <w:sz w:val="21"/>
          <w:szCs w:val="21"/>
          <w:color w:val="2F2F2F"/>
        </w:rPr>
        <w:t>other surrender</w:t>
      </w:r>
      <w:r>
        <w:rPr>
          <w:rFonts w:ascii="Arial" w:cs="Arial" w:eastAsia="Arial" w:hAnsi="Arial"/>
          <w:sz w:val="21"/>
          <w:szCs w:val="21"/>
          <w:color w:val="0F0F0F"/>
        </w:rPr>
        <w:t xml:space="preserve"> </w:t>
      </w:r>
      <w:r>
        <w:rPr>
          <w:rFonts w:ascii="Arial" w:cs="Arial" w:eastAsia="Arial" w:hAnsi="Arial"/>
          <w:sz w:val="21"/>
          <w:szCs w:val="21"/>
          <w:color w:val="000000"/>
        </w:rPr>
        <w:t>of any ground or other</w:t>
      </w:r>
      <w:r>
        <w:rPr>
          <w:rFonts w:ascii="Arial" w:cs="Arial" w:eastAsia="Arial" w:hAnsi="Arial"/>
          <w:sz w:val="21"/>
          <w:szCs w:val="21"/>
          <w:color w:val="0F0F0F"/>
        </w:rPr>
        <w:t xml:space="preserve"> underlying lease </w:t>
      </w:r>
      <w:r>
        <w:rPr>
          <w:rFonts w:ascii="Arial" w:cs="Arial" w:eastAsia="Arial" w:hAnsi="Arial"/>
          <w:sz w:val="21"/>
          <w:szCs w:val="21"/>
          <w:color w:val="2F2F2F"/>
        </w:rPr>
        <w:t>that now</w:t>
      </w:r>
      <w:r>
        <w:rPr>
          <w:rFonts w:ascii="Arial" w:cs="Arial" w:eastAsia="Arial" w:hAnsi="Arial"/>
          <w:sz w:val="21"/>
          <w:szCs w:val="21"/>
          <w:color w:val="0F0F0F"/>
        </w:rPr>
        <w:t xml:space="preserve"> </w:t>
      </w:r>
      <w:r>
        <w:rPr>
          <w:rFonts w:ascii="Arial" w:cs="Arial" w:eastAsia="Arial" w:hAnsi="Arial"/>
          <w:sz w:val="21"/>
          <w:szCs w:val="21"/>
          <w:color w:val="000000"/>
        </w:rPr>
        <w:t>exists or</w:t>
      </w:r>
      <w:r>
        <w:rPr>
          <w:rFonts w:ascii="Arial" w:cs="Arial" w:eastAsia="Arial" w:hAnsi="Arial"/>
          <w:sz w:val="21"/>
          <w:szCs w:val="21"/>
          <w:color w:val="0F0F0F"/>
        </w:rPr>
        <w:t xml:space="preserve"> may </w:t>
      </w:r>
      <w:r>
        <w:rPr>
          <w:rFonts w:ascii="Arial" w:cs="Arial" w:eastAsia="Arial" w:hAnsi="Arial"/>
          <w:sz w:val="21"/>
          <w:szCs w:val="21"/>
          <w:color w:val="000000"/>
        </w:rPr>
        <w:t>hereafter</w:t>
      </w:r>
      <w:r>
        <w:rPr>
          <w:rFonts w:ascii="Arial" w:cs="Arial" w:eastAsia="Arial" w:hAnsi="Arial"/>
          <w:sz w:val="21"/>
          <w:szCs w:val="21"/>
          <w:color w:val="0F0F0F"/>
        </w:rPr>
        <w:t xml:space="preserve"> </w:t>
      </w:r>
      <w:r>
        <w:rPr>
          <w:rFonts w:ascii="Arial" w:cs="Arial" w:eastAsia="Arial" w:hAnsi="Arial"/>
          <w:sz w:val="21"/>
          <w:szCs w:val="21"/>
          <w:color w:val="2F2F2F"/>
        </w:rPr>
        <w:t>be</w:t>
      </w:r>
      <w:r>
        <w:rPr>
          <w:rFonts w:ascii="Arial" w:cs="Arial" w:eastAsia="Arial" w:hAnsi="Arial"/>
          <w:sz w:val="21"/>
          <w:szCs w:val="21"/>
          <w:color w:val="0F0F0F"/>
        </w:rPr>
        <w:t xml:space="preserve"> </w:t>
      </w:r>
      <w:r>
        <w:rPr>
          <w:rFonts w:ascii="Arial" w:cs="Arial" w:eastAsia="Arial" w:hAnsi="Arial"/>
          <w:sz w:val="21"/>
          <w:szCs w:val="21"/>
          <w:color w:val="000000"/>
        </w:rPr>
        <w:t xml:space="preserve">executed affecting the Building </w:t>
      </w:r>
      <w:r>
        <w:rPr>
          <w:rFonts w:ascii="Arial" w:cs="Arial" w:eastAsia="Arial" w:hAnsi="Arial"/>
          <w:sz w:val="21"/>
          <w:szCs w:val="21"/>
          <w:color w:val="0F0F0F"/>
        </w:rPr>
        <w:t>or</w:t>
      </w:r>
      <w:r>
        <w:rPr>
          <w:rFonts w:ascii="Arial" w:cs="Arial" w:eastAsia="Arial" w:hAnsi="Arial"/>
          <w:sz w:val="21"/>
          <w:szCs w:val="21"/>
          <w:color w:val="000000"/>
        </w:rPr>
        <w:t xml:space="preserve"> the </w:t>
      </w:r>
      <w:r>
        <w:rPr>
          <w:rFonts w:ascii="Arial" w:cs="Arial" w:eastAsia="Arial" w:hAnsi="Arial"/>
          <w:sz w:val="21"/>
          <w:szCs w:val="21"/>
          <w:color w:val="2F2F2F"/>
        </w:rPr>
        <w:t>Project, or</w:t>
      </w:r>
      <w:r>
        <w:rPr>
          <w:rFonts w:ascii="Arial" w:cs="Arial" w:eastAsia="Arial" w:hAnsi="Arial"/>
          <w:sz w:val="21"/>
          <w:szCs w:val="21"/>
          <w:color w:val="000000"/>
        </w:rPr>
        <w:t xml:space="preserve"> a mutual cancellation thereof or of Landlord’s </w:t>
      </w:r>
      <w:r>
        <w:rPr>
          <w:rFonts w:ascii="Arial" w:cs="Arial" w:eastAsia="Arial" w:hAnsi="Arial"/>
          <w:sz w:val="21"/>
          <w:szCs w:val="21"/>
          <w:color w:val="2F2F2F"/>
        </w:rPr>
        <w:t>interest</w:t>
      </w:r>
      <w:r>
        <w:rPr>
          <w:rFonts w:ascii="Arial" w:cs="Arial" w:eastAsia="Arial" w:hAnsi="Arial"/>
          <w:sz w:val="21"/>
          <w:szCs w:val="21"/>
          <w:color w:val="000000"/>
        </w:rPr>
        <w:t xml:space="preserve"> therein </w:t>
      </w:r>
      <w:r>
        <w:rPr>
          <w:rFonts w:ascii="Arial" w:cs="Arial" w:eastAsia="Arial" w:hAnsi="Arial"/>
          <w:sz w:val="21"/>
          <w:szCs w:val="21"/>
          <w:color w:val="2F2F2F"/>
        </w:rPr>
        <w:t>by</w:t>
      </w:r>
      <w:r>
        <w:rPr>
          <w:rFonts w:ascii="Arial" w:cs="Arial" w:eastAsia="Arial" w:hAnsi="Arial"/>
          <w:sz w:val="21"/>
          <w:szCs w:val="21"/>
          <w:color w:val="000000"/>
        </w:rPr>
        <w:t xml:space="preserve"> Landlord </w:t>
      </w:r>
      <w:r>
        <w:rPr>
          <w:rFonts w:ascii="Arial" w:cs="Arial" w:eastAsia="Arial" w:hAnsi="Arial"/>
          <w:sz w:val="21"/>
          <w:szCs w:val="21"/>
          <w:color w:val="0F0F0F"/>
        </w:rPr>
        <w:t>and its le</w:t>
      </w:r>
      <w:r>
        <w:rPr>
          <w:rFonts w:ascii="Arial" w:cs="Arial" w:eastAsia="Arial" w:hAnsi="Arial"/>
          <w:sz w:val="21"/>
          <w:szCs w:val="21"/>
          <w:color w:val="2F2F2F"/>
        </w:rPr>
        <w:t>s</w:t>
      </w:r>
      <w:r>
        <w:rPr>
          <w:rFonts w:ascii="Arial" w:cs="Arial" w:eastAsia="Arial" w:hAnsi="Arial"/>
          <w:sz w:val="21"/>
          <w:szCs w:val="21"/>
          <w:color w:val="484848"/>
        </w:rPr>
        <w:t>s</w:t>
      </w:r>
      <w:r>
        <w:rPr>
          <w:rFonts w:ascii="Arial" w:cs="Arial" w:eastAsia="Arial" w:hAnsi="Arial"/>
          <w:sz w:val="21"/>
          <w:szCs w:val="21"/>
          <w:color w:val="000000"/>
        </w:rPr>
        <w:t xml:space="preserve">or </w:t>
      </w:r>
      <w:r>
        <w:rPr>
          <w:rFonts w:ascii="Arial" w:cs="Arial" w:eastAsia="Arial" w:hAnsi="Arial"/>
          <w:sz w:val="21"/>
          <w:szCs w:val="21"/>
          <w:color w:val="2F2F2F"/>
        </w:rPr>
        <w:t>shall not</w:t>
      </w:r>
      <w:r>
        <w:rPr>
          <w:rFonts w:ascii="Arial" w:cs="Arial" w:eastAsia="Arial" w:hAnsi="Arial"/>
          <w:sz w:val="21"/>
          <w:szCs w:val="21"/>
          <w:color w:val="000000"/>
        </w:rPr>
        <w:t xml:space="preserve"> effect a merger with </w:t>
      </w:r>
      <w:r>
        <w:rPr>
          <w:rFonts w:ascii="Arial" w:cs="Arial" w:eastAsia="Arial" w:hAnsi="Arial"/>
          <w:sz w:val="21"/>
          <w:szCs w:val="21"/>
          <w:color w:val="0F0F0F"/>
        </w:rPr>
        <w:t>Landlord’s</w:t>
      </w:r>
      <w:r>
        <w:rPr>
          <w:rFonts w:ascii="Arial" w:cs="Arial" w:eastAsia="Arial" w:hAnsi="Arial"/>
          <w:sz w:val="21"/>
          <w:szCs w:val="21"/>
          <w:color w:val="000000"/>
        </w:rPr>
        <w:t xml:space="preserve"> </w:t>
      </w:r>
      <w:r>
        <w:rPr>
          <w:rFonts w:ascii="Arial" w:cs="Arial" w:eastAsia="Arial" w:hAnsi="Arial"/>
          <w:sz w:val="21"/>
          <w:szCs w:val="21"/>
          <w:color w:val="2F2F2F"/>
        </w:rPr>
        <w:t>fee title</w:t>
      </w:r>
      <w:r>
        <w:rPr>
          <w:rFonts w:ascii="Arial" w:cs="Arial" w:eastAsia="Arial" w:hAnsi="Arial"/>
          <w:sz w:val="21"/>
          <w:szCs w:val="21"/>
          <w:color w:val="000000"/>
        </w:rPr>
        <w:t xml:space="preserve"> or </w:t>
      </w:r>
      <w:r>
        <w:rPr>
          <w:rFonts w:ascii="Arial" w:cs="Arial" w:eastAsia="Arial" w:hAnsi="Arial"/>
          <w:sz w:val="21"/>
          <w:szCs w:val="21"/>
          <w:color w:val="0F0F0F"/>
        </w:rPr>
        <w:t>leasehold</w:t>
      </w:r>
      <w:r>
        <w:rPr>
          <w:rFonts w:ascii="Arial" w:cs="Arial" w:eastAsia="Arial" w:hAnsi="Arial"/>
          <w:sz w:val="21"/>
          <w:szCs w:val="21"/>
          <w:color w:val="000000"/>
        </w:rPr>
        <w:t xml:space="preserve"> </w:t>
      </w:r>
      <w:r>
        <w:rPr>
          <w:rFonts w:ascii="Arial" w:cs="Arial" w:eastAsia="Arial" w:hAnsi="Arial"/>
          <w:sz w:val="21"/>
          <w:szCs w:val="21"/>
          <w:color w:val="2F2F2F"/>
        </w:rPr>
        <w:t>interest</w:t>
      </w:r>
      <w:r>
        <w:rPr>
          <w:rFonts w:ascii="Arial" w:cs="Arial" w:eastAsia="Arial" w:hAnsi="Arial"/>
          <w:sz w:val="21"/>
          <w:szCs w:val="21"/>
          <w:color w:val="000000"/>
        </w:rPr>
        <w:t xml:space="preserve"> in </w:t>
      </w:r>
      <w:r>
        <w:rPr>
          <w:rFonts w:ascii="Arial" w:cs="Arial" w:eastAsia="Arial" w:hAnsi="Arial"/>
          <w:sz w:val="21"/>
          <w:szCs w:val="21"/>
          <w:color w:val="0F0F0F"/>
        </w:rPr>
        <w:t>the P</w:t>
      </w:r>
      <w:r>
        <w:rPr>
          <w:rFonts w:ascii="Arial" w:cs="Arial" w:eastAsia="Arial" w:hAnsi="Arial"/>
          <w:sz w:val="21"/>
          <w:szCs w:val="21"/>
          <w:color w:val="2F2F2F"/>
        </w:rPr>
        <w:t>remi</w:t>
      </w:r>
      <w:r>
        <w:rPr>
          <w:rFonts w:ascii="Arial" w:cs="Arial" w:eastAsia="Arial" w:hAnsi="Arial"/>
          <w:sz w:val="21"/>
          <w:szCs w:val="21"/>
          <w:color w:val="484848"/>
        </w:rPr>
        <w:t>s</w:t>
      </w:r>
      <w:r>
        <w:rPr>
          <w:rFonts w:ascii="Arial" w:cs="Arial" w:eastAsia="Arial" w:hAnsi="Arial"/>
          <w:sz w:val="21"/>
          <w:szCs w:val="21"/>
          <w:color w:val="2F2F2F"/>
        </w:rPr>
        <w:t>es,</w:t>
      </w:r>
      <w:r>
        <w:rPr>
          <w:rFonts w:ascii="Arial" w:cs="Arial" w:eastAsia="Arial" w:hAnsi="Arial"/>
          <w:sz w:val="21"/>
          <w:szCs w:val="21"/>
          <w:color w:val="000000"/>
        </w:rPr>
        <w:t xml:space="preserve"> the Building or the Property </w:t>
      </w:r>
      <w:r>
        <w:rPr>
          <w:rFonts w:ascii="Arial" w:cs="Arial" w:eastAsia="Arial" w:hAnsi="Arial"/>
          <w:sz w:val="21"/>
          <w:szCs w:val="21"/>
          <w:color w:val="2F2F2F"/>
        </w:rPr>
        <w:t>and shall,</w:t>
      </w:r>
      <w:r>
        <w:rPr>
          <w:rFonts w:ascii="Arial" w:cs="Arial" w:eastAsia="Arial" w:hAnsi="Arial"/>
          <w:sz w:val="21"/>
          <w:szCs w:val="21"/>
          <w:color w:val="000000"/>
        </w:rPr>
        <w:t xml:space="preserve"> at </w:t>
      </w:r>
      <w:r>
        <w:rPr>
          <w:rFonts w:ascii="Arial" w:cs="Arial" w:eastAsia="Arial" w:hAnsi="Arial"/>
          <w:sz w:val="21"/>
          <w:szCs w:val="21"/>
          <w:color w:val="0F0F0F"/>
        </w:rPr>
        <w:t>the</w:t>
      </w:r>
      <w:r>
        <w:rPr>
          <w:rFonts w:ascii="Arial" w:cs="Arial" w:eastAsia="Arial" w:hAnsi="Arial"/>
          <w:sz w:val="21"/>
          <w:szCs w:val="21"/>
          <w:color w:val="000000"/>
        </w:rPr>
        <w:t xml:space="preserve"> option </w:t>
      </w:r>
      <w:r>
        <w:rPr>
          <w:rFonts w:ascii="Arial" w:cs="Arial" w:eastAsia="Arial" w:hAnsi="Arial"/>
          <w:sz w:val="21"/>
          <w:szCs w:val="21"/>
          <w:color w:val="2F2F2F"/>
        </w:rPr>
        <w:t>of</w:t>
      </w:r>
      <w:r>
        <w:rPr>
          <w:rFonts w:ascii="Arial" w:cs="Arial" w:eastAsia="Arial" w:hAnsi="Arial"/>
          <w:sz w:val="21"/>
          <w:szCs w:val="21"/>
          <w:color w:val="000000"/>
        </w:rPr>
        <w:t xml:space="preserve"> </w:t>
      </w:r>
      <w:r>
        <w:rPr>
          <w:rFonts w:ascii="Arial" w:cs="Arial" w:eastAsia="Arial" w:hAnsi="Arial"/>
          <w:sz w:val="21"/>
          <w:szCs w:val="21"/>
          <w:color w:val="0F0F0F"/>
        </w:rPr>
        <w:t>the</w:t>
      </w:r>
      <w:r>
        <w:rPr>
          <w:rFonts w:ascii="Arial" w:cs="Arial" w:eastAsia="Arial" w:hAnsi="Arial"/>
          <w:sz w:val="21"/>
          <w:szCs w:val="21"/>
          <w:color w:val="000000"/>
        </w:rPr>
        <w:t xml:space="preserve"> </w:t>
      </w:r>
      <w:r>
        <w:rPr>
          <w:rFonts w:ascii="Arial" w:cs="Arial" w:eastAsia="Arial" w:hAnsi="Arial"/>
          <w:sz w:val="21"/>
          <w:szCs w:val="21"/>
          <w:color w:val="2F2F2F"/>
        </w:rPr>
        <w:t>successor</w:t>
      </w:r>
      <w:r>
        <w:rPr>
          <w:rFonts w:ascii="Arial" w:cs="Arial" w:eastAsia="Arial" w:hAnsi="Arial"/>
          <w:sz w:val="21"/>
          <w:szCs w:val="21"/>
          <w:color w:val="000000"/>
        </w:rPr>
        <w:t xml:space="preserve"> </w:t>
      </w:r>
      <w:r>
        <w:rPr>
          <w:rFonts w:ascii="Arial" w:cs="Arial" w:eastAsia="Arial" w:hAnsi="Arial"/>
          <w:sz w:val="21"/>
          <w:szCs w:val="21"/>
          <w:color w:val="0F0F0F"/>
        </w:rPr>
        <w:t>to Landlord’s</w:t>
      </w:r>
      <w:r>
        <w:rPr>
          <w:rFonts w:ascii="Arial" w:cs="Arial" w:eastAsia="Arial" w:hAnsi="Arial"/>
          <w:sz w:val="21"/>
          <w:szCs w:val="21"/>
          <w:color w:val="000000"/>
        </w:rPr>
        <w:t xml:space="preserve"> </w:t>
      </w:r>
      <w:r>
        <w:rPr>
          <w:rFonts w:ascii="Arial" w:cs="Arial" w:eastAsia="Arial" w:hAnsi="Arial"/>
          <w:sz w:val="21"/>
          <w:szCs w:val="21"/>
          <w:color w:val="2F2F2F"/>
        </w:rPr>
        <w:t>interest in</w:t>
      </w:r>
      <w:r>
        <w:rPr>
          <w:rFonts w:ascii="Arial" w:cs="Arial" w:eastAsia="Arial" w:hAnsi="Arial"/>
          <w:sz w:val="21"/>
          <w:szCs w:val="21"/>
          <w:color w:val="000000"/>
        </w:rPr>
        <w:t xml:space="preserve"> the Building or </w:t>
      </w:r>
      <w:r>
        <w:rPr>
          <w:rFonts w:ascii="Arial" w:cs="Arial" w:eastAsia="Arial" w:hAnsi="Arial"/>
          <w:sz w:val="21"/>
          <w:szCs w:val="21"/>
          <w:color w:val="2F2F2F"/>
        </w:rPr>
        <w:t>the</w:t>
      </w:r>
      <w:r>
        <w:rPr>
          <w:rFonts w:ascii="Arial" w:cs="Arial" w:eastAsia="Arial" w:hAnsi="Arial"/>
          <w:sz w:val="21"/>
          <w:szCs w:val="21"/>
          <w:color w:val="000000"/>
        </w:rPr>
        <w:t xml:space="preserve"> </w:t>
      </w:r>
      <w:r>
        <w:rPr>
          <w:rFonts w:ascii="Arial" w:cs="Arial" w:eastAsia="Arial" w:hAnsi="Arial"/>
          <w:sz w:val="21"/>
          <w:szCs w:val="21"/>
          <w:color w:val="2F2F2F"/>
        </w:rPr>
        <w:t xml:space="preserve">Project, </w:t>
      </w:r>
      <w:r>
        <w:rPr>
          <w:rFonts w:ascii="Arial" w:cs="Arial" w:eastAsia="Arial" w:hAnsi="Arial"/>
          <w:sz w:val="21"/>
          <w:szCs w:val="21"/>
          <w:color w:val="0F0F0F"/>
        </w:rPr>
        <w:t>as</w:t>
      </w:r>
      <w:r>
        <w:rPr>
          <w:rFonts w:ascii="Arial" w:cs="Arial" w:eastAsia="Arial" w:hAnsi="Arial"/>
          <w:sz w:val="21"/>
          <w:szCs w:val="21"/>
          <w:color w:val="2F2F2F"/>
        </w:rPr>
        <w:t xml:space="preserve"> </w:t>
      </w:r>
      <w:r>
        <w:rPr>
          <w:rFonts w:ascii="Arial" w:cs="Arial" w:eastAsia="Arial" w:hAnsi="Arial"/>
          <w:sz w:val="21"/>
          <w:szCs w:val="21"/>
          <w:color w:val="000000"/>
        </w:rPr>
        <w:t>applicable, operate</w:t>
      </w:r>
      <w:r>
        <w:rPr>
          <w:rFonts w:ascii="Arial" w:cs="Arial" w:eastAsia="Arial" w:hAnsi="Arial"/>
          <w:sz w:val="21"/>
          <w:szCs w:val="21"/>
          <w:color w:val="2F2F2F"/>
        </w:rPr>
        <w:t xml:space="preserve"> as an assignment of </w:t>
      </w:r>
      <w:r>
        <w:rPr>
          <w:rFonts w:ascii="Arial" w:cs="Arial" w:eastAsia="Arial" w:hAnsi="Arial"/>
          <w:sz w:val="21"/>
          <w:szCs w:val="21"/>
          <w:color w:val="0F0F0F"/>
        </w:rPr>
        <w:t>this</w:t>
      </w:r>
      <w:r>
        <w:rPr>
          <w:rFonts w:ascii="Arial" w:cs="Arial" w:eastAsia="Arial" w:hAnsi="Arial"/>
          <w:sz w:val="21"/>
          <w:szCs w:val="21"/>
          <w:color w:val="2F2F2F"/>
        </w:rPr>
        <w:t xml:space="preserve"> </w:t>
      </w:r>
      <w:r>
        <w:rPr>
          <w:rFonts w:ascii="Arial" w:cs="Arial" w:eastAsia="Arial" w:hAnsi="Arial"/>
          <w:sz w:val="21"/>
          <w:szCs w:val="21"/>
          <w:color w:val="000000"/>
        </w:rPr>
        <w:t>Lease</w:t>
      </w:r>
      <w:r>
        <w:rPr>
          <w:rFonts w:ascii="Arial" w:cs="Arial" w:eastAsia="Arial" w:hAnsi="Arial"/>
          <w:sz w:val="21"/>
          <w:szCs w:val="21"/>
          <w:color w:val="484848"/>
        </w:rPr>
        <w:t>.</w:t>
      </w:r>
    </w:p>
    <w:p>
      <w:pPr>
        <w:spacing w:after="0" w:line="159" w:lineRule="exact"/>
        <w:rPr>
          <w:sz w:val="20"/>
          <w:szCs w:val="20"/>
          <w:color w:val="auto"/>
        </w:rPr>
      </w:pPr>
    </w:p>
    <w:p>
      <w:pPr>
        <w:ind w:left="660" w:hanging="652"/>
        <w:spacing w:after="0"/>
        <w:tabs>
          <w:tab w:leader="none" w:pos="660"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Holding Over</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49" w:lineRule="auto"/>
        <w:rPr>
          <w:rFonts w:ascii="Arial" w:cs="Arial" w:eastAsia="Arial" w:hAnsi="Arial"/>
          <w:sz w:val="22"/>
          <w:szCs w:val="22"/>
          <w:color w:val="auto"/>
        </w:rPr>
      </w:pPr>
      <w:r>
        <w:rPr>
          <w:rFonts w:ascii="Arial" w:cs="Arial" w:eastAsia="Arial" w:hAnsi="Arial"/>
          <w:sz w:val="19"/>
          <w:szCs w:val="19"/>
          <w:color w:val="auto"/>
        </w:rPr>
        <w:t xml:space="preserve">27.1 If, with Landlord’s prior </w:t>
      </w:r>
      <w:r>
        <w:rPr>
          <w:rFonts w:ascii="Arial" w:cs="Arial" w:eastAsia="Arial" w:hAnsi="Arial"/>
          <w:sz w:val="19"/>
          <w:szCs w:val="19"/>
          <w:color w:val="0F0F0F"/>
        </w:rPr>
        <w:t>written</w:t>
      </w:r>
      <w:r>
        <w:rPr>
          <w:rFonts w:ascii="Arial" w:cs="Arial" w:eastAsia="Arial" w:hAnsi="Arial"/>
          <w:sz w:val="19"/>
          <w:szCs w:val="19"/>
          <w:color w:val="auto"/>
        </w:rPr>
        <w:t xml:space="preserve"> consent, Tenant </w:t>
      </w:r>
      <w:r>
        <w:rPr>
          <w:rFonts w:ascii="Arial" w:cs="Arial" w:eastAsia="Arial" w:hAnsi="Arial"/>
          <w:sz w:val="19"/>
          <w:szCs w:val="19"/>
          <w:color w:val="0F0F0F"/>
        </w:rPr>
        <w:t>holds</w:t>
      </w:r>
      <w:r>
        <w:rPr>
          <w:rFonts w:ascii="Arial" w:cs="Arial" w:eastAsia="Arial" w:hAnsi="Arial"/>
          <w:sz w:val="19"/>
          <w:szCs w:val="19"/>
          <w:color w:val="auto"/>
        </w:rPr>
        <w:t xml:space="preserve"> possession of all or any part of the </w:t>
      </w:r>
      <w:r>
        <w:rPr>
          <w:rFonts w:ascii="Arial" w:cs="Arial" w:eastAsia="Arial" w:hAnsi="Arial"/>
          <w:sz w:val="19"/>
          <w:szCs w:val="19"/>
          <w:color w:val="0F0F0F"/>
        </w:rPr>
        <w:t>Premises</w:t>
      </w:r>
      <w:r>
        <w:rPr>
          <w:rFonts w:ascii="Arial" w:cs="Arial" w:eastAsia="Arial" w:hAnsi="Arial"/>
          <w:sz w:val="19"/>
          <w:szCs w:val="19"/>
          <w:color w:val="auto"/>
        </w:rPr>
        <w:t xml:space="preserve"> </w:t>
      </w:r>
      <w:r>
        <w:rPr>
          <w:rFonts w:ascii="Arial" w:cs="Arial" w:eastAsia="Arial" w:hAnsi="Arial"/>
          <w:sz w:val="19"/>
          <w:szCs w:val="19"/>
          <w:color w:val="2F2F2F"/>
        </w:rPr>
        <w:t>after</w:t>
      </w:r>
      <w:r>
        <w:rPr>
          <w:rFonts w:ascii="Arial" w:cs="Arial" w:eastAsia="Arial" w:hAnsi="Arial"/>
          <w:sz w:val="19"/>
          <w:szCs w:val="19"/>
          <w:color w:val="auto"/>
        </w:rPr>
        <w:t xml:space="preserve"> </w:t>
      </w:r>
      <w:r>
        <w:rPr>
          <w:rFonts w:ascii="Arial" w:cs="Arial" w:eastAsia="Arial" w:hAnsi="Arial"/>
          <w:sz w:val="19"/>
          <w:szCs w:val="19"/>
          <w:color w:val="0F0F0F"/>
        </w:rPr>
        <w:t>the Term,</w:t>
      </w:r>
      <w:r>
        <w:rPr>
          <w:rFonts w:ascii="Arial" w:cs="Arial" w:eastAsia="Arial" w:hAnsi="Arial"/>
          <w:sz w:val="19"/>
          <w:szCs w:val="19"/>
          <w:color w:val="auto"/>
        </w:rPr>
        <w:t xml:space="preserve"> </w:t>
      </w:r>
      <w:r>
        <w:rPr>
          <w:rFonts w:ascii="Arial" w:cs="Arial" w:eastAsia="Arial" w:hAnsi="Arial"/>
          <w:sz w:val="19"/>
          <w:szCs w:val="19"/>
          <w:color w:val="0F0F0F"/>
        </w:rPr>
        <w:t xml:space="preserve">Tenant </w:t>
      </w:r>
      <w:r>
        <w:rPr>
          <w:rFonts w:ascii="Arial" w:cs="Arial" w:eastAsia="Arial" w:hAnsi="Arial"/>
          <w:sz w:val="19"/>
          <w:szCs w:val="19"/>
          <w:color w:val="2F2F2F"/>
        </w:rPr>
        <w:t>shall</w:t>
      </w:r>
      <w:r>
        <w:rPr>
          <w:rFonts w:ascii="Arial" w:cs="Arial" w:eastAsia="Arial" w:hAnsi="Arial"/>
          <w:sz w:val="19"/>
          <w:szCs w:val="19"/>
          <w:color w:val="0F0F0F"/>
        </w:rPr>
        <w:t xml:space="preserve"> become </w:t>
      </w:r>
      <w:r>
        <w:rPr>
          <w:rFonts w:ascii="Arial" w:cs="Arial" w:eastAsia="Arial" w:hAnsi="Arial"/>
          <w:sz w:val="19"/>
          <w:szCs w:val="19"/>
          <w:color w:val="000000"/>
        </w:rPr>
        <w:t>a</w:t>
      </w:r>
      <w:r>
        <w:rPr>
          <w:rFonts w:ascii="Arial" w:cs="Arial" w:eastAsia="Arial" w:hAnsi="Arial"/>
          <w:sz w:val="19"/>
          <w:szCs w:val="19"/>
          <w:color w:val="0F0F0F"/>
        </w:rPr>
        <w:t xml:space="preserve"> tenant </w:t>
      </w:r>
      <w:r>
        <w:rPr>
          <w:rFonts w:ascii="Arial" w:cs="Arial" w:eastAsia="Arial" w:hAnsi="Arial"/>
          <w:sz w:val="19"/>
          <w:szCs w:val="19"/>
          <w:color w:val="2F2F2F"/>
        </w:rPr>
        <w:t>from month to month</w:t>
      </w:r>
      <w:r>
        <w:rPr>
          <w:rFonts w:ascii="Arial" w:cs="Arial" w:eastAsia="Arial" w:hAnsi="Arial"/>
          <w:sz w:val="19"/>
          <w:szCs w:val="19"/>
          <w:color w:val="0F0F0F"/>
        </w:rPr>
        <w:t xml:space="preserve"> </w:t>
      </w:r>
      <w:r>
        <w:rPr>
          <w:rFonts w:ascii="Arial" w:cs="Arial" w:eastAsia="Arial" w:hAnsi="Arial"/>
          <w:sz w:val="19"/>
          <w:szCs w:val="19"/>
          <w:color w:val="000000"/>
        </w:rPr>
        <w:t>after</w:t>
      </w:r>
      <w:r>
        <w:rPr>
          <w:rFonts w:ascii="Arial" w:cs="Arial" w:eastAsia="Arial" w:hAnsi="Arial"/>
          <w:sz w:val="19"/>
          <w:szCs w:val="19"/>
          <w:color w:val="0F0F0F"/>
        </w:rPr>
        <w:t xml:space="preserve"> </w:t>
      </w:r>
      <w:r>
        <w:rPr>
          <w:rFonts w:ascii="Arial" w:cs="Arial" w:eastAsia="Arial" w:hAnsi="Arial"/>
          <w:sz w:val="19"/>
          <w:szCs w:val="19"/>
          <w:color w:val="0E0E0E"/>
        </w:rPr>
        <w:t>the</w:t>
      </w:r>
      <w:r>
        <w:rPr>
          <w:rFonts w:ascii="Arial" w:cs="Arial" w:eastAsia="Arial" w:hAnsi="Arial"/>
          <w:sz w:val="19"/>
          <w:szCs w:val="19"/>
          <w:color w:val="0F0F0F"/>
        </w:rPr>
        <w:t xml:space="preserve"> </w:t>
      </w:r>
      <w:r>
        <w:rPr>
          <w:rFonts w:ascii="Arial" w:cs="Arial" w:eastAsia="Arial" w:hAnsi="Arial"/>
          <w:sz w:val="19"/>
          <w:szCs w:val="19"/>
          <w:color w:val="000000"/>
        </w:rPr>
        <w:t>expiration or earlier termination of the</w:t>
      </w:r>
      <w:r>
        <w:rPr>
          <w:rFonts w:ascii="Arial" w:cs="Arial" w:eastAsia="Arial" w:hAnsi="Arial"/>
          <w:sz w:val="19"/>
          <w:szCs w:val="19"/>
          <w:color w:val="0F0F0F"/>
        </w:rPr>
        <w:t xml:space="preserve"> </w:t>
      </w:r>
      <w:r>
        <w:rPr>
          <w:rFonts w:ascii="Arial" w:cs="Arial" w:eastAsia="Arial" w:hAnsi="Arial"/>
          <w:sz w:val="19"/>
          <w:szCs w:val="19"/>
          <w:color w:val="343434"/>
        </w:rPr>
        <w:t>Term, and in</w:t>
      </w:r>
      <w:r>
        <w:rPr>
          <w:rFonts w:ascii="Arial" w:cs="Arial" w:eastAsia="Arial" w:hAnsi="Arial"/>
          <w:sz w:val="19"/>
          <w:szCs w:val="19"/>
          <w:color w:val="0F0F0F"/>
        </w:rPr>
        <w:t xml:space="preserve"> </w:t>
      </w:r>
      <w:r>
        <w:rPr>
          <w:rFonts w:ascii="Arial" w:cs="Arial" w:eastAsia="Arial" w:hAnsi="Arial"/>
          <w:sz w:val="19"/>
          <w:szCs w:val="19"/>
          <w:color w:val="343434"/>
        </w:rPr>
        <w:t xml:space="preserve">such case </w:t>
      </w:r>
      <w:r>
        <w:rPr>
          <w:rFonts w:ascii="Arial" w:cs="Arial" w:eastAsia="Arial" w:hAnsi="Arial"/>
          <w:sz w:val="19"/>
          <w:szCs w:val="19"/>
          <w:color w:val="000000"/>
        </w:rPr>
        <w:t>Tenant shall continue to pay (a) Base</w:t>
      </w:r>
      <w:r>
        <w:rPr>
          <w:rFonts w:ascii="Arial" w:cs="Arial" w:eastAsia="Arial" w:hAnsi="Arial"/>
          <w:sz w:val="19"/>
          <w:szCs w:val="19"/>
          <w:color w:val="343434"/>
        </w:rPr>
        <w:t xml:space="preserve"> Rent in accordance </w:t>
      </w:r>
      <w:r>
        <w:rPr>
          <w:rFonts w:ascii="Arial" w:cs="Arial" w:eastAsia="Arial" w:hAnsi="Arial"/>
          <w:sz w:val="19"/>
          <w:szCs w:val="19"/>
          <w:color w:val="000000"/>
        </w:rPr>
        <w:t>with</w:t>
      </w:r>
      <w:r>
        <w:rPr>
          <w:rFonts w:ascii="Arial" w:cs="Arial" w:eastAsia="Arial" w:hAnsi="Arial"/>
          <w:sz w:val="19"/>
          <w:szCs w:val="19"/>
          <w:color w:val="343434"/>
        </w:rPr>
        <w:t xml:space="preserve"> </w:t>
      </w:r>
      <w:r>
        <w:rPr>
          <w:rFonts w:ascii="Arial" w:cs="Arial" w:eastAsia="Arial" w:hAnsi="Arial"/>
          <w:sz w:val="19"/>
          <w:szCs w:val="19"/>
          <w:u w:val="single" w:color="auto"/>
          <w:color w:val="343434"/>
        </w:rPr>
        <w:t>Article</w:t>
      </w:r>
      <w:r>
        <w:rPr>
          <w:rFonts w:ascii="Arial" w:cs="Arial" w:eastAsia="Arial" w:hAnsi="Arial"/>
          <w:sz w:val="19"/>
          <w:szCs w:val="19"/>
          <w:color w:val="343434"/>
        </w:rPr>
        <w:t xml:space="preserve"> </w:t>
      </w:r>
      <w:r>
        <w:rPr>
          <w:rFonts w:ascii="Arial" w:cs="Arial" w:eastAsia="Arial" w:hAnsi="Arial"/>
          <w:sz w:val="19"/>
          <w:szCs w:val="19"/>
          <w:u w:val="single" w:color="auto"/>
          <w:color w:val="000000"/>
        </w:rPr>
        <w:t>7</w:t>
      </w:r>
      <w:r>
        <w:rPr>
          <w:rFonts w:ascii="Arial" w:cs="Arial" w:eastAsia="Arial" w:hAnsi="Arial"/>
          <w:sz w:val="19"/>
          <w:szCs w:val="19"/>
          <w:color w:val="000000"/>
        </w:rPr>
        <w:t>, as</w:t>
      </w:r>
      <w:r>
        <w:rPr>
          <w:rFonts w:ascii="Arial" w:cs="Arial" w:eastAsia="Arial" w:hAnsi="Arial"/>
          <w:sz w:val="19"/>
          <w:szCs w:val="19"/>
          <w:color w:val="343434"/>
        </w:rPr>
        <w:t xml:space="preserve"> adjusted </w:t>
      </w:r>
      <w:r>
        <w:rPr>
          <w:rFonts w:ascii="Arial" w:cs="Arial" w:eastAsia="Arial" w:hAnsi="Arial"/>
          <w:sz w:val="19"/>
          <w:szCs w:val="19"/>
          <w:color w:val="000000"/>
        </w:rPr>
        <w:t>in accordance with</w:t>
      </w:r>
      <w:r>
        <w:rPr>
          <w:rFonts w:ascii="Arial" w:cs="Arial" w:eastAsia="Arial" w:hAnsi="Arial"/>
          <w:sz w:val="19"/>
          <w:szCs w:val="19"/>
          <w:color w:val="343434"/>
        </w:rPr>
        <w:t xml:space="preserve"> </w:t>
      </w:r>
      <w:r>
        <w:rPr>
          <w:rFonts w:ascii="Arial" w:cs="Arial" w:eastAsia="Arial" w:hAnsi="Arial"/>
          <w:sz w:val="19"/>
          <w:szCs w:val="19"/>
          <w:u w:val="single" w:color="auto"/>
          <w:color w:val="000000"/>
        </w:rPr>
        <w:t>Article 8</w:t>
      </w:r>
      <w:r>
        <w:rPr>
          <w:rFonts w:ascii="Arial" w:cs="Arial" w:eastAsia="Arial" w:hAnsi="Arial"/>
          <w:sz w:val="19"/>
          <w:szCs w:val="19"/>
          <w:color w:val="000000"/>
        </w:rPr>
        <w:t xml:space="preserve">, and (b) any </w:t>
      </w:r>
      <w:r>
        <w:rPr>
          <w:rFonts w:ascii="Arial" w:cs="Arial" w:eastAsia="Arial" w:hAnsi="Arial"/>
          <w:sz w:val="19"/>
          <w:szCs w:val="19"/>
          <w:color w:val="343434"/>
        </w:rPr>
        <w:t>amounts</w:t>
      </w:r>
      <w:r>
        <w:rPr>
          <w:rFonts w:ascii="Arial" w:cs="Arial" w:eastAsia="Arial" w:hAnsi="Arial"/>
          <w:sz w:val="19"/>
          <w:szCs w:val="19"/>
          <w:color w:val="000000"/>
        </w:rPr>
        <w:t xml:space="preserve"> for which </w:t>
      </w:r>
      <w:r>
        <w:rPr>
          <w:rFonts w:ascii="Arial" w:cs="Arial" w:eastAsia="Arial" w:hAnsi="Arial"/>
          <w:sz w:val="19"/>
          <w:szCs w:val="19"/>
          <w:color w:val="343434"/>
        </w:rPr>
        <w:t>Tenant</w:t>
      </w:r>
      <w:r>
        <w:rPr>
          <w:rFonts w:ascii="Arial" w:cs="Arial" w:eastAsia="Arial" w:hAnsi="Arial"/>
          <w:sz w:val="19"/>
          <w:szCs w:val="19"/>
          <w:color w:val="000000"/>
        </w:rPr>
        <w:t xml:space="preserve"> would otherwise be liable </w:t>
      </w:r>
      <w:r>
        <w:rPr>
          <w:rFonts w:ascii="Arial" w:cs="Arial" w:eastAsia="Arial" w:hAnsi="Arial"/>
          <w:sz w:val="19"/>
          <w:szCs w:val="19"/>
          <w:color w:val="0E0E0E"/>
        </w:rPr>
        <w:t>under</w:t>
      </w:r>
      <w:r>
        <w:rPr>
          <w:rFonts w:ascii="Arial" w:cs="Arial" w:eastAsia="Arial" w:hAnsi="Arial"/>
          <w:sz w:val="19"/>
          <w:szCs w:val="19"/>
          <w:color w:val="000000"/>
        </w:rPr>
        <w:t xml:space="preserve"> this Lease </w:t>
      </w:r>
      <w:r>
        <w:rPr>
          <w:rFonts w:ascii="Arial" w:cs="Arial" w:eastAsia="Arial" w:hAnsi="Arial"/>
          <w:sz w:val="19"/>
          <w:szCs w:val="19"/>
          <w:color w:val="343434"/>
        </w:rPr>
        <w:t>if the</w:t>
      </w:r>
      <w:r>
        <w:rPr>
          <w:rFonts w:ascii="Arial" w:cs="Arial" w:eastAsia="Arial" w:hAnsi="Arial"/>
          <w:sz w:val="19"/>
          <w:szCs w:val="19"/>
          <w:color w:val="000000"/>
        </w:rPr>
        <w:t xml:space="preserve"> Lease were </w:t>
      </w:r>
      <w:r>
        <w:rPr>
          <w:rFonts w:ascii="Arial" w:cs="Arial" w:eastAsia="Arial" w:hAnsi="Arial"/>
          <w:sz w:val="19"/>
          <w:szCs w:val="19"/>
          <w:color w:val="343434"/>
        </w:rPr>
        <w:t>still</w:t>
      </w:r>
      <w:r>
        <w:rPr>
          <w:rFonts w:ascii="Arial" w:cs="Arial" w:eastAsia="Arial" w:hAnsi="Arial"/>
          <w:sz w:val="19"/>
          <w:szCs w:val="19"/>
          <w:color w:val="000000"/>
        </w:rPr>
        <w:t xml:space="preserve"> in effect, including </w:t>
      </w:r>
      <w:r>
        <w:rPr>
          <w:rFonts w:ascii="Arial" w:cs="Arial" w:eastAsia="Arial" w:hAnsi="Arial"/>
          <w:sz w:val="19"/>
          <w:szCs w:val="19"/>
          <w:color w:val="0E0E0E"/>
        </w:rPr>
        <w:t>payments</w:t>
      </w:r>
      <w:r>
        <w:rPr>
          <w:rFonts w:ascii="Arial" w:cs="Arial" w:eastAsia="Arial" w:hAnsi="Arial"/>
          <w:sz w:val="19"/>
          <w:szCs w:val="19"/>
          <w:color w:val="000000"/>
        </w:rPr>
        <w:t xml:space="preserve"> for Tenant’s Pro </w:t>
      </w:r>
      <w:r>
        <w:rPr>
          <w:rFonts w:ascii="Arial" w:cs="Arial" w:eastAsia="Arial" w:hAnsi="Arial"/>
          <w:sz w:val="19"/>
          <w:szCs w:val="19"/>
          <w:color w:val="0E0E0E"/>
        </w:rPr>
        <w:t>Rata</w:t>
      </w:r>
      <w:r>
        <w:rPr>
          <w:rFonts w:ascii="Arial" w:cs="Arial" w:eastAsia="Arial" w:hAnsi="Arial"/>
          <w:sz w:val="19"/>
          <w:szCs w:val="19"/>
          <w:color w:val="000000"/>
        </w:rPr>
        <w:t xml:space="preserve"> Share of </w:t>
      </w:r>
      <w:r>
        <w:rPr>
          <w:rFonts w:ascii="Arial" w:cs="Arial" w:eastAsia="Arial" w:hAnsi="Arial"/>
          <w:sz w:val="19"/>
          <w:szCs w:val="19"/>
          <w:color w:val="0E0E0E"/>
        </w:rPr>
        <w:t>Operating</w:t>
      </w:r>
      <w:r>
        <w:rPr>
          <w:rFonts w:ascii="Arial" w:cs="Arial" w:eastAsia="Arial" w:hAnsi="Arial"/>
          <w:sz w:val="19"/>
          <w:szCs w:val="19"/>
          <w:color w:val="000000"/>
        </w:rPr>
        <w:t xml:space="preserve"> Expenses. </w:t>
      </w:r>
      <w:r>
        <w:rPr>
          <w:rFonts w:ascii="Arial" w:cs="Arial" w:eastAsia="Arial" w:hAnsi="Arial"/>
          <w:sz w:val="19"/>
          <w:szCs w:val="19"/>
          <w:color w:val="343434"/>
        </w:rPr>
        <w:t>Any such</w:t>
      </w:r>
      <w:r>
        <w:rPr>
          <w:rFonts w:ascii="Arial" w:cs="Arial" w:eastAsia="Arial" w:hAnsi="Arial"/>
          <w:sz w:val="19"/>
          <w:szCs w:val="19"/>
          <w:color w:val="000000"/>
        </w:rPr>
        <w:t xml:space="preserve"> month-to-month </w:t>
      </w:r>
      <w:r>
        <w:rPr>
          <w:rFonts w:ascii="Arial" w:cs="Arial" w:eastAsia="Arial" w:hAnsi="Arial"/>
          <w:sz w:val="19"/>
          <w:szCs w:val="19"/>
          <w:color w:val="343434"/>
        </w:rPr>
        <w:t xml:space="preserve">tenancy </w:t>
      </w:r>
      <w:r>
        <w:rPr>
          <w:rFonts w:ascii="Arial" w:cs="Arial" w:eastAsia="Arial" w:hAnsi="Arial"/>
          <w:sz w:val="19"/>
          <w:szCs w:val="19"/>
          <w:color w:val="000000"/>
        </w:rPr>
        <w:t>shall be</w:t>
      </w:r>
      <w:r>
        <w:rPr>
          <w:rFonts w:ascii="Arial" w:cs="Arial" w:eastAsia="Arial" w:hAnsi="Arial"/>
          <w:sz w:val="19"/>
          <w:szCs w:val="19"/>
          <w:color w:val="343434"/>
        </w:rPr>
        <w:t xml:space="preserve"> subject </w:t>
      </w:r>
      <w:r>
        <w:rPr>
          <w:rFonts w:ascii="Arial" w:cs="Arial" w:eastAsia="Arial" w:hAnsi="Arial"/>
          <w:sz w:val="19"/>
          <w:szCs w:val="19"/>
          <w:color w:val="000000"/>
        </w:rPr>
        <w:t>to every other term, covenant and agreement contained herein.</w:t>
      </w:r>
    </w:p>
    <w:p>
      <w:pPr>
        <w:spacing w:after="0" w:line="151" w:lineRule="exact"/>
        <w:rPr>
          <w:rFonts w:ascii="Arial" w:cs="Arial" w:eastAsia="Arial" w:hAnsi="Arial"/>
          <w:sz w:val="22"/>
          <w:szCs w:val="22"/>
          <w:color w:val="auto"/>
        </w:rPr>
      </w:pPr>
    </w:p>
    <w:p>
      <w:pPr>
        <w:ind w:left="1300" w:hanging="648"/>
        <w:spacing w:after="0" w:line="224" w:lineRule="auto"/>
        <w:rPr>
          <w:rFonts w:ascii="Arial" w:cs="Arial" w:eastAsia="Arial" w:hAnsi="Arial"/>
          <w:sz w:val="22"/>
          <w:szCs w:val="22"/>
          <w:color w:val="auto"/>
        </w:rPr>
      </w:pPr>
      <w:r>
        <w:rPr>
          <w:rFonts w:ascii="Arial" w:cs="Arial" w:eastAsia="Arial" w:hAnsi="Arial"/>
          <w:sz w:val="21"/>
          <w:szCs w:val="21"/>
          <w:color w:val="auto"/>
        </w:rPr>
        <w:t xml:space="preserve">27.2 </w:t>
      </w:r>
      <w:r>
        <w:rPr>
          <w:rFonts w:ascii="Arial" w:cs="Arial" w:eastAsia="Arial" w:hAnsi="Arial"/>
          <w:sz w:val="21"/>
          <w:szCs w:val="21"/>
          <w:color w:val="343434"/>
        </w:rPr>
        <w:t>Notwithstanding</w:t>
      </w:r>
      <w:r>
        <w:rPr>
          <w:rFonts w:ascii="Arial" w:cs="Arial" w:eastAsia="Arial" w:hAnsi="Arial"/>
          <w:sz w:val="21"/>
          <w:szCs w:val="21"/>
          <w:color w:val="auto"/>
        </w:rPr>
        <w:t xml:space="preserve"> the </w:t>
      </w:r>
      <w:r>
        <w:rPr>
          <w:rFonts w:ascii="Arial" w:cs="Arial" w:eastAsia="Arial" w:hAnsi="Arial"/>
          <w:sz w:val="21"/>
          <w:szCs w:val="21"/>
          <w:color w:val="0E0E0E"/>
        </w:rPr>
        <w:t>foregoing,</w:t>
      </w:r>
      <w:r>
        <w:rPr>
          <w:rFonts w:ascii="Arial" w:cs="Arial" w:eastAsia="Arial" w:hAnsi="Arial"/>
          <w:sz w:val="21"/>
          <w:szCs w:val="21"/>
          <w:color w:val="auto"/>
        </w:rPr>
        <w:t xml:space="preserve"> </w:t>
      </w:r>
      <w:r>
        <w:rPr>
          <w:rFonts w:ascii="Arial" w:cs="Arial" w:eastAsia="Arial" w:hAnsi="Arial"/>
          <w:sz w:val="21"/>
          <w:szCs w:val="21"/>
          <w:color w:val="343434"/>
        </w:rPr>
        <w:t>if</w:t>
      </w:r>
      <w:r>
        <w:rPr>
          <w:rFonts w:ascii="Arial" w:cs="Arial" w:eastAsia="Arial" w:hAnsi="Arial"/>
          <w:sz w:val="21"/>
          <w:szCs w:val="21"/>
          <w:color w:val="auto"/>
        </w:rPr>
        <w:t xml:space="preserve"> Tenant </w:t>
      </w:r>
      <w:r>
        <w:rPr>
          <w:rFonts w:ascii="Arial" w:cs="Arial" w:eastAsia="Arial" w:hAnsi="Arial"/>
          <w:sz w:val="21"/>
          <w:szCs w:val="21"/>
          <w:color w:val="0E0E0E"/>
        </w:rPr>
        <w:t>remains</w:t>
      </w:r>
      <w:r>
        <w:rPr>
          <w:rFonts w:ascii="Arial" w:cs="Arial" w:eastAsia="Arial" w:hAnsi="Arial"/>
          <w:sz w:val="21"/>
          <w:szCs w:val="21"/>
          <w:color w:val="auto"/>
        </w:rPr>
        <w:t xml:space="preserve"> in possession of </w:t>
      </w:r>
      <w:r>
        <w:rPr>
          <w:rFonts w:ascii="Arial" w:cs="Arial" w:eastAsia="Arial" w:hAnsi="Arial"/>
          <w:sz w:val="21"/>
          <w:szCs w:val="21"/>
          <w:color w:val="0E0E0E"/>
        </w:rPr>
        <w:t>the</w:t>
      </w:r>
      <w:r>
        <w:rPr>
          <w:rFonts w:ascii="Arial" w:cs="Arial" w:eastAsia="Arial" w:hAnsi="Arial"/>
          <w:sz w:val="21"/>
          <w:szCs w:val="21"/>
          <w:color w:val="auto"/>
        </w:rPr>
        <w:t xml:space="preserve"> Premises after the expiration or earlier termination of the </w:t>
      </w:r>
      <w:r>
        <w:rPr>
          <w:rFonts w:ascii="Arial" w:cs="Arial" w:eastAsia="Arial" w:hAnsi="Arial"/>
          <w:sz w:val="21"/>
          <w:szCs w:val="21"/>
          <w:color w:val="0E0E0E"/>
        </w:rPr>
        <w:t>Term</w:t>
      </w:r>
      <w:r>
        <w:rPr>
          <w:rFonts w:ascii="Arial" w:cs="Arial" w:eastAsia="Arial" w:hAnsi="Arial"/>
          <w:sz w:val="21"/>
          <w:szCs w:val="21"/>
          <w:color w:val="auto"/>
        </w:rPr>
        <w:t xml:space="preserve"> without Landlord’s prior written consent, (a) Tenant </w:t>
      </w:r>
      <w:r>
        <w:rPr>
          <w:rFonts w:ascii="Arial" w:cs="Arial" w:eastAsia="Arial" w:hAnsi="Arial"/>
          <w:sz w:val="21"/>
          <w:szCs w:val="21"/>
          <w:color w:val="343434"/>
        </w:rPr>
        <w:t>shall</w:t>
      </w:r>
      <w:r>
        <w:rPr>
          <w:rFonts w:ascii="Arial" w:cs="Arial" w:eastAsia="Arial" w:hAnsi="Arial"/>
          <w:sz w:val="21"/>
          <w:szCs w:val="21"/>
          <w:color w:val="auto"/>
        </w:rPr>
        <w:t xml:space="preserve"> </w:t>
      </w:r>
      <w:r>
        <w:rPr>
          <w:rFonts w:ascii="Arial" w:cs="Arial" w:eastAsia="Arial" w:hAnsi="Arial"/>
          <w:sz w:val="21"/>
          <w:szCs w:val="21"/>
          <w:color w:val="0E0E0E"/>
        </w:rPr>
        <w:t>become</w:t>
      </w:r>
      <w:r>
        <w:rPr>
          <w:rFonts w:ascii="Arial" w:cs="Arial" w:eastAsia="Arial" w:hAnsi="Arial"/>
          <w:sz w:val="21"/>
          <w:szCs w:val="21"/>
          <w:color w:val="auto"/>
        </w:rPr>
        <w:t xml:space="preserve"> a tenant at sufferance subject </w:t>
      </w:r>
      <w:r>
        <w:rPr>
          <w:rFonts w:ascii="Arial" w:cs="Arial" w:eastAsia="Arial" w:hAnsi="Arial"/>
          <w:sz w:val="21"/>
          <w:szCs w:val="21"/>
          <w:color w:val="0E0E0E"/>
        </w:rPr>
        <w:t>to the</w:t>
      </w:r>
      <w:r>
        <w:rPr>
          <w:rFonts w:ascii="Arial" w:cs="Arial" w:eastAsia="Arial" w:hAnsi="Arial"/>
          <w:sz w:val="21"/>
          <w:szCs w:val="21"/>
          <w:color w:val="auto"/>
        </w:rPr>
        <w:t xml:space="preserve"> terms and conditions of </w:t>
      </w:r>
      <w:r>
        <w:rPr>
          <w:rFonts w:ascii="Arial" w:cs="Arial" w:eastAsia="Arial" w:hAnsi="Arial"/>
          <w:sz w:val="21"/>
          <w:szCs w:val="21"/>
          <w:color w:val="343434"/>
        </w:rPr>
        <w:t>this</w:t>
      </w:r>
      <w:r>
        <w:rPr>
          <w:rFonts w:ascii="Arial" w:cs="Arial" w:eastAsia="Arial" w:hAnsi="Arial"/>
          <w:sz w:val="21"/>
          <w:szCs w:val="21"/>
          <w:color w:val="auto"/>
        </w:rPr>
        <w:t xml:space="preserve"> Lease, except </w:t>
      </w:r>
      <w:r>
        <w:rPr>
          <w:rFonts w:ascii="Arial" w:cs="Arial" w:eastAsia="Arial" w:hAnsi="Arial"/>
          <w:sz w:val="21"/>
          <w:szCs w:val="21"/>
          <w:color w:val="343434"/>
        </w:rPr>
        <w:t>that</w:t>
      </w:r>
      <w:r>
        <w:rPr>
          <w:rFonts w:ascii="Arial" w:cs="Arial" w:eastAsia="Arial" w:hAnsi="Arial"/>
          <w:sz w:val="21"/>
          <w:szCs w:val="21"/>
          <w:color w:val="auto"/>
        </w:rPr>
        <w:t xml:space="preserve"> the </w:t>
      </w:r>
      <w:r>
        <w:rPr>
          <w:rFonts w:ascii="Arial" w:cs="Arial" w:eastAsia="Arial" w:hAnsi="Arial"/>
          <w:sz w:val="21"/>
          <w:szCs w:val="21"/>
          <w:color w:val="0E0E0E"/>
        </w:rPr>
        <w:t>monthly</w:t>
      </w:r>
      <w:r>
        <w:rPr>
          <w:rFonts w:ascii="Arial" w:cs="Arial" w:eastAsia="Arial" w:hAnsi="Arial"/>
          <w:sz w:val="21"/>
          <w:szCs w:val="21"/>
          <w:color w:val="auto"/>
        </w:rPr>
        <w:t xml:space="preserve"> rent </w:t>
      </w:r>
      <w:r>
        <w:rPr>
          <w:rFonts w:ascii="Arial" w:cs="Arial" w:eastAsia="Arial" w:hAnsi="Arial"/>
          <w:sz w:val="21"/>
          <w:szCs w:val="21"/>
          <w:color w:val="343434"/>
        </w:rPr>
        <w:t>shall</w:t>
      </w:r>
      <w:r>
        <w:rPr>
          <w:rFonts w:ascii="Arial" w:cs="Arial" w:eastAsia="Arial" w:hAnsi="Arial"/>
          <w:sz w:val="21"/>
          <w:szCs w:val="21"/>
          <w:color w:val="auto"/>
        </w:rPr>
        <w:t xml:space="preserve"> </w:t>
      </w:r>
      <w:r>
        <w:rPr>
          <w:rFonts w:ascii="Arial" w:cs="Arial" w:eastAsia="Arial" w:hAnsi="Arial"/>
          <w:sz w:val="21"/>
          <w:szCs w:val="21"/>
          <w:color w:val="0E0E0E"/>
        </w:rPr>
        <w:t>be</w:t>
      </w:r>
      <w:r>
        <w:rPr>
          <w:rFonts w:ascii="Arial" w:cs="Arial" w:eastAsia="Arial" w:hAnsi="Arial"/>
          <w:sz w:val="21"/>
          <w:szCs w:val="21"/>
          <w:color w:val="auto"/>
        </w:rPr>
        <w:t xml:space="preserve"> equal </w:t>
      </w:r>
      <w:r>
        <w:rPr>
          <w:rFonts w:ascii="Arial" w:cs="Arial" w:eastAsia="Arial" w:hAnsi="Arial"/>
          <w:sz w:val="21"/>
          <w:szCs w:val="21"/>
          <w:color w:val="0E0E0E"/>
        </w:rPr>
        <w:t>to</w:t>
      </w:r>
      <w:r>
        <w:rPr>
          <w:rFonts w:ascii="Arial" w:cs="Arial" w:eastAsia="Arial" w:hAnsi="Arial"/>
          <w:sz w:val="21"/>
          <w:szCs w:val="21"/>
          <w:color w:val="auto"/>
        </w:rPr>
        <w:t xml:space="preserve"> </w:t>
      </w:r>
      <w:r>
        <w:rPr>
          <w:rFonts w:ascii="Arial" w:cs="Arial" w:eastAsia="Arial" w:hAnsi="Arial"/>
          <w:sz w:val="21"/>
          <w:szCs w:val="21"/>
          <w:u w:val="single" w:color="auto"/>
          <w:color w:val="auto"/>
        </w:rPr>
        <w:t>[***]</w:t>
      </w:r>
      <w:r>
        <w:rPr>
          <w:rFonts w:ascii="Arial" w:cs="Arial" w:eastAsia="Arial" w:hAnsi="Arial"/>
          <w:sz w:val="21"/>
          <w:szCs w:val="21"/>
          <w:color w:val="auto"/>
        </w:rPr>
        <w:t xml:space="preserve"> percent (</w:t>
      </w:r>
      <w:r>
        <w:rPr>
          <w:rFonts w:ascii="Arial" w:cs="Arial" w:eastAsia="Arial" w:hAnsi="Arial"/>
          <w:sz w:val="21"/>
          <w:szCs w:val="21"/>
          <w:u w:val="single" w:color="auto"/>
          <w:color w:val="auto"/>
        </w:rPr>
        <w:t>[***]</w:t>
      </w:r>
      <w:r>
        <w:rPr>
          <w:rFonts w:ascii="Arial" w:cs="Arial" w:eastAsia="Arial" w:hAnsi="Arial"/>
          <w:sz w:val="21"/>
          <w:szCs w:val="21"/>
          <w:color w:val="auto"/>
        </w:rPr>
        <w:t xml:space="preserve">%) of the Base Rent and </w:t>
      </w:r>
      <w:r>
        <w:rPr>
          <w:rFonts w:ascii="Arial" w:cs="Arial" w:eastAsia="Arial" w:hAnsi="Arial"/>
          <w:sz w:val="21"/>
          <w:szCs w:val="21"/>
          <w:u w:val="single" w:color="auto"/>
          <w:color w:val="auto"/>
        </w:rPr>
        <w:t>[***]</w:t>
      </w:r>
      <w:r>
        <w:rPr>
          <w:rFonts w:ascii="Arial" w:cs="Arial" w:eastAsia="Arial" w:hAnsi="Arial"/>
          <w:sz w:val="21"/>
          <w:szCs w:val="21"/>
          <w:color w:val="auto"/>
        </w:rPr>
        <w:t xml:space="preserve"> percent (</w:t>
      </w:r>
      <w:r>
        <w:rPr>
          <w:rFonts w:ascii="Arial" w:cs="Arial" w:eastAsia="Arial" w:hAnsi="Arial"/>
          <w:sz w:val="21"/>
          <w:szCs w:val="21"/>
          <w:u w:val="single" w:color="auto"/>
          <w:color w:val="auto"/>
        </w:rPr>
        <w:t>[***]</w:t>
      </w:r>
      <w:r>
        <w:rPr>
          <w:rFonts w:ascii="Arial" w:cs="Arial" w:eastAsia="Arial" w:hAnsi="Arial"/>
          <w:sz w:val="21"/>
          <w:szCs w:val="21"/>
          <w:color w:val="auto"/>
        </w:rPr>
        <w:t xml:space="preserve">%) of Additional Rent </w:t>
      </w:r>
      <w:r>
        <w:rPr>
          <w:rFonts w:ascii="Arial" w:cs="Arial" w:eastAsia="Arial" w:hAnsi="Arial"/>
          <w:sz w:val="21"/>
          <w:szCs w:val="21"/>
          <w:color w:val="0E0E0E"/>
        </w:rPr>
        <w:t>in</w:t>
      </w:r>
      <w:r>
        <w:rPr>
          <w:rFonts w:ascii="Arial" w:cs="Arial" w:eastAsia="Arial" w:hAnsi="Arial"/>
          <w:sz w:val="21"/>
          <w:szCs w:val="21"/>
          <w:color w:val="auto"/>
        </w:rPr>
        <w:t xml:space="preserve"> effect during </w:t>
      </w:r>
      <w:r>
        <w:rPr>
          <w:rFonts w:ascii="Arial" w:cs="Arial" w:eastAsia="Arial" w:hAnsi="Arial"/>
          <w:sz w:val="21"/>
          <w:szCs w:val="21"/>
          <w:color w:val="0E0E0E"/>
        </w:rPr>
        <w:t>the last</w:t>
      </w:r>
      <w:r>
        <w:rPr>
          <w:rFonts w:ascii="Arial" w:cs="Arial" w:eastAsia="Arial" w:hAnsi="Arial"/>
          <w:sz w:val="21"/>
          <w:szCs w:val="21"/>
          <w:color w:val="auto"/>
        </w:rPr>
        <w:t xml:space="preserve"> </w:t>
      </w:r>
      <w:r>
        <w:rPr>
          <w:rFonts w:ascii="Arial" w:cs="Arial" w:eastAsia="Arial" w:hAnsi="Arial"/>
          <w:sz w:val="21"/>
          <w:szCs w:val="21"/>
          <w:u w:val="single" w:color="auto"/>
          <w:color w:val="auto"/>
        </w:rPr>
        <w:t>[***]</w:t>
      </w:r>
      <w:r>
        <w:rPr>
          <w:rFonts w:ascii="Arial" w:cs="Arial" w:eastAsia="Arial" w:hAnsi="Arial"/>
          <w:sz w:val="21"/>
          <w:szCs w:val="21"/>
          <w:color w:val="auto"/>
        </w:rPr>
        <w:t xml:space="preserve"> </w:t>
      </w:r>
      <w:r>
        <w:rPr>
          <w:rFonts w:ascii="Arial" w:cs="Arial" w:eastAsia="Arial" w:hAnsi="Arial"/>
          <w:sz w:val="21"/>
          <w:szCs w:val="21"/>
          <w:color w:val="0E0E0E"/>
        </w:rPr>
        <w:t>days</w:t>
      </w:r>
      <w:r>
        <w:rPr>
          <w:rFonts w:ascii="Arial" w:cs="Arial" w:eastAsia="Arial" w:hAnsi="Arial"/>
          <w:sz w:val="21"/>
          <w:szCs w:val="21"/>
          <w:color w:val="auto"/>
        </w:rPr>
        <w:t xml:space="preserve"> of </w:t>
      </w:r>
      <w:r>
        <w:rPr>
          <w:rFonts w:ascii="Arial" w:cs="Arial" w:eastAsia="Arial" w:hAnsi="Arial"/>
          <w:sz w:val="21"/>
          <w:szCs w:val="21"/>
          <w:color w:val="0E0E0E"/>
        </w:rPr>
        <w:t xml:space="preserve">the </w:t>
      </w:r>
      <w:r>
        <w:rPr>
          <w:rFonts w:ascii="Arial" w:cs="Arial" w:eastAsia="Arial" w:hAnsi="Arial"/>
          <w:sz w:val="21"/>
          <w:szCs w:val="21"/>
          <w:color w:val="000000"/>
        </w:rPr>
        <w:t>Term,</w:t>
      </w:r>
      <w:r>
        <w:rPr>
          <w:rFonts w:ascii="Arial" w:cs="Arial" w:eastAsia="Arial" w:hAnsi="Arial"/>
          <w:sz w:val="21"/>
          <w:szCs w:val="21"/>
          <w:color w:val="0E0E0E"/>
        </w:rPr>
        <w:t xml:space="preserve"> </w:t>
      </w:r>
      <w:r>
        <w:rPr>
          <w:rFonts w:ascii="Arial" w:cs="Arial" w:eastAsia="Arial" w:hAnsi="Arial"/>
          <w:sz w:val="21"/>
          <w:szCs w:val="21"/>
          <w:color w:val="343434"/>
        </w:rPr>
        <w:t>and</w:t>
      </w:r>
      <w:r>
        <w:rPr>
          <w:rFonts w:ascii="Arial" w:cs="Arial" w:eastAsia="Arial" w:hAnsi="Arial"/>
          <w:sz w:val="21"/>
          <w:szCs w:val="21"/>
          <w:color w:val="0E0E0E"/>
        </w:rPr>
        <w:t xml:space="preserve"> Tenant </w:t>
      </w:r>
      <w:r>
        <w:rPr>
          <w:rFonts w:ascii="Arial" w:cs="Arial" w:eastAsia="Arial" w:hAnsi="Arial"/>
          <w:sz w:val="21"/>
          <w:szCs w:val="21"/>
          <w:color w:val="343434"/>
        </w:rPr>
        <w:t>shall</w:t>
      </w:r>
      <w:r>
        <w:rPr>
          <w:rFonts w:ascii="Arial" w:cs="Arial" w:eastAsia="Arial" w:hAnsi="Arial"/>
          <w:sz w:val="21"/>
          <w:szCs w:val="21"/>
          <w:color w:val="0E0E0E"/>
        </w:rPr>
        <w:t xml:space="preserve"> </w:t>
      </w:r>
      <w:r>
        <w:rPr>
          <w:rFonts w:ascii="Arial" w:cs="Arial" w:eastAsia="Arial" w:hAnsi="Arial"/>
          <w:sz w:val="21"/>
          <w:szCs w:val="21"/>
          <w:color w:val="000000"/>
        </w:rPr>
        <w:t>be liable to Landlord for any and</w:t>
      </w:r>
      <w:r>
        <w:rPr>
          <w:rFonts w:ascii="Arial" w:cs="Arial" w:eastAsia="Arial" w:hAnsi="Arial"/>
          <w:sz w:val="21"/>
          <w:szCs w:val="21"/>
          <w:color w:val="0E0E0E"/>
        </w:rPr>
        <w:t xml:space="preserve"> </w:t>
      </w:r>
      <w:r>
        <w:rPr>
          <w:rFonts w:ascii="Arial" w:cs="Arial" w:eastAsia="Arial" w:hAnsi="Arial"/>
          <w:sz w:val="21"/>
          <w:szCs w:val="21"/>
          <w:color w:val="343434"/>
        </w:rPr>
        <w:t>all</w:t>
      </w:r>
      <w:r>
        <w:rPr>
          <w:rFonts w:ascii="Arial" w:cs="Arial" w:eastAsia="Arial" w:hAnsi="Arial"/>
          <w:sz w:val="21"/>
          <w:szCs w:val="21"/>
          <w:color w:val="0E0E0E"/>
        </w:rPr>
        <w:t xml:space="preserve"> </w:t>
      </w:r>
      <w:r>
        <w:rPr>
          <w:rFonts w:ascii="Arial" w:cs="Arial" w:eastAsia="Arial" w:hAnsi="Arial"/>
          <w:sz w:val="21"/>
          <w:szCs w:val="21"/>
          <w:color w:val="000000"/>
        </w:rPr>
        <w:t>damages</w:t>
      </w:r>
      <w:r>
        <w:rPr>
          <w:rFonts w:ascii="Arial" w:cs="Arial" w:eastAsia="Arial" w:hAnsi="Arial"/>
          <w:sz w:val="21"/>
          <w:szCs w:val="21"/>
          <w:color w:val="0E0E0E"/>
        </w:rPr>
        <w:t xml:space="preserve"> </w:t>
      </w:r>
      <w:r>
        <w:rPr>
          <w:rFonts w:ascii="Arial" w:cs="Arial" w:eastAsia="Arial" w:hAnsi="Arial"/>
          <w:sz w:val="21"/>
          <w:szCs w:val="21"/>
          <w:color w:val="343434"/>
        </w:rPr>
        <w:t>suffered</w:t>
      </w:r>
      <w:r>
        <w:rPr>
          <w:rFonts w:ascii="Arial" w:cs="Arial" w:eastAsia="Arial" w:hAnsi="Arial"/>
          <w:sz w:val="21"/>
          <w:szCs w:val="21"/>
          <w:color w:val="0E0E0E"/>
        </w:rPr>
        <w:t xml:space="preserve"> by </w:t>
      </w:r>
      <w:r>
        <w:rPr>
          <w:rFonts w:ascii="Arial" w:cs="Arial" w:eastAsia="Arial" w:hAnsi="Arial"/>
          <w:sz w:val="21"/>
          <w:szCs w:val="21"/>
          <w:color w:val="000000"/>
        </w:rPr>
        <w:t>Landlord as a</w:t>
      </w:r>
      <w:r>
        <w:rPr>
          <w:rFonts w:ascii="Arial" w:cs="Arial" w:eastAsia="Arial" w:hAnsi="Arial"/>
          <w:sz w:val="21"/>
          <w:szCs w:val="21"/>
          <w:color w:val="0E0E0E"/>
        </w:rPr>
        <w:t xml:space="preserve"> result </w:t>
      </w:r>
      <w:r>
        <w:rPr>
          <w:rFonts w:ascii="Arial" w:cs="Arial" w:eastAsia="Arial" w:hAnsi="Arial"/>
          <w:sz w:val="21"/>
          <w:szCs w:val="21"/>
          <w:color w:val="000000"/>
        </w:rPr>
        <w:t>of such</w:t>
      </w:r>
      <w:r>
        <w:rPr>
          <w:rFonts w:ascii="Arial" w:cs="Arial" w:eastAsia="Arial" w:hAnsi="Arial"/>
          <w:sz w:val="21"/>
          <w:szCs w:val="21"/>
          <w:color w:val="0E0E0E"/>
        </w:rPr>
        <w:t xml:space="preserve"> holdover</w:t>
      </w:r>
      <w:r>
        <w:rPr>
          <w:rFonts w:ascii="Arial" w:cs="Arial" w:eastAsia="Arial" w:hAnsi="Arial"/>
          <w:sz w:val="21"/>
          <w:szCs w:val="21"/>
          <w:color w:val="464646"/>
        </w:rPr>
        <w:t>,</w:t>
      </w:r>
      <w:r>
        <w:rPr>
          <w:rFonts w:ascii="Arial" w:cs="Arial" w:eastAsia="Arial" w:hAnsi="Arial"/>
          <w:sz w:val="21"/>
          <w:szCs w:val="21"/>
          <w:color w:val="0E0E0E"/>
        </w:rPr>
        <w:t xml:space="preserve"> </w:t>
      </w:r>
      <w:r>
        <w:rPr>
          <w:rFonts w:ascii="Arial" w:cs="Arial" w:eastAsia="Arial" w:hAnsi="Arial"/>
          <w:sz w:val="21"/>
          <w:szCs w:val="21"/>
          <w:color w:val="000000"/>
        </w:rPr>
        <w:t>including any lost</w:t>
      </w:r>
      <w:r>
        <w:rPr>
          <w:rFonts w:ascii="Arial" w:cs="Arial" w:eastAsia="Arial" w:hAnsi="Arial"/>
          <w:sz w:val="21"/>
          <w:szCs w:val="21"/>
          <w:color w:val="0E0E0E"/>
        </w:rPr>
        <w:t xml:space="preserve"> rent </w:t>
      </w:r>
      <w:r>
        <w:rPr>
          <w:rFonts w:ascii="Arial" w:cs="Arial" w:eastAsia="Arial" w:hAnsi="Arial"/>
          <w:sz w:val="21"/>
          <w:szCs w:val="21"/>
          <w:color w:val="343434"/>
        </w:rPr>
        <w:t>or</w:t>
      </w:r>
      <w:r>
        <w:rPr>
          <w:rFonts w:ascii="Arial" w:cs="Arial" w:eastAsia="Arial" w:hAnsi="Arial"/>
          <w:sz w:val="21"/>
          <w:szCs w:val="21"/>
          <w:color w:val="0E0E0E"/>
        </w:rPr>
        <w:t xml:space="preserve"> </w:t>
      </w:r>
      <w:r>
        <w:rPr>
          <w:rFonts w:ascii="Arial" w:cs="Arial" w:eastAsia="Arial" w:hAnsi="Arial"/>
          <w:sz w:val="21"/>
          <w:szCs w:val="21"/>
          <w:color w:val="000000"/>
        </w:rPr>
        <w:t>consequential, special and indirect damages.</w:t>
      </w:r>
    </w:p>
    <w:p>
      <w:pPr>
        <w:spacing w:after="0" w:line="159" w:lineRule="exact"/>
        <w:rPr>
          <w:rFonts w:ascii="Arial" w:cs="Arial" w:eastAsia="Arial" w:hAnsi="Arial"/>
          <w:sz w:val="22"/>
          <w:szCs w:val="22"/>
          <w:color w:val="auto"/>
        </w:rPr>
      </w:pPr>
    </w:p>
    <w:p>
      <w:pPr>
        <w:ind w:left="1300" w:hanging="648"/>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27.3 </w:t>
      </w:r>
      <w:r>
        <w:rPr>
          <w:rFonts w:ascii="Arial" w:cs="Arial" w:eastAsia="Arial" w:hAnsi="Arial"/>
          <w:sz w:val="22"/>
          <w:szCs w:val="22"/>
          <w:color w:val="343434"/>
        </w:rPr>
        <w:t>Acceptance</w:t>
      </w:r>
      <w:r>
        <w:rPr>
          <w:rFonts w:ascii="Arial" w:cs="Arial" w:eastAsia="Arial" w:hAnsi="Arial"/>
          <w:sz w:val="22"/>
          <w:szCs w:val="22"/>
          <w:color w:val="auto"/>
        </w:rPr>
        <w:t xml:space="preserve"> </w:t>
      </w:r>
      <w:r>
        <w:rPr>
          <w:rFonts w:ascii="Arial" w:cs="Arial" w:eastAsia="Arial" w:hAnsi="Arial"/>
          <w:sz w:val="22"/>
          <w:szCs w:val="22"/>
          <w:color w:val="0E0E0E"/>
        </w:rPr>
        <w:t>by</w:t>
      </w:r>
      <w:r>
        <w:rPr>
          <w:rFonts w:ascii="Arial" w:cs="Arial" w:eastAsia="Arial" w:hAnsi="Arial"/>
          <w:sz w:val="22"/>
          <w:szCs w:val="22"/>
          <w:color w:val="auto"/>
        </w:rPr>
        <w:t xml:space="preserve"> Landlord of Rent after the expiration or earlier termination of </w:t>
      </w:r>
      <w:r>
        <w:rPr>
          <w:rFonts w:ascii="Arial" w:cs="Arial" w:eastAsia="Arial" w:hAnsi="Arial"/>
          <w:sz w:val="22"/>
          <w:szCs w:val="22"/>
          <w:color w:val="343434"/>
        </w:rPr>
        <w:t>the</w:t>
      </w:r>
      <w:r>
        <w:rPr>
          <w:rFonts w:ascii="Arial" w:cs="Arial" w:eastAsia="Arial" w:hAnsi="Arial"/>
          <w:sz w:val="22"/>
          <w:szCs w:val="22"/>
          <w:color w:val="auto"/>
        </w:rPr>
        <w:t xml:space="preserve"> Term </w:t>
      </w:r>
      <w:r>
        <w:rPr>
          <w:rFonts w:ascii="Arial" w:cs="Arial" w:eastAsia="Arial" w:hAnsi="Arial"/>
          <w:sz w:val="22"/>
          <w:szCs w:val="22"/>
          <w:color w:val="343434"/>
        </w:rPr>
        <w:t>shall</w:t>
      </w:r>
      <w:r>
        <w:rPr>
          <w:rFonts w:ascii="Arial" w:cs="Arial" w:eastAsia="Arial" w:hAnsi="Arial"/>
          <w:sz w:val="22"/>
          <w:szCs w:val="22"/>
          <w:color w:val="auto"/>
        </w:rPr>
        <w:t xml:space="preserve"> not </w:t>
      </w:r>
      <w:r>
        <w:rPr>
          <w:rFonts w:ascii="Arial" w:cs="Arial" w:eastAsia="Arial" w:hAnsi="Arial"/>
          <w:sz w:val="22"/>
          <w:szCs w:val="22"/>
          <w:color w:val="343434"/>
        </w:rPr>
        <w:t>result in</w:t>
      </w:r>
      <w:r>
        <w:rPr>
          <w:rFonts w:ascii="Arial" w:cs="Arial" w:eastAsia="Arial" w:hAnsi="Arial"/>
          <w:sz w:val="22"/>
          <w:szCs w:val="22"/>
          <w:color w:val="auto"/>
        </w:rPr>
        <w:t xml:space="preserve"> an extension, renewal or reinstatement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1" w:right="339" w:bottom="1440" w:gutter="0" w:footer="0" w:header="0"/>
        </w:sectPr>
      </w:pPr>
    </w:p>
    <w:bookmarkStart w:id="352" w:name="page353"/>
    <w:bookmarkEnd w:id="352"/>
    <w:p>
      <w:pPr>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27.4</w:t>
        <w:tab/>
        <w:t xml:space="preserve">The foregoing provisions of </w:t>
      </w:r>
      <w:r>
        <w:rPr>
          <w:rFonts w:ascii="Arial" w:cs="Arial" w:eastAsia="Arial" w:hAnsi="Arial"/>
          <w:sz w:val="22"/>
          <w:szCs w:val="22"/>
          <w:color w:val="0E0E0E"/>
        </w:rPr>
        <w:t>this</w:t>
      </w:r>
      <w:r>
        <w:rPr>
          <w:rFonts w:ascii="Arial" w:cs="Arial" w:eastAsia="Arial" w:hAnsi="Arial"/>
          <w:sz w:val="22"/>
          <w:szCs w:val="22"/>
          <w:color w:val="auto"/>
        </w:rPr>
        <w:t xml:space="preserve"> Article are </w:t>
      </w:r>
      <w:r>
        <w:rPr>
          <w:rFonts w:ascii="Arial" w:cs="Arial" w:eastAsia="Arial" w:hAnsi="Arial"/>
          <w:sz w:val="22"/>
          <w:szCs w:val="22"/>
          <w:color w:val="343434"/>
        </w:rPr>
        <w:t>in</w:t>
      </w:r>
      <w:r>
        <w:rPr>
          <w:rFonts w:ascii="Arial" w:cs="Arial" w:eastAsia="Arial" w:hAnsi="Arial"/>
          <w:sz w:val="22"/>
          <w:szCs w:val="22"/>
          <w:color w:val="auto"/>
        </w:rPr>
        <w:t xml:space="preserve"> addition </w:t>
      </w:r>
      <w:r>
        <w:rPr>
          <w:rFonts w:ascii="Arial" w:cs="Arial" w:eastAsia="Arial" w:hAnsi="Arial"/>
          <w:sz w:val="22"/>
          <w:szCs w:val="22"/>
          <w:color w:val="343434"/>
        </w:rPr>
        <w:t>to</w:t>
      </w:r>
      <w:r>
        <w:rPr>
          <w:rFonts w:ascii="Arial" w:cs="Arial" w:eastAsia="Arial" w:hAnsi="Arial"/>
          <w:sz w:val="22"/>
          <w:szCs w:val="22"/>
          <w:color w:val="auto"/>
        </w:rPr>
        <w:t xml:space="preserve"> and </w:t>
      </w:r>
      <w:r>
        <w:rPr>
          <w:rFonts w:ascii="Arial" w:cs="Arial" w:eastAsia="Arial" w:hAnsi="Arial"/>
          <w:sz w:val="22"/>
          <w:szCs w:val="22"/>
          <w:color w:val="0E0E0E"/>
        </w:rPr>
        <w:t>do not</w:t>
      </w:r>
      <w:r>
        <w:rPr>
          <w:rFonts w:ascii="Arial" w:cs="Arial" w:eastAsia="Arial" w:hAnsi="Arial"/>
          <w:sz w:val="22"/>
          <w:szCs w:val="22"/>
          <w:color w:val="auto"/>
        </w:rPr>
        <w:t xml:space="preserve"> affect Landlord’s right of reentry or </w:t>
      </w:r>
      <w:r>
        <w:rPr>
          <w:rFonts w:ascii="Arial" w:cs="Arial" w:eastAsia="Arial" w:hAnsi="Arial"/>
          <w:sz w:val="22"/>
          <w:szCs w:val="22"/>
          <w:color w:val="343434"/>
        </w:rPr>
        <w:t>any</w:t>
      </w:r>
      <w:r>
        <w:rPr>
          <w:rFonts w:ascii="Arial" w:cs="Arial" w:eastAsia="Arial" w:hAnsi="Arial"/>
          <w:sz w:val="22"/>
          <w:szCs w:val="22"/>
          <w:color w:val="auto"/>
        </w:rPr>
        <w:t xml:space="preserve"> other rights of </w:t>
      </w:r>
      <w:r>
        <w:rPr>
          <w:rFonts w:ascii="Arial" w:cs="Arial" w:eastAsia="Arial" w:hAnsi="Arial"/>
          <w:sz w:val="22"/>
          <w:szCs w:val="22"/>
          <w:color w:val="0E0E0E"/>
        </w:rPr>
        <w:t>Land</w:t>
      </w:r>
      <w:r>
        <w:rPr>
          <w:rFonts w:ascii="Arial" w:cs="Arial" w:eastAsia="Arial" w:hAnsi="Arial"/>
          <w:sz w:val="22"/>
          <w:szCs w:val="22"/>
          <w:color w:val="464646"/>
        </w:rPr>
        <w:t>lo</w:t>
      </w:r>
      <w:r>
        <w:rPr>
          <w:rFonts w:ascii="Arial" w:cs="Arial" w:eastAsia="Arial" w:hAnsi="Arial"/>
          <w:sz w:val="22"/>
          <w:szCs w:val="22"/>
          <w:color w:val="auto"/>
        </w:rPr>
        <w:t xml:space="preserve">rd </w:t>
      </w:r>
      <w:r>
        <w:rPr>
          <w:rFonts w:ascii="Arial" w:cs="Arial" w:eastAsia="Arial" w:hAnsi="Arial"/>
          <w:sz w:val="22"/>
          <w:szCs w:val="22"/>
          <w:color w:val="343434"/>
        </w:rPr>
        <w:t>hereunder</w:t>
      </w:r>
      <w:r>
        <w:rPr>
          <w:rFonts w:ascii="Arial" w:cs="Arial" w:eastAsia="Arial" w:hAnsi="Arial"/>
          <w:sz w:val="22"/>
          <w:szCs w:val="22"/>
          <w:color w:val="auto"/>
        </w:rPr>
        <w:t xml:space="preserve"> or as otherwise provided </w:t>
      </w:r>
      <w:r>
        <w:rPr>
          <w:rFonts w:ascii="Arial" w:cs="Arial" w:eastAsia="Arial" w:hAnsi="Arial"/>
          <w:sz w:val="22"/>
          <w:szCs w:val="22"/>
          <w:color w:val="0E0E0E"/>
        </w:rPr>
        <w:t>by</w:t>
      </w:r>
      <w:r>
        <w:rPr>
          <w:rFonts w:ascii="Arial" w:cs="Arial" w:eastAsia="Arial" w:hAnsi="Arial"/>
          <w:sz w:val="22"/>
          <w:szCs w:val="22"/>
          <w:color w:val="auto"/>
        </w:rPr>
        <w:t xml:space="preserve"> Applicable Laws.</w:t>
      </w:r>
    </w:p>
    <w:p>
      <w:pPr>
        <w:spacing w:after="0" w:line="159"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xml:space="preserve"> </w:t>
      </w:r>
      <w:r>
        <w:rPr>
          <w:rFonts w:ascii="Arial" w:cs="Arial" w:eastAsia="Arial" w:hAnsi="Arial"/>
          <w:sz w:val="22"/>
          <w:szCs w:val="22"/>
          <w:u w:val="single" w:color="auto"/>
          <w:color w:val="343434"/>
        </w:rPr>
        <w:t>and Exculpation</w:t>
      </w:r>
      <w:r>
        <w:rPr>
          <w:rFonts w:ascii="Arial" w:cs="Arial" w:eastAsia="Arial" w:hAnsi="Arial"/>
          <w:sz w:val="22"/>
          <w:szCs w:val="22"/>
          <w:color w:val="343434"/>
        </w:rPr>
        <w:t>.</w:t>
      </w:r>
    </w:p>
    <w:p>
      <w:pPr>
        <w:spacing w:after="0" w:line="179" w:lineRule="exact"/>
        <w:rPr>
          <w:rFonts w:ascii="Arial" w:cs="Arial" w:eastAsia="Arial" w:hAnsi="Arial"/>
          <w:sz w:val="22"/>
          <w:szCs w:val="22"/>
          <w:color w:val="auto"/>
        </w:rPr>
      </w:pPr>
    </w:p>
    <w:p>
      <w:pPr>
        <w:ind w:left="1300" w:hanging="648"/>
        <w:spacing w:after="0" w:line="242" w:lineRule="auto"/>
        <w:rPr>
          <w:rFonts w:ascii="Arial" w:cs="Arial" w:eastAsia="Arial" w:hAnsi="Arial"/>
          <w:sz w:val="22"/>
          <w:szCs w:val="22"/>
          <w:color w:val="auto"/>
        </w:rPr>
      </w:pPr>
      <w:r>
        <w:rPr>
          <w:rFonts w:ascii="Arial" w:cs="Arial" w:eastAsia="Arial" w:hAnsi="Arial"/>
          <w:sz w:val="19"/>
          <w:szCs w:val="19"/>
          <w:color w:val="auto"/>
        </w:rPr>
        <w:t xml:space="preserve">28.1 </w:t>
      </w:r>
      <w:r>
        <w:rPr>
          <w:rFonts w:ascii="Arial" w:cs="Arial" w:eastAsia="Arial" w:hAnsi="Arial"/>
          <w:sz w:val="19"/>
          <w:szCs w:val="19"/>
          <w:color w:val="343434"/>
        </w:rPr>
        <w:t>Tenant</w:t>
      </w:r>
      <w:r>
        <w:rPr>
          <w:rFonts w:ascii="Arial" w:cs="Arial" w:eastAsia="Arial" w:hAnsi="Arial"/>
          <w:sz w:val="19"/>
          <w:szCs w:val="19"/>
          <w:color w:val="auto"/>
        </w:rPr>
        <w:t xml:space="preserve"> agrees to </w:t>
      </w:r>
      <w:r>
        <w:rPr>
          <w:rFonts w:ascii="Arial" w:cs="Arial" w:eastAsia="Arial" w:hAnsi="Arial"/>
          <w:sz w:val="19"/>
          <w:szCs w:val="19"/>
          <w:color w:val="0E0E0E"/>
        </w:rPr>
        <w:t>indemnify,</w:t>
      </w:r>
      <w:r>
        <w:rPr>
          <w:rFonts w:ascii="Arial" w:cs="Arial" w:eastAsia="Arial" w:hAnsi="Arial"/>
          <w:sz w:val="19"/>
          <w:szCs w:val="19"/>
          <w:color w:val="auto"/>
        </w:rPr>
        <w:t xml:space="preserve"> </w:t>
      </w:r>
      <w:r>
        <w:rPr>
          <w:rFonts w:ascii="Arial" w:cs="Arial" w:eastAsia="Arial" w:hAnsi="Arial"/>
          <w:sz w:val="19"/>
          <w:szCs w:val="19"/>
          <w:color w:val="343434"/>
        </w:rPr>
        <w:t>save,</w:t>
      </w:r>
      <w:r>
        <w:rPr>
          <w:rFonts w:ascii="Arial" w:cs="Arial" w:eastAsia="Arial" w:hAnsi="Arial"/>
          <w:sz w:val="19"/>
          <w:szCs w:val="19"/>
          <w:color w:val="auto"/>
        </w:rPr>
        <w:t xml:space="preserve"> defend (at </w:t>
      </w:r>
      <w:r>
        <w:rPr>
          <w:rFonts w:ascii="Arial" w:cs="Arial" w:eastAsia="Arial" w:hAnsi="Arial"/>
          <w:sz w:val="19"/>
          <w:szCs w:val="19"/>
          <w:color w:val="0E0E0E"/>
        </w:rPr>
        <w:t>Landlord’s</w:t>
      </w:r>
      <w:r>
        <w:rPr>
          <w:rFonts w:ascii="Arial" w:cs="Arial" w:eastAsia="Arial" w:hAnsi="Arial"/>
          <w:sz w:val="19"/>
          <w:szCs w:val="19"/>
          <w:color w:val="auto"/>
        </w:rPr>
        <w:t xml:space="preserve"> option and with counsel </w:t>
      </w:r>
      <w:r>
        <w:rPr>
          <w:rFonts w:ascii="Arial" w:cs="Arial" w:eastAsia="Arial" w:hAnsi="Arial"/>
          <w:sz w:val="19"/>
          <w:szCs w:val="19"/>
          <w:color w:val="343434"/>
        </w:rPr>
        <w:t>reasonably</w:t>
      </w:r>
      <w:r>
        <w:rPr>
          <w:rFonts w:ascii="Arial" w:cs="Arial" w:eastAsia="Arial" w:hAnsi="Arial"/>
          <w:sz w:val="19"/>
          <w:szCs w:val="19"/>
          <w:color w:val="auto"/>
        </w:rPr>
        <w:t xml:space="preserve"> acceptable to Landlord) and hold the Landlord </w:t>
      </w:r>
      <w:r>
        <w:rPr>
          <w:rFonts w:ascii="Arial" w:cs="Arial" w:eastAsia="Arial" w:hAnsi="Arial"/>
          <w:sz w:val="19"/>
          <w:szCs w:val="19"/>
          <w:color w:val="0E0E0E"/>
        </w:rPr>
        <w:t>Indemnitees harmless</w:t>
      </w:r>
      <w:r>
        <w:rPr>
          <w:rFonts w:ascii="Arial" w:cs="Arial" w:eastAsia="Arial" w:hAnsi="Arial"/>
          <w:sz w:val="19"/>
          <w:szCs w:val="19"/>
          <w:color w:val="auto"/>
        </w:rPr>
        <w:t xml:space="preserve"> from and </w:t>
      </w:r>
      <w:r>
        <w:rPr>
          <w:rFonts w:ascii="Arial" w:cs="Arial" w:eastAsia="Arial" w:hAnsi="Arial"/>
          <w:sz w:val="19"/>
          <w:szCs w:val="19"/>
          <w:color w:val="343434"/>
        </w:rPr>
        <w:t>against</w:t>
      </w:r>
      <w:r>
        <w:rPr>
          <w:rFonts w:ascii="Arial" w:cs="Arial" w:eastAsia="Arial" w:hAnsi="Arial"/>
          <w:sz w:val="19"/>
          <w:szCs w:val="19"/>
          <w:color w:val="auto"/>
        </w:rPr>
        <w:t xml:space="preserve"> any and all Claims arising from injury or death to any </w:t>
      </w:r>
      <w:r>
        <w:rPr>
          <w:rFonts w:ascii="Arial" w:cs="Arial" w:eastAsia="Arial" w:hAnsi="Arial"/>
          <w:sz w:val="19"/>
          <w:szCs w:val="19"/>
          <w:color w:val="0E0E0E"/>
        </w:rPr>
        <w:t>person</w:t>
      </w:r>
      <w:r>
        <w:rPr>
          <w:rFonts w:ascii="Arial" w:cs="Arial" w:eastAsia="Arial" w:hAnsi="Arial"/>
          <w:sz w:val="19"/>
          <w:szCs w:val="19"/>
          <w:color w:val="auto"/>
        </w:rPr>
        <w:t xml:space="preserve"> or damage </w:t>
      </w:r>
      <w:r>
        <w:rPr>
          <w:rFonts w:ascii="Arial" w:cs="Arial" w:eastAsia="Arial" w:hAnsi="Arial"/>
          <w:sz w:val="19"/>
          <w:szCs w:val="19"/>
          <w:color w:val="343434"/>
        </w:rPr>
        <w:t>to</w:t>
      </w:r>
      <w:r>
        <w:rPr>
          <w:rFonts w:ascii="Arial" w:cs="Arial" w:eastAsia="Arial" w:hAnsi="Arial"/>
          <w:sz w:val="19"/>
          <w:szCs w:val="19"/>
          <w:color w:val="auto"/>
        </w:rPr>
        <w:t xml:space="preserve"> any </w:t>
      </w:r>
      <w:r>
        <w:rPr>
          <w:rFonts w:ascii="Arial" w:cs="Arial" w:eastAsia="Arial" w:hAnsi="Arial"/>
          <w:sz w:val="19"/>
          <w:szCs w:val="19"/>
          <w:color w:val="0E0E0E"/>
        </w:rPr>
        <w:t>property</w:t>
      </w:r>
      <w:r>
        <w:rPr>
          <w:rFonts w:ascii="Arial" w:cs="Arial" w:eastAsia="Arial" w:hAnsi="Arial"/>
          <w:sz w:val="19"/>
          <w:szCs w:val="19"/>
          <w:color w:val="auto"/>
        </w:rPr>
        <w:t xml:space="preserve"> occurring within or about the </w:t>
      </w:r>
      <w:r>
        <w:rPr>
          <w:rFonts w:ascii="Arial" w:cs="Arial" w:eastAsia="Arial" w:hAnsi="Arial"/>
          <w:sz w:val="19"/>
          <w:szCs w:val="19"/>
          <w:color w:val="0E0E0E"/>
        </w:rPr>
        <w:t>Project</w:t>
      </w:r>
      <w:r>
        <w:rPr>
          <w:rFonts w:ascii="Arial" w:cs="Arial" w:eastAsia="Arial" w:hAnsi="Arial"/>
          <w:sz w:val="19"/>
          <w:szCs w:val="19"/>
          <w:color w:val="auto"/>
        </w:rPr>
        <w:t xml:space="preserve"> arising directly or </w:t>
      </w:r>
      <w:r>
        <w:rPr>
          <w:rFonts w:ascii="Arial" w:cs="Arial" w:eastAsia="Arial" w:hAnsi="Arial"/>
          <w:sz w:val="19"/>
          <w:szCs w:val="19"/>
          <w:color w:val="0E0E0E"/>
        </w:rPr>
        <w:t>indirectly</w:t>
      </w:r>
      <w:r>
        <w:rPr>
          <w:rFonts w:ascii="Arial" w:cs="Arial" w:eastAsia="Arial" w:hAnsi="Arial"/>
          <w:sz w:val="19"/>
          <w:szCs w:val="19"/>
          <w:color w:val="auto"/>
        </w:rPr>
        <w:t xml:space="preserve"> out of Tenant’s or Tenant’s employees’, agents’, contractors’ or </w:t>
      </w:r>
      <w:r>
        <w:rPr>
          <w:rFonts w:ascii="Arial" w:cs="Arial" w:eastAsia="Arial" w:hAnsi="Arial"/>
          <w:sz w:val="19"/>
          <w:szCs w:val="19"/>
          <w:color w:val="0E0E0E"/>
        </w:rPr>
        <w:t>invitees’</w:t>
      </w:r>
      <w:r>
        <w:rPr>
          <w:rFonts w:ascii="Arial" w:cs="Arial" w:eastAsia="Arial" w:hAnsi="Arial"/>
          <w:sz w:val="19"/>
          <w:szCs w:val="19"/>
          <w:color w:val="auto"/>
        </w:rPr>
        <w:t xml:space="preserve"> use or occupancy of the </w:t>
      </w:r>
      <w:r>
        <w:rPr>
          <w:rFonts w:ascii="Arial" w:cs="Arial" w:eastAsia="Arial" w:hAnsi="Arial"/>
          <w:sz w:val="19"/>
          <w:szCs w:val="19"/>
          <w:color w:val="0E0E0E"/>
        </w:rPr>
        <w:t>Project</w:t>
      </w:r>
      <w:r>
        <w:rPr>
          <w:rFonts w:ascii="Arial" w:cs="Arial" w:eastAsia="Arial" w:hAnsi="Arial"/>
          <w:sz w:val="19"/>
          <w:szCs w:val="19"/>
          <w:color w:val="auto"/>
        </w:rPr>
        <w:t xml:space="preserve"> or a breach or default </w:t>
      </w:r>
      <w:r>
        <w:rPr>
          <w:rFonts w:ascii="Arial" w:cs="Arial" w:eastAsia="Arial" w:hAnsi="Arial"/>
          <w:sz w:val="19"/>
          <w:szCs w:val="19"/>
          <w:color w:val="0E0E0E"/>
        </w:rPr>
        <w:t>by</w:t>
      </w:r>
      <w:r>
        <w:rPr>
          <w:rFonts w:ascii="Arial" w:cs="Arial" w:eastAsia="Arial" w:hAnsi="Arial"/>
          <w:sz w:val="19"/>
          <w:szCs w:val="19"/>
          <w:color w:val="auto"/>
        </w:rPr>
        <w:t xml:space="preserve"> Tenant </w:t>
      </w:r>
      <w:r>
        <w:rPr>
          <w:rFonts w:ascii="Arial" w:cs="Arial" w:eastAsia="Arial" w:hAnsi="Arial"/>
          <w:sz w:val="19"/>
          <w:szCs w:val="19"/>
          <w:color w:val="0E0E0E"/>
        </w:rPr>
        <w:t>in</w:t>
      </w:r>
      <w:r>
        <w:rPr>
          <w:rFonts w:ascii="Arial" w:cs="Arial" w:eastAsia="Arial" w:hAnsi="Arial"/>
          <w:sz w:val="19"/>
          <w:szCs w:val="19"/>
          <w:color w:val="auto"/>
        </w:rPr>
        <w:t xml:space="preserve"> the performance of any of </w:t>
      </w:r>
      <w:r>
        <w:rPr>
          <w:rFonts w:ascii="Arial" w:cs="Arial" w:eastAsia="Arial" w:hAnsi="Arial"/>
          <w:sz w:val="19"/>
          <w:szCs w:val="19"/>
          <w:color w:val="0E0E0E"/>
        </w:rPr>
        <w:t>its</w:t>
      </w:r>
      <w:r>
        <w:rPr>
          <w:rFonts w:ascii="Arial" w:cs="Arial" w:eastAsia="Arial" w:hAnsi="Arial"/>
          <w:sz w:val="19"/>
          <w:szCs w:val="19"/>
          <w:color w:val="auto"/>
        </w:rPr>
        <w:t xml:space="preserve"> obligations </w:t>
      </w:r>
      <w:r>
        <w:rPr>
          <w:rFonts w:ascii="Arial" w:cs="Arial" w:eastAsia="Arial" w:hAnsi="Arial"/>
          <w:sz w:val="19"/>
          <w:szCs w:val="19"/>
          <w:color w:val="0E0E0E"/>
        </w:rPr>
        <w:t>hereunder,</w:t>
      </w:r>
      <w:r>
        <w:rPr>
          <w:rFonts w:ascii="Arial" w:cs="Arial" w:eastAsia="Arial" w:hAnsi="Arial"/>
          <w:sz w:val="19"/>
          <w:szCs w:val="19"/>
          <w:color w:val="auto"/>
        </w:rPr>
        <w:t xml:space="preserve"> except </w:t>
      </w:r>
      <w:r>
        <w:rPr>
          <w:rFonts w:ascii="Arial" w:cs="Arial" w:eastAsia="Arial" w:hAnsi="Arial"/>
          <w:sz w:val="19"/>
          <w:szCs w:val="19"/>
          <w:color w:val="0E0E0E"/>
        </w:rPr>
        <w:t>in</w:t>
      </w:r>
      <w:r>
        <w:rPr>
          <w:rFonts w:ascii="Arial" w:cs="Arial" w:eastAsia="Arial" w:hAnsi="Arial"/>
          <w:sz w:val="19"/>
          <w:szCs w:val="19"/>
          <w:color w:val="auto"/>
        </w:rPr>
        <w:t xml:space="preserve"> all cases </w:t>
      </w:r>
      <w:r>
        <w:rPr>
          <w:rFonts w:ascii="Arial" w:cs="Arial" w:eastAsia="Arial" w:hAnsi="Arial"/>
          <w:sz w:val="19"/>
          <w:szCs w:val="19"/>
          <w:color w:val="0E0E0E"/>
        </w:rPr>
        <w:t>to</w:t>
      </w:r>
      <w:r>
        <w:rPr>
          <w:rFonts w:ascii="Arial" w:cs="Arial" w:eastAsia="Arial" w:hAnsi="Arial"/>
          <w:sz w:val="19"/>
          <w:szCs w:val="19"/>
          <w:color w:val="auto"/>
        </w:rPr>
        <w:t xml:space="preserve"> the extent caused </w:t>
      </w:r>
      <w:r>
        <w:rPr>
          <w:rFonts w:ascii="Arial" w:cs="Arial" w:eastAsia="Arial" w:hAnsi="Arial"/>
          <w:sz w:val="19"/>
          <w:szCs w:val="19"/>
          <w:color w:val="0E0E0E"/>
        </w:rPr>
        <w:t>by</w:t>
      </w:r>
      <w:r>
        <w:rPr>
          <w:rFonts w:ascii="Arial" w:cs="Arial" w:eastAsia="Arial" w:hAnsi="Arial"/>
          <w:sz w:val="19"/>
          <w:szCs w:val="19"/>
          <w:color w:val="auto"/>
        </w:rPr>
        <w:t xml:space="preserve"> Landlord’s or Landlord’s employees’, agents’ or contractors’ </w:t>
      </w:r>
      <w:r>
        <w:rPr>
          <w:rFonts w:ascii="Arial" w:cs="Arial" w:eastAsia="Arial" w:hAnsi="Arial"/>
          <w:sz w:val="19"/>
          <w:szCs w:val="19"/>
          <w:color w:val="0E0E0E"/>
        </w:rPr>
        <w:t>negligence</w:t>
      </w:r>
      <w:r>
        <w:rPr>
          <w:rFonts w:ascii="Arial" w:cs="Arial" w:eastAsia="Arial" w:hAnsi="Arial"/>
          <w:sz w:val="19"/>
          <w:szCs w:val="19"/>
          <w:color w:val="auto"/>
        </w:rPr>
        <w:t xml:space="preserve"> or willful </w:t>
      </w:r>
      <w:r>
        <w:rPr>
          <w:rFonts w:ascii="Arial" w:cs="Arial" w:eastAsia="Arial" w:hAnsi="Arial"/>
          <w:sz w:val="19"/>
          <w:szCs w:val="19"/>
          <w:color w:val="343434"/>
        </w:rPr>
        <w:t>misconduct.</w:t>
      </w:r>
      <w:r>
        <w:rPr>
          <w:rFonts w:ascii="Arial" w:cs="Arial" w:eastAsia="Arial" w:hAnsi="Arial"/>
          <w:sz w:val="19"/>
          <w:szCs w:val="19"/>
          <w:color w:val="auto"/>
        </w:rPr>
        <w:t xml:space="preserve"> Landlord agrees </w:t>
      </w:r>
      <w:r>
        <w:rPr>
          <w:rFonts w:ascii="Arial" w:cs="Arial" w:eastAsia="Arial" w:hAnsi="Arial"/>
          <w:sz w:val="19"/>
          <w:szCs w:val="19"/>
          <w:color w:val="343434"/>
        </w:rPr>
        <w:t>to</w:t>
      </w:r>
      <w:r>
        <w:rPr>
          <w:rFonts w:ascii="Arial" w:cs="Arial" w:eastAsia="Arial" w:hAnsi="Arial"/>
          <w:sz w:val="19"/>
          <w:szCs w:val="19"/>
          <w:color w:val="auto"/>
        </w:rPr>
        <w:t xml:space="preserve"> indemnify, </w:t>
      </w:r>
      <w:r>
        <w:rPr>
          <w:rFonts w:ascii="Arial" w:cs="Arial" w:eastAsia="Arial" w:hAnsi="Arial"/>
          <w:sz w:val="19"/>
          <w:szCs w:val="19"/>
          <w:color w:val="343434"/>
        </w:rPr>
        <w:t>save,</w:t>
      </w:r>
      <w:r>
        <w:rPr>
          <w:rFonts w:ascii="Arial" w:cs="Arial" w:eastAsia="Arial" w:hAnsi="Arial"/>
          <w:sz w:val="19"/>
          <w:szCs w:val="19"/>
          <w:color w:val="auto"/>
        </w:rPr>
        <w:t xml:space="preserve"> defend </w:t>
      </w:r>
      <w:r>
        <w:rPr>
          <w:rFonts w:ascii="Arial" w:cs="Arial" w:eastAsia="Arial" w:hAnsi="Arial"/>
          <w:sz w:val="19"/>
          <w:szCs w:val="19"/>
          <w:color w:val="0E0E0E"/>
        </w:rPr>
        <w:t>(a</w:t>
      </w:r>
      <w:r>
        <w:rPr>
          <w:rFonts w:ascii="Arial" w:cs="Arial" w:eastAsia="Arial" w:hAnsi="Arial"/>
          <w:sz w:val="19"/>
          <w:szCs w:val="19"/>
          <w:color w:val="464646"/>
        </w:rPr>
        <w:t>t</w:t>
      </w:r>
      <w:r>
        <w:rPr>
          <w:rFonts w:ascii="Arial" w:cs="Arial" w:eastAsia="Arial" w:hAnsi="Arial"/>
          <w:sz w:val="19"/>
          <w:szCs w:val="19"/>
          <w:color w:val="auto"/>
        </w:rPr>
        <w:t xml:space="preserve"> </w:t>
      </w:r>
      <w:r>
        <w:rPr>
          <w:rFonts w:ascii="Arial" w:cs="Arial" w:eastAsia="Arial" w:hAnsi="Arial"/>
          <w:sz w:val="19"/>
          <w:szCs w:val="19"/>
          <w:color w:val="0E0E0E"/>
        </w:rPr>
        <w:t>Tenant’s</w:t>
      </w:r>
      <w:r>
        <w:rPr>
          <w:rFonts w:ascii="Arial" w:cs="Arial" w:eastAsia="Arial" w:hAnsi="Arial"/>
          <w:sz w:val="19"/>
          <w:szCs w:val="19"/>
          <w:color w:val="auto"/>
        </w:rPr>
        <w:t xml:space="preserve"> option and with counsel </w:t>
      </w:r>
      <w:r>
        <w:rPr>
          <w:rFonts w:ascii="Arial" w:cs="Arial" w:eastAsia="Arial" w:hAnsi="Arial"/>
          <w:sz w:val="19"/>
          <w:szCs w:val="19"/>
          <w:color w:val="0E0E0E"/>
        </w:rPr>
        <w:t>reasonably</w:t>
      </w:r>
      <w:r>
        <w:rPr>
          <w:rFonts w:ascii="Arial" w:cs="Arial" w:eastAsia="Arial" w:hAnsi="Arial"/>
          <w:sz w:val="19"/>
          <w:szCs w:val="19"/>
          <w:color w:val="auto"/>
        </w:rPr>
        <w:t xml:space="preserve"> acceptable </w:t>
      </w:r>
      <w:r>
        <w:rPr>
          <w:rFonts w:ascii="Arial" w:cs="Arial" w:eastAsia="Arial" w:hAnsi="Arial"/>
          <w:sz w:val="19"/>
          <w:szCs w:val="19"/>
          <w:color w:val="464646"/>
        </w:rPr>
        <w:t>to</w:t>
      </w:r>
      <w:r>
        <w:rPr>
          <w:rFonts w:ascii="Arial" w:cs="Arial" w:eastAsia="Arial" w:hAnsi="Arial"/>
          <w:sz w:val="19"/>
          <w:szCs w:val="19"/>
          <w:color w:val="auto"/>
        </w:rPr>
        <w:t xml:space="preserve"> Tenant) and hold the Tenant and Tenant’s affiliates, employees, </w:t>
      </w:r>
      <w:r>
        <w:rPr>
          <w:rFonts w:ascii="Arial" w:cs="Arial" w:eastAsia="Arial" w:hAnsi="Arial"/>
          <w:sz w:val="19"/>
          <w:szCs w:val="19"/>
          <w:color w:val="343434"/>
        </w:rPr>
        <w:t>agents,</w:t>
      </w:r>
      <w:r>
        <w:rPr>
          <w:rFonts w:ascii="Arial" w:cs="Arial" w:eastAsia="Arial" w:hAnsi="Arial"/>
          <w:sz w:val="19"/>
          <w:szCs w:val="19"/>
          <w:color w:val="auto"/>
        </w:rPr>
        <w:t xml:space="preserve"> and contractors </w:t>
      </w:r>
      <w:r>
        <w:rPr>
          <w:rFonts w:ascii="Arial" w:cs="Arial" w:eastAsia="Arial" w:hAnsi="Arial"/>
          <w:sz w:val="19"/>
          <w:szCs w:val="19"/>
          <w:color w:val="0E0E0E"/>
        </w:rPr>
        <w:t>harmless</w:t>
      </w:r>
      <w:r>
        <w:rPr>
          <w:rFonts w:ascii="Arial" w:cs="Arial" w:eastAsia="Arial" w:hAnsi="Arial"/>
          <w:sz w:val="19"/>
          <w:szCs w:val="19"/>
          <w:color w:val="auto"/>
        </w:rPr>
        <w:t xml:space="preserve"> from and against any </w:t>
      </w:r>
      <w:r>
        <w:rPr>
          <w:rFonts w:ascii="Arial" w:cs="Arial" w:eastAsia="Arial" w:hAnsi="Arial"/>
          <w:sz w:val="19"/>
          <w:szCs w:val="19"/>
          <w:color w:val="343434"/>
        </w:rPr>
        <w:t>and</w:t>
      </w:r>
      <w:r>
        <w:rPr>
          <w:rFonts w:ascii="Arial" w:cs="Arial" w:eastAsia="Arial" w:hAnsi="Arial"/>
          <w:sz w:val="19"/>
          <w:szCs w:val="19"/>
          <w:color w:val="auto"/>
        </w:rPr>
        <w:t xml:space="preserve"> all Claims arising from </w:t>
      </w:r>
      <w:r>
        <w:rPr>
          <w:rFonts w:ascii="Arial" w:cs="Arial" w:eastAsia="Arial" w:hAnsi="Arial"/>
          <w:sz w:val="19"/>
          <w:szCs w:val="19"/>
          <w:color w:val="0E0E0E"/>
        </w:rPr>
        <w:t>injury</w:t>
      </w:r>
      <w:r>
        <w:rPr>
          <w:rFonts w:ascii="Arial" w:cs="Arial" w:eastAsia="Arial" w:hAnsi="Arial"/>
          <w:sz w:val="19"/>
          <w:szCs w:val="19"/>
          <w:color w:val="auto"/>
        </w:rPr>
        <w:t xml:space="preserve"> or death </w:t>
      </w:r>
      <w:r>
        <w:rPr>
          <w:rFonts w:ascii="Arial" w:cs="Arial" w:eastAsia="Arial" w:hAnsi="Arial"/>
          <w:sz w:val="19"/>
          <w:szCs w:val="19"/>
          <w:color w:val="0E0E0E"/>
        </w:rPr>
        <w:t>to</w:t>
      </w:r>
      <w:r>
        <w:rPr>
          <w:rFonts w:ascii="Arial" w:cs="Arial" w:eastAsia="Arial" w:hAnsi="Arial"/>
          <w:sz w:val="19"/>
          <w:szCs w:val="19"/>
          <w:color w:val="auto"/>
        </w:rPr>
        <w:t xml:space="preserve"> any person or damage to any property occurring within or about the </w:t>
      </w:r>
      <w:r>
        <w:rPr>
          <w:rFonts w:ascii="Arial" w:cs="Arial" w:eastAsia="Arial" w:hAnsi="Arial"/>
          <w:sz w:val="19"/>
          <w:szCs w:val="19"/>
          <w:color w:val="0E0E0E"/>
        </w:rPr>
        <w:t xml:space="preserve">Project </w:t>
      </w:r>
      <w:r>
        <w:rPr>
          <w:rFonts w:ascii="Arial" w:cs="Arial" w:eastAsia="Arial" w:hAnsi="Arial"/>
          <w:sz w:val="19"/>
          <w:szCs w:val="19"/>
          <w:color w:val="000000"/>
        </w:rPr>
        <w:t>arising directly</w:t>
      </w:r>
      <w:r>
        <w:rPr>
          <w:rFonts w:ascii="Arial" w:cs="Arial" w:eastAsia="Arial" w:hAnsi="Arial"/>
          <w:sz w:val="19"/>
          <w:szCs w:val="19"/>
          <w:color w:val="0E0E0E"/>
        </w:rPr>
        <w:t xml:space="preserve"> out </w:t>
      </w:r>
      <w:r>
        <w:rPr>
          <w:rFonts w:ascii="Arial" w:cs="Arial" w:eastAsia="Arial" w:hAnsi="Arial"/>
          <w:sz w:val="19"/>
          <w:szCs w:val="19"/>
          <w:color w:val="000000"/>
        </w:rPr>
        <w:t>of Landlord’s or Landlord’s employees’, agents’ or contractors’ gross</w:t>
      </w:r>
      <w:r>
        <w:rPr>
          <w:rFonts w:ascii="Arial" w:cs="Arial" w:eastAsia="Arial" w:hAnsi="Arial"/>
          <w:sz w:val="19"/>
          <w:szCs w:val="19"/>
          <w:color w:val="0E0E0E"/>
        </w:rPr>
        <w:t xml:space="preserve"> negligence </w:t>
      </w:r>
      <w:r>
        <w:rPr>
          <w:rFonts w:ascii="Arial" w:cs="Arial" w:eastAsia="Arial" w:hAnsi="Arial"/>
          <w:sz w:val="19"/>
          <w:szCs w:val="19"/>
          <w:color w:val="000000"/>
        </w:rPr>
        <w:t>or</w:t>
      </w:r>
      <w:r>
        <w:rPr>
          <w:rFonts w:ascii="Arial" w:cs="Arial" w:eastAsia="Arial" w:hAnsi="Arial"/>
          <w:sz w:val="19"/>
          <w:szCs w:val="19"/>
          <w:color w:val="0E0E0E"/>
        </w:rPr>
        <w:t xml:space="preserve"> </w:t>
      </w:r>
      <w:r>
        <w:rPr>
          <w:rFonts w:ascii="Arial" w:cs="Arial" w:eastAsia="Arial" w:hAnsi="Arial"/>
          <w:sz w:val="19"/>
          <w:szCs w:val="19"/>
          <w:color w:val="000000"/>
        </w:rPr>
        <w:t xml:space="preserve">willful misconduct, except </w:t>
      </w:r>
      <w:r>
        <w:rPr>
          <w:rFonts w:ascii="Arial" w:cs="Arial" w:eastAsia="Arial" w:hAnsi="Arial"/>
          <w:sz w:val="19"/>
          <w:szCs w:val="19"/>
          <w:color w:val="0E0E0E"/>
        </w:rPr>
        <w:t>in</w:t>
      </w:r>
      <w:r>
        <w:rPr>
          <w:rFonts w:ascii="Arial" w:cs="Arial" w:eastAsia="Arial" w:hAnsi="Arial"/>
          <w:sz w:val="19"/>
          <w:szCs w:val="19"/>
          <w:color w:val="000000"/>
        </w:rPr>
        <w:t xml:space="preserve"> all cases to the extent caused </w:t>
      </w:r>
      <w:r>
        <w:rPr>
          <w:rFonts w:ascii="Arial" w:cs="Arial" w:eastAsia="Arial" w:hAnsi="Arial"/>
          <w:sz w:val="19"/>
          <w:szCs w:val="19"/>
          <w:color w:val="0E0E0E"/>
        </w:rPr>
        <w:t>by</w:t>
      </w:r>
      <w:r>
        <w:rPr>
          <w:rFonts w:ascii="Arial" w:cs="Arial" w:eastAsia="Arial" w:hAnsi="Arial"/>
          <w:sz w:val="19"/>
          <w:szCs w:val="19"/>
          <w:color w:val="000000"/>
        </w:rPr>
        <w:t xml:space="preserve"> Tenant’s or Tenant’s employees’, </w:t>
      </w:r>
      <w:r>
        <w:rPr>
          <w:rFonts w:ascii="Arial" w:cs="Arial" w:eastAsia="Arial" w:hAnsi="Arial"/>
          <w:sz w:val="19"/>
          <w:szCs w:val="19"/>
          <w:color w:val="343434"/>
        </w:rPr>
        <w:t>agents’</w:t>
      </w:r>
      <w:r>
        <w:rPr>
          <w:rFonts w:ascii="Arial" w:cs="Arial" w:eastAsia="Arial" w:hAnsi="Arial"/>
          <w:sz w:val="19"/>
          <w:szCs w:val="19"/>
          <w:color w:val="000000"/>
        </w:rPr>
        <w:t xml:space="preserve"> or contractors’ negligence or willful misconduct.</w:t>
      </w:r>
    </w:p>
    <w:p>
      <w:pPr>
        <w:spacing w:after="0" w:line="384" w:lineRule="exact"/>
        <w:rPr>
          <w:rFonts w:ascii="Arial" w:cs="Arial" w:eastAsia="Arial" w:hAnsi="Arial"/>
          <w:sz w:val="22"/>
          <w:szCs w:val="22"/>
          <w:color w:val="auto"/>
        </w:rPr>
      </w:pPr>
    </w:p>
    <w:p>
      <w:pPr>
        <w:ind w:left="1300" w:hanging="648"/>
        <w:spacing w:after="0" w:line="211" w:lineRule="auto"/>
        <w:rPr>
          <w:rFonts w:ascii="Arial" w:cs="Arial" w:eastAsia="Arial" w:hAnsi="Arial"/>
          <w:sz w:val="22"/>
          <w:szCs w:val="22"/>
          <w:color w:val="auto"/>
        </w:rPr>
      </w:pPr>
      <w:r>
        <w:rPr>
          <w:rFonts w:ascii="Arial" w:cs="Arial" w:eastAsia="Arial" w:hAnsi="Arial"/>
          <w:sz w:val="22"/>
          <w:szCs w:val="22"/>
          <w:color w:val="auto"/>
        </w:rPr>
        <w:t xml:space="preserve">28.2 Notwithstanding any provision of </w:t>
      </w:r>
      <w:r>
        <w:rPr>
          <w:rFonts w:ascii="Arial" w:cs="Arial" w:eastAsia="Arial" w:hAnsi="Arial"/>
          <w:sz w:val="22"/>
          <w:szCs w:val="22"/>
          <w:u w:val="single" w:color="auto"/>
          <w:color w:val="auto"/>
        </w:rPr>
        <w:t>Section 28.1</w:t>
      </w:r>
      <w:r>
        <w:rPr>
          <w:rFonts w:ascii="Arial" w:cs="Arial" w:eastAsia="Arial" w:hAnsi="Arial"/>
          <w:sz w:val="22"/>
          <w:szCs w:val="22"/>
          <w:color w:val="auto"/>
        </w:rPr>
        <w:t xml:space="preserve"> </w:t>
      </w:r>
      <w:r>
        <w:rPr>
          <w:rFonts w:ascii="Arial" w:cs="Arial" w:eastAsia="Arial" w:hAnsi="Arial"/>
          <w:sz w:val="22"/>
          <w:szCs w:val="22"/>
          <w:color w:val="464646"/>
        </w:rPr>
        <w:t>to</w:t>
      </w:r>
      <w:r>
        <w:rPr>
          <w:rFonts w:ascii="Arial" w:cs="Arial" w:eastAsia="Arial" w:hAnsi="Arial"/>
          <w:sz w:val="22"/>
          <w:szCs w:val="22"/>
          <w:color w:val="auto"/>
        </w:rPr>
        <w:t xml:space="preserve"> the contrary, Landlord shall </w:t>
      </w:r>
      <w:r>
        <w:rPr>
          <w:rFonts w:ascii="Arial" w:cs="Arial" w:eastAsia="Arial" w:hAnsi="Arial"/>
          <w:sz w:val="22"/>
          <w:szCs w:val="22"/>
          <w:color w:val="0E0E0E"/>
        </w:rPr>
        <w:t>not be</w:t>
      </w:r>
      <w:r>
        <w:rPr>
          <w:rFonts w:ascii="Arial" w:cs="Arial" w:eastAsia="Arial" w:hAnsi="Arial"/>
          <w:sz w:val="22"/>
          <w:szCs w:val="22"/>
          <w:color w:val="auto"/>
        </w:rPr>
        <w:t xml:space="preserve"> </w:t>
      </w:r>
      <w:r>
        <w:rPr>
          <w:rFonts w:ascii="Arial" w:cs="Arial" w:eastAsia="Arial" w:hAnsi="Arial"/>
          <w:sz w:val="22"/>
          <w:szCs w:val="22"/>
          <w:color w:val="343434"/>
        </w:rPr>
        <w:t>liable to</w:t>
      </w:r>
      <w:r>
        <w:rPr>
          <w:rFonts w:ascii="Arial" w:cs="Arial" w:eastAsia="Arial" w:hAnsi="Arial"/>
          <w:sz w:val="22"/>
          <w:szCs w:val="22"/>
          <w:color w:val="auto"/>
        </w:rPr>
        <w:t xml:space="preserve"> Tenant for, and Tenant </w:t>
      </w:r>
      <w:r>
        <w:rPr>
          <w:rFonts w:ascii="Arial" w:cs="Arial" w:eastAsia="Arial" w:hAnsi="Arial"/>
          <w:sz w:val="22"/>
          <w:szCs w:val="22"/>
          <w:color w:val="343434"/>
        </w:rPr>
        <w:t>assumes</w:t>
      </w:r>
      <w:r>
        <w:rPr>
          <w:rFonts w:ascii="Arial" w:cs="Arial" w:eastAsia="Arial" w:hAnsi="Arial"/>
          <w:sz w:val="22"/>
          <w:szCs w:val="22"/>
          <w:color w:val="auto"/>
        </w:rPr>
        <w:t xml:space="preserve"> all risk of, damage </w:t>
      </w:r>
      <w:r>
        <w:rPr>
          <w:rFonts w:ascii="Arial" w:cs="Arial" w:eastAsia="Arial" w:hAnsi="Arial"/>
          <w:sz w:val="22"/>
          <w:szCs w:val="22"/>
          <w:color w:val="343434"/>
        </w:rPr>
        <w:t>to</w:t>
      </w:r>
      <w:r>
        <w:rPr>
          <w:rFonts w:ascii="Arial" w:cs="Arial" w:eastAsia="Arial" w:hAnsi="Arial"/>
          <w:sz w:val="22"/>
          <w:szCs w:val="22"/>
          <w:color w:val="auto"/>
        </w:rPr>
        <w:t xml:space="preserve"> personal </w:t>
      </w:r>
      <w:r>
        <w:rPr>
          <w:rFonts w:ascii="Arial" w:cs="Arial" w:eastAsia="Arial" w:hAnsi="Arial"/>
          <w:sz w:val="22"/>
          <w:szCs w:val="22"/>
          <w:color w:val="0E0E0E"/>
        </w:rPr>
        <w:t>property</w:t>
      </w:r>
      <w:r>
        <w:rPr>
          <w:rFonts w:ascii="Arial" w:cs="Arial" w:eastAsia="Arial" w:hAnsi="Arial"/>
          <w:sz w:val="22"/>
          <w:szCs w:val="22"/>
          <w:color w:val="auto"/>
        </w:rPr>
        <w:t xml:space="preserve"> or </w:t>
      </w:r>
      <w:r>
        <w:rPr>
          <w:rFonts w:ascii="Arial" w:cs="Arial" w:eastAsia="Arial" w:hAnsi="Arial"/>
          <w:sz w:val="22"/>
          <w:szCs w:val="22"/>
          <w:color w:val="343434"/>
        </w:rPr>
        <w:t>scientific</w:t>
      </w:r>
      <w:r>
        <w:rPr>
          <w:rFonts w:ascii="Arial" w:cs="Arial" w:eastAsia="Arial" w:hAnsi="Arial"/>
          <w:sz w:val="22"/>
          <w:szCs w:val="22"/>
          <w:color w:val="auto"/>
        </w:rPr>
        <w:t xml:space="preserve"> </w:t>
      </w:r>
      <w:r>
        <w:rPr>
          <w:rFonts w:ascii="Arial" w:cs="Arial" w:eastAsia="Arial" w:hAnsi="Arial"/>
          <w:sz w:val="22"/>
          <w:szCs w:val="22"/>
          <w:color w:val="0E0E0E"/>
        </w:rPr>
        <w:t>research, including</w:t>
      </w:r>
      <w:r>
        <w:rPr>
          <w:rFonts w:ascii="Arial" w:cs="Arial" w:eastAsia="Arial" w:hAnsi="Arial"/>
          <w:sz w:val="22"/>
          <w:szCs w:val="22"/>
          <w:color w:val="auto"/>
        </w:rPr>
        <w:t xml:space="preserve"> </w:t>
      </w:r>
      <w:r>
        <w:rPr>
          <w:rFonts w:ascii="Arial" w:cs="Arial" w:eastAsia="Arial" w:hAnsi="Arial"/>
          <w:sz w:val="22"/>
          <w:szCs w:val="22"/>
          <w:color w:val="343434"/>
        </w:rPr>
        <w:t>loss</w:t>
      </w:r>
      <w:r>
        <w:rPr>
          <w:rFonts w:ascii="Arial" w:cs="Arial" w:eastAsia="Arial" w:hAnsi="Arial"/>
          <w:sz w:val="22"/>
          <w:szCs w:val="22"/>
          <w:color w:val="auto"/>
        </w:rPr>
        <w:t xml:space="preserve"> of </w:t>
      </w:r>
      <w:r>
        <w:rPr>
          <w:rFonts w:ascii="Arial" w:cs="Arial" w:eastAsia="Arial" w:hAnsi="Arial"/>
          <w:sz w:val="22"/>
          <w:szCs w:val="22"/>
          <w:color w:val="0E0E0E"/>
        </w:rPr>
        <w:t>records</w:t>
      </w:r>
      <w:r>
        <w:rPr>
          <w:rFonts w:ascii="Arial" w:cs="Arial" w:eastAsia="Arial" w:hAnsi="Arial"/>
          <w:sz w:val="22"/>
          <w:szCs w:val="22"/>
          <w:color w:val="auto"/>
        </w:rPr>
        <w:t xml:space="preserve"> kept </w:t>
      </w:r>
      <w:r>
        <w:rPr>
          <w:rFonts w:ascii="Arial" w:cs="Arial" w:eastAsia="Arial" w:hAnsi="Arial"/>
          <w:sz w:val="22"/>
          <w:szCs w:val="22"/>
          <w:color w:val="0E0E0E"/>
        </w:rPr>
        <w:t>by</w:t>
      </w:r>
      <w:r>
        <w:rPr>
          <w:rFonts w:ascii="Arial" w:cs="Arial" w:eastAsia="Arial" w:hAnsi="Arial"/>
          <w:sz w:val="22"/>
          <w:szCs w:val="22"/>
          <w:color w:val="auto"/>
        </w:rPr>
        <w:t xml:space="preserve"> Tenant within </w:t>
      </w:r>
      <w:r>
        <w:rPr>
          <w:rFonts w:ascii="Arial" w:cs="Arial" w:eastAsia="Arial" w:hAnsi="Arial"/>
          <w:sz w:val="22"/>
          <w:szCs w:val="22"/>
          <w:color w:val="0E0E0E"/>
        </w:rPr>
        <w:t>the</w:t>
      </w:r>
      <w:r>
        <w:rPr>
          <w:rFonts w:ascii="Arial" w:cs="Arial" w:eastAsia="Arial" w:hAnsi="Arial"/>
          <w:sz w:val="22"/>
          <w:szCs w:val="22"/>
          <w:color w:val="auto"/>
        </w:rPr>
        <w:t xml:space="preserve"> Premises and </w:t>
      </w:r>
      <w:r>
        <w:rPr>
          <w:rFonts w:ascii="Arial" w:cs="Arial" w:eastAsia="Arial" w:hAnsi="Arial"/>
          <w:sz w:val="22"/>
          <w:szCs w:val="22"/>
          <w:color w:val="0E0E0E"/>
        </w:rPr>
        <w:t>damage</w:t>
      </w:r>
      <w:r>
        <w:rPr>
          <w:rFonts w:ascii="Arial" w:cs="Arial" w:eastAsia="Arial" w:hAnsi="Arial"/>
          <w:sz w:val="22"/>
          <w:szCs w:val="22"/>
          <w:color w:val="auto"/>
        </w:rPr>
        <w:t xml:space="preserve"> or </w:t>
      </w:r>
      <w:r>
        <w:rPr>
          <w:rFonts w:ascii="Arial" w:cs="Arial" w:eastAsia="Arial" w:hAnsi="Arial"/>
          <w:sz w:val="22"/>
          <w:szCs w:val="22"/>
          <w:color w:val="0E0E0E"/>
        </w:rPr>
        <w:t>losses</w:t>
      </w:r>
      <w:r>
        <w:rPr>
          <w:rFonts w:ascii="Arial" w:cs="Arial" w:eastAsia="Arial" w:hAnsi="Arial"/>
          <w:sz w:val="22"/>
          <w:szCs w:val="22"/>
          <w:color w:val="auto"/>
        </w:rPr>
        <w:t xml:space="preserve"> caused by </w:t>
      </w:r>
      <w:r>
        <w:rPr>
          <w:rFonts w:ascii="Arial" w:cs="Arial" w:eastAsia="Arial" w:hAnsi="Arial"/>
          <w:sz w:val="22"/>
          <w:szCs w:val="22"/>
          <w:color w:val="0E0E0E"/>
        </w:rPr>
        <w:t>fire, electrical</w:t>
      </w:r>
      <w:r>
        <w:rPr>
          <w:rFonts w:ascii="Arial" w:cs="Arial" w:eastAsia="Arial" w:hAnsi="Arial"/>
          <w:sz w:val="22"/>
          <w:szCs w:val="22"/>
          <w:color w:val="auto"/>
        </w:rPr>
        <w:t xml:space="preserve"> malfunction, gas explosion or water damage of </w:t>
      </w:r>
      <w:r>
        <w:rPr>
          <w:rFonts w:ascii="Arial" w:cs="Arial" w:eastAsia="Arial" w:hAnsi="Arial"/>
          <w:sz w:val="22"/>
          <w:szCs w:val="22"/>
          <w:color w:val="0E0E0E"/>
        </w:rPr>
        <w:t>any</w:t>
      </w:r>
      <w:r>
        <w:rPr>
          <w:rFonts w:ascii="Arial" w:cs="Arial" w:eastAsia="Arial" w:hAnsi="Arial"/>
          <w:sz w:val="22"/>
          <w:szCs w:val="22"/>
          <w:color w:val="auto"/>
        </w:rPr>
        <w:t xml:space="preserve"> type </w:t>
      </w:r>
      <w:r>
        <w:rPr>
          <w:rFonts w:ascii="Arial" w:cs="Arial" w:eastAsia="Arial" w:hAnsi="Arial"/>
          <w:sz w:val="22"/>
          <w:szCs w:val="22"/>
          <w:color w:val="0E0E0E"/>
        </w:rPr>
        <w:t>(including</w:t>
      </w:r>
      <w:r>
        <w:rPr>
          <w:rFonts w:ascii="Arial" w:cs="Arial" w:eastAsia="Arial" w:hAnsi="Arial"/>
          <w:sz w:val="22"/>
          <w:szCs w:val="22"/>
          <w:color w:val="auto"/>
        </w:rPr>
        <w:t xml:space="preserve"> broken water </w:t>
      </w:r>
      <w:r>
        <w:rPr>
          <w:rFonts w:ascii="Arial" w:cs="Arial" w:eastAsia="Arial" w:hAnsi="Arial"/>
          <w:sz w:val="22"/>
          <w:szCs w:val="22"/>
          <w:color w:val="0E0E0E"/>
        </w:rPr>
        <w:t>lines, malfunctioning</w:t>
      </w:r>
      <w:r>
        <w:rPr>
          <w:rFonts w:ascii="Arial" w:cs="Arial" w:eastAsia="Arial" w:hAnsi="Arial"/>
          <w:sz w:val="22"/>
          <w:szCs w:val="22"/>
          <w:color w:val="auto"/>
        </w:rPr>
        <w:t xml:space="preserve"> fire </w:t>
      </w:r>
      <w:r>
        <w:rPr>
          <w:rFonts w:ascii="Arial" w:cs="Arial" w:eastAsia="Arial" w:hAnsi="Arial"/>
          <w:sz w:val="22"/>
          <w:szCs w:val="22"/>
          <w:color w:val="343434"/>
        </w:rPr>
        <w:t>sprinkler</w:t>
      </w:r>
      <w:r>
        <w:rPr>
          <w:rFonts w:ascii="Arial" w:cs="Arial" w:eastAsia="Arial" w:hAnsi="Arial"/>
          <w:sz w:val="22"/>
          <w:szCs w:val="22"/>
          <w:color w:val="auto"/>
        </w:rPr>
        <w:t xml:space="preserve"> systems, roof </w:t>
      </w:r>
      <w:r>
        <w:rPr>
          <w:rFonts w:ascii="Arial" w:cs="Arial" w:eastAsia="Arial" w:hAnsi="Arial"/>
          <w:sz w:val="22"/>
          <w:szCs w:val="22"/>
          <w:color w:val="282828"/>
        </w:rPr>
        <w:t>leaks</w:t>
      </w:r>
      <w:r>
        <w:rPr>
          <w:rFonts w:ascii="Arial" w:cs="Arial" w:eastAsia="Arial" w:hAnsi="Arial"/>
          <w:sz w:val="22"/>
          <w:szCs w:val="22"/>
          <w:color w:val="auto"/>
        </w:rPr>
        <w:t xml:space="preserve"> </w:t>
      </w:r>
      <w:r>
        <w:rPr>
          <w:rFonts w:ascii="Arial" w:cs="Arial" w:eastAsia="Arial" w:hAnsi="Arial"/>
          <w:sz w:val="22"/>
          <w:szCs w:val="22"/>
          <w:color w:val="181818"/>
        </w:rPr>
        <w:t>or</w:t>
      </w:r>
      <w:r>
        <w:rPr>
          <w:rFonts w:ascii="Arial" w:cs="Arial" w:eastAsia="Arial" w:hAnsi="Arial"/>
          <w:sz w:val="22"/>
          <w:szCs w:val="22"/>
          <w:color w:val="auto"/>
        </w:rPr>
        <w:t xml:space="preserve"> </w:t>
      </w:r>
      <w:r>
        <w:rPr>
          <w:rFonts w:ascii="Arial" w:cs="Arial" w:eastAsia="Arial" w:hAnsi="Arial"/>
          <w:sz w:val="22"/>
          <w:szCs w:val="22"/>
          <w:color w:val="363636"/>
        </w:rPr>
        <w:t>stoppages</w:t>
      </w:r>
      <w:r>
        <w:rPr>
          <w:rFonts w:ascii="Arial" w:cs="Arial" w:eastAsia="Arial" w:hAnsi="Arial"/>
          <w:sz w:val="22"/>
          <w:szCs w:val="22"/>
          <w:color w:val="auto"/>
        </w:rPr>
        <w:t xml:space="preserve"> </w:t>
      </w:r>
      <w:r>
        <w:rPr>
          <w:rFonts w:ascii="Arial" w:cs="Arial" w:eastAsia="Arial" w:hAnsi="Arial"/>
          <w:sz w:val="22"/>
          <w:szCs w:val="22"/>
          <w:color w:val="181818"/>
        </w:rPr>
        <w:t xml:space="preserve">of lines), unless </w:t>
      </w:r>
      <w:r>
        <w:rPr>
          <w:rFonts w:ascii="Arial" w:cs="Arial" w:eastAsia="Arial" w:hAnsi="Arial"/>
          <w:sz w:val="22"/>
          <w:szCs w:val="22"/>
          <w:color w:val="282828"/>
        </w:rPr>
        <w:t>any such</w:t>
      </w:r>
      <w:r>
        <w:rPr>
          <w:rFonts w:ascii="Arial" w:cs="Arial" w:eastAsia="Arial" w:hAnsi="Arial"/>
          <w:sz w:val="22"/>
          <w:szCs w:val="22"/>
          <w:color w:val="181818"/>
        </w:rPr>
        <w:t xml:space="preserve"> loss is due to Landlord’s failure </w:t>
      </w:r>
      <w:r>
        <w:rPr>
          <w:rFonts w:ascii="Arial" w:cs="Arial" w:eastAsia="Arial" w:hAnsi="Arial"/>
          <w:sz w:val="22"/>
          <w:szCs w:val="22"/>
          <w:color w:val="282828"/>
        </w:rPr>
        <w:t>to respond to</w:t>
      </w:r>
      <w:r>
        <w:rPr>
          <w:rFonts w:ascii="Arial" w:cs="Arial" w:eastAsia="Arial" w:hAnsi="Arial"/>
          <w:sz w:val="22"/>
          <w:szCs w:val="22"/>
          <w:color w:val="181818"/>
        </w:rPr>
        <w:t xml:space="preserve"> written notice </w:t>
      </w:r>
      <w:r>
        <w:rPr>
          <w:rFonts w:ascii="Arial" w:cs="Arial" w:eastAsia="Arial" w:hAnsi="Arial"/>
          <w:sz w:val="22"/>
          <w:szCs w:val="22"/>
          <w:color w:val="282828"/>
        </w:rPr>
        <w:t>by</w:t>
      </w:r>
      <w:r>
        <w:rPr>
          <w:rFonts w:ascii="Arial" w:cs="Arial" w:eastAsia="Arial" w:hAnsi="Arial"/>
          <w:sz w:val="22"/>
          <w:szCs w:val="22"/>
          <w:color w:val="181818"/>
        </w:rPr>
        <w:t xml:space="preserve"> Tenant of need </w:t>
      </w:r>
      <w:r>
        <w:rPr>
          <w:rFonts w:ascii="Arial" w:cs="Arial" w:eastAsia="Arial" w:hAnsi="Arial"/>
          <w:sz w:val="22"/>
          <w:szCs w:val="22"/>
          <w:color w:val="282828"/>
        </w:rPr>
        <w:t>for a</w:t>
      </w:r>
      <w:r>
        <w:rPr>
          <w:rFonts w:ascii="Arial" w:cs="Arial" w:eastAsia="Arial" w:hAnsi="Arial"/>
          <w:sz w:val="22"/>
          <w:szCs w:val="22"/>
          <w:color w:val="181818"/>
        </w:rPr>
        <w:t xml:space="preserve"> repair that Landlord is responsible </w:t>
      </w:r>
      <w:r>
        <w:rPr>
          <w:rFonts w:ascii="Arial" w:cs="Arial" w:eastAsia="Arial" w:hAnsi="Arial"/>
          <w:sz w:val="22"/>
          <w:szCs w:val="22"/>
          <w:color w:val="282828"/>
        </w:rPr>
        <w:t>to</w:t>
      </w:r>
      <w:r>
        <w:rPr>
          <w:rFonts w:ascii="Arial" w:cs="Arial" w:eastAsia="Arial" w:hAnsi="Arial"/>
          <w:sz w:val="22"/>
          <w:szCs w:val="22"/>
          <w:color w:val="181818"/>
        </w:rPr>
        <w:t xml:space="preserve"> </w:t>
      </w:r>
      <w:r>
        <w:rPr>
          <w:rFonts w:ascii="Arial" w:cs="Arial" w:eastAsia="Arial" w:hAnsi="Arial"/>
          <w:sz w:val="22"/>
          <w:szCs w:val="22"/>
          <w:color w:val="030303"/>
        </w:rPr>
        <w:t>make</w:t>
      </w:r>
      <w:r>
        <w:rPr>
          <w:rFonts w:ascii="Arial" w:cs="Arial" w:eastAsia="Arial" w:hAnsi="Arial"/>
          <w:sz w:val="22"/>
          <w:szCs w:val="22"/>
          <w:color w:val="181818"/>
        </w:rPr>
        <w:t xml:space="preserve"> </w:t>
      </w:r>
      <w:r>
        <w:rPr>
          <w:rFonts w:ascii="Arial" w:cs="Arial" w:eastAsia="Arial" w:hAnsi="Arial"/>
          <w:sz w:val="22"/>
          <w:szCs w:val="22"/>
          <w:color w:val="282828"/>
        </w:rPr>
        <w:t>for ten</w:t>
      </w:r>
      <w:r>
        <w:rPr>
          <w:rFonts w:ascii="Arial" w:cs="Arial" w:eastAsia="Arial" w:hAnsi="Arial"/>
          <w:sz w:val="22"/>
          <w:szCs w:val="22"/>
          <w:color w:val="181818"/>
        </w:rPr>
        <w:t xml:space="preserve"> (10) </w:t>
      </w:r>
      <w:r>
        <w:rPr>
          <w:rFonts w:ascii="Arial" w:cs="Arial" w:eastAsia="Arial" w:hAnsi="Arial"/>
          <w:sz w:val="22"/>
          <w:szCs w:val="22"/>
          <w:color w:val="282828"/>
        </w:rPr>
        <w:t>business</w:t>
      </w:r>
      <w:r>
        <w:rPr>
          <w:rFonts w:ascii="Arial" w:cs="Arial" w:eastAsia="Arial" w:hAnsi="Arial"/>
          <w:sz w:val="22"/>
          <w:szCs w:val="22"/>
          <w:color w:val="181818"/>
        </w:rPr>
        <w:t xml:space="preserve"> days. </w:t>
      </w:r>
      <w:r>
        <w:rPr>
          <w:rFonts w:ascii="Arial" w:cs="Arial" w:eastAsia="Arial" w:hAnsi="Arial"/>
          <w:sz w:val="22"/>
          <w:szCs w:val="22"/>
          <w:color w:val="282828"/>
        </w:rPr>
        <w:t>Tenant</w:t>
      </w:r>
      <w:r>
        <w:rPr>
          <w:rFonts w:ascii="Arial" w:cs="Arial" w:eastAsia="Arial" w:hAnsi="Arial"/>
          <w:sz w:val="22"/>
          <w:szCs w:val="22"/>
          <w:color w:val="181818"/>
        </w:rPr>
        <w:t xml:space="preserve"> </w:t>
      </w:r>
      <w:r>
        <w:rPr>
          <w:rFonts w:ascii="Arial" w:cs="Arial" w:eastAsia="Arial" w:hAnsi="Arial"/>
          <w:sz w:val="22"/>
          <w:szCs w:val="22"/>
          <w:color w:val="363636"/>
        </w:rPr>
        <w:t>further</w:t>
      </w:r>
      <w:r>
        <w:rPr>
          <w:rFonts w:ascii="Arial" w:cs="Arial" w:eastAsia="Arial" w:hAnsi="Arial"/>
          <w:sz w:val="22"/>
          <w:szCs w:val="22"/>
          <w:color w:val="181818"/>
        </w:rPr>
        <w:t xml:space="preserve"> waives any claim </w:t>
      </w:r>
      <w:r>
        <w:rPr>
          <w:rFonts w:ascii="Arial" w:cs="Arial" w:eastAsia="Arial" w:hAnsi="Arial"/>
          <w:sz w:val="22"/>
          <w:szCs w:val="22"/>
          <w:color w:val="282828"/>
        </w:rPr>
        <w:t>for</w:t>
      </w:r>
      <w:r>
        <w:rPr>
          <w:rFonts w:ascii="Arial" w:cs="Arial" w:eastAsia="Arial" w:hAnsi="Arial"/>
          <w:sz w:val="22"/>
          <w:szCs w:val="22"/>
          <w:color w:val="181818"/>
        </w:rPr>
        <w:t xml:space="preserve"> injury to Tenant’s business or loss of </w:t>
      </w:r>
      <w:r>
        <w:rPr>
          <w:rFonts w:ascii="Arial" w:cs="Arial" w:eastAsia="Arial" w:hAnsi="Arial"/>
          <w:sz w:val="22"/>
          <w:szCs w:val="22"/>
          <w:color w:val="282828"/>
        </w:rPr>
        <w:t>income</w:t>
      </w:r>
      <w:r>
        <w:rPr>
          <w:rFonts w:ascii="Arial" w:cs="Arial" w:eastAsia="Arial" w:hAnsi="Arial"/>
          <w:sz w:val="22"/>
          <w:szCs w:val="22"/>
          <w:color w:val="181818"/>
        </w:rPr>
        <w:t xml:space="preserve"> relating to any </w:t>
      </w:r>
      <w:r>
        <w:rPr>
          <w:rFonts w:ascii="Arial" w:cs="Arial" w:eastAsia="Arial" w:hAnsi="Arial"/>
          <w:sz w:val="22"/>
          <w:szCs w:val="22"/>
          <w:color w:val="282828"/>
        </w:rPr>
        <w:t>such</w:t>
      </w:r>
      <w:r>
        <w:rPr>
          <w:rFonts w:ascii="Arial" w:cs="Arial" w:eastAsia="Arial" w:hAnsi="Arial"/>
          <w:sz w:val="22"/>
          <w:szCs w:val="22"/>
          <w:color w:val="181818"/>
        </w:rPr>
        <w:t xml:space="preserve"> damage or </w:t>
      </w:r>
      <w:r>
        <w:rPr>
          <w:rFonts w:ascii="Arial" w:cs="Arial" w:eastAsia="Arial" w:hAnsi="Arial"/>
          <w:sz w:val="22"/>
          <w:szCs w:val="22"/>
          <w:color w:val="282828"/>
        </w:rPr>
        <w:t>destruction of</w:t>
      </w:r>
      <w:r>
        <w:rPr>
          <w:rFonts w:ascii="Arial" w:cs="Arial" w:eastAsia="Arial" w:hAnsi="Arial"/>
          <w:sz w:val="22"/>
          <w:szCs w:val="22"/>
          <w:color w:val="181818"/>
        </w:rPr>
        <w:t xml:space="preserve"> personal property </w:t>
      </w:r>
      <w:r>
        <w:rPr>
          <w:rFonts w:ascii="Arial" w:cs="Arial" w:eastAsia="Arial" w:hAnsi="Arial"/>
          <w:sz w:val="22"/>
          <w:szCs w:val="22"/>
          <w:color w:val="282828"/>
        </w:rPr>
        <w:t>as</w:t>
      </w:r>
      <w:r>
        <w:rPr>
          <w:rFonts w:ascii="Arial" w:cs="Arial" w:eastAsia="Arial" w:hAnsi="Arial"/>
          <w:sz w:val="22"/>
          <w:szCs w:val="22"/>
          <w:color w:val="181818"/>
        </w:rPr>
        <w:t xml:space="preserve"> described in this </w:t>
      </w:r>
      <w:r>
        <w:rPr>
          <w:rFonts w:ascii="Arial" w:cs="Arial" w:eastAsia="Arial" w:hAnsi="Arial"/>
          <w:sz w:val="22"/>
          <w:szCs w:val="22"/>
          <w:color w:val="282828"/>
        </w:rPr>
        <w:t>Section.</w:t>
      </w:r>
    </w:p>
    <w:p>
      <w:pPr>
        <w:spacing w:after="0" w:line="164" w:lineRule="exact"/>
        <w:rPr>
          <w:rFonts w:ascii="Arial" w:cs="Arial" w:eastAsia="Arial" w:hAnsi="Arial"/>
          <w:sz w:val="22"/>
          <w:szCs w:val="22"/>
          <w:color w:val="auto"/>
        </w:rPr>
      </w:pPr>
    </w:p>
    <w:p>
      <w:pPr>
        <w:ind w:left="1300" w:hanging="648"/>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28.3 Landlord </w:t>
      </w:r>
      <w:r>
        <w:rPr>
          <w:rFonts w:ascii="Arial" w:cs="Arial" w:eastAsia="Arial" w:hAnsi="Arial"/>
          <w:sz w:val="22"/>
          <w:szCs w:val="22"/>
          <w:color w:val="282828"/>
        </w:rPr>
        <w:t>shall not</w:t>
      </w:r>
      <w:r>
        <w:rPr>
          <w:rFonts w:ascii="Arial" w:cs="Arial" w:eastAsia="Arial" w:hAnsi="Arial"/>
          <w:sz w:val="22"/>
          <w:szCs w:val="22"/>
          <w:color w:val="auto"/>
        </w:rPr>
        <w:t xml:space="preserve"> be </w:t>
      </w:r>
      <w:r>
        <w:rPr>
          <w:rFonts w:ascii="Arial" w:cs="Arial" w:eastAsia="Arial" w:hAnsi="Arial"/>
          <w:sz w:val="22"/>
          <w:szCs w:val="22"/>
          <w:color w:val="282828"/>
        </w:rPr>
        <w:t>liable for any</w:t>
      </w:r>
      <w:r>
        <w:rPr>
          <w:rFonts w:ascii="Arial" w:cs="Arial" w:eastAsia="Arial" w:hAnsi="Arial"/>
          <w:sz w:val="22"/>
          <w:szCs w:val="22"/>
          <w:color w:val="auto"/>
        </w:rPr>
        <w:t xml:space="preserve"> damages arising </w:t>
      </w:r>
      <w:r>
        <w:rPr>
          <w:rFonts w:ascii="Arial" w:cs="Arial" w:eastAsia="Arial" w:hAnsi="Arial"/>
          <w:sz w:val="22"/>
          <w:szCs w:val="22"/>
          <w:color w:val="363636"/>
        </w:rPr>
        <w:t>from</w:t>
      </w:r>
      <w:r>
        <w:rPr>
          <w:rFonts w:ascii="Arial" w:cs="Arial" w:eastAsia="Arial" w:hAnsi="Arial"/>
          <w:sz w:val="22"/>
          <w:szCs w:val="22"/>
          <w:color w:val="auto"/>
        </w:rPr>
        <w:t xml:space="preserve"> </w:t>
      </w:r>
      <w:r>
        <w:rPr>
          <w:rFonts w:ascii="Arial" w:cs="Arial" w:eastAsia="Arial" w:hAnsi="Arial"/>
          <w:sz w:val="22"/>
          <w:szCs w:val="22"/>
          <w:color w:val="282828"/>
        </w:rPr>
        <w:t>any</w:t>
      </w:r>
      <w:r>
        <w:rPr>
          <w:rFonts w:ascii="Arial" w:cs="Arial" w:eastAsia="Arial" w:hAnsi="Arial"/>
          <w:sz w:val="22"/>
          <w:szCs w:val="22"/>
          <w:color w:val="auto"/>
        </w:rPr>
        <w:t xml:space="preserve"> act, omission or neglect of any other tenant in the Building or the Project, </w:t>
      </w:r>
      <w:r>
        <w:rPr>
          <w:rFonts w:ascii="Arial" w:cs="Arial" w:eastAsia="Arial" w:hAnsi="Arial"/>
          <w:sz w:val="22"/>
          <w:szCs w:val="22"/>
          <w:color w:val="282828"/>
        </w:rPr>
        <w:t>or</w:t>
      </w:r>
      <w:r>
        <w:rPr>
          <w:rFonts w:ascii="Arial" w:cs="Arial" w:eastAsia="Arial" w:hAnsi="Arial"/>
          <w:sz w:val="22"/>
          <w:szCs w:val="22"/>
          <w:color w:val="auto"/>
        </w:rPr>
        <w:t xml:space="preserve"> for any other third </w:t>
      </w:r>
      <w:r>
        <w:rPr>
          <w:rFonts w:ascii="Arial" w:cs="Arial" w:eastAsia="Arial" w:hAnsi="Arial"/>
          <w:sz w:val="22"/>
          <w:szCs w:val="22"/>
          <w:color w:val="282828"/>
        </w:rPr>
        <w:t>party.</w:t>
      </w:r>
    </w:p>
    <w:p>
      <w:pPr>
        <w:spacing w:after="0" w:line="158" w:lineRule="exact"/>
        <w:rPr>
          <w:rFonts w:ascii="Arial" w:cs="Arial" w:eastAsia="Arial" w:hAnsi="Arial"/>
          <w:sz w:val="22"/>
          <w:szCs w:val="22"/>
          <w:color w:val="auto"/>
        </w:rPr>
      </w:pPr>
    </w:p>
    <w:p>
      <w:pPr>
        <w:ind w:left="1300" w:hanging="648"/>
        <w:spacing w:after="0" w:line="252" w:lineRule="auto"/>
        <w:rPr>
          <w:rFonts w:ascii="Arial" w:cs="Arial" w:eastAsia="Arial" w:hAnsi="Arial"/>
          <w:sz w:val="22"/>
          <w:szCs w:val="22"/>
          <w:color w:val="auto"/>
        </w:rPr>
      </w:pPr>
      <w:r>
        <w:rPr>
          <w:rFonts w:ascii="Arial" w:cs="Arial" w:eastAsia="Arial" w:hAnsi="Arial"/>
          <w:sz w:val="19"/>
          <w:szCs w:val="19"/>
          <w:color w:val="auto"/>
        </w:rPr>
        <w:t xml:space="preserve">28.4 Tenant </w:t>
      </w:r>
      <w:r>
        <w:rPr>
          <w:rFonts w:ascii="Arial" w:cs="Arial" w:eastAsia="Arial" w:hAnsi="Arial"/>
          <w:sz w:val="19"/>
          <w:szCs w:val="19"/>
          <w:color w:val="363636"/>
        </w:rPr>
        <w:t>acknowledges</w:t>
      </w:r>
      <w:r>
        <w:rPr>
          <w:rFonts w:ascii="Arial" w:cs="Arial" w:eastAsia="Arial" w:hAnsi="Arial"/>
          <w:sz w:val="19"/>
          <w:szCs w:val="19"/>
          <w:color w:val="auto"/>
        </w:rPr>
        <w:t xml:space="preserve"> that </w:t>
      </w:r>
      <w:r>
        <w:rPr>
          <w:rFonts w:ascii="Arial" w:cs="Arial" w:eastAsia="Arial" w:hAnsi="Arial"/>
          <w:sz w:val="19"/>
          <w:szCs w:val="19"/>
          <w:color w:val="282828"/>
        </w:rPr>
        <w:t>security</w:t>
      </w:r>
      <w:r>
        <w:rPr>
          <w:rFonts w:ascii="Arial" w:cs="Arial" w:eastAsia="Arial" w:hAnsi="Arial"/>
          <w:sz w:val="19"/>
          <w:szCs w:val="19"/>
          <w:color w:val="auto"/>
        </w:rPr>
        <w:t xml:space="preserve"> devices </w:t>
      </w:r>
      <w:r>
        <w:rPr>
          <w:rFonts w:ascii="Arial" w:cs="Arial" w:eastAsia="Arial" w:hAnsi="Arial"/>
          <w:sz w:val="19"/>
          <w:szCs w:val="19"/>
          <w:color w:val="282828"/>
        </w:rPr>
        <w:t>and services,</w:t>
      </w:r>
      <w:r>
        <w:rPr>
          <w:rFonts w:ascii="Arial" w:cs="Arial" w:eastAsia="Arial" w:hAnsi="Arial"/>
          <w:sz w:val="19"/>
          <w:szCs w:val="19"/>
          <w:color w:val="auto"/>
        </w:rPr>
        <w:t xml:space="preserve"> if any, </w:t>
      </w:r>
      <w:r>
        <w:rPr>
          <w:rFonts w:ascii="Arial" w:cs="Arial" w:eastAsia="Arial" w:hAnsi="Arial"/>
          <w:sz w:val="19"/>
          <w:szCs w:val="19"/>
          <w:color w:val="363636"/>
        </w:rPr>
        <w:t>while</w:t>
      </w:r>
      <w:r>
        <w:rPr>
          <w:rFonts w:ascii="Arial" w:cs="Arial" w:eastAsia="Arial" w:hAnsi="Arial"/>
          <w:sz w:val="19"/>
          <w:szCs w:val="19"/>
          <w:color w:val="auto"/>
        </w:rPr>
        <w:t xml:space="preserve"> intended </w:t>
      </w:r>
      <w:r>
        <w:rPr>
          <w:rFonts w:ascii="Arial" w:cs="Arial" w:eastAsia="Arial" w:hAnsi="Arial"/>
          <w:sz w:val="19"/>
          <w:szCs w:val="19"/>
          <w:color w:val="363636"/>
        </w:rPr>
        <w:t>to</w:t>
      </w:r>
      <w:r>
        <w:rPr>
          <w:rFonts w:ascii="Arial" w:cs="Arial" w:eastAsia="Arial" w:hAnsi="Arial"/>
          <w:sz w:val="19"/>
          <w:szCs w:val="19"/>
          <w:color w:val="auto"/>
        </w:rPr>
        <w:t xml:space="preserve"> deter crime, may not </w:t>
      </w:r>
      <w:r>
        <w:rPr>
          <w:rFonts w:ascii="Arial" w:cs="Arial" w:eastAsia="Arial" w:hAnsi="Arial"/>
          <w:sz w:val="19"/>
          <w:szCs w:val="19"/>
          <w:color w:val="363636"/>
        </w:rPr>
        <w:t>in</w:t>
      </w:r>
      <w:r>
        <w:rPr>
          <w:rFonts w:ascii="Arial" w:cs="Arial" w:eastAsia="Arial" w:hAnsi="Arial"/>
          <w:sz w:val="19"/>
          <w:szCs w:val="19"/>
          <w:color w:val="auto"/>
        </w:rPr>
        <w:t xml:space="preserve"> </w:t>
      </w:r>
      <w:r>
        <w:rPr>
          <w:rFonts w:ascii="Arial" w:cs="Arial" w:eastAsia="Arial" w:hAnsi="Arial"/>
          <w:sz w:val="19"/>
          <w:szCs w:val="19"/>
          <w:color w:val="282828"/>
        </w:rPr>
        <w:t>given</w:t>
      </w:r>
      <w:r>
        <w:rPr>
          <w:rFonts w:ascii="Arial" w:cs="Arial" w:eastAsia="Arial" w:hAnsi="Arial"/>
          <w:sz w:val="19"/>
          <w:szCs w:val="19"/>
          <w:color w:val="auto"/>
        </w:rPr>
        <w:t xml:space="preserve"> instances prevent </w:t>
      </w:r>
      <w:r>
        <w:rPr>
          <w:rFonts w:ascii="Arial" w:cs="Arial" w:eastAsia="Arial" w:hAnsi="Arial"/>
          <w:sz w:val="19"/>
          <w:szCs w:val="19"/>
          <w:color w:val="282828"/>
        </w:rPr>
        <w:t>theft</w:t>
      </w:r>
      <w:r>
        <w:rPr>
          <w:rFonts w:ascii="Arial" w:cs="Arial" w:eastAsia="Arial" w:hAnsi="Arial"/>
          <w:sz w:val="19"/>
          <w:szCs w:val="19"/>
          <w:color w:val="auto"/>
        </w:rPr>
        <w:t xml:space="preserve"> or other criminal </w:t>
      </w:r>
      <w:r>
        <w:rPr>
          <w:rFonts w:ascii="Arial" w:cs="Arial" w:eastAsia="Arial" w:hAnsi="Arial"/>
          <w:sz w:val="19"/>
          <w:szCs w:val="19"/>
          <w:color w:val="282828"/>
        </w:rPr>
        <w:t>acts.</w:t>
      </w:r>
      <w:r>
        <w:rPr>
          <w:rFonts w:ascii="Arial" w:cs="Arial" w:eastAsia="Arial" w:hAnsi="Arial"/>
          <w:sz w:val="19"/>
          <w:szCs w:val="19"/>
          <w:color w:val="auto"/>
        </w:rPr>
        <w:t xml:space="preserve"> Landlord </w:t>
      </w:r>
      <w:r>
        <w:rPr>
          <w:rFonts w:ascii="Arial" w:cs="Arial" w:eastAsia="Arial" w:hAnsi="Arial"/>
          <w:sz w:val="19"/>
          <w:szCs w:val="19"/>
          <w:color w:val="282828"/>
        </w:rPr>
        <w:t>shall</w:t>
      </w:r>
      <w:r>
        <w:rPr>
          <w:rFonts w:ascii="Arial" w:cs="Arial" w:eastAsia="Arial" w:hAnsi="Arial"/>
          <w:sz w:val="19"/>
          <w:szCs w:val="19"/>
          <w:color w:val="auto"/>
        </w:rPr>
        <w:t xml:space="preserve"> not </w:t>
      </w:r>
      <w:r>
        <w:rPr>
          <w:rFonts w:ascii="Arial" w:cs="Arial" w:eastAsia="Arial" w:hAnsi="Arial"/>
          <w:sz w:val="19"/>
          <w:szCs w:val="19"/>
          <w:color w:val="282828"/>
        </w:rPr>
        <w:t>be</w:t>
      </w:r>
      <w:r>
        <w:rPr>
          <w:rFonts w:ascii="Arial" w:cs="Arial" w:eastAsia="Arial" w:hAnsi="Arial"/>
          <w:sz w:val="19"/>
          <w:szCs w:val="19"/>
          <w:color w:val="auto"/>
        </w:rPr>
        <w:t xml:space="preserve"> </w:t>
      </w:r>
      <w:r>
        <w:rPr>
          <w:rFonts w:ascii="Arial" w:cs="Arial" w:eastAsia="Arial" w:hAnsi="Arial"/>
          <w:sz w:val="19"/>
          <w:szCs w:val="19"/>
          <w:color w:val="030303"/>
        </w:rPr>
        <w:t>liable</w:t>
      </w:r>
      <w:r>
        <w:rPr>
          <w:rFonts w:ascii="Arial" w:cs="Arial" w:eastAsia="Arial" w:hAnsi="Arial"/>
          <w:sz w:val="19"/>
          <w:szCs w:val="19"/>
          <w:color w:val="auto"/>
        </w:rPr>
        <w:t xml:space="preserve"> for injuries or losses </w:t>
      </w:r>
      <w:r>
        <w:rPr>
          <w:rFonts w:ascii="Arial" w:cs="Arial" w:eastAsia="Arial" w:hAnsi="Arial"/>
          <w:sz w:val="19"/>
          <w:szCs w:val="19"/>
          <w:color w:val="282828"/>
        </w:rPr>
        <w:t>caused</w:t>
      </w:r>
      <w:r>
        <w:rPr>
          <w:rFonts w:ascii="Arial" w:cs="Arial" w:eastAsia="Arial" w:hAnsi="Arial"/>
          <w:sz w:val="19"/>
          <w:szCs w:val="19"/>
          <w:color w:val="auto"/>
        </w:rPr>
        <w:t xml:space="preserve"> by </w:t>
      </w:r>
      <w:r>
        <w:rPr>
          <w:rFonts w:ascii="Arial" w:cs="Arial" w:eastAsia="Arial" w:hAnsi="Arial"/>
          <w:sz w:val="19"/>
          <w:szCs w:val="19"/>
          <w:color w:val="282828"/>
        </w:rPr>
        <w:t>criminal</w:t>
      </w:r>
      <w:r>
        <w:rPr>
          <w:rFonts w:ascii="Arial" w:cs="Arial" w:eastAsia="Arial" w:hAnsi="Arial"/>
          <w:sz w:val="19"/>
          <w:szCs w:val="19"/>
          <w:color w:val="auto"/>
        </w:rPr>
        <w:t xml:space="preserve"> acts of third parties, </w:t>
      </w:r>
      <w:r>
        <w:rPr>
          <w:rFonts w:ascii="Arial" w:cs="Arial" w:eastAsia="Arial" w:hAnsi="Arial"/>
          <w:sz w:val="19"/>
          <w:szCs w:val="19"/>
          <w:color w:val="282828"/>
        </w:rPr>
        <w:t>and</w:t>
      </w:r>
      <w:r>
        <w:rPr>
          <w:rFonts w:ascii="Arial" w:cs="Arial" w:eastAsia="Arial" w:hAnsi="Arial"/>
          <w:sz w:val="19"/>
          <w:szCs w:val="19"/>
          <w:color w:val="auto"/>
        </w:rPr>
        <w:t xml:space="preserve"> Tenant assumes the risk that any </w:t>
      </w:r>
      <w:r>
        <w:rPr>
          <w:rFonts w:ascii="Arial" w:cs="Arial" w:eastAsia="Arial" w:hAnsi="Arial"/>
          <w:sz w:val="19"/>
          <w:szCs w:val="19"/>
          <w:color w:val="363636"/>
        </w:rPr>
        <w:t>security</w:t>
      </w:r>
      <w:r>
        <w:rPr>
          <w:rFonts w:ascii="Arial" w:cs="Arial" w:eastAsia="Arial" w:hAnsi="Arial"/>
          <w:sz w:val="19"/>
          <w:szCs w:val="19"/>
          <w:color w:val="auto"/>
        </w:rPr>
        <w:t xml:space="preserve"> device or </w:t>
      </w:r>
      <w:r>
        <w:rPr>
          <w:rFonts w:ascii="Arial" w:cs="Arial" w:eastAsia="Arial" w:hAnsi="Arial"/>
          <w:sz w:val="19"/>
          <w:szCs w:val="19"/>
          <w:color w:val="363636"/>
        </w:rPr>
        <w:t>serv</w:t>
      </w:r>
      <w:r>
        <w:rPr>
          <w:rFonts w:ascii="Arial" w:cs="Arial" w:eastAsia="Arial" w:hAnsi="Arial"/>
          <w:sz w:val="19"/>
          <w:szCs w:val="19"/>
          <w:color w:val="030303"/>
        </w:rPr>
        <w:t>i</w:t>
      </w:r>
      <w:r>
        <w:rPr>
          <w:rFonts w:ascii="Arial" w:cs="Arial" w:eastAsia="Arial" w:hAnsi="Arial"/>
          <w:sz w:val="19"/>
          <w:szCs w:val="19"/>
          <w:color w:val="282828"/>
        </w:rPr>
        <w:t>ce</w:t>
      </w:r>
      <w:r>
        <w:rPr>
          <w:rFonts w:ascii="Arial" w:cs="Arial" w:eastAsia="Arial" w:hAnsi="Arial"/>
          <w:sz w:val="19"/>
          <w:szCs w:val="19"/>
          <w:color w:val="auto"/>
        </w:rPr>
        <w:t xml:space="preserve"> may </w:t>
      </w:r>
      <w:r>
        <w:rPr>
          <w:rFonts w:ascii="Arial" w:cs="Arial" w:eastAsia="Arial" w:hAnsi="Arial"/>
          <w:sz w:val="19"/>
          <w:szCs w:val="19"/>
          <w:color w:val="282828"/>
        </w:rPr>
        <w:t>malfunction or</w:t>
      </w:r>
      <w:r>
        <w:rPr>
          <w:rFonts w:ascii="Arial" w:cs="Arial" w:eastAsia="Arial" w:hAnsi="Arial"/>
          <w:sz w:val="19"/>
          <w:szCs w:val="19"/>
          <w:color w:val="auto"/>
        </w:rPr>
        <w:t xml:space="preserve"> otherwise be circumvented </w:t>
      </w:r>
      <w:r>
        <w:rPr>
          <w:rFonts w:ascii="Arial" w:cs="Arial" w:eastAsia="Arial" w:hAnsi="Arial"/>
          <w:sz w:val="19"/>
          <w:szCs w:val="19"/>
          <w:color w:val="282828"/>
        </w:rPr>
        <w:t>by</w:t>
      </w:r>
      <w:r>
        <w:rPr>
          <w:rFonts w:ascii="Arial" w:cs="Arial" w:eastAsia="Arial" w:hAnsi="Arial"/>
          <w:sz w:val="19"/>
          <w:szCs w:val="19"/>
          <w:color w:val="auto"/>
        </w:rPr>
        <w:t xml:space="preserve"> </w:t>
      </w:r>
      <w:r>
        <w:rPr>
          <w:rFonts w:ascii="Arial" w:cs="Arial" w:eastAsia="Arial" w:hAnsi="Arial"/>
          <w:sz w:val="19"/>
          <w:szCs w:val="19"/>
          <w:color w:val="363636"/>
        </w:rPr>
        <w:t>a</w:t>
      </w:r>
      <w:r>
        <w:rPr>
          <w:rFonts w:ascii="Arial" w:cs="Arial" w:eastAsia="Arial" w:hAnsi="Arial"/>
          <w:sz w:val="19"/>
          <w:szCs w:val="19"/>
          <w:color w:val="auto"/>
        </w:rPr>
        <w:t xml:space="preserve"> criminal. </w:t>
      </w:r>
      <w:r>
        <w:rPr>
          <w:rFonts w:ascii="Arial" w:cs="Arial" w:eastAsia="Arial" w:hAnsi="Arial"/>
          <w:sz w:val="19"/>
          <w:szCs w:val="19"/>
          <w:color w:val="282828"/>
        </w:rPr>
        <w:t>If Tenant</w:t>
      </w:r>
      <w:r>
        <w:rPr>
          <w:rFonts w:ascii="Arial" w:cs="Arial" w:eastAsia="Arial" w:hAnsi="Arial"/>
          <w:sz w:val="19"/>
          <w:szCs w:val="19"/>
          <w:color w:val="auto"/>
        </w:rPr>
        <w:t xml:space="preserve"> desires </w:t>
      </w:r>
      <w:r>
        <w:rPr>
          <w:rFonts w:ascii="Arial" w:cs="Arial" w:eastAsia="Arial" w:hAnsi="Arial"/>
          <w:sz w:val="19"/>
          <w:szCs w:val="19"/>
          <w:color w:val="282828"/>
        </w:rPr>
        <w:t>protection against such</w:t>
      </w:r>
      <w:r>
        <w:rPr>
          <w:rFonts w:ascii="Arial" w:cs="Arial" w:eastAsia="Arial" w:hAnsi="Arial"/>
          <w:sz w:val="19"/>
          <w:szCs w:val="19"/>
          <w:color w:val="auto"/>
        </w:rPr>
        <w:t xml:space="preserve"> criminal acts, </w:t>
      </w:r>
      <w:r>
        <w:rPr>
          <w:rFonts w:ascii="Arial" w:cs="Arial" w:eastAsia="Arial" w:hAnsi="Arial"/>
          <w:sz w:val="19"/>
          <w:szCs w:val="19"/>
          <w:color w:val="363636"/>
        </w:rPr>
        <w:t>then</w:t>
      </w:r>
      <w:r>
        <w:rPr>
          <w:rFonts w:ascii="Arial" w:cs="Arial" w:eastAsia="Arial" w:hAnsi="Arial"/>
          <w:sz w:val="19"/>
          <w:szCs w:val="19"/>
          <w:color w:val="auto"/>
        </w:rPr>
        <w:t xml:space="preserve"> Tenant </w:t>
      </w:r>
      <w:r>
        <w:rPr>
          <w:rFonts w:ascii="Arial" w:cs="Arial" w:eastAsia="Arial" w:hAnsi="Arial"/>
          <w:sz w:val="19"/>
          <w:szCs w:val="19"/>
          <w:color w:val="282828"/>
        </w:rPr>
        <w:t>shall, at</w:t>
      </w:r>
      <w:r>
        <w:rPr>
          <w:rFonts w:ascii="Arial" w:cs="Arial" w:eastAsia="Arial" w:hAnsi="Arial"/>
          <w:sz w:val="19"/>
          <w:szCs w:val="19"/>
          <w:color w:val="auto"/>
        </w:rPr>
        <w:t xml:space="preserve"> Tenant’s </w:t>
      </w:r>
      <w:r>
        <w:rPr>
          <w:rFonts w:ascii="Arial" w:cs="Arial" w:eastAsia="Arial" w:hAnsi="Arial"/>
          <w:sz w:val="19"/>
          <w:szCs w:val="19"/>
          <w:color w:val="282828"/>
        </w:rPr>
        <w:t>sole</w:t>
      </w:r>
      <w:r>
        <w:rPr>
          <w:rFonts w:ascii="Arial" w:cs="Arial" w:eastAsia="Arial" w:hAnsi="Arial"/>
          <w:sz w:val="19"/>
          <w:szCs w:val="19"/>
          <w:color w:val="auto"/>
        </w:rPr>
        <w:t xml:space="preserve"> cost </w:t>
      </w:r>
      <w:r>
        <w:rPr>
          <w:rFonts w:ascii="Arial" w:cs="Arial" w:eastAsia="Arial" w:hAnsi="Arial"/>
          <w:sz w:val="19"/>
          <w:szCs w:val="19"/>
          <w:color w:val="282828"/>
        </w:rPr>
        <w:t>and</w:t>
      </w:r>
      <w:r>
        <w:rPr>
          <w:rFonts w:ascii="Arial" w:cs="Arial" w:eastAsia="Arial" w:hAnsi="Arial"/>
          <w:sz w:val="19"/>
          <w:szCs w:val="19"/>
          <w:color w:val="auto"/>
        </w:rPr>
        <w:t xml:space="preserve"> </w:t>
      </w:r>
      <w:r>
        <w:rPr>
          <w:rFonts w:ascii="Arial" w:cs="Arial" w:eastAsia="Arial" w:hAnsi="Arial"/>
          <w:sz w:val="19"/>
          <w:szCs w:val="19"/>
          <w:color w:val="363636"/>
        </w:rPr>
        <w:t>expense,</w:t>
      </w:r>
      <w:r>
        <w:rPr>
          <w:rFonts w:ascii="Arial" w:cs="Arial" w:eastAsia="Arial" w:hAnsi="Arial"/>
          <w:sz w:val="19"/>
          <w:szCs w:val="19"/>
          <w:color w:val="auto"/>
        </w:rPr>
        <w:t xml:space="preserve"> obtain </w:t>
      </w:r>
      <w:r>
        <w:rPr>
          <w:rFonts w:ascii="Arial" w:cs="Arial" w:eastAsia="Arial" w:hAnsi="Arial"/>
          <w:sz w:val="19"/>
          <w:szCs w:val="19"/>
          <w:color w:val="282828"/>
        </w:rPr>
        <w:t>appropriate</w:t>
      </w:r>
      <w:r>
        <w:rPr>
          <w:rFonts w:ascii="Arial" w:cs="Arial" w:eastAsia="Arial" w:hAnsi="Arial"/>
          <w:sz w:val="19"/>
          <w:szCs w:val="19"/>
          <w:color w:val="auto"/>
        </w:rPr>
        <w:t xml:space="preserve"> insurance coverage.</w:t>
      </w:r>
    </w:p>
    <w:p>
      <w:pPr>
        <w:spacing w:after="0" w:line="14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28.5   The provisions </w:t>
      </w:r>
      <w:r>
        <w:rPr>
          <w:rFonts w:ascii="Arial" w:cs="Arial" w:eastAsia="Arial" w:hAnsi="Arial"/>
          <w:sz w:val="22"/>
          <w:szCs w:val="22"/>
          <w:color w:val="181818"/>
        </w:rPr>
        <w:t>o</w:t>
      </w:r>
      <w:r>
        <w:rPr>
          <w:rFonts w:ascii="Arial" w:cs="Arial" w:eastAsia="Arial" w:hAnsi="Arial"/>
          <w:sz w:val="22"/>
          <w:szCs w:val="22"/>
          <w:color w:val="4B4B4B"/>
        </w:rPr>
        <w:t>f</w:t>
      </w:r>
      <w:r>
        <w:rPr>
          <w:rFonts w:ascii="Arial" w:cs="Arial" w:eastAsia="Arial" w:hAnsi="Arial"/>
          <w:sz w:val="22"/>
          <w:szCs w:val="22"/>
          <w:color w:val="auto"/>
        </w:rPr>
        <w:t xml:space="preserve"> this Article </w:t>
      </w:r>
      <w:r>
        <w:rPr>
          <w:rFonts w:ascii="Arial" w:cs="Arial" w:eastAsia="Arial" w:hAnsi="Arial"/>
          <w:sz w:val="22"/>
          <w:szCs w:val="22"/>
          <w:color w:val="363636"/>
        </w:rPr>
        <w:t>shall survive</w:t>
      </w:r>
      <w:r>
        <w:rPr>
          <w:rFonts w:ascii="Arial" w:cs="Arial" w:eastAsia="Arial" w:hAnsi="Arial"/>
          <w:sz w:val="22"/>
          <w:szCs w:val="22"/>
          <w:color w:val="auto"/>
        </w:rPr>
        <w:t xml:space="preserve"> </w:t>
      </w:r>
      <w:r>
        <w:rPr>
          <w:rFonts w:ascii="Arial" w:cs="Arial" w:eastAsia="Arial" w:hAnsi="Arial"/>
          <w:sz w:val="22"/>
          <w:szCs w:val="22"/>
          <w:color w:val="181818"/>
        </w:rPr>
        <w:t>the</w:t>
      </w:r>
      <w:r>
        <w:rPr>
          <w:rFonts w:ascii="Arial" w:cs="Arial" w:eastAsia="Arial" w:hAnsi="Arial"/>
          <w:sz w:val="22"/>
          <w:szCs w:val="22"/>
          <w:color w:val="auto"/>
        </w:rPr>
        <w:t xml:space="preserve"> expiration </w:t>
      </w:r>
      <w:r>
        <w:rPr>
          <w:rFonts w:ascii="Arial" w:cs="Arial" w:eastAsia="Arial" w:hAnsi="Arial"/>
          <w:sz w:val="22"/>
          <w:szCs w:val="22"/>
          <w:color w:val="181818"/>
        </w:rPr>
        <w:t>or earlier</w:t>
      </w:r>
      <w:r>
        <w:rPr>
          <w:rFonts w:ascii="Arial" w:cs="Arial" w:eastAsia="Arial" w:hAnsi="Arial"/>
          <w:sz w:val="22"/>
          <w:szCs w:val="22"/>
          <w:color w:val="auto"/>
        </w:rPr>
        <w:t xml:space="preserve"> </w:t>
      </w:r>
      <w:r>
        <w:rPr>
          <w:rFonts w:ascii="Arial" w:cs="Arial" w:eastAsia="Arial" w:hAnsi="Arial"/>
          <w:sz w:val="22"/>
          <w:szCs w:val="22"/>
          <w:color w:val="363636"/>
        </w:rPr>
        <w:t>termination</w:t>
      </w:r>
      <w:r>
        <w:rPr>
          <w:rFonts w:ascii="Arial" w:cs="Arial" w:eastAsia="Arial" w:hAnsi="Arial"/>
          <w:sz w:val="22"/>
          <w:szCs w:val="22"/>
          <w:color w:val="auto"/>
        </w:rPr>
        <w:t xml:space="preserve"> </w:t>
      </w:r>
      <w:r>
        <w:rPr>
          <w:rFonts w:ascii="Arial" w:cs="Arial" w:eastAsia="Arial" w:hAnsi="Arial"/>
          <w:sz w:val="22"/>
          <w:szCs w:val="22"/>
          <w:color w:val="181818"/>
        </w:rPr>
        <w:t>of</w:t>
      </w:r>
      <w:r>
        <w:rPr>
          <w:rFonts w:ascii="Arial" w:cs="Arial" w:eastAsia="Arial" w:hAnsi="Arial"/>
          <w:sz w:val="22"/>
          <w:szCs w:val="22"/>
          <w:color w:val="auto"/>
        </w:rPr>
        <w:t xml:space="preserve"> </w:t>
      </w:r>
      <w:r>
        <w:rPr>
          <w:rFonts w:ascii="Arial" w:cs="Arial" w:eastAsia="Arial" w:hAnsi="Arial"/>
          <w:sz w:val="22"/>
          <w:szCs w:val="22"/>
          <w:color w:val="363636"/>
        </w:rPr>
        <w:t>this</w:t>
      </w:r>
      <w:r>
        <w:rPr>
          <w:rFonts w:ascii="Arial" w:cs="Arial" w:eastAsia="Arial" w:hAnsi="Arial"/>
          <w:sz w:val="22"/>
          <w:szCs w:val="22"/>
          <w:color w:val="auto"/>
        </w:rPr>
        <w:t xml:space="preserve"> </w:t>
      </w:r>
      <w:r>
        <w:rPr>
          <w:rFonts w:ascii="Arial" w:cs="Arial" w:eastAsia="Arial" w:hAnsi="Arial"/>
          <w:sz w:val="22"/>
          <w:szCs w:val="22"/>
          <w:color w:val="030303"/>
        </w:rPr>
        <w:t>Lease.</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Assignment or</w:t>
      </w:r>
      <w:r>
        <w:rPr>
          <w:rFonts w:ascii="Arial" w:cs="Arial" w:eastAsia="Arial" w:hAnsi="Arial"/>
          <w:sz w:val="22"/>
          <w:szCs w:val="22"/>
          <w:color w:val="auto"/>
        </w:rPr>
        <w:t xml:space="preserve"> </w:t>
      </w:r>
      <w:r>
        <w:rPr>
          <w:rFonts w:ascii="Arial" w:cs="Arial" w:eastAsia="Arial" w:hAnsi="Arial"/>
          <w:sz w:val="22"/>
          <w:szCs w:val="22"/>
          <w:u w:val="single" w:color="auto"/>
          <w:color w:val="181818"/>
        </w:rPr>
        <w:t>Subletting</w:t>
      </w:r>
      <w:r>
        <w:rPr>
          <w:rFonts w:ascii="Arial" w:cs="Arial" w:eastAsia="Arial" w:hAnsi="Arial"/>
          <w:sz w:val="22"/>
          <w:szCs w:val="22"/>
          <w:color w:val="181818"/>
        </w:rPr>
        <w:t>.</w:t>
      </w:r>
    </w:p>
    <w:p>
      <w:pPr>
        <w:spacing w:after="0" w:line="179" w:lineRule="exact"/>
        <w:rPr>
          <w:rFonts w:ascii="Arial" w:cs="Arial" w:eastAsia="Arial" w:hAnsi="Arial"/>
          <w:sz w:val="22"/>
          <w:szCs w:val="22"/>
          <w:color w:val="auto"/>
        </w:rPr>
      </w:pPr>
    </w:p>
    <w:p>
      <w:pPr>
        <w:ind w:left="1300" w:hanging="648"/>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29.1 Except </w:t>
      </w:r>
      <w:r>
        <w:rPr>
          <w:rFonts w:ascii="Arial" w:cs="Arial" w:eastAsia="Arial" w:hAnsi="Arial"/>
          <w:sz w:val="22"/>
          <w:szCs w:val="22"/>
          <w:color w:val="363636"/>
        </w:rPr>
        <w:t>as</w:t>
      </w:r>
      <w:r>
        <w:rPr>
          <w:rFonts w:ascii="Arial" w:cs="Arial" w:eastAsia="Arial" w:hAnsi="Arial"/>
          <w:sz w:val="22"/>
          <w:szCs w:val="22"/>
          <w:color w:val="auto"/>
        </w:rPr>
        <w:t xml:space="preserve"> hereinafter expressly permitted, Tenant </w:t>
      </w:r>
      <w:r>
        <w:rPr>
          <w:rFonts w:ascii="Arial" w:cs="Arial" w:eastAsia="Arial" w:hAnsi="Arial"/>
          <w:sz w:val="22"/>
          <w:szCs w:val="22"/>
          <w:color w:val="363636"/>
        </w:rPr>
        <w:t>shall not,</w:t>
      </w:r>
      <w:r>
        <w:rPr>
          <w:rFonts w:ascii="Arial" w:cs="Arial" w:eastAsia="Arial" w:hAnsi="Arial"/>
          <w:sz w:val="22"/>
          <w:szCs w:val="22"/>
          <w:color w:val="auto"/>
        </w:rPr>
        <w:t xml:space="preserve"> </w:t>
      </w:r>
      <w:r>
        <w:rPr>
          <w:rFonts w:ascii="Arial" w:cs="Arial" w:eastAsia="Arial" w:hAnsi="Arial"/>
          <w:sz w:val="22"/>
          <w:szCs w:val="22"/>
          <w:color w:val="282828"/>
        </w:rPr>
        <w:t>either voluntarily</w:t>
      </w:r>
      <w:r>
        <w:rPr>
          <w:rFonts w:ascii="Arial" w:cs="Arial" w:eastAsia="Arial" w:hAnsi="Arial"/>
          <w:sz w:val="22"/>
          <w:szCs w:val="22"/>
          <w:color w:val="auto"/>
        </w:rPr>
        <w:t xml:space="preserve"> or by </w:t>
      </w:r>
      <w:r>
        <w:rPr>
          <w:rFonts w:ascii="Arial" w:cs="Arial" w:eastAsia="Arial" w:hAnsi="Arial"/>
          <w:sz w:val="22"/>
          <w:szCs w:val="22"/>
          <w:color w:val="282828"/>
        </w:rPr>
        <w:t>operation</w:t>
      </w:r>
      <w:r>
        <w:rPr>
          <w:rFonts w:ascii="Arial" w:cs="Arial" w:eastAsia="Arial" w:hAnsi="Arial"/>
          <w:sz w:val="22"/>
          <w:szCs w:val="22"/>
          <w:color w:val="auto"/>
        </w:rPr>
        <w:t xml:space="preserve"> of </w:t>
      </w:r>
      <w:r>
        <w:rPr>
          <w:rFonts w:ascii="Arial" w:cs="Arial" w:eastAsia="Arial" w:hAnsi="Arial"/>
          <w:sz w:val="22"/>
          <w:szCs w:val="22"/>
          <w:color w:val="282828"/>
        </w:rPr>
        <w:t>Applicable</w:t>
      </w:r>
      <w:r>
        <w:rPr>
          <w:rFonts w:ascii="Arial" w:cs="Arial" w:eastAsia="Arial" w:hAnsi="Arial"/>
          <w:sz w:val="22"/>
          <w:szCs w:val="22"/>
          <w:color w:val="auto"/>
        </w:rPr>
        <w:t xml:space="preserve"> Laws, directly </w:t>
      </w:r>
      <w:r>
        <w:rPr>
          <w:rFonts w:ascii="Arial" w:cs="Arial" w:eastAsia="Arial" w:hAnsi="Arial"/>
          <w:sz w:val="22"/>
          <w:szCs w:val="22"/>
          <w:color w:val="282828"/>
        </w:rPr>
        <w:t>or</w:t>
      </w:r>
      <w:r>
        <w:rPr>
          <w:rFonts w:ascii="Arial" w:cs="Arial" w:eastAsia="Arial" w:hAnsi="Arial"/>
          <w:sz w:val="22"/>
          <w:szCs w:val="22"/>
          <w:color w:val="auto"/>
        </w:rPr>
        <w:t xml:space="preserve"> indirectly </w:t>
      </w:r>
      <w:r>
        <w:rPr>
          <w:rFonts w:ascii="Arial" w:cs="Arial" w:eastAsia="Arial" w:hAnsi="Arial"/>
          <w:sz w:val="22"/>
          <w:szCs w:val="22"/>
          <w:color w:val="363636"/>
        </w:rPr>
        <w:t>sell,</w:t>
      </w:r>
      <w:r>
        <w:rPr>
          <w:rFonts w:ascii="Arial" w:cs="Arial" w:eastAsia="Arial" w:hAnsi="Arial"/>
          <w:sz w:val="22"/>
          <w:szCs w:val="22"/>
          <w:color w:val="auto"/>
        </w:rPr>
        <w:t xml:space="preserve"> </w:t>
      </w:r>
      <w:r>
        <w:rPr>
          <w:rFonts w:ascii="Arial" w:cs="Arial" w:eastAsia="Arial" w:hAnsi="Arial"/>
          <w:sz w:val="22"/>
          <w:szCs w:val="22"/>
          <w:color w:val="282828"/>
        </w:rPr>
        <w:t>hypothecate, assign,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01" w:right="339" w:bottom="1440" w:gutter="0" w:footer="0" w:header="0"/>
        </w:sectPr>
      </w:pPr>
    </w:p>
    <w:bookmarkStart w:id="353" w:name="page354"/>
    <w:bookmarkEnd w:id="353"/>
    <w:p>
      <w:pPr>
        <w:jc w:val="both"/>
        <w:ind w:left="180"/>
        <w:spacing w:after="0" w:line="242" w:lineRule="auto"/>
        <w:rPr>
          <w:sz w:val="20"/>
          <w:szCs w:val="20"/>
          <w:color w:val="auto"/>
        </w:rPr>
      </w:pPr>
      <w:r>
        <w:rPr>
          <w:rFonts w:ascii="Arial" w:cs="Arial" w:eastAsia="Arial" w:hAnsi="Arial"/>
          <w:sz w:val="19"/>
          <w:szCs w:val="19"/>
          <w:color w:val="auto"/>
        </w:rPr>
        <w:t xml:space="preserve">pledge, encumber or otherwise </w:t>
      </w:r>
      <w:r>
        <w:rPr>
          <w:rFonts w:ascii="Arial" w:cs="Arial" w:eastAsia="Arial" w:hAnsi="Arial"/>
          <w:sz w:val="19"/>
          <w:szCs w:val="19"/>
          <w:color w:val="282828"/>
        </w:rPr>
        <w:t>transfer</w:t>
      </w:r>
      <w:r>
        <w:rPr>
          <w:rFonts w:ascii="Arial" w:cs="Arial" w:eastAsia="Arial" w:hAnsi="Arial"/>
          <w:sz w:val="19"/>
          <w:szCs w:val="19"/>
          <w:color w:val="auto"/>
        </w:rPr>
        <w:t xml:space="preserve"> this Lease, or </w:t>
      </w:r>
      <w:r>
        <w:rPr>
          <w:rFonts w:ascii="Arial" w:cs="Arial" w:eastAsia="Arial" w:hAnsi="Arial"/>
          <w:sz w:val="19"/>
          <w:szCs w:val="19"/>
          <w:color w:val="282828"/>
        </w:rPr>
        <w:t>sublet</w:t>
      </w:r>
      <w:r>
        <w:rPr>
          <w:rFonts w:ascii="Arial" w:cs="Arial" w:eastAsia="Arial" w:hAnsi="Arial"/>
          <w:sz w:val="19"/>
          <w:szCs w:val="19"/>
          <w:color w:val="auto"/>
        </w:rPr>
        <w:t xml:space="preserve"> the </w:t>
      </w:r>
      <w:r>
        <w:rPr>
          <w:rFonts w:ascii="Arial" w:cs="Arial" w:eastAsia="Arial" w:hAnsi="Arial"/>
          <w:sz w:val="19"/>
          <w:szCs w:val="19"/>
          <w:color w:val="282828"/>
        </w:rPr>
        <w:t>Premises</w:t>
      </w:r>
      <w:r>
        <w:rPr>
          <w:rFonts w:ascii="Arial" w:cs="Arial" w:eastAsia="Arial" w:hAnsi="Arial"/>
          <w:sz w:val="19"/>
          <w:szCs w:val="19"/>
          <w:color w:val="auto"/>
        </w:rPr>
        <w:t xml:space="preserve"> (each, </w:t>
      </w:r>
      <w:r>
        <w:rPr>
          <w:rFonts w:ascii="Arial" w:cs="Arial" w:eastAsia="Arial" w:hAnsi="Arial"/>
          <w:sz w:val="19"/>
          <w:szCs w:val="19"/>
          <w:color w:val="282828"/>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w:t>
      </w:r>
      <w:r>
        <w:rPr>
          <w:rFonts w:ascii="Arial" w:cs="Arial" w:eastAsia="Arial" w:hAnsi="Arial"/>
          <w:sz w:val="19"/>
          <w:szCs w:val="19"/>
          <w:color w:val="282828"/>
        </w:rPr>
        <w:t>without</w:t>
      </w:r>
      <w:r>
        <w:rPr>
          <w:rFonts w:ascii="Arial" w:cs="Arial" w:eastAsia="Arial" w:hAnsi="Arial"/>
          <w:sz w:val="19"/>
          <w:szCs w:val="19"/>
          <w:color w:val="auto"/>
        </w:rPr>
        <w:t xml:space="preserve"> Landlord’s prior </w:t>
      </w:r>
      <w:r>
        <w:rPr>
          <w:rFonts w:ascii="Arial" w:cs="Arial" w:eastAsia="Arial" w:hAnsi="Arial"/>
          <w:sz w:val="19"/>
          <w:szCs w:val="19"/>
          <w:color w:val="282828"/>
        </w:rPr>
        <w:t>written consent, which consent</w:t>
      </w:r>
      <w:r>
        <w:rPr>
          <w:rFonts w:ascii="Arial" w:cs="Arial" w:eastAsia="Arial" w:hAnsi="Arial"/>
          <w:sz w:val="19"/>
          <w:szCs w:val="19"/>
          <w:color w:val="auto"/>
        </w:rPr>
        <w:t xml:space="preserve"> </w:t>
      </w:r>
      <w:r>
        <w:rPr>
          <w:rFonts w:ascii="Arial" w:cs="Arial" w:eastAsia="Arial" w:hAnsi="Arial"/>
          <w:sz w:val="19"/>
          <w:szCs w:val="19"/>
          <w:color w:val="363636"/>
        </w:rPr>
        <w:t>shall</w:t>
      </w:r>
      <w:r>
        <w:rPr>
          <w:rFonts w:ascii="Arial" w:cs="Arial" w:eastAsia="Arial" w:hAnsi="Arial"/>
          <w:sz w:val="19"/>
          <w:szCs w:val="19"/>
          <w:color w:val="auto"/>
        </w:rPr>
        <w:t xml:space="preserve"> not </w:t>
      </w:r>
      <w:r>
        <w:rPr>
          <w:rFonts w:ascii="Arial" w:cs="Arial" w:eastAsia="Arial" w:hAnsi="Arial"/>
          <w:sz w:val="19"/>
          <w:szCs w:val="19"/>
          <w:color w:val="282828"/>
        </w:rPr>
        <w:t>be</w:t>
      </w:r>
      <w:r>
        <w:rPr>
          <w:rFonts w:ascii="Arial" w:cs="Arial" w:eastAsia="Arial" w:hAnsi="Arial"/>
          <w:sz w:val="19"/>
          <w:szCs w:val="19"/>
          <w:color w:val="auto"/>
        </w:rPr>
        <w:t xml:space="preserve"> unreasonably </w:t>
      </w:r>
      <w:r>
        <w:rPr>
          <w:rFonts w:ascii="Arial" w:cs="Arial" w:eastAsia="Arial" w:hAnsi="Arial"/>
          <w:sz w:val="19"/>
          <w:szCs w:val="19"/>
          <w:color w:val="282828"/>
        </w:rPr>
        <w:t>withheld,</w:t>
      </w:r>
      <w:r>
        <w:rPr>
          <w:rFonts w:ascii="Arial" w:cs="Arial" w:eastAsia="Arial" w:hAnsi="Arial"/>
          <w:sz w:val="19"/>
          <w:szCs w:val="19"/>
          <w:color w:val="auto"/>
        </w:rPr>
        <w:t xml:space="preserve"> conditioned </w:t>
      </w:r>
      <w:r>
        <w:rPr>
          <w:rFonts w:ascii="Arial" w:cs="Arial" w:eastAsia="Arial" w:hAnsi="Arial"/>
          <w:sz w:val="19"/>
          <w:szCs w:val="19"/>
          <w:color w:val="282828"/>
        </w:rPr>
        <w:t>or</w:t>
      </w:r>
      <w:r>
        <w:rPr>
          <w:rFonts w:ascii="Arial" w:cs="Arial" w:eastAsia="Arial" w:hAnsi="Arial"/>
          <w:sz w:val="19"/>
          <w:szCs w:val="19"/>
          <w:color w:val="auto"/>
        </w:rPr>
        <w:t xml:space="preserve"> delayed. </w:t>
      </w:r>
      <w:r>
        <w:rPr>
          <w:rFonts w:ascii="Arial" w:cs="Arial" w:eastAsia="Arial" w:hAnsi="Arial"/>
          <w:sz w:val="19"/>
          <w:szCs w:val="19"/>
          <w:color w:val="363636"/>
        </w:rPr>
        <w:t>Notwithstanding</w:t>
      </w:r>
      <w:r>
        <w:rPr>
          <w:rFonts w:ascii="Arial" w:cs="Arial" w:eastAsia="Arial" w:hAnsi="Arial"/>
          <w:sz w:val="19"/>
          <w:szCs w:val="19"/>
          <w:color w:val="auto"/>
        </w:rPr>
        <w:t xml:space="preserve"> the </w:t>
      </w:r>
      <w:r>
        <w:rPr>
          <w:rFonts w:ascii="Arial" w:cs="Arial" w:eastAsia="Arial" w:hAnsi="Arial"/>
          <w:sz w:val="19"/>
          <w:szCs w:val="19"/>
          <w:color w:val="282828"/>
        </w:rPr>
        <w:t>foregoing,</w:t>
      </w:r>
      <w:r>
        <w:rPr>
          <w:rFonts w:ascii="Arial" w:cs="Arial" w:eastAsia="Arial" w:hAnsi="Arial"/>
          <w:sz w:val="19"/>
          <w:szCs w:val="19"/>
          <w:color w:val="auto"/>
        </w:rPr>
        <w:t xml:space="preserve"> a </w:t>
      </w:r>
      <w:r>
        <w:rPr>
          <w:rFonts w:ascii="Arial" w:cs="Arial" w:eastAsia="Arial" w:hAnsi="Arial"/>
          <w:sz w:val="19"/>
          <w:szCs w:val="19"/>
          <w:color w:val="282828"/>
        </w:rPr>
        <w:t>Transfer</w:t>
      </w:r>
      <w:r>
        <w:rPr>
          <w:rFonts w:ascii="Arial" w:cs="Arial" w:eastAsia="Arial" w:hAnsi="Arial"/>
          <w:sz w:val="19"/>
          <w:szCs w:val="19"/>
          <w:color w:val="auto"/>
        </w:rPr>
        <w:t xml:space="preserve"> </w:t>
      </w:r>
      <w:r>
        <w:rPr>
          <w:rFonts w:ascii="Arial" w:cs="Arial" w:eastAsia="Arial" w:hAnsi="Arial"/>
          <w:sz w:val="19"/>
          <w:szCs w:val="19"/>
          <w:color w:val="363636"/>
        </w:rPr>
        <w:t>shall</w:t>
      </w:r>
      <w:r>
        <w:rPr>
          <w:rFonts w:ascii="Arial" w:cs="Arial" w:eastAsia="Arial" w:hAnsi="Arial"/>
          <w:sz w:val="19"/>
          <w:szCs w:val="19"/>
          <w:color w:val="auto"/>
        </w:rPr>
        <w:t xml:space="preserve"> not </w:t>
      </w:r>
      <w:r>
        <w:rPr>
          <w:rFonts w:ascii="Arial" w:cs="Arial" w:eastAsia="Arial" w:hAnsi="Arial"/>
          <w:sz w:val="19"/>
          <w:szCs w:val="19"/>
          <w:color w:val="363636"/>
        </w:rPr>
        <w:t>include and</w:t>
      </w:r>
      <w:r>
        <w:rPr>
          <w:rFonts w:ascii="Arial" w:cs="Arial" w:eastAsia="Arial" w:hAnsi="Arial"/>
          <w:sz w:val="19"/>
          <w:szCs w:val="19"/>
          <w:color w:val="auto"/>
        </w:rPr>
        <w:t xml:space="preserve"> </w:t>
      </w:r>
      <w:r>
        <w:rPr>
          <w:rFonts w:ascii="Arial" w:cs="Arial" w:eastAsia="Arial" w:hAnsi="Arial"/>
          <w:sz w:val="19"/>
          <w:szCs w:val="19"/>
          <w:color w:val="282828"/>
        </w:rPr>
        <w:t>Tenant</w:t>
      </w:r>
      <w:r>
        <w:rPr>
          <w:rFonts w:ascii="Arial" w:cs="Arial" w:eastAsia="Arial" w:hAnsi="Arial"/>
          <w:sz w:val="19"/>
          <w:szCs w:val="19"/>
          <w:color w:val="auto"/>
        </w:rPr>
        <w:t xml:space="preserve"> </w:t>
      </w:r>
      <w:r>
        <w:rPr>
          <w:rFonts w:ascii="Arial" w:cs="Arial" w:eastAsia="Arial" w:hAnsi="Arial"/>
          <w:sz w:val="19"/>
          <w:szCs w:val="19"/>
          <w:color w:val="363636"/>
        </w:rPr>
        <w:t>shall</w:t>
      </w:r>
      <w:r>
        <w:rPr>
          <w:rFonts w:ascii="Arial" w:cs="Arial" w:eastAsia="Arial" w:hAnsi="Arial"/>
          <w:sz w:val="19"/>
          <w:szCs w:val="19"/>
          <w:color w:val="auto"/>
        </w:rPr>
        <w:t xml:space="preserve"> </w:t>
      </w:r>
      <w:r>
        <w:rPr>
          <w:rFonts w:ascii="Arial" w:cs="Arial" w:eastAsia="Arial" w:hAnsi="Arial"/>
          <w:sz w:val="19"/>
          <w:szCs w:val="19"/>
          <w:color w:val="282828"/>
        </w:rPr>
        <w:t>have the</w:t>
      </w:r>
      <w:r>
        <w:rPr>
          <w:rFonts w:ascii="Arial" w:cs="Arial" w:eastAsia="Arial" w:hAnsi="Arial"/>
          <w:sz w:val="19"/>
          <w:szCs w:val="19"/>
          <w:color w:val="auto"/>
        </w:rPr>
        <w:t xml:space="preserve"> </w:t>
      </w:r>
      <w:r>
        <w:rPr>
          <w:rFonts w:ascii="Arial" w:cs="Arial" w:eastAsia="Arial" w:hAnsi="Arial"/>
          <w:sz w:val="19"/>
          <w:szCs w:val="19"/>
          <w:color w:val="363636"/>
        </w:rPr>
        <w:t>right</w:t>
      </w:r>
      <w:r>
        <w:rPr>
          <w:rFonts w:ascii="Arial" w:cs="Arial" w:eastAsia="Arial" w:hAnsi="Arial"/>
          <w:sz w:val="19"/>
          <w:szCs w:val="19"/>
          <w:color w:val="auto"/>
        </w:rPr>
        <w:t xml:space="preserve"> to transfer, </w:t>
      </w:r>
      <w:r>
        <w:rPr>
          <w:rFonts w:ascii="Arial" w:cs="Arial" w:eastAsia="Arial" w:hAnsi="Arial"/>
          <w:sz w:val="19"/>
          <w:szCs w:val="19"/>
          <w:color w:val="363636"/>
        </w:rPr>
        <w:t>sublease</w:t>
      </w:r>
      <w:r>
        <w:rPr>
          <w:rFonts w:ascii="Arial" w:cs="Arial" w:eastAsia="Arial" w:hAnsi="Arial"/>
          <w:sz w:val="19"/>
          <w:szCs w:val="19"/>
          <w:color w:val="auto"/>
        </w:rPr>
        <w:t xml:space="preserve"> or </w:t>
      </w:r>
      <w:r>
        <w:rPr>
          <w:rFonts w:ascii="Arial" w:cs="Arial" w:eastAsia="Arial" w:hAnsi="Arial"/>
          <w:sz w:val="19"/>
          <w:szCs w:val="19"/>
          <w:color w:val="282828"/>
        </w:rPr>
        <w:t>assign</w:t>
      </w:r>
      <w:r>
        <w:rPr>
          <w:rFonts w:ascii="Arial" w:cs="Arial" w:eastAsia="Arial" w:hAnsi="Arial"/>
          <w:sz w:val="19"/>
          <w:szCs w:val="19"/>
          <w:color w:val="auto"/>
        </w:rPr>
        <w:t xml:space="preserve"> this Lease </w:t>
      </w:r>
      <w:r>
        <w:rPr>
          <w:rFonts w:ascii="Arial" w:cs="Arial" w:eastAsia="Arial" w:hAnsi="Arial"/>
          <w:sz w:val="19"/>
          <w:szCs w:val="19"/>
          <w:color w:val="282828"/>
        </w:rPr>
        <w:t xml:space="preserve">without </w:t>
      </w:r>
      <w:r>
        <w:rPr>
          <w:rFonts w:ascii="Arial" w:cs="Arial" w:eastAsia="Arial" w:hAnsi="Arial"/>
          <w:sz w:val="19"/>
          <w:szCs w:val="19"/>
          <w:color w:val="000000"/>
        </w:rPr>
        <w:t>Landlord’s prior written</w:t>
      </w:r>
      <w:r>
        <w:rPr>
          <w:rFonts w:ascii="Arial" w:cs="Arial" w:eastAsia="Arial" w:hAnsi="Arial"/>
          <w:sz w:val="19"/>
          <w:szCs w:val="19"/>
          <w:color w:val="282828"/>
        </w:rPr>
        <w:t xml:space="preserve"> consent </w:t>
      </w:r>
      <w:r>
        <w:rPr>
          <w:rFonts w:ascii="Arial" w:cs="Arial" w:eastAsia="Arial" w:hAnsi="Arial"/>
          <w:sz w:val="19"/>
          <w:szCs w:val="19"/>
          <w:color w:val="000000"/>
        </w:rPr>
        <w:t>the Premises or</w:t>
      </w:r>
      <w:r>
        <w:rPr>
          <w:rFonts w:ascii="Arial" w:cs="Arial" w:eastAsia="Arial" w:hAnsi="Arial"/>
          <w:sz w:val="19"/>
          <w:szCs w:val="19"/>
          <w:color w:val="282828"/>
        </w:rPr>
        <w:t xml:space="preserve"> any part </w:t>
      </w:r>
      <w:r>
        <w:rPr>
          <w:rFonts w:ascii="Arial" w:cs="Arial" w:eastAsia="Arial" w:hAnsi="Arial"/>
          <w:sz w:val="19"/>
          <w:szCs w:val="19"/>
          <w:color w:val="363636"/>
        </w:rPr>
        <w:t>thereof</w:t>
      </w:r>
      <w:r>
        <w:rPr>
          <w:rFonts w:ascii="Arial" w:cs="Arial" w:eastAsia="Arial" w:hAnsi="Arial"/>
          <w:sz w:val="19"/>
          <w:szCs w:val="19"/>
          <w:color w:val="282828"/>
        </w:rPr>
        <w:t xml:space="preserve"> </w:t>
      </w:r>
      <w:r>
        <w:rPr>
          <w:rFonts w:ascii="Arial" w:cs="Arial" w:eastAsia="Arial" w:hAnsi="Arial"/>
          <w:sz w:val="19"/>
          <w:szCs w:val="19"/>
          <w:color w:val="000000"/>
        </w:rPr>
        <w:t>to any person that</w:t>
      </w:r>
      <w:r>
        <w:rPr>
          <w:rFonts w:ascii="Arial" w:cs="Arial" w:eastAsia="Arial" w:hAnsi="Arial"/>
          <w:sz w:val="19"/>
          <w:szCs w:val="19"/>
          <w:color w:val="282828"/>
        </w:rPr>
        <w:t xml:space="preserve"> </w:t>
      </w:r>
      <w:r>
        <w:rPr>
          <w:rFonts w:ascii="Arial" w:cs="Arial" w:eastAsia="Arial" w:hAnsi="Arial"/>
          <w:sz w:val="19"/>
          <w:szCs w:val="19"/>
          <w:color w:val="363636"/>
        </w:rPr>
        <w:t>as</w:t>
      </w:r>
      <w:r>
        <w:rPr>
          <w:rFonts w:ascii="Arial" w:cs="Arial" w:eastAsia="Arial" w:hAnsi="Arial"/>
          <w:sz w:val="19"/>
          <w:szCs w:val="19"/>
          <w:color w:val="282828"/>
        </w:rPr>
        <w:t xml:space="preserve"> </w:t>
      </w:r>
      <w:r>
        <w:rPr>
          <w:rFonts w:ascii="Arial" w:cs="Arial" w:eastAsia="Arial" w:hAnsi="Arial"/>
          <w:sz w:val="19"/>
          <w:szCs w:val="19"/>
          <w:color w:val="000000"/>
        </w:rPr>
        <w:t>of</w:t>
      </w:r>
      <w:r>
        <w:rPr>
          <w:rFonts w:ascii="Arial" w:cs="Arial" w:eastAsia="Arial" w:hAnsi="Arial"/>
          <w:sz w:val="19"/>
          <w:szCs w:val="19"/>
          <w:color w:val="282828"/>
        </w:rPr>
        <w:t xml:space="preserve"> the </w:t>
      </w:r>
      <w:r>
        <w:rPr>
          <w:rFonts w:ascii="Arial" w:cs="Arial" w:eastAsia="Arial" w:hAnsi="Arial"/>
          <w:sz w:val="19"/>
          <w:szCs w:val="19"/>
          <w:color w:val="000000"/>
        </w:rPr>
        <w:t>date of</w:t>
      </w:r>
      <w:r>
        <w:rPr>
          <w:rFonts w:ascii="Arial" w:cs="Arial" w:eastAsia="Arial" w:hAnsi="Arial"/>
          <w:sz w:val="19"/>
          <w:szCs w:val="19"/>
          <w:color w:val="282828"/>
        </w:rPr>
        <w:t xml:space="preserve"> </w:t>
      </w:r>
      <w:r>
        <w:rPr>
          <w:rFonts w:ascii="Arial" w:cs="Arial" w:eastAsia="Arial" w:hAnsi="Arial"/>
          <w:sz w:val="19"/>
          <w:szCs w:val="19"/>
          <w:color w:val="000000"/>
        </w:rPr>
        <w:t xml:space="preserve">determination and </w:t>
      </w:r>
      <w:r>
        <w:rPr>
          <w:rFonts w:ascii="Arial" w:cs="Arial" w:eastAsia="Arial" w:hAnsi="Arial"/>
          <w:sz w:val="19"/>
          <w:szCs w:val="19"/>
          <w:color w:val="282828"/>
        </w:rPr>
        <w:t>at</w:t>
      </w:r>
      <w:r>
        <w:rPr>
          <w:rFonts w:ascii="Arial" w:cs="Arial" w:eastAsia="Arial" w:hAnsi="Arial"/>
          <w:sz w:val="19"/>
          <w:szCs w:val="19"/>
          <w:color w:val="000000"/>
        </w:rPr>
        <w:t xml:space="preserve"> all </w:t>
      </w:r>
      <w:r>
        <w:rPr>
          <w:rFonts w:ascii="Arial" w:cs="Arial" w:eastAsia="Arial" w:hAnsi="Arial"/>
          <w:sz w:val="19"/>
          <w:szCs w:val="19"/>
          <w:color w:val="363636"/>
        </w:rPr>
        <w:t>times</w:t>
      </w:r>
      <w:r>
        <w:rPr>
          <w:rFonts w:ascii="Arial" w:cs="Arial" w:eastAsia="Arial" w:hAnsi="Arial"/>
          <w:sz w:val="19"/>
          <w:szCs w:val="19"/>
          <w:color w:val="000000"/>
        </w:rPr>
        <w:t xml:space="preserve"> thereafter directly, </w:t>
      </w:r>
      <w:r>
        <w:rPr>
          <w:rFonts w:ascii="Arial" w:cs="Arial" w:eastAsia="Arial" w:hAnsi="Arial"/>
          <w:sz w:val="19"/>
          <w:szCs w:val="19"/>
          <w:color w:val="282828"/>
        </w:rPr>
        <w:t>or</w:t>
      </w:r>
      <w:r>
        <w:rPr>
          <w:rFonts w:ascii="Arial" w:cs="Arial" w:eastAsia="Arial" w:hAnsi="Arial"/>
          <w:sz w:val="19"/>
          <w:szCs w:val="19"/>
          <w:color w:val="000000"/>
        </w:rPr>
        <w:t xml:space="preserve"> indirectly </w:t>
      </w:r>
      <w:r>
        <w:rPr>
          <w:rFonts w:ascii="Arial" w:cs="Arial" w:eastAsia="Arial" w:hAnsi="Arial"/>
          <w:sz w:val="19"/>
          <w:szCs w:val="19"/>
          <w:color w:val="282828"/>
        </w:rPr>
        <w:t>through</w:t>
      </w:r>
      <w:r>
        <w:rPr>
          <w:rFonts w:ascii="Arial" w:cs="Arial" w:eastAsia="Arial" w:hAnsi="Arial"/>
          <w:sz w:val="19"/>
          <w:szCs w:val="19"/>
          <w:color w:val="000000"/>
        </w:rPr>
        <w:t xml:space="preserve"> one or </w:t>
      </w:r>
      <w:r>
        <w:rPr>
          <w:rFonts w:ascii="Arial" w:cs="Arial" w:eastAsia="Arial" w:hAnsi="Arial"/>
          <w:sz w:val="19"/>
          <w:szCs w:val="19"/>
          <w:color w:val="363636"/>
        </w:rPr>
        <w:t>more</w:t>
      </w:r>
      <w:r>
        <w:rPr>
          <w:rFonts w:ascii="Arial" w:cs="Arial" w:eastAsia="Arial" w:hAnsi="Arial"/>
          <w:sz w:val="19"/>
          <w:szCs w:val="19"/>
          <w:color w:val="000000"/>
        </w:rPr>
        <w:t xml:space="preserve"> intermediaries, </w:t>
      </w:r>
      <w:r>
        <w:rPr>
          <w:rFonts w:ascii="Arial" w:cs="Arial" w:eastAsia="Arial" w:hAnsi="Arial"/>
          <w:sz w:val="19"/>
          <w:szCs w:val="19"/>
          <w:color w:val="282828"/>
        </w:rPr>
        <w:t>controls, is</w:t>
      </w:r>
      <w:r>
        <w:rPr>
          <w:rFonts w:ascii="Arial" w:cs="Arial" w:eastAsia="Arial" w:hAnsi="Arial"/>
          <w:sz w:val="19"/>
          <w:szCs w:val="19"/>
          <w:color w:val="000000"/>
        </w:rPr>
        <w:t xml:space="preserve"> controlled by, </w:t>
      </w:r>
      <w:r>
        <w:rPr>
          <w:rFonts w:ascii="Arial" w:cs="Arial" w:eastAsia="Arial" w:hAnsi="Arial"/>
          <w:sz w:val="19"/>
          <w:szCs w:val="19"/>
          <w:color w:val="282828"/>
        </w:rPr>
        <w:t>or</w:t>
      </w:r>
      <w:r>
        <w:rPr>
          <w:rFonts w:ascii="Arial" w:cs="Arial" w:eastAsia="Arial" w:hAnsi="Arial"/>
          <w:sz w:val="19"/>
          <w:szCs w:val="19"/>
          <w:color w:val="000000"/>
        </w:rPr>
        <w:t xml:space="preserve"> is under common </w:t>
      </w:r>
      <w:r>
        <w:rPr>
          <w:rFonts w:ascii="Arial" w:cs="Arial" w:eastAsia="Arial" w:hAnsi="Arial"/>
          <w:sz w:val="19"/>
          <w:szCs w:val="19"/>
          <w:color w:val="282828"/>
        </w:rPr>
        <w:t>control</w:t>
      </w:r>
      <w:r>
        <w:rPr>
          <w:rFonts w:ascii="Arial" w:cs="Arial" w:eastAsia="Arial" w:hAnsi="Arial"/>
          <w:sz w:val="19"/>
          <w:szCs w:val="19"/>
          <w:color w:val="000000"/>
        </w:rPr>
        <w:t xml:space="preserve"> </w:t>
      </w:r>
      <w:r>
        <w:rPr>
          <w:rFonts w:ascii="Arial" w:cs="Arial" w:eastAsia="Arial" w:hAnsi="Arial"/>
          <w:sz w:val="19"/>
          <w:szCs w:val="19"/>
          <w:color w:val="363636"/>
        </w:rPr>
        <w:t>with</w:t>
      </w:r>
      <w:r>
        <w:rPr>
          <w:rFonts w:ascii="Arial" w:cs="Arial" w:eastAsia="Arial" w:hAnsi="Arial"/>
          <w:sz w:val="19"/>
          <w:szCs w:val="19"/>
          <w:color w:val="000000"/>
        </w:rPr>
        <w:t xml:space="preserve"> Tenant </w:t>
      </w:r>
      <w:r>
        <w:rPr>
          <w:rFonts w:ascii="Arial" w:cs="Arial" w:eastAsia="Arial" w:hAnsi="Arial"/>
          <w:sz w:val="19"/>
          <w:szCs w:val="19"/>
          <w:color w:val="282828"/>
        </w:rPr>
        <w:t>or</w:t>
      </w:r>
      <w:r>
        <w:rPr>
          <w:rFonts w:ascii="Arial" w:cs="Arial" w:eastAsia="Arial" w:hAnsi="Arial"/>
          <w:sz w:val="19"/>
          <w:szCs w:val="19"/>
          <w:color w:val="000000"/>
        </w:rPr>
        <w:t xml:space="preserve"> Dr. </w:t>
      </w:r>
      <w:r>
        <w:rPr>
          <w:rFonts w:ascii="Arial" w:cs="Arial" w:eastAsia="Arial" w:hAnsi="Arial"/>
          <w:sz w:val="19"/>
          <w:szCs w:val="19"/>
          <w:color w:val="282828"/>
        </w:rPr>
        <w:t>J. Craig Venter</w:t>
      </w:r>
      <w:r>
        <w:rPr>
          <w:rFonts w:ascii="Arial" w:cs="Arial" w:eastAsia="Arial" w:hAnsi="Arial"/>
          <w:sz w:val="19"/>
          <w:szCs w:val="19"/>
          <w:color w:val="000000"/>
        </w:rPr>
        <w:t xml:space="preserve"> (“Tenant’s </w:t>
      </w:r>
      <w:r>
        <w:rPr>
          <w:rFonts w:ascii="Arial" w:cs="Arial" w:eastAsia="Arial" w:hAnsi="Arial"/>
          <w:sz w:val="19"/>
          <w:szCs w:val="19"/>
          <w:color w:val="282828"/>
        </w:rPr>
        <w:t>Affiliate”),</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w:t>
      </w:r>
      <w:r>
        <w:rPr>
          <w:rFonts w:ascii="Arial" w:cs="Arial" w:eastAsia="Arial" w:hAnsi="Arial"/>
          <w:sz w:val="19"/>
          <w:szCs w:val="19"/>
          <w:color w:val="282828"/>
        </w:rPr>
        <w:t xml:space="preserve">Tenant shall </w:t>
      </w:r>
      <w:r>
        <w:rPr>
          <w:rFonts w:ascii="Arial" w:cs="Arial" w:eastAsia="Arial" w:hAnsi="Arial"/>
          <w:sz w:val="19"/>
          <w:szCs w:val="19"/>
          <w:color w:val="000000"/>
        </w:rPr>
        <w:t>notify Landlord</w:t>
      </w:r>
      <w:r>
        <w:rPr>
          <w:rFonts w:ascii="Arial" w:cs="Arial" w:eastAsia="Arial" w:hAnsi="Arial"/>
          <w:sz w:val="19"/>
          <w:szCs w:val="19"/>
          <w:color w:val="282828"/>
        </w:rPr>
        <w:t xml:space="preserve"> </w:t>
      </w:r>
      <w:r>
        <w:rPr>
          <w:rFonts w:ascii="Arial" w:cs="Arial" w:eastAsia="Arial" w:hAnsi="Arial"/>
          <w:sz w:val="19"/>
          <w:szCs w:val="19"/>
          <w:color w:val="363636"/>
        </w:rPr>
        <w:t>in</w:t>
      </w:r>
      <w:r>
        <w:rPr>
          <w:rFonts w:ascii="Arial" w:cs="Arial" w:eastAsia="Arial" w:hAnsi="Arial"/>
          <w:sz w:val="19"/>
          <w:szCs w:val="19"/>
          <w:color w:val="282828"/>
        </w:rPr>
        <w:t xml:space="preserve"> writing at </w:t>
      </w:r>
      <w:r>
        <w:rPr>
          <w:rFonts w:ascii="Arial" w:cs="Arial" w:eastAsia="Arial" w:hAnsi="Arial"/>
          <w:sz w:val="19"/>
          <w:szCs w:val="19"/>
          <w:color w:val="363636"/>
        </w:rPr>
        <w:t>least</w:t>
      </w:r>
      <w:r>
        <w:rPr>
          <w:rFonts w:ascii="Arial" w:cs="Arial" w:eastAsia="Arial" w:hAnsi="Arial"/>
          <w:sz w:val="19"/>
          <w:szCs w:val="19"/>
          <w:color w:val="282828"/>
        </w:rPr>
        <w:t xml:space="preserve"> </w:t>
      </w:r>
      <w:r>
        <w:rPr>
          <w:rFonts w:ascii="Arial" w:cs="Arial" w:eastAsia="Arial" w:hAnsi="Arial"/>
          <w:sz w:val="19"/>
          <w:szCs w:val="19"/>
          <w:u w:val="single" w:color="auto"/>
          <w:color w:val="000000"/>
        </w:rPr>
        <w:t>[***]</w:t>
      </w:r>
      <w:r>
        <w:rPr>
          <w:rFonts w:ascii="Arial" w:cs="Arial" w:eastAsia="Arial" w:hAnsi="Arial"/>
          <w:sz w:val="19"/>
          <w:szCs w:val="19"/>
          <w:color w:val="282828"/>
        </w:rPr>
        <w:t xml:space="preserve"> </w:t>
      </w:r>
      <w:r>
        <w:rPr>
          <w:rFonts w:ascii="Arial" w:cs="Arial" w:eastAsia="Arial" w:hAnsi="Arial"/>
          <w:sz w:val="19"/>
          <w:szCs w:val="19"/>
          <w:color w:val="000000"/>
        </w:rPr>
        <w:t>days</w:t>
      </w:r>
      <w:r>
        <w:rPr>
          <w:rFonts w:ascii="Arial" w:cs="Arial" w:eastAsia="Arial" w:hAnsi="Arial"/>
          <w:sz w:val="19"/>
          <w:szCs w:val="19"/>
          <w:color w:val="282828"/>
        </w:rPr>
        <w:t xml:space="preserve"> prior </w:t>
      </w:r>
      <w:r>
        <w:rPr>
          <w:rFonts w:ascii="Arial" w:cs="Arial" w:eastAsia="Arial" w:hAnsi="Arial"/>
          <w:sz w:val="19"/>
          <w:szCs w:val="19"/>
          <w:color w:val="000000"/>
        </w:rPr>
        <w:t>to</w:t>
      </w:r>
      <w:r>
        <w:rPr>
          <w:rFonts w:ascii="Arial" w:cs="Arial" w:eastAsia="Arial" w:hAnsi="Arial"/>
          <w:sz w:val="19"/>
          <w:szCs w:val="19"/>
          <w:color w:val="282828"/>
        </w:rPr>
        <w:t xml:space="preserve"> </w:t>
      </w:r>
      <w:r>
        <w:rPr>
          <w:rFonts w:ascii="Arial" w:cs="Arial" w:eastAsia="Arial" w:hAnsi="Arial"/>
          <w:sz w:val="19"/>
          <w:szCs w:val="19"/>
          <w:color w:val="363636"/>
        </w:rPr>
        <w:t>the</w:t>
      </w:r>
      <w:r>
        <w:rPr>
          <w:rFonts w:ascii="Arial" w:cs="Arial" w:eastAsia="Arial" w:hAnsi="Arial"/>
          <w:sz w:val="19"/>
          <w:szCs w:val="19"/>
          <w:color w:val="282828"/>
        </w:rPr>
        <w:t xml:space="preserve"> effectiveness of such transfer, </w:t>
      </w:r>
      <w:r>
        <w:rPr>
          <w:rFonts w:ascii="Arial" w:cs="Arial" w:eastAsia="Arial" w:hAnsi="Arial"/>
          <w:sz w:val="19"/>
          <w:szCs w:val="19"/>
          <w:color w:val="363636"/>
        </w:rPr>
        <w:t>sublease</w:t>
      </w:r>
      <w:r>
        <w:rPr>
          <w:rFonts w:ascii="Arial" w:cs="Arial" w:eastAsia="Arial" w:hAnsi="Arial"/>
          <w:sz w:val="19"/>
          <w:szCs w:val="19"/>
          <w:color w:val="282828"/>
        </w:rPr>
        <w:t xml:space="preserve"> </w:t>
      </w:r>
      <w:r>
        <w:rPr>
          <w:rFonts w:ascii="Arial" w:cs="Arial" w:eastAsia="Arial" w:hAnsi="Arial"/>
          <w:sz w:val="19"/>
          <w:szCs w:val="19"/>
          <w:color w:val="000000"/>
        </w:rPr>
        <w:t>or</w:t>
      </w:r>
      <w:r>
        <w:rPr>
          <w:rFonts w:ascii="Arial" w:cs="Arial" w:eastAsia="Arial" w:hAnsi="Arial"/>
          <w:sz w:val="19"/>
          <w:szCs w:val="19"/>
          <w:color w:val="282828"/>
        </w:rPr>
        <w:t xml:space="preserve"> assignment </w:t>
      </w:r>
      <w:r>
        <w:rPr>
          <w:rFonts w:ascii="Arial" w:cs="Arial" w:eastAsia="Arial" w:hAnsi="Arial"/>
          <w:sz w:val="19"/>
          <w:szCs w:val="19"/>
          <w:color w:val="000000"/>
        </w:rPr>
        <w:t>to</w:t>
      </w:r>
      <w:r>
        <w:rPr>
          <w:rFonts w:ascii="Arial" w:cs="Arial" w:eastAsia="Arial" w:hAnsi="Arial"/>
          <w:sz w:val="19"/>
          <w:szCs w:val="19"/>
          <w:color w:val="282828"/>
        </w:rPr>
        <w:t xml:space="preserve"> Tenant’s Affiliate </w:t>
      </w:r>
      <w:r>
        <w:rPr>
          <w:rFonts w:ascii="Arial" w:cs="Arial" w:eastAsia="Arial" w:hAnsi="Arial"/>
          <w:sz w:val="19"/>
          <w:szCs w:val="19"/>
          <w:color w:val="000000"/>
        </w:rPr>
        <w:t>(an “</w:t>
      </w:r>
      <w:r>
        <w:rPr>
          <w:rFonts w:ascii="Arial" w:cs="Arial" w:eastAsia="Arial" w:hAnsi="Arial"/>
          <w:sz w:val="19"/>
          <w:szCs w:val="19"/>
          <w:u w:val="single" w:color="auto"/>
          <w:color w:val="000000"/>
        </w:rPr>
        <w:t>Exempt</w:t>
      </w:r>
      <w:r>
        <w:rPr>
          <w:rFonts w:ascii="Arial" w:cs="Arial" w:eastAsia="Arial" w:hAnsi="Arial"/>
          <w:sz w:val="19"/>
          <w:szCs w:val="19"/>
          <w:color w:val="282828"/>
        </w:rPr>
        <w:t xml:space="preserve"> </w:t>
      </w:r>
      <w:r>
        <w:rPr>
          <w:rFonts w:ascii="Arial" w:cs="Arial" w:eastAsia="Arial" w:hAnsi="Arial"/>
          <w:sz w:val="19"/>
          <w:szCs w:val="19"/>
          <w:u w:val="single" w:color="auto"/>
          <w:color w:val="282828"/>
        </w:rPr>
        <w:t>Transfer</w:t>
      </w:r>
      <w:r>
        <w:rPr>
          <w:rFonts w:ascii="Arial" w:cs="Arial" w:eastAsia="Arial" w:hAnsi="Arial"/>
          <w:sz w:val="19"/>
          <w:szCs w:val="19"/>
          <w:color w:val="282828"/>
        </w:rPr>
        <w:t xml:space="preserve">”) </w:t>
      </w:r>
      <w:r>
        <w:rPr>
          <w:rFonts w:ascii="Arial" w:cs="Arial" w:eastAsia="Arial" w:hAnsi="Arial"/>
          <w:sz w:val="19"/>
          <w:szCs w:val="19"/>
          <w:color w:val="000000"/>
        </w:rPr>
        <w:t>and</w:t>
      </w:r>
      <w:r>
        <w:rPr>
          <w:rFonts w:ascii="Arial" w:cs="Arial" w:eastAsia="Arial" w:hAnsi="Arial"/>
          <w:sz w:val="19"/>
          <w:szCs w:val="19"/>
          <w:color w:val="282828"/>
        </w:rPr>
        <w:t xml:space="preserve"> otherwise </w:t>
      </w:r>
      <w:r>
        <w:rPr>
          <w:rFonts w:ascii="Arial" w:cs="Arial" w:eastAsia="Arial" w:hAnsi="Arial"/>
          <w:sz w:val="19"/>
          <w:szCs w:val="19"/>
          <w:color w:val="000000"/>
        </w:rPr>
        <w:t>comply</w:t>
      </w:r>
      <w:r>
        <w:rPr>
          <w:rFonts w:ascii="Arial" w:cs="Arial" w:eastAsia="Arial" w:hAnsi="Arial"/>
          <w:sz w:val="19"/>
          <w:szCs w:val="19"/>
          <w:color w:val="282828"/>
        </w:rPr>
        <w:t xml:space="preserve"> with </w:t>
      </w:r>
      <w:r>
        <w:rPr>
          <w:rFonts w:ascii="Arial" w:cs="Arial" w:eastAsia="Arial" w:hAnsi="Arial"/>
          <w:sz w:val="19"/>
          <w:szCs w:val="19"/>
          <w:color w:val="363636"/>
        </w:rPr>
        <w:t>the</w:t>
      </w:r>
      <w:r>
        <w:rPr>
          <w:rFonts w:ascii="Arial" w:cs="Arial" w:eastAsia="Arial" w:hAnsi="Arial"/>
          <w:sz w:val="19"/>
          <w:szCs w:val="19"/>
          <w:color w:val="282828"/>
        </w:rPr>
        <w:t xml:space="preserve"> requirements of </w:t>
      </w:r>
      <w:r>
        <w:rPr>
          <w:rFonts w:ascii="Arial" w:cs="Arial" w:eastAsia="Arial" w:hAnsi="Arial"/>
          <w:sz w:val="19"/>
          <w:szCs w:val="19"/>
          <w:color w:val="000000"/>
        </w:rPr>
        <w:t>this Lease</w:t>
      </w:r>
      <w:r>
        <w:rPr>
          <w:rFonts w:ascii="Arial" w:cs="Arial" w:eastAsia="Arial" w:hAnsi="Arial"/>
          <w:sz w:val="19"/>
          <w:szCs w:val="19"/>
          <w:color w:val="282828"/>
        </w:rPr>
        <w:t xml:space="preserve"> (</w:t>
      </w:r>
      <w:r>
        <w:rPr>
          <w:rFonts w:ascii="Arial" w:cs="Arial" w:eastAsia="Arial" w:hAnsi="Arial"/>
          <w:sz w:val="19"/>
          <w:szCs w:val="19"/>
          <w:color w:val="000000"/>
        </w:rPr>
        <w:t>other than this</w:t>
      </w:r>
      <w:r>
        <w:rPr>
          <w:rFonts w:ascii="Arial" w:cs="Arial" w:eastAsia="Arial" w:hAnsi="Arial"/>
          <w:sz w:val="19"/>
          <w:szCs w:val="19"/>
          <w:color w:val="282828"/>
        </w:rPr>
        <w:t xml:space="preserve"> </w:t>
      </w:r>
      <w:r>
        <w:rPr>
          <w:rFonts w:ascii="Arial" w:cs="Arial" w:eastAsia="Arial" w:hAnsi="Arial"/>
          <w:sz w:val="19"/>
          <w:szCs w:val="19"/>
          <w:color w:val="363636"/>
        </w:rPr>
        <w:t>Section</w:t>
      </w:r>
      <w:r>
        <w:rPr>
          <w:rFonts w:ascii="Arial" w:cs="Arial" w:eastAsia="Arial" w:hAnsi="Arial"/>
          <w:sz w:val="19"/>
          <w:szCs w:val="19"/>
          <w:color w:val="282828"/>
        </w:rPr>
        <w:t xml:space="preserve"> </w:t>
      </w:r>
      <w:r>
        <w:rPr>
          <w:rFonts w:ascii="Arial" w:cs="Arial" w:eastAsia="Arial" w:hAnsi="Arial"/>
          <w:sz w:val="19"/>
          <w:szCs w:val="19"/>
          <w:color w:val="000000"/>
        </w:rPr>
        <w:t>29)</w:t>
      </w:r>
      <w:r>
        <w:rPr>
          <w:rFonts w:ascii="Arial" w:cs="Arial" w:eastAsia="Arial" w:hAnsi="Arial"/>
          <w:sz w:val="19"/>
          <w:szCs w:val="19"/>
          <w:color w:val="282828"/>
        </w:rPr>
        <w:t xml:space="preserve"> </w:t>
      </w:r>
      <w:r>
        <w:rPr>
          <w:rFonts w:ascii="Arial" w:cs="Arial" w:eastAsia="Arial" w:hAnsi="Arial"/>
          <w:sz w:val="19"/>
          <w:szCs w:val="19"/>
          <w:color w:val="363636"/>
        </w:rPr>
        <w:t>regarding</w:t>
      </w:r>
      <w:r>
        <w:rPr>
          <w:rFonts w:ascii="Arial" w:cs="Arial" w:eastAsia="Arial" w:hAnsi="Arial"/>
          <w:sz w:val="19"/>
          <w:szCs w:val="19"/>
          <w:color w:val="282828"/>
        </w:rPr>
        <w:t xml:space="preserve"> such Exempt </w:t>
      </w:r>
      <w:r>
        <w:rPr>
          <w:rFonts w:ascii="Arial" w:cs="Arial" w:eastAsia="Arial" w:hAnsi="Arial"/>
          <w:sz w:val="19"/>
          <w:szCs w:val="19"/>
          <w:color w:val="363636"/>
        </w:rPr>
        <w:t>Transfer.</w:t>
      </w:r>
      <w:r>
        <w:rPr>
          <w:rFonts w:ascii="Arial" w:cs="Arial" w:eastAsia="Arial" w:hAnsi="Arial"/>
          <w:sz w:val="19"/>
          <w:szCs w:val="19"/>
          <w:color w:val="282828"/>
        </w:rPr>
        <w:t xml:space="preserve"> For </w:t>
      </w:r>
      <w:r>
        <w:rPr>
          <w:rFonts w:ascii="Arial" w:cs="Arial" w:eastAsia="Arial" w:hAnsi="Arial"/>
          <w:sz w:val="19"/>
          <w:szCs w:val="19"/>
          <w:color w:val="000000"/>
        </w:rPr>
        <w:t>purposes of</w:t>
      </w:r>
      <w:r>
        <w:rPr>
          <w:rFonts w:ascii="Arial" w:cs="Arial" w:eastAsia="Arial" w:hAnsi="Arial"/>
          <w:sz w:val="19"/>
          <w:szCs w:val="19"/>
          <w:color w:val="282828"/>
        </w:rPr>
        <w:t xml:space="preserve"> Exempt Transfers, “</w:t>
      </w:r>
      <w:r>
        <w:rPr>
          <w:rFonts w:ascii="Arial" w:cs="Arial" w:eastAsia="Arial" w:hAnsi="Arial"/>
          <w:sz w:val="19"/>
          <w:szCs w:val="19"/>
          <w:u w:val="single" w:color="auto"/>
          <w:color w:val="282828"/>
        </w:rPr>
        <w:t>control</w:t>
      </w:r>
      <w:r>
        <w:rPr>
          <w:rFonts w:ascii="Arial" w:cs="Arial" w:eastAsia="Arial" w:hAnsi="Arial"/>
          <w:sz w:val="19"/>
          <w:szCs w:val="19"/>
          <w:color w:val="282828"/>
        </w:rPr>
        <w:t xml:space="preserve">” requires </w:t>
      </w:r>
      <w:r>
        <w:rPr>
          <w:rFonts w:ascii="Arial" w:cs="Arial" w:eastAsia="Arial" w:hAnsi="Arial"/>
          <w:sz w:val="19"/>
          <w:szCs w:val="19"/>
          <w:color w:val="363636"/>
        </w:rPr>
        <w:t xml:space="preserve">either: </w:t>
      </w:r>
      <w:r>
        <w:rPr>
          <w:rFonts w:ascii="Arial" w:cs="Arial" w:eastAsia="Arial" w:hAnsi="Arial"/>
          <w:sz w:val="19"/>
          <w:szCs w:val="19"/>
          <w:color w:val="000000"/>
        </w:rPr>
        <w:t>(a) owning (directly or</w:t>
      </w:r>
      <w:r>
        <w:rPr>
          <w:rFonts w:ascii="Arial" w:cs="Arial" w:eastAsia="Arial" w:hAnsi="Arial"/>
          <w:sz w:val="19"/>
          <w:szCs w:val="19"/>
          <w:color w:val="363636"/>
        </w:rPr>
        <w:t xml:space="preserve"> indirectly) </w:t>
      </w:r>
      <w:r>
        <w:rPr>
          <w:rFonts w:ascii="Arial" w:cs="Arial" w:eastAsia="Arial" w:hAnsi="Arial"/>
          <w:sz w:val="19"/>
          <w:szCs w:val="19"/>
          <w:color w:val="282828"/>
        </w:rPr>
        <w:t>more</w:t>
      </w:r>
      <w:r>
        <w:rPr>
          <w:rFonts w:ascii="Arial" w:cs="Arial" w:eastAsia="Arial" w:hAnsi="Arial"/>
          <w:sz w:val="19"/>
          <w:szCs w:val="19"/>
          <w:color w:val="363636"/>
        </w:rPr>
        <w:t xml:space="preserve"> </w:t>
      </w:r>
      <w:r>
        <w:rPr>
          <w:rFonts w:ascii="Arial" w:cs="Arial" w:eastAsia="Arial" w:hAnsi="Arial"/>
          <w:sz w:val="19"/>
          <w:szCs w:val="19"/>
          <w:color w:val="000000"/>
        </w:rPr>
        <w:t>than</w:t>
      </w:r>
      <w:r>
        <w:rPr>
          <w:rFonts w:ascii="Arial" w:cs="Arial" w:eastAsia="Arial" w:hAnsi="Arial"/>
          <w:sz w:val="19"/>
          <w:szCs w:val="19"/>
          <w:color w:val="363636"/>
        </w:rPr>
        <w:t xml:space="preserve"> </w:t>
      </w:r>
      <w:r>
        <w:rPr>
          <w:rFonts w:ascii="Arial" w:cs="Arial" w:eastAsia="Arial" w:hAnsi="Arial"/>
          <w:sz w:val="19"/>
          <w:szCs w:val="19"/>
          <w:u w:val="single" w:color="auto"/>
          <w:color w:val="000000"/>
        </w:rPr>
        <w:t>[***]</w:t>
      </w:r>
      <w:r>
        <w:rPr>
          <w:rFonts w:ascii="Arial" w:cs="Arial" w:eastAsia="Arial" w:hAnsi="Arial"/>
          <w:sz w:val="19"/>
          <w:szCs w:val="19"/>
          <w:color w:val="363636"/>
        </w:rPr>
        <w:t xml:space="preserve"> </w:t>
      </w:r>
      <w:r>
        <w:rPr>
          <w:rFonts w:ascii="Arial" w:cs="Arial" w:eastAsia="Arial" w:hAnsi="Arial"/>
          <w:sz w:val="19"/>
          <w:szCs w:val="19"/>
          <w:color w:val="000000"/>
        </w:rPr>
        <w:t>percent (</w:t>
      </w:r>
      <w:r>
        <w:rPr>
          <w:rFonts w:ascii="Arial" w:cs="Arial" w:eastAsia="Arial" w:hAnsi="Arial"/>
          <w:sz w:val="19"/>
          <w:szCs w:val="19"/>
          <w:u w:val="single" w:color="auto"/>
          <w:color w:val="000000"/>
        </w:rPr>
        <w:t>[***]</w:t>
      </w:r>
      <w:r>
        <w:rPr>
          <w:rFonts w:ascii="Arial" w:cs="Arial" w:eastAsia="Arial" w:hAnsi="Arial"/>
          <w:sz w:val="19"/>
          <w:szCs w:val="19"/>
          <w:color w:val="282828"/>
        </w:rPr>
        <w:t>%) of</w:t>
      </w:r>
      <w:r>
        <w:rPr>
          <w:rFonts w:ascii="Arial" w:cs="Arial" w:eastAsia="Arial" w:hAnsi="Arial"/>
          <w:sz w:val="19"/>
          <w:szCs w:val="19"/>
          <w:color w:val="363636"/>
        </w:rPr>
        <w:t xml:space="preserve"> </w:t>
      </w:r>
      <w:r>
        <w:rPr>
          <w:rFonts w:ascii="Arial" w:cs="Arial" w:eastAsia="Arial" w:hAnsi="Arial"/>
          <w:sz w:val="19"/>
          <w:szCs w:val="19"/>
          <w:color w:val="000000"/>
        </w:rPr>
        <w:t>the</w:t>
      </w:r>
      <w:r>
        <w:rPr>
          <w:rFonts w:ascii="Arial" w:cs="Arial" w:eastAsia="Arial" w:hAnsi="Arial"/>
          <w:sz w:val="19"/>
          <w:szCs w:val="19"/>
          <w:color w:val="363636"/>
        </w:rPr>
        <w:t xml:space="preserve"> stock </w:t>
      </w:r>
      <w:r>
        <w:rPr>
          <w:rFonts w:ascii="Arial" w:cs="Arial" w:eastAsia="Arial" w:hAnsi="Arial"/>
          <w:sz w:val="19"/>
          <w:szCs w:val="19"/>
          <w:color w:val="000000"/>
        </w:rPr>
        <w:t>or</w:t>
      </w:r>
      <w:r>
        <w:rPr>
          <w:rFonts w:ascii="Arial" w:cs="Arial" w:eastAsia="Arial" w:hAnsi="Arial"/>
          <w:sz w:val="19"/>
          <w:szCs w:val="19"/>
          <w:color w:val="363636"/>
        </w:rPr>
        <w:t xml:space="preserve"> </w:t>
      </w:r>
      <w:r>
        <w:rPr>
          <w:rFonts w:ascii="Arial" w:cs="Arial" w:eastAsia="Arial" w:hAnsi="Arial"/>
          <w:sz w:val="19"/>
          <w:szCs w:val="19"/>
          <w:color w:val="282828"/>
        </w:rPr>
        <w:t>other</w:t>
      </w:r>
      <w:r>
        <w:rPr>
          <w:rFonts w:ascii="Arial" w:cs="Arial" w:eastAsia="Arial" w:hAnsi="Arial"/>
          <w:sz w:val="19"/>
          <w:szCs w:val="19"/>
          <w:color w:val="363636"/>
        </w:rPr>
        <w:t xml:space="preserve"> </w:t>
      </w:r>
      <w:r>
        <w:rPr>
          <w:rFonts w:ascii="Arial" w:cs="Arial" w:eastAsia="Arial" w:hAnsi="Arial"/>
          <w:sz w:val="19"/>
          <w:szCs w:val="19"/>
          <w:color w:val="000000"/>
        </w:rPr>
        <w:t>equity interests</w:t>
      </w:r>
      <w:r>
        <w:rPr>
          <w:rFonts w:ascii="Arial" w:cs="Arial" w:eastAsia="Arial" w:hAnsi="Arial"/>
          <w:sz w:val="19"/>
          <w:szCs w:val="19"/>
          <w:color w:val="363636"/>
        </w:rPr>
        <w:t xml:space="preserve"> </w:t>
      </w:r>
      <w:r>
        <w:rPr>
          <w:rFonts w:ascii="Arial" w:cs="Arial" w:eastAsia="Arial" w:hAnsi="Arial"/>
          <w:sz w:val="19"/>
          <w:szCs w:val="19"/>
          <w:color w:val="282828"/>
        </w:rPr>
        <w:t>of</w:t>
      </w:r>
      <w:r>
        <w:rPr>
          <w:rFonts w:ascii="Arial" w:cs="Arial" w:eastAsia="Arial" w:hAnsi="Arial"/>
          <w:sz w:val="19"/>
          <w:szCs w:val="19"/>
          <w:color w:val="363636"/>
        </w:rPr>
        <w:t xml:space="preserve"> </w:t>
      </w:r>
      <w:r>
        <w:rPr>
          <w:rFonts w:ascii="Arial" w:cs="Arial" w:eastAsia="Arial" w:hAnsi="Arial"/>
          <w:sz w:val="19"/>
          <w:szCs w:val="19"/>
          <w:color w:val="282828"/>
        </w:rPr>
        <w:t xml:space="preserve">another person or (b) </w:t>
      </w:r>
      <w:r>
        <w:rPr>
          <w:rFonts w:ascii="Arial" w:cs="Arial" w:eastAsia="Arial" w:hAnsi="Arial"/>
          <w:sz w:val="19"/>
          <w:szCs w:val="19"/>
          <w:color w:val="000000"/>
        </w:rPr>
        <w:t>possessing,</w:t>
      </w:r>
      <w:r>
        <w:rPr>
          <w:rFonts w:ascii="Arial" w:cs="Arial" w:eastAsia="Arial" w:hAnsi="Arial"/>
          <w:sz w:val="19"/>
          <w:szCs w:val="19"/>
          <w:color w:val="282828"/>
        </w:rPr>
        <w:t xml:space="preserve"> directly or indirectly, the </w:t>
      </w:r>
      <w:r>
        <w:rPr>
          <w:rFonts w:ascii="Arial" w:cs="Arial" w:eastAsia="Arial" w:hAnsi="Arial"/>
          <w:sz w:val="19"/>
          <w:szCs w:val="19"/>
          <w:color w:val="000000"/>
        </w:rPr>
        <w:t>power</w:t>
      </w:r>
      <w:r>
        <w:rPr>
          <w:rFonts w:ascii="Arial" w:cs="Arial" w:eastAsia="Arial" w:hAnsi="Arial"/>
          <w:sz w:val="19"/>
          <w:szCs w:val="19"/>
          <w:color w:val="282828"/>
        </w:rPr>
        <w:t xml:space="preserve"> </w:t>
      </w:r>
      <w:r>
        <w:rPr>
          <w:rFonts w:ascii="Arial" w:cs="Arial" w:eastAsia="Arial" w:hAnsi="Arial"/>
          <w:sz w:val="19"/>
          <w:szCs w:val="19"/>
          <w:color w:val="363636"/>
        </w:rPr>
        <w:t>to</w:t>
      </w:r>
      <w:r>
        <w:rPr>
          <w:rFonts w:ascii="Arial" w:cs="Arial" w:eastAsia="Arial" w:hAnsi="Arial"/>
          <w:sz w:val="19"/>
          <w:szCs w:val="19"/>
          <w:color w:val="282828"/>
        </w:rPr>
        <w:t xml:space="preserve"> </w:t>
      </w:r>
      <w:r>
        <w:rPr>
          <w:rFonts w:ascii="Arial" w:cs="Arial" w:eastAsia="Arial" w:hAnsi="Arial"/>
          <w:sz w:val="19"/>
          <w:szCs w:val="19"/>
          <w:color w:val="000000"/>
        </w:rPr>
        <w:t>direct</w:t>
      </w:r>
      <w:r>
        <w:rPr>
          <w:rFonts w:ascii="Arial" w:cs="Arial" w:eastAsia="Arial" w:hAnsi="Arial"/>
          <w:sz w:val="19"/>
          <w:szCs w:val="19"/>
          <w:color w:val="282828"/>
        </w:rPr>
        <w:t xml:space="preserve"> or </w:t>
      </w:r>
      <w:r>
        <w:rPr>
          <w:rFonts w:ascii="Arial" w:cs="Arial" w:eastAsia="Arial" w:hAnsi="Arial"/>
          <w:sz w:val="19"/>
          <w:szCs w:val="19"/>
          <w:color w:val="000000"/>
        </w:rPr>
        <w:t>cause the</w:t>
      </w:r>
      <w:r>
        <w:rPr>
          <w:rFonts w:ascii="Arial" w:cs="Arial" w:eastAsia="Arial" w:hAnsi="Arial"/>
          <w:sz w:val="19"/>
          <w:szCs w:val="19"/>
          <w:color w:val="282828"/>
        </w:rPr>
        <w:t xml:space="preserve"> direction of </w:t>
      </w:r>
      <w:r>
        <w:rPr>
          <w:rFonts w:ascii="Arial" w:cs="Arial" w:eastAsia="Arial" w:hAnsi="Arial"/>
          <w:sz w:val="19"/>
          <w:szCs w:val="19"/>
          <w:color w:val="000000"/>
        </w:rPr>
        <w:t>the</w:t>
      </w:r>
      <w:r>
        <w:rPr>
          <w:rFonts w:ascii="Arial" w:cs="Arial" w:eastAsia="Arial" w:hAnsi="Arial"/>
          <w:sz w:val="19"/>
          <w:szCs w:val="19"/>
          <w:color w:val="282828"/>
        </w:rPr>
        <w:t xml:space="preserve"> </w:t>
      </w:r>
      <w:r>
        <w:rPr>
          <w:rFonts w:ascii="Arial" w:cs="Arial" w:eastAsia="Arial" w:hAnsi="Arial"/>
          <w:sz w:val="19"/>
          <w:szCs w:val="19"/>
          <w:color w:val="000000"/>
        </w:rPr>
        <w:t xml:space="preserve">management </w:t>
      </w:r>
      <w:r>
        <w:rPr>
          <w:rFonts w:ascii="Arial" w:cs="Arial" w:eastAsia="Arial" w:hAnsi="Arial"/>
          <w:sz w:val="19"/>
          <w:szCs w:val="19"/>
          <w:color w:val="282828"/>
        </w:rPr>
        <w:t>and</w:t>
      </w:r>
      <w:r>
        <w:rPr>
          <w:rFonts w:ascii="Arial" w:cs="Arial" w:eastAsia="Arial" w:hAnsi="Arial"/>
          <w:sz w:val="19"/>
          <w:szCs w:val="19"/>
          <w:color w:val="000000"/>
        </w:rPr>
        <w:t xml:space="preserve"> policies </w:t>
      </w:r>
      <w:r>
        <w:rPr>
          <w:rFonts w:ascii="Arial" w:cs="Arial" w:eastAsia="Arial" w:hAnsi="Arial"/>
          <w:sz w:val="19"/>
          <w:szCs w:val="19"/>
          <w:color w:val="282828"/>
        </w:rPr>
        <w:t>of</w:t>
      </w:r>
      <w:r>
        <w:rPr>
          <w:rFonts w:ascii="Arial" w:cs="Arial" w:eastAsia="Arial" w:hAnsi="Arial"/>
          <w:sz w:val="19"/>
          <w:szCs w:val="19"/>
          <w:color w:val="000000"/>
        </w:rPr>
        <w:t xml:space="preserve"> </w:t>
      </w:r>
      <w:r>
        <w:rPr>
          <w:rFonts w:ascii="Arial" w:cs="Arial" w:eastAsia="Arial" w:hAnsi="Arial"/>
          <w:sz w:val="19"/>
          <w:szCs w:val="19"/>
          <w:color w:val="363636"/>
        </w:rPr>
        <w:t>such</w:t>
      </w:r>
      <w:r>
        <w:rPr>
          <w:rFonts w:ascii="Arial" w:cs="Arial" w:eastAsia="Arial" w:hAnsi="Arial"/>
          <w:sz w:val="19"/>
          <w:szCs w:val="19"/>
          <w:color w:val="000000"/>
        </w:rPr>
        <w:t xml:space="preserve"> person.</w:t>
      </w:r>
    </w:p>
    <w:p>
      <w:pPr>
        <w:spacing w:after="0" w:line="164" w:lineRule="exact"/>
        <w:rPr>
          <w:sz w:val="20"/>
          <w:szCs w:val="20"/>
          <w:color w:val="auto"/>
        </w:rPr>
      </w:pPr>
    </w:p>
    <w:p>
      <w:pPr>
        <w:jc w:val="both"/>
        <w:ind w:left="180" w:hanging="647"/>
        <w:spacing w:after="0" w:line="242" w:lineRule="auto"/>
        <w:tabs>
          <w:tab w:leader="none" w:pos="160" w:val="left"/>
        </w:tabs>
        <w:rPr>
          <w:sz w:val="20"/>
          <w:szCs w:val="20"/>
          <w:color w:val="auto"/>
        </w:rPr>
      </w:pPr>
      <w:r>
        <w:rPr>
          <w:rFonts w:ascii="Arial" w:cs="Arial" w:eastAsia="Arial" w:hAnsi="Arial"/>
          <w:sz w:val="22"/>
          <w:szCs w:val="22"/>
          <w:color w:val="auto"/>
        </w:rPr>
        <w:t>29.2</w:t>
      </w:r>
      <w:r>
        <w:rPr>
          <w:sz w:val="20"/>
          <w:szCs w:val="20"/>
          <w:color w:val="auto"/>
        </w:rPr>
        <w:tab/>
      </w:r>
      <w:r>
        <w:rPr>
          <w:rFonts w:ascii="Arial" w:cs="Arial" w:eastAsia="Arial" w:hAnsi="Arial"/>
          <w:sz w:val="19"/>
          <w:szCs w:val="19"/>
          <w:color w:val="auto"/>
        </w:rPr>
        <w:t xml:space="preserve">Commencing </w:t>
      </w:r>
      <w:r>
        <w:rPr>
          <w:rFonts w:ascii="Arial" w:cs="Arial" w:eastAsia="Arial" w:hAnsi="Arial"/>
          <w:sz w:val="19"/>
          <w:szCs w:val="19"/>
          <w:color w:val="282828"/>
        </w:rPr>
        <w:t>promptly</w:t>
      </w:r>
      <w:r>
        <w:rPr>
          <w:rFonts w:ascii="Arial" w:cs="Arial" w:eastAsia="Arial" w:hAnsi="Arial"/>
          <w:sz w:val="19"/>
          <w:szCs w:val="19"/>
          <w:color w:val="auto"/>
        </w:rPr>
        <w:t xml:space="preserve"> after </w:t>
      </w:r>
      <w:r>
        <w:rPr>
          <w:rFonts w:ascii="Arial" w:cs="Arial" w:eastAsia="Arial" w:hAnsi="Arial"/>
          <w:sz w:val="19"/>
          <w:szCs w:val="19"/>
          <w:color w:val="282828"/>
        </w:rPr>
        <w:t>the Commencement</w:t>
      </w:r>
      <w:r>
        <w:rPr>
          <w:rFonts w:ascii="Arial" w:cs="Arial" w:eastAsia="Arial" w:hAnsi="Arial"/>
          <w:sz w:val="19"/>
          <w:szCs w:val="19"/>
          <w:color w:val="auto"/>
        </w:rPr>
        <w:t xml:space="preserve"> Date </w:t>
      </w:r>
      <w:r>
        <w:rPr>
          <w:rFonts w:ascii="Arial" w:cs="Arial" w:eastAsia="Arial" w:hAnsi="Arial"/>
          <w:sz w:val="19"/>
          <w:szCs w:val="19"/>
          <w:color w:val="282828"/>
        </w:rPr>
        <w:t>and continuing</w:t>
      </w:r>
      <w:r>
        <w:rPr>
          <w:rFonts w:ascii="Arial" w:cs="Arial" w:eastAsia="Arial" w:hAnsi="Arial"/>
          <w:sz w:val="19"/>
          <w:szCs w:val="19"/>
          <w:color w:val="auto"/>
        </w:rPr>
        <w:t xml:space="preserve"> until the earlier </w:t>
      </w:r>
      <w:r>
        <w:rPr>
          <w:rFonts w:ascii="Arial" w:cs="Arial" w:eastAsia="Arial" w:hAnsi="Arial"/>
          <w:sz w:val="19"/>
          <w:szCs w:val="19"/>
          <w:color w:val="282828"/>
        </w:rPr>
        <w:t>of</w:t>
      </w:r>
      <w:r>
        <w:rPr>
          <w:rFonts w:ascii="Arial" w:cs="Arial" w:eastAsia="Arial" w:hAnsi="Arial"/>
          <w:sz w:val="19"/>
          <w:szCs w:val="19"/>
          <w:color w:val="auto"/>
        </w:rPr>
        <w:t xml:space="preserve"> (i) the </w:t>
      </w:r>
      <w:r>
        <w:rPr>
          <w:rFonts w:ascii="Arial" w:cs="Arial" w:eastAsia="Arial" w:hAnsi="Arial"/>
          <w:sz w:val="19"/>
          <w:szCs w:val="19"/>
          <w:color w:val="282828"/>
        </w:rPr>
        <w:t>second</w:t>
      </w:r>
      <w:r>
        <w:rPr>
          <w:rFonts w:ascii="Arial" w:cs="Arial" w:eastAsia="Arial" w:hAnsi="Arial"/>
          <w:sz w:val="19"/>
          <w:szCs w:val="19"/>
          <w:color w:val="auto"/>
        </w:rPr>
        <w:t xml:space="preserve"> anniversary of the </w:t>
      </w:r>
      <w:r>
        <w:rPr>
          <w:rFonts w:ascii="Arial" w:cs="Arial" w:eastAsia="Arial" w:hAnsi="Arial"/>
          <w:sz w:val="19"/>
          <w:szCs w:val="19"/>
          <w:color w:val="282828"/>
        </w:rPr>
        <w:t>Commencement</w:t>
      </w:r>
      <w:r>
        <w:rPr>
          <w:rFonts w:ascii="Arial" w:cs="Arial" w:eastAsia="Arial" w:hAnsi="Arial"/>
          <w:sz w:val="19"/>
          <w:szCs w:val="19"/>
          <w:color w:val="auto"/>
        </w:rPr>
        <w:t xml:space="preserve"> Date </w:t>
      </w:r>
      <w:r>
        <w:rPr>
          <w:rFonts w:ascii="Arial" w:cs="Arial" w:eastAsia="Arial" w:hAnsi="Arial"/>
          <w:sz w:val="19"/>
          <w:szCs w:val="19"/>
          <w:color w:val="282828"/>
        </w:rPr>
        <w:t>and (ii)</w:t>
      </w:r>
      <w:r>
        <w:rPr>
          <w:rFonts w:ascii="Arial" w:cs="Arial" w:eastAsia="Arial" w:hAnsi="Arial"/>
          <w:sz w:val="19"/>
          <w:szCs w:val="19"/>
          <w:color w:val="auto"/>
        </w:rPr>
        <w:t xml:space="preserve"> the </w:t>
      </w:r>
      <w:r>
        <w:rPr>
          <w:rFonts w:ascii="Arial" w:cs="Arial" w:eastAsia="Arial" w:hAnsi="Arial"/>
          <w:sz w:val="19"/>
          <w:szCs w:val="19"/>
          <w:color w:val="282828"/>
        </w:rPr>
        <w:t>date on which</w:t>
      </w:r>
      <w:r>
        <w:rPr>
          <w:rFonts w:ascii="Arial" w:cs="Arial" w:eastAsia="Arial" w:hAnsi="Arial"/>
          <w:sz w:val="19"/>
          <w:szCs w:val="19"/>
          <w:color w:val="auto"/>
        </w:rPr>
        <w:t xml:space="preserve"> Landlord has </w:t>
      </w:r>
      <w:r>
        <w:rPr>
          <w:rFonts w:ascii="Arial" w:cs="Arial" w:eastAsia="Arial" w:hAnsi="Arial"/>
          <w:sz w:val="19"/>
          <w:szCs w:val="19"/>
          <w:color w:val="282828"/>
        </w:rPr>
        <w:t>entered</w:t>
      </w:r>
      <w:r>
        <w:rPr>
          <w:rFonts w:ascii="Arial" w:cs="Arial" w:eastAsia="Arial" w:hAnsi="Arial"/>
          <w:sz w:val="19"/>
          <w:szCs w:val="19"/>
          <w:color w:val="auto"/>
        </w:rPr>
        <w:t xml:space="preserve"> into </w:t>
      </w:r>
      <w:r>
        <w:rPr>
          <w:rFonts w:ascii="Arial" w:cs="Arial" w:eastAsia="Arial" w:hAnsi="Arial"/>
          <w:sz w:val="19"/>
          <w:szCs w:val="19"/>
          <w:color w:val="363636"/>
        </w:rPr>
        <w:t>leases</w:t>
      </w:r>
      <w:r>
        <w:rPr>
          <w:rFonts w:ascii="Arial" w:cs="Arial" w:eastAsia="Arial" w:hAnsi="Arial"/>
          <w:sz w:val="19"/>
          <w:szCs w:val="19"/>
          <w:color w:val="auto"/>
        </w:rPr>
        <w:t xml:space="preserve"> for all of </w:t>
      </w:r>
      <w:r>
        <w:rPr>
          <w:rFonts w:ascii="Arial" w:cs="Arial" w:eastAsia="Arial" w:hAnsi="Arial"/>
          <w:sz w:val="19"/>
          <w:szCs w:val="19"/>
          <w:color w:val="363636"/>
        </w:rPr>
        <w:t>the</w:t>
      </w:r>
      <w:r>
        <w:rPr>
          <w:rFonts w:ascii="Arial" w:cs="Arial" w:eastAsia="Arial" w:hAnsi="Arial"/>
          <w:sz w:val="19"/>
          <w:szCs w:val="19"/>
          <w:color w:val="auto"/>
        </w:rPr>
        <w:t xml:space="preserve"> available </w:t>
      </w:r>
      <w:r>
        <w:rPr>
          <w:rFonts w:ascii="Arial" w:cs="Arial" w:eastAsia="Arial" w:hAnsi="Arial"/>
          <w:sz w:val="19"/>
          <w:szCs w:val="19"/>
          <w:color w:val="282828"/>
        </w:rPr>
        <w:t>office space</w:t>
      </w:r>
      <w:r>
        <w:rPr>
          <w:rFonts w:ascii="Arial" w:cs="Arial" w:eastAsia="Arial" w:hAnsi="Arial"/>
          <w:sz w:val="19"/>
          <w:szCs w:val="19"/>
          <w:color w:val="auto"/>
        </w:rPr>
        <w:t xml:space="preserve"> in </w:t>
      </w:r>
      <w:r>
        <w:rPr>
          <w:rFonts w:ascii="Arial" w:cs="Arial" w:eastAsia="Arial" w:hAnsi="Arial"/>
          <w:sz w:val="19"/>
          <w:szCs w:val="19"/>
          <w:color w:val="282828"/>
        </w:rPr>
        <w:t>the</w:t>
      </w:r>
      <w:r>
        <w:rPr>
          <w:rFonts w:ascii="Arial" w:cs="Arial" w:eastAsia="Arial" w:hAnsi="Arial"/>
          <w:sz w:val="19"/>
          <w:szCs w:val="19"/>
          <w:color w:val="auto"/>
        </w:rPr>
        <w:t xml:space="preserve"> Lower </w:t>
      </w:r>
      <w:r>
        <w:rPr>
          <w:rFonts w:ascii="Arial" w:cs="Arial" w:eastAsia="Arial" w:hAnsi="Arial"/>
          <w:sz w:val="19"/>
          <w:szCs w:val="19"/>
          <w:color w:val="282828"/>
        </w:rPr>
        <w:t>Campus,</w:t>
      </w:r>
      <w:r>
        <w:rPr>
          <w:rFonts w:ascii="Arial" w:cs="Arial" w:eastAsia="Arial" w:hAnsi="Arial"/>
          <w:sz w:val="19"/>
          <w:szCs w:val="19"/>
          <w:color w:val="auto"/>
        </w:rPr>
        <w:t xml:space="preserve"> (A) </w:t>
      </w:r>
      <w:r>
        <w:rPr>
          <w:rFonts w:ascii="Arial" w:cs="Arial" w:eastAsia="Arial" w:hAnsi="Arial"/>
          <w:sz w:val="19"/>
          <w:szCs w:val="19"/>
          <w:color w:val="282828"/>
        </w:rPr>
        <w:t>Landlord</w:t>
      </w:r>
      <w:r>
        <w:rPr>
          <w:rFonts w:ascii="Arial" w:cs="Arial" w:eastAsia="Arial" w:hAnsi="Arial"/>
          <w:sz w:val="19"/>
          <w:szCs w:val="19"/>
          <w:color w:val="auto"/>
        </w:rPr>
        <w:t xml:space="preserve"> and Tenant </w:t>
      </w:r>
      <w:r>
        <w:rPr>
          <w:rFonts w:ascii="Arial" w:cs="Arial" w:eastAsia="Arial" w:hAnsi="Arial"/>
          <w:sz w:val="19"/>
          <w:szCs w:val="19"/>
          <w:color w:val="282828"/>
        </w:rPr>
        <w:t>will</w:t>
      </w:r>
      <w:r>
        <w:rPr>
          <w:rFonts w:ascii="Arial" w:cs="Arial" w:eastAsia="Arial" w:hAnsi="Arial"/>
          <w:sz w:val="19"/>
          <w:szCs w:val="19"/>
          <w:color w:val="auto"/>
        </w:rPr>
        <w:t xml:space="preserve"> jointly market </w:t>
      </w:r>
      <w:r>
        <w:rPr>
          <w:rFonts w:ascii="Arial" w:cs="Arial" w:eastAsia="Arial" w:hAnsi="Arial"/>
          <w:sz w:val="19"/>
          <w:szCs w:val="19"/>
          <w:color w:val="282828"/>
        </w:rPr>
        <w:t>the</w:t>
      </w:r>
      <w:r>
        <w:rPr>
          <w:rFonts w:ascii="Arial" w:cs="Arial" w:eastAsia="Arial" w:hAnsi="Arial"/>
          <w:sz w:val="19"/>
          <w:szCs w:val="19"/>
          <w:color w:val="auto"/>
        </w:rPr>
        <w:t xml:space="preserve"> Lower Campus and </w:t>
      </w:r>
      <w:r>
        <w:rPr>
          <w:rFonts w:ascii="Arial" w:cs="Arial" w:eastAsia="Arial" w:hAnsi="Arial"/>
          <w:sz w:val="19"/>
          <w:szCs w:val="19"/>
          <w:color w:val="282828"/>
        </w:rPr>
        <w:t xml:space="preserve">the Building </w:t>
      </w:r>
      <w:r>
        <w:rPr>
          <w:rFonts w:ascii="Arial" w:cs="Arial" w:eastAsia="Arial" w:hAnsi="Arial"/>
          <w:sz w:val="19"/>
          <w:szCs w:val="19"/>
          <w:color w:val="000000"/>
        </w:rPr>
        <w:t>(to the</w:t>
      </w:r>
      <w:r>
        <w:rPr>
          <w:rFonts w:ascii="Arial" w:cs="Arial" w:eastAsia="Arial" w:hAnsi="Arial"/>
          <w:sz w:val="19"/>
          <w:szCs w:val="19"/>
          <w:color w:val="282828"/>
        </w:rPr>
        <w:t xml:space="preserve"> </w:t>
      </w:r>
      <w:r>
        <w:rPr>
          <w:rFonts w:ascii="Arial" w:cs="Arial" w:eastAsia="Arial" w:hAnsi="Arial"/>
          <w:sz w:val="19"/>
          <w:szCs w:val="19"/>
          <w:color w:val="363636"/>
        </w:rPr>
        <w:t>extent Tenant</w:t>
      </w:r>
      <w:r>
        <w:rPr>
          <w:rFonts w:ascii="Arial" w:cs="Arial" w:eastAsia="Arial" w:hAnsi="Arial"/>
          <w:sz w:val="19"/>
          <w:szCs w:val="19"/>
          <w:color w:val="282828"/>
        </w:rPr>
        <w:t xml:space="preserve"> </w:t>
      </w:r>
      <w:r>
        <w:rPr>
          <w:rFonts w:ascii="Arial" w:cs="Arial" w:eastAsia="Arial" w:hAnsi="Arial"/>
          <w:sz w:val="19"/>
          <w:szCs w:val="19"/>
          <w:color w:val="000000"/>
        </w:rPr>
        <w:t>desires</w:t>
      </w:r>
      <w:r>
        <w:rPr>
          <w:rFonts w:ascii="Arial" w:cs="Arial" w:eastAsia="Arial" w:hAnsi="Arial"/>
          <w:sz w:val="19"/>
          <w:szCs w:val="19"/>
          <w:color w:val="282828"/>
        </w:rPr>
        <w:t xml:space="preserve"> to sublease </w:t>
      </w:r>
      <w:r>
        <w:rPr>
          <w:rFonts w:ascii="Arial" w:cs="Arial" w:eastAsia="Arial" w:hAnsi="Arial"/>
          <w:sz w:val="19"/>
          <w:szCs w:val="19"/>
          <w:color w:val="363636"/>
        </w:rPr>
        <w:t>the</w:t>
      </w:r>
      <w:r>
        <w:rPr>
          <w:rFonts w:ascii="Arial" w:cs="Arial" w:eastAsia="Arial" w:hAnsi="Arial"/>
          <w:sz w:val="19"/>
          <w:szCs w:val="19"/>
          <w:color w:val="282828"/>
        </w:rPr>
        <w:t xml:space="preserve"> </w:t>
      </w:r>
      <w:r>
        <w:rPr>
          <w:rFonts w:ascii="Arial" w:cs="Arial" w:eastAsia="Arial" w:hAnsi="Arial"/>
          <w:sz w:val="19"/>
          <w:szCs w:val="19"/>
          <w:color w:val="000000"/>
        </w:rPr>
        <w:t>Building) to</w:t>
      </w:r>
      <w:r>
        <w:rPr>
          <w:rFonts w:ascii="Arial" w:cs="Arial" w:eastAsia="Arial" w:hAnsi="Arial"/>
          <w:sz w:val="19"/>
          <w:szCs w:val="19"/>
          <w:color w:val="282828"/>
        </w:rPr>
        <w:t xml:space="preserve"> prospective tenants and </w:t>
      </w:r>
      <w:r>
        <w:rPr>
          <w:rFonts w:ascii="Arial" w:cs="Arial" w:eastAsia="Arial" w:hAnsi="Arial"/>
          <w:sz w:val="19"/>
          <w:szCs w:val="19"/>
          <w:color w:val="363636"/>
        </w:rPr>
        <w:t>subtenants,</w:t>
      </w:r>
      <w:r>
        <w:rPr>
          <w:rFonts w:ascii="Arial" w:cs="Arial" w:eastAsia="Arial" w:hAnsi="Arial"/>
          <w:sz w:val="19"/>
          <w:szCs w:val="19"/>
          <w:color w:val="282828"/>
        </w:rPr>
        <w:t xml:space="preserve"> </w:t>
      </w:r>
      <w:r>
        <w:rPr>
          <w:rFonts w:ascii="Arial" w:cs="Arial" w:eastAsia="Arial" w:hAnsi="Arial"/>
          <w:sz w:val="19"/>
          <w:szCs w:val="19"/>
          <w:color w:val="000000"/>
        </w:rPr>
        <w:t>as</w:t>
      </w:r>
      <w:r>
        <w:rPr>
          <w:rFonts w:ascii="Arial" w:cs="Arial" w:eastAsia="Arial" w:hAnsi="Arial"/>
          <w:sz w:val="19"/>
          <w:szCs w:val="19"/>
          <w:color w:val="282828"/>
        </w:rPr>
        <w:t xml:space="preserve"> applicable, on </w:t>
      </w:r>
      <w:r>
        <w:rPr>
          <w:rFonts w:ascii="Arial" w:cs="Arial" w:eastAsia="Arial" w:hAnsi="Arial"/>
          <w:sz w:val="19"/>
          <w:szCs w:val="19"/>
          <w:color w:val="000000"/>
        </w:rPr>
        <w:t>terms acceptable to</w:t>
      </w:r>
      <w:r>
        <w:rPr>
          <w:rFonts w:ascii="Arial" w:cs="Arial" w:eastAsia="Arial" w:hAnsi="Arial"/>
          <w:sz w:val="19"/>
          <w:szCs w:val="19"/>
          <w:color w:val="282828"/>
        </w:rPr>
        <w:t xml:space="preserve"> Landlord </w:t>
      </w:r>
      <w:r>
        <w:rPr>
          <w:rFonts w:ascii="Arial" w:cs="Arial" w:eastAsia="Arial" w:hAnsi="Arial"/>
          <w:sz w:val="19"/>
          <w:szCs w:val="19"/>
          <w:color w:val="000000"/>
        </w:rPr>
        <w:t>(with</w:t>
      </w:r>
      <w:r>
        <w:rPr>
          <w:rFonts w:ascii="Arial" w:cs="Arial" w:eastAsia="Arial" w:hAnsi="Arial"/>
          <w:sz w:val="19"/>
          <w:szCs w:val="19"/>
          <w:color w:val="282828"/>
        </w:rPr>
        <w:t xml:space="preserve"> respect to </w:t>
      </w:r>
      <w:r>
        <w:rPr>
          <w:rFonts w:ascii="Arial" w:cs="Arial" w:eastAsia="Arial" w:hAnsi="Arial"/>
          <w:sz w:val="19"/>
          <w:szCs w:val="19"/>
          <w:color w:val="000000"/>
        </w:rPr>
        <w:t>the Lower</w:t>
      </w:r>
      <w:r>
        <w:rPr>
          <w:rFonts w:ascii="Arial" w:cs="Arial" w:eastAsia="Arial" w:hAnsi="Arial"/>
          <w:sz w:val="19"/>
          <w:szCs w:val="19"/>
          <w:color w:val="282828"/>
        </w:rPr>
        <w:t xml:space="preserve"> </w:t>
      </w:r>
      <w:r>
        <w:rPr>
          <w:rFonts w:ascii="Arial" w:cs="Arial" w:eastAsia="Arial" w:hAnsi="Arial"/>
          <w:sz w:val="19"/>
          <w:szCs w:val="19"/>
          <w:color w:val="151515"/>
        </w:rPr>
        <w:t>Campus</w:t>
      </w:r>
      <w:r>
        <w:rPr>
          <w:rFonts w:ascii="Arial" w:cs="Arial" w:eastAsia="Arial" w:hAnsi="Arial"/>
          <w:sz w:val="19"/>
          <w:szCs w:val="19"/>
          <w:color w:val="282828"/>
        </w:rPr>
        <w:t xml:space="preserve"> </w:t>
      </w:r>
      <w:r>
        <w:rPr>
          <w:rFonts w:ascii="Arial" w:cs="Arial" w:eastAsia="Arial" w:hAnsi="Arial"/>
          <w:sz w:val="19"/>
          <w:szCs w:val="19"/>
          <w:color w:val="232323"/>
        </w:rPr>
        <w:t>and</w:t>
      </w:r>
      <w:r>
        <w:rPr>
          <w:rFonts w:ascii="Arial" w:cs="Arial" w:eastAsia="Arial" w:hAnsi="Arial"/>
          <w:sz w:val="19"/>
          <w:szCs w:val="19"/>
          <w:color w:val="282828"/>
        </w:rPr>
        <w:t xml:space="preserve"> </w:t>
      </w:r>
      <w:r>
        <w:rPr>
          <w:rFonts w:ascii="Arial" w:cs="Arial" w:eastAsia="Arial" w:hAnsi="Arial"/>
          <w:sz w:val="19"/>
          <w:szCs w:val="19"/>
          <w:color w:val="333333"/>
        </w:rPr>
        <w:t>to</w:t>
      </w:r>
      <w:r>
        <w:rPr>
          <w:rFonts w:ascii="Arial" w:cs="Arial" w:eastAsia="Arial" w:hAnsi="Arial"/>
          <w:sz w:val="19"/>
          <w:szCs w:val="19"/>
          <w:color w:val="282828"/>
        </w:rPr>
        <w:t xml:space="preserve"> </w:t>
      </w:r>
      <w:r>
        <w:rPr>
          <w:rFonts w:ascii="Arial" w:cs="Arial" w:eastAsia="Arial" w:hAnsi="Arial"/>
          <w:sz w:val="19"/>
          <w:szCs w:val="19"/>
          <w:color w:val="232323"/>
        </w:rPr>
        <w:t>Tenant</w:t>
      </w:r>
      <w:r>
        <w:rPr>
          <w:rFonts w:ascii="Arial" w:cs="Arial" w:eastAsia="Arial" w:hAnsi="Arial"/>
          <w:sz w:val="19"/>
          <w:szCs w:val="19"/>
          <w:color w:val="282828"/>
        </w:rPr>
        <w:t xml:space="preserve"> </w:t>
      </w:r>
      <w:r>
        <w:rPr>
          <w:rFonts w:ascii="Arial" w:cs="Arial" w:eastAsia="Arial" w:hAnsi="Arial"/>
          <w:sz w:val="19"/>
          <w:szCs w:val="19"/>
          <w:color w:val="151515"/>
        </w:rPr>
        <w:t>(with respect</w:t>
      </w:r>
      <w:r>
        <w:rPr>
          <w:rFonts w:ascii="Arial" w:cs="Arial" w:eastAsia="Arial" w:hAnsi="Arial"/>
          <w:sz w:val="19"/>
          <w:szCs w:val="19"/>
          <w:color w:val="282828"/>
        </w:rPr>
        <w:t xml:space="preserve"> </w:t>
      </w:r>
      <w:r>
        <w:rPr>
          <w:rFonts w:ascii="Arial" w:cs="Arial" w:eastAsia="Arial" w:hAnsi="Arial"/>
          <w:sz w:val="19"/>
          <w:szCs w:val="19"/>
          <w:color w:val="232323"/>
        </w:rPr>
        <w:t>to</w:t>
      </w:r>
      <w:r>
        <w:rPr>
          <w:rFonts w:ascii="Arial" w:cs="Arial" w:eastAsia="Arial" w:hAnsi="Arial"/>
          <w:sz w:val="19"/>
          <w:szCs w:val="19"/>
          <w:color w:val="282828"/>
        </w:rPr>
        <w:t xml:space="preserve"> </w:t>
      </w:r>
      <w:r>
        <w:rPr>
          <w:rFonts w:ascii="Arial" w:cs="Arial" w:eastAsia="Arial" w:hAnsi="Arial"/>
          <w:sz w:val="19"/>
          <w:szCs w:val="19"/>
          <w:color w:val="151515"/>
        </w:rPr>
        <w:t xml:space="preserve">Building 1) </w:t>
      </w:r>
      <w:r>
        <w:rPr>
          <w:rFonts w:ascii="Arial" w:cs="Arial" w:eastAsia="Arial" w:hAnsi="Arial"/>
          <w:sz w:val="19"/>
          <w:szCs w:val="19"/>
          <w:color w:val="333333"/>
        </w:rPr>
        <w:t>and</w:t>
      </w:r>
      <w:r>
        <w:rPr>
          <w:rFonts w:ascii="Arial" w:cs="Arial" w:eastAsia="Arial" w:hAnsi="Arial"/>
          <w:sz w:val="19"/>
          <w:szCs w:val="19"/>
          <w:color w:val="151515"/>
        </w:rPr>
        <w:t xml:space="preserve"> (B) Tenant </w:t>
      </w:r>
      <w:r>
        <w:rPr>
          <w:rFonts w:ascii="Arial" w:cs="Arial" w:eastAsia="Arial" w:hAnsi="Arial"/>
          <w:sz w:val="19"/>
          <w:szCs w:val="19"/>
          <w:color w:val="333333"/>
        </w:rPr>
        <w:t>shall</w:t>
      </w:r>
      <w:r>
        <w:rPr>
          <w:rFonts w:ascii="Arial" w:cs="Arial" w:eastAsia="Arial" w:hAnsi="Arial"/>
          <w:sz w:val="19"/>
          <w:szCs w:val="19"/>
          <w:color w:val="151515"/>
        </w:rPr>
        <w:t xml:space="preserve"> not </w:t>
      </w:r>
      <w:r>
        <w:rPr>
          <w:rFonts w:ascii="Arial" w:cs="Arial" w:eastAsia="Arial" w:hAnsi="Arial"/>
          <w:sz w:val="19"/>
          <w:szCs w:val="19"/>
          <w:color w:val="333333"/>
        </w:rPr>
        <w:t>effect</w:t>
      </w:r>
      <w:r>
        <w:rPr>
          <w:rFonts w:ascii="Arial" w:cs="Arial" w:eastAsia="Arial" w:hAnsi="Arial"/>
          <w:sz w:val="19"/>
          <w:szCs w:val="19"/>
          <w:color w:val="151515"/>
        </w:rPr>
        <w:t xml:space="preserve"> a Transfer to or with an entity that is a </w:t>
      </w:r>
      <w:r>
        <w:rPr>
          <w:rFonts w:ascii="Arial" w:cs="Arial" w:eastAsia="Arial" w:hAnsi="Arial"/>
          <w:sz w:val="19"/>
          <w:szCs w:val="19"/>
          <w:color w:val="333333"/>
        </w:rPr>
        <w:t>then-current</w:t>
      </w:r>
      <w:r>
        <w:rPr>
          <w:rFonts w:ascii="Arial" w:cs="Arial" w:eastAsia="Arial" w:hAnsi="Arial"/>
          <w:sz w:val="19"/>
          <w:szCs w:val="19"/>
          <w:color w:val="151515"/>
        </w:rPr>
        <w:t xml:space="preserve"> tenant </w:t>
      </w:r>
      <w:r>
        <w:rPr>
          <w:rFonts w:ascii="Arial" w:cs="Arial" w:eastAsia="Arial" w:hAnsi="Arial"/>
          <w:sz w:val="19"/>
          <w:szCs w:val="19"/>
          <w:color w:val="232323"/>
        </w:rPr>
        <w:t>at</w:t>
      </w:r>
      <w:r>
        <w:rPr>
          <w:rFonts w:ascii="Arial" w:cs="Arial" w:eastAsia="Arial" w:hAnsi="Arial"/>
          <w:sz w:val="19"/>
          <w:szCs w:val="19"/>
          <w:color w:val="151515"/>
        </w:rPr>
        <w:t xml:space="preserve"> </w:t>
      </w:r>
      <w:r>
        <w:rPr>
          <w:rFonts w:ascii="Arial" w:cs="Arial" w:eastAsia="Arial" w:hAnsi="Arial"/>
          <w:sz w:val="19"/>
          <w:szCs w:val="19"/>
          <w:color w:val="333333"/>
        </w:rPr>
        <w:t>the</w:t>
      </w:r>
      <w:r>
        <w:rPr>
          <w:rFonts w:ascii="Arial" w:cs="Arial" w:eastAsia="Arial" w:hAnsi="Arial"/>
          <w:sz w:val="19"/>
          <w:szCs w:val="19"/>
          <w:color w:val="151515"/>
        </w:rPr>
        <w:t xml:space="preserve"> Lower </w:t>
      </w:r>
      <w:r>
        <w:rPr>
          <w:rFonts w:ascii="Arial" w:cs="Arial" w:eastAsia="Arial" w:hAnsi="Arial"/>
          <w:sz w:val="19"/>
          <w:szCs w:val="19"/>
          <w:color w:val="232323"/>
        </w:rPr>
        <w:t xml:space="preserve">Campus without Landlord’s </w:t>
      </w:r>
      <w:r>
        <w:rPr>
          <w:rFonts w:ascii="Arial" w:cs="Arial" w:eastAsia="Arial" w:hAnsi="Arial"/>
          <w:sz w:val="19"/>
          <w:szCs w:val="19"/>
          <w:color w:val="151515"/>
        </w:rPr>
        <w:t>prior</w:t>
      </w:r>
      <w:r>
        <w:rPr>
          <w:rFonts w:ascii="Arial" w:cs="Arial" w:eastAsia="Arial" w:hAnsi="Arial"/>
          <w:sz w:val="19"/>
          <w:szCs w:val="19"/>
          <w:color w:val="232323"/>
        </w:rPr>
        <w:t xml:space="preserve"> written </w:t>
      </w:r>
      <w:r>
        <w:rPr>
          <w:rFonts w:ascii="Arial" w:cs="Arial" w:eastAsia="Arial" w:hAnsi="Arial"/>
          <w:sz w:val="19"/>
          <w:szCs w:val="19"/>
          <w:color w:val="151515"/>
        </w:rPr>
        <w:t>consent,</w:t>
      </w:r>
      <w:r>
        <w:rPr>
          <w:rFonts w:ascii="Arial" w:cs="Arial" w:eastAsia="Arial" w:hAnsi="Arial"/>
          <w:sz w:val="19"/>
          <w:szCs w:val="19"/>
          <w:color w:val="232323"/>
        </w:rPr>
        <w:t xml:space="preserve"> </w:t>
      </w:r>
      <w:r>
        <w:rPr>
          <w:rFonts w:ascii="Arial" w:cs="Arial" w:eastAsia="Arial" w:hAnsi="Arial"/>
          <w:sz w:val="19"/>
          <w:szCs w:val="19"/>
          <w:color w:val="333333"/>
        </w:rPr>
        <w:t>which</w:t>
      </w:r>
      <w:r>
        <w:rPr>
          <w:rFonts w:ascii="Arial" w:cs="Arial" w:eastAsia="Arial" w:hAnsi="Arial"/>
          <w:sz w:val="19"/>
          <w:szCs w:val="19"/>
          <w:color w:val="232323"/>
        </w:rPr>
        <w:t xml:space="preserve"> consent </w:t>
      </w:r>
      <w:r>
        <w:rPr>
          <w:rFonts w:ascii="Arial" w:cs="Arial" w:eastAsia="Arial" w:hAnsi="Arial"/>
          <w:sz w:val="19"/>
          <w:szCs w:val="19"/>
          <w:color w:val="151515"/>
        </w:rPr>
        <w:t>may be withheld by Landlord</w:t>
      </w:r>
      <w:r>
        <w:rPr>
          <w:rFonts w:ascii="Arial" w:cs="Arial" w:eastAsia="Arial" w:hAnsi="Arial"/>
          <w:sz w:val="19"/>
          <w:szCs w:val="19"/>
          <w:color w:val="232323"/>
        </w:rPr>
        <w:t xml:space="preserve"> in </w:t>
      </w:r>
      <w:r>
        <w:rPr>
          <w:rFonts w:ascii="Arial" w:cs="Arial" w:eastAsia="Arial" w:hAnsi="Arial"/>
          <w:sz w:val="19"/>
          <w:szCs w:val="19"/>
          <w:color w:val="151515"/>
        </w:rPr>
        <w:t>Landlord’s</w:t>
      </w:r>
      <w:r>
        <w:rPr>
          <w:rFonts w:ascii="Arial" w:cs="Arial" w:eastAsia="Arial" w:hAnsi="Arial"/>
          <w:sz w:val="19"/>
          <w:szCs w:val="19"/>
          <w:color w:val="232323"/>
        </w:rPr>
        <w:t xml:space="preserve"> </w:t>
      </w:r>
      <w:r>
        <w:rPr>
          <w:rFonts w:ascii="Arial" w:cs="Arial" w:eastAsia="Arial" w:hAnsi="Arial"/>
          <w:sz w:val="19"/>
          <w:szCs w:val="19"/>
          <w:color w:val="333333"/>
        </w:rPr>
        <w:t>sole</w:t>
      </w:r>
      <w:r>
        <w:rPr>
          <w:rFonts w:ascii="Arial" w:cs="Arial" w:eastAsia="Arial" w:hAnsi="Arial"/>
          <w:sz w:val="19"/>
          <w:szCs w:val="19"/>
          <w:color w:val="232323"/>
        </w:rPr>
        <w:t xml:space="preserve"> </w:t>
      </w:r>
      <w:r>
        <w:rPr>
          <w:rFonts w:ascii="Arial" w:cs="Arial" w:eastAsia="Arial" w:hAnsi="Arial"/>
          <w:sz w:val="19"/>
          <w:szCs w:val="19"/>
          <w:color w:val="151515"/>
        </w:rPr>
        <w:t xml:space="preserve">and </w:t>
      </w:r>
      <w:r>
        <w:rPr>
          <w:rFonts w:ascii="Arial" w:cs="Arial" w:eastAsia="Arial" w:hAnsi="Arial"/>
          <w:sz w:val="19"/>
          <w:szCs w:val="19"/>
          <w:color w:val="333333"/>
        </w:rPr>
        <w:t>absolute</w:t>
      </w:r>
      <w:r>
        <w:rPr>
          <w:rFonts w:ascii="Arial" w:cs="Arial" w:eastAsia="Arial" w:hAnsi="Arial"/>
          <w:sz w:val="19"/>
          <w:szCs w:val="19"/>
          <w:color w:val="151515"/>
        </w:rPr>
        <w:t xml:space="preserve"> </w:t>
      </w:r>
      <w:r>
        <w:rPr>
          <w:rFonts w:ascii="Arial" w:cs="Arial" w:eastAsia="Arial" w:hAnsi="Arial"/>
          <w:sz w:val="19"/>
          <w:szCs w:val="19"/>
          <w:color w:val="232323"/>
        </w:rPr>
        <w:t>discretion. Thereafter, Tenant</w:t>
      </w:r>
      <w:r>
        <w:rPr>
          <w:rFonts w:ascii="Arial" w:cs="Arial" w:eastAsia="Arial" w:hAnsi="Arial"/>
          <w:sz w:val="19"/>
          <w:szCs w:val="19"/>
          <w:color w:val="151515"/>
        </w:rPr>
        <w:t xml:space="preserve"> </w:t>
      </w:r>
      <w:r>
        <w:rPr>
          <w:rFonts w:ascii="Arial" w:cs="Arial" w:eastAsia="Arial" w:hAnsi="Arial"/>
          <w:sz w:val="19"/>
          <w:szCs w:val="19"/>
          <w:color w:val="333333"/>
        </w:rPr>
        <w:t>shall</w:t>
      </w:r>
      <w:r>
        <w:rPr>
          <w:rFonts w:ascii="Arial" w:cs="Arial" w:eastAsia="Arial" w:hAnsi="Arial"/>
          <w:sz w:val="19"/>
          <w:szCs w:val="19"/>
          <w:color w:val="151515"/>
        </w:rPr>
        <w:t xml:space="preserve"> </w:t>
      </w:r>
      <w:r>
        <w:rPr>
          <w:rFonts w:ascii="Arial" w:cs="Arial" w:eastAsia="Arial" w:hAnsi="Arial"/>
          <w:sz w:val="19"/>
          <w:szCs w:val="19"/>
          <w:color w:val="232323"/>
        </w:rPr>
        <w:t>have</w:t>
      </w:r>
      <w:r>
        <w:rPr>
          <w:rFonts w:ascii="Arial" w:cs="Arial" w:eastAsia="Arial" w:hAnsi="Arial"/>
          <w:sz w:val="19"/>
          <w:szCs w:val="19"/>
          <w:color w:val="151515"/>
        </w:rPr>
        <w:t xml:space="preserve"> the right to market, advertise </w:t>
      </w:r>
      <w:r>
        <w:rPr>
          <w:rFonts w:ascii="Arial" w:cs="Arial" w:eastAsia="Arial" w:hAnsi="Arial"/>
          <w:sz w:val="19"/>
          <w:szCs w:val="19"/>
          <w:color w:val="333333"/>
        </w:rPr>
        <w:t>and sublease</w:t>
      </w:r>
      <w:r>
        <w:rPr>
          <w:rFonts w:ascii="Arial" w:cs="Arial" w:eastAsia="Arial" w:hAnsi="Arial"/>
          <w:sz w:val="19"/>
          <w:szCs w:val="19"/>
          <w:color w:val="151515"/>
        </w:rPr>
        <w:t xml:space="preserve"> </w:t>
      </w:r>
      <w:r>
        <w:rPr>
          <w:rFonts w:ascii="Arial" w:cs="Arial" w:eastAsia="Arial" w:hAnsi="Arial"/>
          <w:sz w:val="19"/>
          <w:szCs w:val="19"/>
          <w:color w:val="444444"/>
        </w:rPr>
        <w:t>space</w:t>
      </w:r>
      <w:r>
        <w:rPr>
          <w:rFonts w:ascii="Arial" w:cs="Arial" w:eastAsia="Arial" w:hAnsi="Arial"/>
          <w:sz w:val="19"/>
          <w:szCs w:val="19"/>
          <w:color w:val="151515"/>
        </w:rPr>
        <w:t xml:space="preserve"> in </w:t>
      </w:r>
      <w:r>
        <w:rPr>
          <w:rFonts w:ascii="Arial" w:cs="Arial" w:eastAsia="Arial" w:hAnsi="Arial"/>
          <w:sz w:val="19"/>
          <w:szCs w:val="19"/>
          <w:color w:val="333333"/>
        </w:rPr>
        <w:t>the</w:t>
      </w:r>
      <w:r>
        <w:rPr>
          <w:rFonts w:ascii="Arial" w:cs="Arial" w:eastAsia="Arial" w:hAnsi="Arial"/>
          <w:sz w:val="19"/>
          <w:szCs w:val="19"/>
          <w:color w:val="151515"/>
        </w:rPr>
        <w:t xml:space="preserve"> Building </w:t>
      </w:r>
      <w:r>
        <w:rPr>
          <w:rFonts w:ascii="Arial" w:cs="Arial" w:eastAsia="Arial" w:hAnsi="Arial"/>
          <w:sz w:val="19"/>
          <w:szCs w:val="19"/>
          <w:color w:val="232323"/>
        </w:rPr>
        <w:t>or assign</w:t>
      </w:r>
      <w:r>
        <w:rPr>
          <w:rFonts w:ascii="Arial" w:cs="Arial" w:eastAsia="Arial" w:hAnsi="Arial"/>
          <w:sz w:val="19"/>
          <w:szCs w:val="19"/>
          <w:color w:val="151515"/>
        </w:rPr>
        <w:t xml:space="preserve"> the Lease in </w:t>
      </w:r>
      <w:r>
        <w:rPr>
          <w:rFonts w:ascii="Arial" w:cs="Arial" w:eastAsia="Arial" w:hAnsi="Arial"/>
          <w:sz w:val="19"/>
          <w:szCs w:val="19"/>
          <w:color w:val="232323"/>
        </w:rPr>
        <w:t>accordance with the</w:t>
      </w:r>
      <w:r>
        <w:rPr>
          <w:rFonts w:ascii="Arial" w:cs="Arial" w:eastAsia="Arial" w:hAnsi="Arial"/>
          <w:sz w:val="19"/>
          <w:szCs w:val="19"/>
          <w:color w:val="151515"/>
        </w:rPr>
        <w:t xml:space="preserve"> provisions of </w:t>
      </w:r>
      <w:r>
        <w:rPr>
          <w:rFonts w:ascii="Arial" w:cs="Arial" w:eastAsia="Arial" w:hAnsi="Arial"/>
          <w:sz w:val="19"/>
          <w:szCs w:val="19"/>
          <w:color w:val="333333"/>
        </w:rPr>
        <w:t>Section</w:t>
      </w:r>
      <w:r>
        <w:rPr>
          <w:rFonts w:ascii="Arial" w:cs="Arial" w:eastAsia="Arial" w:hAnsi="Arial"/>
          <w:sz w:val="19"/>
          <w:szCs w:val="19"/>
          <w:color w:val="151515"/>
        </w:rPr>
        <w:t xml:space="preserve"> </w:t>
      </w:r>
      <w:r>
        <w:rPr>
          <w:rFonts w:ascii="Arial" w:cs="Arial" w:eastAsia="Arial" w:hAnsi="Arial"/>
          <w:sz w:val="19"/>
          <w:szCs w:val="19"/>
          <w:color w:val="232323"/>
        </w:rPr>
        <w:t>29.1.</w:t>
      </w:r>
      <w:r>
        <w:rPr>
          <w:rFonts w:ascii="Arial" w:cs="Arial" w:eastAsia="Arial" w:hAnsi="Arial"/>
          <w:sz w:val="19"/>
          <w:szCs w:val="19"/>
          <w:color w:val="151515"/>
        </w:rPr>
        <w:t xml:space="preserve"> </w:t>
      </w:r>
      <w:r>
        <w:rPr>
          <w:rFonts w:ascii="Arial" w:cs="Arial" w:eastAsia="Arial" w:hAnsi="Arial"/>
          <w:sz w:val="19"/>
          <w:szCs w:val="19"/>
          <w:color w:val="333333"/>
        </w:rPr>
        <w:t>Upon</w:t>
      </w:r>
      <w:r>
        <w:rPr>
          <w:rFonts w:ascii="Arial" w:cs="Arial" w:eastAsia="Arial" w:hAnsi="Arial"/>
          <w:sz w:val="19"/>
          <w:szCs w:val="19"/>
          <w:color w:val="151515"/>
        </w:rPr>
        <w:t xml:space="preserve"> Tenant’s reasonable request from time to </w:t>
      </w:r>
      <w:r>
        <w:rPr>
          <w:rFonts w:ascii="Arial" w:cs="Arial" w:eastAsia="Arial" w:hAnsi="Arial"/>
          <w:sz w:val="19"/>
          <w:szCs w:val="19"/>
          <w:color w:val="333333"/>
        </w:rPr>
        <w:t>time,</w:t>
      </w:r>
      <w:r>
        <w:rPr>
          <w:rFonts w:ascii="Arial" w:cs="Arial" w:eastAsia="Arial" w:hAnsi="Arial"/>
          <w:sz w:val="19"/>
          <w:szCs w:val="19"/>
          <w:color w:val="151515"/>
        </w:rPr>
        <w:t xml:space="preserve"> Landlord </w:t>
      </w:r>
      <w:r>
        <w:rPr>
          <w:rFonts w:ascii="Arial" w:cs="Arial" w:eastAsia="Arial" w:hAnsi="Arial"/>
          <w:sz w:val="19"/>
          <w:szCs w:val="19"/>
          <w:color w:val="333333"/>
        </w:rPr>
        <w:t>shall provide</w:t>
      </w:r>
      <w:r>
        <w:rPr>
          <w:rFonts w:ascii="Arial" w:cs="Arial" w:eastAsia="Arial" w:hAnsi="Arial"/>
          <w:sz w:val="19"/>
          <w:szCs w:val="19"/>
          <w:color w:val="151515"/>
        </w:rPr>
        <w:t xml:space="preserve"> documentation </w:t>
      </w:r>
      <w:r>
        <w:rPr>
          <w:rFonts w:ascii="Arial" w:cs="Arial" w:eastAsia="Arial" w:hAnsi="Arial"/>
          <w:sz w:val="19"/>
          <w:szCs w:val="19"/>
          <w:color w:val="232323"/>
        </w:rPr>
        <w:t>of</w:t>
      </w:r>
      <w:r>
        <w:rPr>
          <w:rFonts w:ascii="Arial" w:cs="Arial" w:eastAsia="Arial" w:hAnsi="Arial"/>
          <w:sz w:val="19"/>
          <w:szCs w:val="19"/>
          <w:color w:val="151515"/>
        </w:rPr>
        <w:t xml:space="preserve"> the leasing </w:t>
      </w:r>
      <w:r>
        <w:rPr>
          <w:rFonts w:ascii="Arial" w:cs="Arial" w:eastAsia="Arial" w:hAnsi="Arial"/>
          <w:sz w:val="19"/>
          <w:szCs w:val="19"/>
          <w:color w:val="333333"/>
        </w:rPr>
        <w:t>status</w:t>
      </w:r>
      <w:r>
        <w:rPr>
          <w:rFonts w:ascii="Arial" w:cs="Arial" w:eastAsia="Arial" w:hAnsi="Arial"/>
          <w:sz w:val="19"/>
          <w:szCs w:val="19"/>
          <w:color w:val="151515"/>
        </w:rPr>
        <w:t xml:space="preserve"> </w:t>
      </w:r>
      <w:r>
        <w:rPr>
          <w:rFonts w:ascii="Arial" w:cs="Arial" w:eastAsia="Arial" w:hAnsi="Arial"/>
          <w:sz w:val="19"/>
          <w:szCs w:val="19"/>
          <w:color w:val="232323"/>
        </w:rPr>
        <w:t>of</w:t>
      </w:r>
      <w:r>
        <w:rPr>
          <w:rFonts w:ascii="Arial" w:cs="Arial" w:eastAsia="Arial" w:hAnsi="Arial"/>
          <w:sz w:val="19"/>
          <w:szCs w:val="19"/>
          <w:color w:val="151515"/>
        </w:rPr>
        <w:t xml:space="preserve"> the </w:t>
      </w:r>
      <w:r>
        <w:rPr>
          <w:rFonts w:ascii="Arial" w:cs="Arial" w:eastAsia="Arial" w:hAnsi="Arial"/>
          <w:sz w:val="19"/>
          <w:szCs w:val="19"/>
          <w:color w:val="232323"/>
        </w:rPr>
        <w:t>Lower Campus. In connection</w:t>
      </w:r>
      <w:r>
        <w:rPr>
          <w:rFonts w:ascii="Arial" w:cs="Arial" w:eastAsia="Arial" w:hAnsi="Arial"/>
          <w:sz w:val="19"/>
          <w:szCs w:val="19"/>
          <w:color w:val="151515"/>
        </w:rPr>
        <w:t xml:space="preserve"> </w:t>
      </w:r>
      <w:r>
        <w:rPr>
          <w:rFonts w:ascii="Arial" w:cs="Arial" w:eastAsia="Arial" w:hAnsi="Arial"/>
          <w:sz w:val="19"/>
          <w:szCs w:val="19"/>
          <w:color w:val="232323"/>
        </w:rPr>
        <w:t xml:space="preserve">with </w:t>
      </w:r>
      <w:r>
        <w:rPr>
          <w:rFonts w:ascii="Arial" w:cs="Arial" w:eastAsia="Arial" w:hAnsi="Arial"/>
          <w:sz w:val="19"/>
          <w:szCs w:val="19"/>
          <w:color w:val="151515"/>
        </w:rPr>
        <w:t>the joint</w:t>
      </w:r>
      <w:r>
        <w:rPr>
          <w:rFonts w:ascii="Arial" w:cs="Arial" w:eastAsia="Arial" w:hAnsi="Arial"/>
          <w:sz w:val="19"/>
          <w:szCs w:val="19"/>
          <w:color w:val="232323"/>
        </w:rPr>
        <w:t xml:space="preserve"> </w:t>
      </w:r>
      <w:r>
        <w:rPr>
          <w:rFonts w:ascii="Arial" w:cs="Arial" w:eastAsia="Arial" w:hAnsi="Arial"/>
          <w:sz w:val="19"/>
          <w:szCs w:val="19"/>
          <w:color w:val="333333"/>
        </w:rPr>
        <w:t>marketing</w:t>
      </w:r>
      <w:r>
        <w:rPr>
          <w:rFonts w:ascii="Arial" w:cs="Arial" w:eastAsia="Arial" w:hAnsi="Arial"/>
          <w:sz w:val="19"/>
          <w:szCs w:val="19"/>
          <w:color w:val="232323"/>
        </w:rPr>
        <w:t xml:space="preserve"> of </w:t>
      </w:r>
      <w:r>
        <w:rPr>
          <w:rFonts w:ascii="Arial" w:cs="Arial" w:eastAsia="Arial" w:hAnsi="Arial"/>
          <w:sz w:val="19"/>
          <w:szCs w:val="19"/>
          <w:color w:val="151515"/>
        </w:rPr>
        <w:t>the Lower</w:t>
      </w:r>
      <w:r>
        <w:rPr>
          <w:rFonts w:ascii="Arial" w:cs="Arial" w:eastAsia="Arial" w:hAnsi="Arial"/>
          <w:sz w:val="19"/>
          <w:szCs w:val="19"/>
          <w:color w:val="232323"/>
        </w:rPr>
        <w:t xml:space="preserve"> Campus </w:t>
      </w:r>
      <w:r>
        <w:rPr>
          <w:rFonts w:ascii="Arial" w:cs="Arial" w:eastAsia="Arial" w:hAnsi="Arial"/>
          <w:sz w:val="19"/>
          <w:szCs w:val="19"/>
          <w:color w:val="333333"/>
        </w:rPr>
        <w:t>and the</w:t>
      </w:r>
      <w:r>
        <w:rPr>
          <w:rFonts w:ascii="Arial" w:cs="Arial" w:eastAsia="Arial" w:hAnsi="Arial"/>
          <w:sz w:val="19"/>
          <w:szCs w:val="19"/>
          <w:color w:val="232323"/>
        </w:rPr>
        <w:t xml:space="preserve"> </w:t>
      </w:r>
      <w:r>
        <w:rPr>
          <w:rFonts w:ascii="Arial" w:cs="Arial" w:eastAsia="Arial" w:hAnsi="Arial"/>
          <w:sz w:val="19"/>
          <w:szCs w:val="19"/>
          <w:color w:val="151515"/>
        </w:rPr>
        <w:t>Building, Landlord</w:t>
      </w:r>
      <w:r>
        <w:rPr>
          <w:rFonts w:ascii="Arial" w:cs="Arial" w:eastAsia="Arial" w:hAnsi="Arial"/>
          <w:sz w:val="19"/>
          <w:szCs w:val="19"/>
          <w:color w:val="232323"/>
        </w:rPr>
        <w:t xml:space="preserve"> </w:t>
      </w:r>
      <w:r>
        <w:rPr>
          <w:rFonts w:ascii="Arial" w:cs="Arial" w:eastAsia="Arial" w:hAnsi="Arial"/>
          <w:sz w:val="19"/>
          <w:szCs w:val="19"/>
          <w:color w:val="333333"/>
        </w:rPr>
        <w:t>shall</w:t>
      </w:r>
      <w:r>
        <w:rPr>
          <w:rFonts w:ascii="Arial" w:cs="Arial" w:eastAsia="Arial" w:hAnsi="Arial"/>
          <w:sz w:val="19"/>
          <w:szCs w:val="19"/>
          <w:color w:val="232323"/>
        </w:rPr>
        <w:t xml:space="preserve"> </w:t>
      </w:r>
      <w:r>
        <w:rPr>
          <w:rFonts w:ascii="Arial" w:cs="Arial" w:eastAsia="Arial" w:hAnsi="Arial"/>
          <w:sz w:val="19"/>
          <w:szCs w:val="19"/>
          <w:color w:val="151515"/>
        </w:rPr>
        <w:t>be</w:t>
      </w:r>
      <w:r>
        <w:rPr>
          <w:rFonts w:ascii="Arial" w:cs="Arial" w:eastAsia="Arial" w:hAnsi="Arial"/>
          <w:sz w:val="19"/>
          <w:szCs w:val="19"/>
          <w:color w:val="232323"/>
        </w:rPr>
        <w:t xml:space="preserve"> </w:t>
      </w:r>
      <w:r>
        <w:rPr>
          <w:rFonts w:ascii="Arial" w:cs="Arial" w:eastAsia="Arial" w:hAnsi="Arial"/>
          <w:sz w:val="19"/>
          <w:szCs w:val="19"/>
          <w:color w:val="333333"/>
        </w:rPr>
        <w:t>solely</w:t>
      </w:r>
      <w:r>
        <w:rPr>
          <w:rFonts w:ascii="Arial" w:cs="Arial" w:eastAsia="Arial" w:hAnsi="Arial"/>
          <w:sz w:val="19"/>
          <w:szCs w:val="19"/>
          <w:color w:val="232323"/>
        </w:rPr>
        <w:t xml:space="preserve"> </w:t>
      </w:r>
      <w:r>
        <w:rPr>
          <w:rFonts w:ascii="Arial" w:cs="Arial" w:eastAsia="Arial" w:hAnsi="Arial"/>
          <w:sz w:val="19"/>
          <w:szCs w:val="19"/>
          <w:color w:val="151515"/>
        </w:rPr>
        <w:t>responsible for</w:t>
      </w:r>
      <w:r>
        <w:rPr>
          <w:rFonts w:ascii="Arial" w:cs="Arial" w:eastAsia="Arial" w:hAnsi="Arial"/>
          <w:sz w:val="19"/>
          <w:szCs w:val="19"/>
          <w:color w:val="232323"/>
        </w:rPr>
        <w:t xml:space="preserve"> </w:t>
      </w:r>
      <w:r>
        <w:rPr>
          <w:rFonts w:ascii="Arial" w:cs="Arial" w:eastAsia="Arial" w:hAnsi="Arial"/>
          <w:sz w:val="19"/>
          <w:szCs w:val="19"/>
          <w:color w:val="333333"/>
        </w:rPr>
        <w:t>all</w:t>
      </w:r>
      <w:r>
        <w:rPr>
          <w:rFonts w:ascii="Arial" w:cs="Arial" w:eastAsia="Arial" w:hAnsi="Arial"/>
          <w:sz w:val="19"/>
          <w:szCs w:val="19"/>
          <w:color w:val="232323"/>
        </w:rPr>
        <w:t xml:space="preserve"> costs </w:t>
      </w:r>
      <w:r>
        <w:rPr>
          <w:rFonts w:ascii="Arial" w:cs="Arial" w:eastAsia="Arial" w:hAnsi="Arial"/>
          <w:sz w:val="19"/>
          <w:szCs w:val="19"/>
          <w:color w:val="151515"/>
        </w:rPr>
        <w:t xml:space="preserve">and fees </w:t>
      </w:r>
      <w:r>
        <w:rPr>
          <w:rFonts w:ascii="Arial" w:cs="Arial" w:eastAsia="Arial" w:hAnsi="Arial"/>
          <w:sz w:val="19"/>
          <w:szCs w:val="19"/>
          <w:color w:val="232323"/>
        </w:rPr>
        <w:t>associated with</w:t>
      </w:r>
      <w:r>
        <w:rPr>
          <w:rFonts w:ascii="Arial" w:cs="Arial" w:eastAsia="Arial" w:hAnsi="Arial"/>
          <w:sz w:val="19"/>
          <w:szCs w:val="19"/>
          <w:color w:val="151515"/>
        </w:rPr>
        <w:t xml:space="preserve"> the </w:t>
      </w:r>
      <w:r>
        <w:rPr>
          <w:rFonts w:ascii="Arial" w:cs="Arial" w:eastAsia="Arial" w:hAnsi="Arial"/>
          <w:sz w:val="19"/>
          <w:szCs w:val="19"/>
          <w:color w:val="333333"/>
        </w:rPr>
        <w:t>leasing</w:t>
      </w:r>
      <w:r>
        <w:rPr>
          <w:rFonts w:ascii="Arial" w:cs="Arial" w:eastAsia="Arial" w:hAnsi="Arial"/>
          <w:sz w:val="19"/>
          <w:szCs w:val="19"/>
          <w:color w:val="151515"/>
        </w:rPr>
        <w:t xml:space="preserve"> </w:t>
      </w:r>
      <w:r>
        <w:rPr>
          <w:rFonts w:ascii="Arial" w:cs="Arial" w:eastAsia="Arial" w:hAnsi="Arial"/>
          <w:sz w:val="19"/>
          <w:szCs w:val="19"/>
          <w:color w:val="232323"/>
        </w:rPr>
        <w:t>of</w:t>
      </w:r>
      <w:r>
        <w:rPr>
          <w:rFonts w:ascii="Arial" w:cs="Arial" w:eastAsia="Arial" w:hAnsi="Arial"/>
          <w:sz w:val="19"/>
          <w:szCs w:val="19"/>
          <w:color w:val="151515"/>
        </w:rPr>
        <w:t xml:space="preserve"> the Lower </w:t>
      </w:r>
      <w:r>
        <w:rPr>
          <w:rFonts w:ascii="Arial" w:cs="Arial" w:eastAsia="Arial" w:hAnsi="Arial"/>
          <w:sz w:val="19"/>
          <w:szCs w:val="19"/>
          <w:color w:val="232323"/>
        </w:rPr>
        <w:t>Campus</w:t>
      </w:r>
      <w:r>
        <w:rPr>
          <w:rFonts w:ascii="Arial" w:cs="Arial" w:eastAsia="Arial" w:hAnsi="Arial"/>
          <w:sz w:val="19"/>
          <w:szCs w:val="19"/>
          <w:color w:val="151515"/>
        </w:rPr>
        <w:t xml:space="preserve"> and </w:t>
      </w:r>
      <w:r>
        <w:rPr>
          <w:rFonts w:ascii="Arial" w:cs="Arial" w:eastAsia="Arial" w:hAnsi="Arial"/>
          <w:sz w:val="19"/>
          <w:szCs w:val="19"/>
          <w:color w:val="333333"/>
        </w:rPr>
        <w:t>Tenant shall</w:t>
      </w:r>
      <w:r>
        <w:rPr>
          <w:rFonts w:ascii="Arial" w:cs="Arial" w:eastAsia="Arial" w:hAnsi="Arial"/>
          <w:sz w:val="19"/>
          <w:szCs w:val="19"/>
          <w:color w:val="151515"/>
        </w:rPr>
        <w:t xml:space="preserve"> be </w:t>
      </w:r>
      <w:r>
        <w:rPr>
          <w:rFonts w:ascii="Arial" w:cs="Arial" w:eastAsia="Arial" w:hAnsi="Arial"/>
          <w:sz w:val="19"/>
          <w:szCs w:val="19"/>
          <w:color w:val="333333"/>
        </w:rPr>
        <w:t>solely</w:t>
      </w:r>
      <w:r>
        <w:rPr>
          <w:rFonts w:ascii="Arial" w:cs="Arial" w:eastAsia="Arial" w:hAnsi="Arial"/>
          <w:sz w:val="19"/>
          <w:szCs w:val="19"/>
          <w:color w:val="151515"/>
        </w:rPr>
        <w:t xml:space="preserve"> responsible </w:t>
      </w:r>
      <w:r>
        <w:rPr>
          <w:rFonts w:ascii="Arial" w:cs="Arial" w:eastAsia="Arial" w:hAnsi="Arial"/>
          <w:sz w:val="19"/>
          <w:szCs w:val="19"/>
          <w:color w:val="232323"/>
        </w:rPr>
        <w:t>for</w:t>
      </w:r>
      <w:r>
        <w:rPr>
          <w:rFonts w:ascii="Arial" w:cs="Arial" w:eastAsia="Arial" w:hAnsi="Arial"/>
          <w:sz w:val="19"/>
          <w:szCs w:val="19"/>
          <w:color w:val="151515"/>
        </w:rPr>
        <w:t xml:space="preserve"> </w:t>
      </w:r>
      <w:r>
        <w:rPr>
          <w:rFonts w:ascii="Arial" w:cs="Arial" w:eastAsia="Arial" w:hAnsi="Arial"/>
          <w:sz w:val="19"/>
          <w:szCs w:val="19"/>
          <w:color w:val="333333"/>
        </w:rPr>
        <w:t>all</w:t>
      </w:r>
      <w:r>
        <w:rPr>
          <w:rFonts w:ascii="Arial" w:cs="Arial" w:eastAsia="Arial" w:hAnsi="Arial"/>
          <w:sz w:val="19"/>
          <w:szCs w:val="19"/>
          <w:color w:val="151515"/>
        </w:rPr>
        <w:t xml:space="preserve"> </w:t>
      </w:r>
      <w:r>
        <w:rPr>
          <w:rFonts w:ascii="Arial" w:cs="Arial" w:eastAsia="Arial" w:hAnsi="Arial"/>
          <w:sz w:val="19"/>
          <w:szCs w:val="19"/>
          <w:color w:val="232323"/>
        </w:rPr>
        <w:t>costs</w:t>
      </w:r>
      <w:r>
        <w:rPr>
          <w:rFonts w:ascii="Arial" w:cs="Arial" w:eastAsia="Arial" w:hAnsi="Arial"/>
          <w:sz w:val="19"/>
          <w:szCs w:val="19"/>
          <w:color w:val="151515"/>
        </w:rPr>
        <w:t xml:space="preserve"> and fees </w:t>
      </w:r>
      <w:r>
        <w:rPr>
          <w:rFonts w:ascii="Arial" w:cs="Arial" w:eastAsia="Arial" w:hAnsi="Arial"/>
          <w:sz w:val="19"/>
          <w:szCs w:val="19"/>
          <w:color w:val="232323"/>
        </w:rPr>
        <w:t>associated with</w:t>
      </w:r>
      <w:r>
        <w:rPr>
          <w:rFonts w:ascii="Arial" w:cs="Arial" w:eastAsia="Arial" w:hAnsi="Arial"/>
          <w:sz w:val="19"/>
          <w:szCs w:val="19"/>
          <w:color w:val="151515"/>
        </w:rPr>
        <w:t xml:space="preserve"> the </w:t>
      </w:r>
      <w:r>
        <w:rPr>
          <w:rFonts w:ascii="Arial" w:cs="Arial" w:eastAsia="Arial" w:hAnsi="Arial"/>
          <w:sz w:val="19"/>
          <w:szCs w:val="19"/>
          <w:color w:val="333333"/>
        </w:rPr>
        <w:t>leasing</w:t>
      </w:r>
      <w:r>
        <w:rPr>
          <w:rFonts w:ascii="Arial" w:cs="Arial" w:eastAsia="Arial" w:hAnsi="Arial"/>
          <w:sz w:val="19"/>
          <w:szCs w:val="19"/>
          <w:color w:val="151515"/>
        </w:rPr>
        <w:t xml:space="preserve"> of the Building.</w:t>
      </w:r>
    </w:p>
    <w:p>
      <w:pPr>
        <w:spacing w:after="0" w:line="160" w:lineRule="exact"/>
        <w:rPr>
          <w:sz w:val="20"/>
          <w:szCs w:val="20"/>
          <w:color w:val="auto"/>
        </w:rPr>
      </w:pPr>
    </w:p>
    <w:p>
      <w:pPr>
        <w:jc w:val="both"/>
        <w:ind w:left="180" w:hanging="647"/>
        <w:spacing w:after="0" w:line="249" w:lineRule="auto"/>
        <w:tabs>
          <w:tab w:leader="none" w:pos="160" w:val="left"/>
        </w:tabs>
        <w:rPr>
          <w:sz w:val="20"/>
          <w:szCs w:val="20"/>
          <w:color w:val="auto"/>
        </w:rPr>
      </w:pPr>
      <w:r>
        <w:rPr>
          <w:rFonts w:ascii="Arial" w:cs="Arial" w:eastAsia="Arial" w:hAnsi="Arial"/>
          <w:sz w:val="22"/>
          <w:szCs w:val="22"/>
          <w:color w:val="auto"/>
        </w:rPr>
        <w:t>29.3</w:t>
      </w:r>
      <w:r>
        <w:rPr>
          <w:sz w:val="20"/>
          <w:szCs w:val="20"/>
          <w:color w:val="auto"/>
        </w:rPr>
        <w:tab/>
      </w:r>
      <w:r>
        <w:rPr>
          <w:rFonts w:ascii="Arial" w:cs="Arial" w:eastAsia="Arial" w:hAnsi="Arial"/>
          <w:sz w:val="19"/>
          <w:szCs w:val="19"/>
          <w:color w:val="auto"/>
        </w:rPr>
        <w:t xml:space="preserve">In </w:t>
      </w:r>
      <w:r>
        <w:rPr>
          <w:rFonts w:ascii="Arial" w:cs="Arial" w:eastAsia="Arial" w:hAnsi="Arial"/>
          <w:sz w:val="19"/>
          <w:szCs w:val="19"/>
          <w:color w:val="444444"/>
        </w:rPr>
        <w:t>the</w:t>
      </w:r>
      <w:r>
        <w:rPr>
          <w:rFonts w:ascii="Arial" w:cs="Arial" w:eastAsia="Arial" w:hAnsi="Arial"/>
          <w:sz w:val="19"/>
          <w:szCs w:val="19"/>
          <w:color w:val="auto"/>
        </w:rPr>
        <w:t xml:space="preserve"> </w:t>
      </w:r>
      <w:r>
        <w:rPr>
          <w:rFonts w:ascii="Arial" w:cs="Arial" w:eastAsia="Arial" w:hAnsi="Arial"/>
          <w:sz w:val="19"/>
          <w:szCs w:val="19"/>
          <w:color w:val="333333"/>
        </w:rPr>
        <w:t>event</w:t>
      </w:r>
      <w:r>
        <w:rPr>
          <w:rFonts w:ascii="Arial" w:cs="Arial" w:eastAsia="Arial" w:hAnsi="Arial"/>
          <w:sz w:val="19"/>
          <w:szCs w:val="19"/>
          <w:color w:val="auto"/>
        </w:rPr>
        <w:t xml:space="preserve"> Tenant desires to </w:t>
      </w:r>
      <w:r>
        <w:rPr>
          <w:rFonts w:ascii="Arial" w:cs="Arial" w:eastAsia="Arial" w:hAnsi="Arial"/>
          <w:sz w:val="19"/>
          <w:szCs w:val="19"/>
          <w:color w:val="232323"/>
        </w:rPr>
        <w:t>effect</w:t>
      </w:r>
      <w:r>
        <w:rPr>
          <w:rFonts w:ascii="Arial" w:cs="Arial" w:eastAsia="Arial" w:hAnsi="Arial"/>
          <w:sz w:val="19"/>
          <w:szCs w:val="19"/>
          <w:color w:val="auto"/>
        </w:rPr>
        <w:t xml:space="preserve"> a </w:t>
      </w:r>
      <w:r>
        <w:rPr>
          <w:rFonts w:ascii="Arial" w:cs="Arial" w:eastAsia="Arial" w:hAnsi="Arial"/>
          <w:sz w:val="19"/>
          <w:szCs w:val="19"/>
          <w:color w:val="333333"/>
        </w:rPr>
        <w:t>Transfer,</w:t>
      </w:r>
      <w:r>
        <w:rPr>
          <w:rFonts w:ascii="Arial" w:cs="Arial" w:eastAsia="Arial" w:hAnsi="Arial"/>
          <w:sz w:val="19"/>
          <w:szCs w:val="19"/>
          <w:color w:val="auto"/>
        </w:rPr>
        <w:t xml:space="preserve"> then, </w:t>
      </w:r>
      <w:r>
        <w:rPr>
          <w:rFonts w:ascii="Arial" w:cs="Arial" w:eastAsia="Arial" w:hAnsi="Arial"/>
          <w:sz w:val="19"/>
          <w:szCs w:val="19"/>
          <w:color w:val="232323"/>
        </w:rPr>
        <w:t>at</w:t>
      </w:r>
      <w:r>
        <w:rPr>
          <w:rFonts w:ascii="Arial" w:cs="Arial" w:eastAsia="Arial" w:hAnsi="Arial"/>
          <w:sz w:val="19"/>
          <w:szCs w:val="19"/>
          <w:color w:val="auto"/>
        </w:rPr>
        <w:t xml:space="preserve"> least </w:t>
      </w:r>
      <w:r>
        <w:rPr>
          <w:rFonts w:ascii="Arial" w:cs="Arial" w:eastAsia="Arial" w:hAnsi="Arial"/>
          <w:sz w:val="19"/>
          <w:szCs w:val="19"/>
          <w:u w:val="single" w:color="auto"/>
          <w:color w:val="auto"/>
        </w:rPr>
        <w:t>[***]</w:t>
      </w:r>
      <w:r>
        <w:rPr>
          <w:rFonts w:ascii="Arial" w:cs="Arial" w:eastAsia="Arial" w:hAnsi="Arial"/>
          <w:sz w:val="19"/>
          <w:szCs w:val="19"/>
          <w:color w:val="auto"/>
        </w:rPr>
        <w:t xml:space="preserve"> but not </w:t>
      </w:r>
      <w:r>
        <w:rPr>
          <w:rFonts w:ascii="Arial" w:cs="Arial" w:eastAsia="Arial" w:hAnsi="Arial"/>
          <w:sz w:val="19"/>
          <w:szCs w:val="19"/>
          <w:color w:val="333333"/>
        </w:rPr>
        <w:t>more</w:t>
      </w:r>
      <w:r>
        <w:rPr>
          <w:rFonts w:ascii="Arial" w:cs="Arial" w:eastAsia="Arial" w:hAnsi="Arial"/>
          <w:sz w:val="19"/>
          <w:szCs w:val="19"/>
          <w:color w:val="auto"/>
        </w:rPr>
        <w:t xml:space="preserve"> </w:t>
      </w:r>
      <w:r>
        <w:rPr>
          <w:rFonts w:ascii="Arial" w:cs="Arial" w:eastAsia="Arial" w:hAnsi="Arial"/>
          <w:sz w:val="19"/>
          <w:szCs w:val="19"/>
          <w:color w:val="232323"/>
        </w:rPr>
        <w:t>than</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day prior </w:t>
      </w:r>
      <w:r>
        <w:rPr>
          <w:rFonts w:ascii="Arial" w:cs="Arial" w:eastAsia="Arial" w:hAnsi="Arial"/>
          <w:sz w:val="19"/>
          <w:szCs w:val="19"/>
          <w:color w:val="232323"/>
        </w:rPr>
        <w:t>to the</w:t>
      </w:r>
      <w:r>
        <w:rPr>
          <w:rFonts w:ascii="Arial" w:cs="Arial" w:eastAsia="Arial" w:hAnsi="Arial"/>
          <w:sz w:val="19"/>
          <w:szCs w:val="19"/>
          <w:color w:val="auto"/>
        </w:rPr>
        <w:t xml:space="preserve"> date when Tenant </w:t>
      </w:r>
      <w:r>
        <w:rPr>
          <w:rFonts w:ascii="Arial" w:cs="Arial" w:eastAsia="Arial" w:hAnsi="Arial"/>
          <w:sz w:val="19"/>
          <w:szCs w:val="19"/>
          <w:color w:val="333333"/>
        </w:rPr>
        <w:t>desires</w:t>
      </w:r>
      <w:r>
        <w:rPr>
          <w:rFonts w:ascii="Arial" w:cs="Arial" w:eastAsia="Arial" w:hAnsi="Arial"/>
          <w:sz w:val="19"/>
          <w:szCs w:val="19"/>
          <w:color w:val="auto"/>
        </w:rPr>
        <w:t xml:space="preserve"> the </w:t>
      </w:r>
      <w:r>
        <w:rPr>
          <w:rFonts w:ascii="Arial" w:cs="Arial" w:eastAsia="Arial" w:hAnsi="Arial"/>
          <w:sz w:val="19"/>
          <w:szCs w:val="19"/>
          <w:color w:val="232323"/>
        </w:rPr>
        <w:t>assignment</w:t>
      </w:r>
      <w:r>
        <w:rPr>
          <w:rFonts w:ascii="Arial" w:cs="Arial" w:eastAsia="Arial" w:hAnsi="Arial"/>
          <w:sz w:val="19"/>
          <w:szCs w:val="19"/>
          <w:color w:val="auto"/>
        </w:rPr>
        <w:t xml:space="preserve"> or </w:t>
      </w:r>
      <w:r>
        <w:rPr>
          <w:rFonts w:ascii="Arial" w:cs="Arial" w:eastAsia="Arial" w:hAnsi="Arial"/>
          <w:sz w:val="19"/>
          <w:szCs w:val="19"/>
          <w:color w:val="232323"/>
        </w:rPr>
        <w:t>sublease</w:t>
      </w:r>
      <w:r>
        <w:rPr>
          <w:rFonts w:ascii="Arial" w:cs="Arial" w:eastAsia="Arial" w:hAnsi="Arial"/>
          <w:sz w:val="19"/>
          <w:szCs w:val="19"/>
          <w:color w:val="auto"/>
        </w:rPr>
        <w:t xml:space="preserve"> to be </w:t>
      </w:r>
      <w:r>
        <w:rPr>
          <w:rFonts w:ascii="Arial" w:cs="Arial" w:eastAsia="Arial" w:hAnsi="Arial"/>
          <w:sz w:val="19"/>
          <w:szCs w:val="19"/>
          <w:color w:val="333333"/>
        </w:rPr>
        <w:t>effective</w:t>
      </w:r>
      <w:r>
        <w:rPr>
          <w:rFonts w:ascii="Arial" w:cs="Arial" w:eastAsia="Arial" w:hAnsi="Arial"/>
          <w:sz w:val="19"/>
          <w:szCs w:val="19"/>
          <w:color w:val="auto"/>
        </w:rPr>
        <w:t xml:space="preserve"> (the </w:t>
      </w:r>
      <w:r>
        <w:rPr>
          <w:rFonts w:ascii="Arial" w:cs="Arial" w:eastAsia="Arial" w:hAnsi="Arial"/>
          <w:sz w:val="19"/>
          <w:szCs w:val="19"/>
          <w:color w:val="232323"/>
        </w:rPr>
        <w:t>“</w:t>
      </w:r>
      <w:r>
        <w:rPr>
          <w:rFonts w:ascii="Arial" w:cs="Arial" w:eastAsia="Arial" w:hAnsi="Arial"/>
          <w:sz w:val="19"/>
          <w:szCs w:val="19"/>
          <w:u w:val="single" w:color="auto"/>
          <w:color w:val="232323"/>
        </w:rPr>
        <w:t>Transfer Date</w:t>
      </w:r>
      <w:r>
        <w:rPr>
          <w:rFonts w:ascii="Arial" w:cs="Arial" w:eastAsia="Arial" w:hAnsi="Arial"/>
          <w:sz w:val="19"/>
          <w:szCs w:val="19"/>
          <w:color w:val="232323"/>
        </w:rPr>
        <w:t>”),</w:t>
      </w:r>
      <w:r>
        <w:rPr>
          <w:rFonts w:ascii="Arial" w:cs="Arial" w:eastAsia="Arial" w:hAnsi="Arial"/>
          <w:sz w:val="19"/>
          <w:szCs w:val="19"/>
          <w:color w:val="auto"/>
        </w:rPr>
        <w:t xml:space="preserve"> </w:t>
      </w:r>
      <w:r>
        <w:rPr>
          <w:rFonts w:ascii="Arial" w:cs="Arial" w:eastAsia="Arial" w:hAnsi="Arial"/>
          <w:sz w:val="19"/>
          <w:szCs w:val="19"/>
          <w:color w:val="333333"/>
        </w:rPr>
        <w:t>Tenant</w:t>
      </w:r>
      <w:r>
        <w:rPr>
          <w:rFonts w:ascii="Arial" w:cs="Arial" w:eastAsia="Arial" w:hAnsi="Arial"/>
          <w:sz w:val="19"/>
          <w:szCs w:val="19"/>
          <w:color w:val="auto"/>
        </w:rPr>
        <w:t xml:space="preserve"> </w:t>
      </w:r>
      <w:r>
        <w:rPr>
          <w:rFonts w:ascii="Arial" w:cs="Arial" w:eastAsia="Arial" w:hAnsi="Arial"/>
          <w:sz w:val="19"/>
          <w:szCs w:val="19"/>
          <w:color w:val="232323"/>
        </w:rPr>
        <w:t>shall</w:t>
      </w:r>
      <w:r>
        <w:rPr>
          <w:rFonts w:ascii="Arial" w:cs="Arial" w:eastAsia="Arial" w:hAnsi="Arial"/>
          <w:sz w:val="19"/>
          <w:szCs w:val="19"/>
          <w:color w:val="auto"/>
        </w:rPr>
        <w:t xml:space="preserve"> provide </w:t>
      </w:r>
      <w:r>
        <w:rPr>
          <w:rFonts w:ascii="Arial" w:cs="Arial" w:eastAsia="Arial" w:hAnsi="Arial"/>
          <w:sz w:val="19"/>
          <w:szCs w:val="19"/>
          <w:color w:val="232323"/>
        </w:rPr>
        <w:t>written</w:t>
      </w:r>
      <w:r>
        <w:rPr>
          <w:rFonts w:ascii="Arial" w:cs="Arial" w:eastAsia="Arial" w:hAnsi="Arial"/>
          <w:sz w:val="19"/>
          <w:szCs w:val="19"/>
          <w:color w:val="auto"/>
        </w:rPr>
        <w:t xml:space="preserve"> </w:t>
      </w:r>
      <w:r>
        <w:rPr>
          <w:rFonts w:ascii="Arial" w:cs="Arial" w:eastAsia="Arial" w:hAnsi="Arial"/>
          <w:sz w:val="19"/>
          <w:szCs w:val="19"/>
          <w:color w:val="333333"/>
        </w:rPr>
        <w:t xml:space="preserve">notice </w:t>
      </w:r>
      <w:r>
        <w:rPr>
          <w:rFonts w:ascii="Arial" w:cs="Arial" w:eastAsia="Arial" w:hAnsi="Arial"/>
          <w:sz w:val="19"/>
          <w:szCs w:val="19"/>
          <w:color w:val="000000"/>
        </w:rPr>
        <w:t>to Landlord</w:t>
      </w:r>
      <w:r>
        <w:rPr>
          <w:rFonts w:ascii="Arial" w:cs="Arial" w:eastAsia="Arial" w:hAnsi="Arial"/>
          <w:sz w:val="19"/>
          <w:szCs w:val="19"/>
          <w:color w:val="333333"/>
        </w:rPr>
        <w:t xml:space="preserve"> (the ‘‘</w:t>
      </w:r>
      <w:r>
        <w:rPr>
          <w:rFonts w:ascii="Arial" w:cs="Arial" w:eastAsia="Arial" w:hAnsi="Arial"/>
          <w:sz w:val="19"/>
          <w:szCs w:val="19"/>
          <w:u w:val="single" w:color="auto"/>
          <w:color w:val="333333"/>
        </w:rPr>
        <w:t>Transfer Notice</w:t>
      </w:r>
      <w:r>
        <w:rPr>
          <w:rFonts w:ascii="Arial" w:cs="Arial" w:eastAsia="Arial" w:hAnsi="Arial"/>
          <w:sz w:val="19"/>
          <w:szCs w:val="19"/>
          <w:color w:val="333333"/>
        </w:rPr>
        <w:t xml:space="preserve">”) containing </w:t>
      </w:r>
      <w:r>
        <w:rPr>
          <w:rFonts w:ascii="Arial" w:cs="Arial" w:eastAsia="Arial" w:hAnsi="Arial"/>
          <w:sz w:val="19"/>
          <w:szCs w:val="19"/>
          <w:color w:val="000000"/>
        </w:rPr>
        <w:t>information</w:t>
      </w:r>
      <w:r>
        <w:rPr>
          <w:rFonts w:ascii="Arial" w:cs="Arial" w:eastAsia="Arial" w:hAnsi="Arial"/>
          <w:sz w:val="19"/>
          <w:szCs w:val="19"/>
          <w:color w:val="333333"/>
        </w:rPr>
        <w:t xml:space="preserve"> </w:t>
      </w:r>
      <w:r>
        <w:rPr>
          <w:rFonts w:ascii="Arial" w:cs="Arial" w:eastAsia="Arial" w:hAnsi="Arial"/>
          <w:sz w:val="19"/>
          <w:szCs w:val="19"/>
          <w:color w:val="232323"/>
        </w:rPr>
        <w:t>(including</w:t>
      </w:r>
      <w:r>
        <w:rPr>
          <w:rFonts w:ascii="Arial" w:cs="Arial" w:eastAsia="Arial" w:hAnsi="Arial"/>
          <w:sz w:val="19"/>
          <w:szCs w:val="19"/>
          <w:color w:val="333333"/>
        </w:rPr>
        <w:t xml:space="preserve"> </w:t>
      </w:r>
      <w:r>
        <w:rPr>
          <w:rFonts w:ascii="Arial" w:cs="Arial" w:eastAsia="Arial" w:hAnsi="Arial"/>
          <w:sz w:val="19"/>
          <w:szCs w:val="19"/>
          <w:color w:val="000000"/>
        </w:rPr>
        <w:t>references)</w:t>
      </w:r>
      <w:r>
        <w:rPr>
          <w:rFonts w:ascii="Arial" w:cs="Arial" w:eastAsia="Arial" w:hAnsi="Arial"/>
          <w:sz w:val="19"/>
          <w:szCs w:val="19"/>
          <w:color w:val="333333"/>
        </w:rPr>
        <w:t xml:space="preserve"> </w:t>
      </w:r>
      <w:r>
        <w:rPr>
          <w:rFonts w:ascii="Arial" w:cs="Arial" w:eastAsia="Arial" w:hAnsi="Arial"/>
          <w:sz w:val="19"/>
          <w:szCs w:val="19"/>
          <w:color w:val="232323"/>
        </w:rPr>
        <w:t>concerning</w:t>
      </w:r>
      <w:r>
        <w:rPr>
          <w:rFonts w:ascii="Arial" w:cs="Arial" w:eastAsia="Arial" w:hAnsi="Arial"/>
          <w:sz w:val="19"/>
          <w:szCs w:val="19"/>
          <w:color w:val="333333"/>
        </w:rPr>
        <w:t xml:space="preserve"> </w:t>
      </w:r>
      <w:r>
        <w:rPr>
          <w:rFonts w:ascii="Arial" w:cs="Arial" w:eastAsia="Arial" w:hAnsi="Arial"/>
          <w:sz w:val="19"/>
          <w:szCs w:val="19"/>
          <w:color w:val="000000"/>
        </w:rPr>
        <w:t>the</w:t>
      </w:r>
      <w:r>
        <w:rPr>
          <w:rFonts w:ascii="Arial" w:cs="Arial" w:eastAsia="Arial" w:hAnsi="Arial"/>
          <w:sz w:val="19"/>
          <w:szCs w:val="19"/>
          <w:color w:val="333333"/>
        </w:rPr>
        <w:t xml:space="preserve"> </w:t>
      </w:r>
      <w:r>
        <w:rPr>
          <w:rFonts w:ascii="Arial" w:cs="Arial" w:eastAsia="Arial" w:hAnsi="Arial"/>
          <w:sz w:val="19"/>
          <w:szCs w:val="19"/>
          <w:color w:val="232323"/>
        </w:rPr>
        <w:t>character</w:t>
      </w:r>
      <w:r>
        <w:rPr>
          <w:rFonts w:ascii="Arial" w:cs="Arial" w:eastAsia="Arial" w:hAnsi="Arial"/>
          <w:sz w:val="19"/>
          <w:szCs w:val="19"/>
          <w:color w:val="333333"/>
        </w:rPr>
        <w:t xml:space="preserve"> </w:t>
      </w:r>
      <w:r>
        <w:rPr>
          <w:rFonts w:ascii="Arial" w:cs="Arial" w:eastAsia="Arial" w:hAnsi="Arial"/>
          <w:sz w:val="19"/>
          <w:szCs w:val="19"/>
          <w:color w:val="000000"/>
        </w:rPr>
        <w:t xml:space="preserve">of </w:t>
      </w:r>
      <w:r>
        <w:rPr>
          <w:rFonts w:ascii="Arial" w:cs="Arial" w:eastAsia="Arial" w:hAnsi="Arial"/>
          <w:sz w:val="19"/>
          <w:szCs w:val="19"/>
          <w:color w:val="333333"/>
        </w:rPr>
        <w:t>the</w:t>
      </w:r>
      <w:r>
        <w:rPr>
          <w:rFonts w:ascii="Arial" w:cs="Arial" w:eastAsia="Arial" w:hAnsi="Arial"/>
          <w:sz w:val="19"/>
          <w:szCs w:val="19"/>
          <w:color w:val="000000"/>
        </w:rPr>
        <w:t xml:space="preserve"> proposed </w:t>
      </w:r>
      <w:r>
        <w:rPr>
          <w:rFonts w:ascii="Arial" w:cs="Arial" w:eastAsia="Arial" w:hAnsi="Arial"/>
          <w:sz w:val="19"/>
          <w:szCs w:val="19"/>
          <w:color w:val="333333"/>
        </w:rPr>
        <w:t>transferee,</w:t>
      </w:r>
      <w:r>
        <w:rPr>
          <w:rFonts w:ascii="Arial" w:cs="Arial" w:eastAsia="Arial" w:hAnsi="Arial"/>
          <w:sz w:val="19"/>
          <w:szCs w:val="19"/>
          <w:color w:val="000000"/>
        </w:rPr>
        <w:t xml:space="preserve"> </w:t>
      </w:r>
      <w:r>
        <w:rPr>
          <w:rFonts w:ascii="Arial" w:cs="Arial" w:eastAsia="Arial" w:hAnsi="Arial"/>
          <w:sz w:val="19"/>
          <w:szCs w:val="19"/>
          <w:color w:val="232323"/>
        </w:rPr>
        <w:t>assignee or</w:t>
      </w:r>
      <w:r>
        <w:rPr>
          <w:rFonts w:ascii="Arial" w:cs="Arial" w:eastAsia="Arial" w:hAnsi="Arial"/>
          <w:sz w:val="19"/>
          <w:szCs w:val="19"/>
          <w:color w:val="000000"/>
        </w:rPr>
        <w:t xml:space="preserve"> </w:t>
      </w:r>
      <w:r>
        <w:rPr>
          <w:rFonts w:ascii="Arial" w:cs="Arial" w:eastAsia="Arial" w:hAnsi="Arial"/>
          <w:sz w:val="19"/>
          <w:szCs w:val="19"/>
          <w:color w:val="333333"/>
        </w:rPr>
        <w:t>sublessee;</w:t>
      </w:r>
      <w:r>
        <w:rPr>
          <w:rFonts w:ascii="Arial" w:cs="Arial" w:eastAsia="Arial" w:hAnsi="Arial"/>
          <w:sz w:val="19"/>
          <w:szCs w:val="19"/>
          <w:color w:val="000000"/>
        </w:rPr>
        <w:t xml:space="preserve"> the </w:t>
      </w:r>
      <w:r>
        <w:rPr>
          <w:rFonts w:ascii="Arial" w:cs="Arial" w:eastAsia="Arial" w:hAnsi="Arial"/>
          <w:sz w:val="19"/>
          <w:szCs w:val="19"/>
          <w:color w:val="333333"/>
        </w:rPr>
        <w:t>Transfer</w:t>
      </w:r>
      <w:r>
        <w:rPr>
          <w:rFonts w:ascii="Arial" w:cs="Arial" w:eastAsia="Arial" w:hAnsi="Arial"/>
          <w:sz w:val="19"/>
          <w:szCs w:val="19"/>
          <w:color w:val="000000"/>
        </w:rPr>
        <w:t xml:space="preserve"> Date; </w:t>
      </w:r>
      <w:r>
        <w:rPr>
          <w:rFonts w:ascii="Arial" w:cs="Arial" w:eastAsia="Arial" w:hAnsi="Arial"/>
          <w:sz w:val="19"/>
          <w:szCs w:val="19"/>
          <w:color w:val="333333"/>
        </w:rPr>
        <w:t>any</w:t>
      </w:r>
      <w:r>
        <w:rPr>
          <w:rFonts w:ascii="Arial" w:cs="Arial" w:eastAsia="Arial" w:hAnsi="Arial"/>
          <w:sz w:val="19"/>
          <w:szCs w:val="19"/>
          <w:color w:val="000000"/>
        </w:rPr>
        <w:t xml:space="preserve"> </w:t>
      </w:r>
      <w:r>
        <w:rPr>
          <w:rFonts w:ascii="Arial" w:cs="Arial" w:eastAsia="Arial" w:hAnsi="Arial"/>
          <w:sz w:val="19"/>
          <w:szCs w:val="19"/>
          <w:color w:val="232323"/>
        </w:rPr>
        <w:t>ownership or commercial relationship</w:t>
      </w:r>
      <w:r>
        <w:rPr>
          <w:rFonts w:ascii="Arial" w:cs="Arial" w:eastAsia="Arial" w:hAnsi="Arial"/>
          <w:sz w:val="19"/>
          <w:szCs w:val="19"/>
          <w:color w:val="000000"/>
        </w:rPr>
        <w:t xml:space="preserve"> between Tenant and the </w:t>
      </w:r>
      <w:r>
        <w:rPr>
          <w:rFonts w:ascii="Arial" w:cs="Arial" w:eastAsia="Arial" w:hAnsi="Arial"/>
          <w:sz w:val="19"/>
          <w:szCs w:val="19"/>
          <w:color w:val="333333"/>
        </w:rPr>
        <w:t>proposed</w:t>
      </w:r>
      <w:r>
        <w:rPr>
          <w:rFonts w:ascii="Arial" w:cs="Arial" w:eastAsia="Arial" w:hAnsi="Arial"/>
          <w:sz w:val="19"/>
          <w:szCs w:val="19"/>
          <w:color w:val="000000"/>
        </w:rPr>
        <w:t xml:space="preserve"> </w:t>
      </w:r>
      <w:r>
        <w:rPr>
          <w:rFonts w:ascii="Arial" w:cs="Arial" w:eastAsia="Arial" w:hAnsi="Arial"/>
          <w:sz w:val="19"/>
          <w:szCs w:val="19"/>
          <w:color w:val="A3A3A3"/>
        </w:rPr>
        <w:t>.</w:t>
      </w:r>
      <w:r>
        <w:rPr>
          <w:rFonts w:ascii="Arial" w:cs="Arial" w:eastAsia="Arial" w:hAnsi="Arial"/>
          <w:sz w:val="19"/>
          <w:szCs w:val="19"/>
          <w:color w:val="000000"/>
        </w:rPr>
        <w:t xml:space="preserve"> </w:t>
      </w:r>
      <w:r>
        <w:rPr>
          <w:rFonts w:ascii="Arial" w:cs="Arial" w:eastAsia="Arial" w:hAnsi="Arial"/>
          <w:sz w:val="19"/>
          <w:szCs w:val="19"/>
          <w:color w:val="232323"/>
        </w:rPr>
        <w:t>transferee, assignee</w:t>
      </w:r>
      <w:r>
        <w:rPr>
          <w:rFonts w:ascii="Arial" w:cs="Arial" w:eastAsia="Arial" w:hAnsi="Arial"/>
          <w:sz w:val="19"/>
          <w:szCs w:val="19"/>
          <w:color w:val="000000"/>
        </w:rPr>
        <w:t xml:space="preserve"> or </w:t>
      </w:r>
      <w:r>
        <w:rPr>
          <w:rFonts w:ascii="Arial" w:cs="Arial" w:eastAsia="Arial" w:hAnsi="Arial"/>
          <w:sz w:val="19"/>
          <w:szCs w:val="19"/>
          <w:color w:val="232323"/>
        </w:rPr>
        <w:t>sublessee;</w:t>
      </w:r>
      <w:r>
        <w:rPr>
          <w:rFonts w:ascii="Arial" w:cs="Arial" w:eastAsia="Arial" w:hAnsi="Arial"/>
          <w:sz w:val="19"/>
          <w:szCs w:val="19"/>
          <w:color w:val="000000"/>
        </w:rPr>
        <w:t xml:space="preserve"> </w:t>
      </w:r>
      <w:r>
        <w:rPr>
          <w:rFonts w:ascii="Arial" w:cs="Arial" w:eastAsia="Arial" w:hAnsi="Arial"/>
          <w:sz w:val="19"/>
          <w:szCs w:val="19"/>
          <w:color w:val="333333"/>
        </w:rPr>
        <w:t>and the consideration</w:t>
      </w:r>
      <w:r>
        <w:rPr>
          <w:rFonts w:ascii="Arial" w:cs="Arial" w:eastAsia="Arial" w:hAnsi="Arial"/>
          <w:sz w:val="19"/>
          <w:szCs w:val="19"/>
          <w:color w:val="000000"/>
        </w:rPr>
        <w:t xml:space="preserve"> and </w:t>
      </w:r>
      <w:r>
        <w:rPr>
          <w:rFonts w:ascii="Arial" w:cs="Arial" w:eastAsia="Arial" w:hAnsi="Arial"/>
          <w:sz w:val="19"/>
          <w:szCs w:val="19"/>
          <w:color w:val="232323"/>
        </w:rPr>
        <w:t>all</w:t>
      </w:r>
      <w:r>
        <w:rPr>
          <w:rFonts w:ascii="Arial" w:cs="Arial" w:eastAsia="Arial" w:hAnsi="Arial"/>
          <w:sz w:val="19"/>
          <w:szCs w:val="19"/>
          <w:color w:val="000000"/>
        </w:rPr>
        <w:t xml:space="preserve"> other material terms </w:t>
      </w:r>
      <w:r>
        <w:rPr>
          <w:rFonts w:ascii="Arial" w:cs="Arial" w:eastAsia="Arial" w:hAnsi="Arial"/>
          <w:sz w:val="19"/>
          <w:szCs w:val="19"/>
          <w:color w:val="333333"/>
        </w:rPr>
        <w:t>and</w:t>
      </w:r>
      <w:r>
        <w:rPr>
          <w:rFonts w:ascii="Arial" w:cs="Arial" w:eastAsia="Arial" w:hAnsi="Arial"/>
          <w:sz w:val="19"/>
          <w:szCs w:val="19"/>
          <w:color w:val="000000"/>
        </w:rPr>
        <w:t xml:space="preserve"> </w:t>
      </w:r>
      <w:r>
        <w:rPr>
          <w:rFonts w:ascii="Arial" w:cs="Arial" w:eastAsia="Arial" w:hAnsi="Arial"/>
          <w:sz w:val="19"/>
          <w:szCs w:val="19"/>
          <w:color w:val="232323"/>
        </w:rPr>
        <w:t>conditions of</w:t>
      </w:r>
      <w:r>
        <w:rPr>
          <w:rFonts w:ascii="Arial" w:cs="Arial" w:eastAsia="Arial" w:hAnsi="Arial"/>
          <w:sz w:val="19"/>
          <w:szCs w:val="19"/>
          <w:color w:val="000000"/>
        </w:rPr>
        <w:t xml:space="preserve"> the proposed </w:t>
      </w:r>
      <w:r>
        <w:rPr>
          <w:rFonts w:ascii="Arial" w:cs="Arial" w:eastAsia="Arial" w:hAnsi="Arial"/>
          <w:sz w:val="19"/>
          <w:szCs w:val="19"/>
          <w:color w:val="232323"/>
        </w:rPr>
        <w:t>Transfer,</w:t>
      </w:r>
      <w:r>
        <w:rPr>
          <w:rFonts w:ascii="Arial" w:cs="Arial" w:eastAsia="Arial" w:hAnsi="Arial"/>
          <w:sz w:val="19"/>
          <w:szCs w:val="19"/>
          <w:color w:val="000000"/>
        </w:rPr>
        <w:t xml:space="preserve"> all </w:t>
      </w:r>
      <w:r>
        <w:rPr>
          <w:rFonts w:ascii="Arial" w:cs="Arial" w:eastAsia="Arial" w:hAnsi="Arial"/>
          <w:sz w:val="19"/>
          <w:szCs w:val="19"/>
          <w:color w:val="232323"/>
        </w:rPr>
        <w:t>in such</w:t>
      </w:r>
      <w:r>
        <w:rPr>
          <w:rFonts w:ascii="Arial" w:cs="Arial" w:eastAsia="Arial" w:hAnsi="Arial"/>
          <w:sz w:val="19"/>
          <w:szCs w:val="19"/>
          <w:color w:val="000000"/>
        </w:rPr>
        <w:t xml:space="preserve"> detail </w:t>
      </w:r>
      <w:r>
        <w:rPr>
          <w:rFonts w:ascii="Arial" w:cs="Arial" w:eastAsia="Arial" w:hAnsi="Arial"/>
          <w:sz w:val="19"/>
          <w:szCs w:val="19"/>
          <w:color w:val="232323"/>
        </w:rPr>
        <w:t>as</w:t>
      </w:r>
      <w:r>
        <w:rPr>
          <w:rFonts w:ascii="Arial" w:cs="Arial" w:eastAsia="Arial" w:hAnsi="Arial"/>
          <w:sz w:val="19"/>
          <w:szCs w:val="19"/>
          <w:color w:val="000000"/>
        </w:rPr>
        <w:t xml:space="preserve"> Landlord </w:t>
      </w:r>
      <w:r>
        <w:rPr>
          <w:rFonts w:ascii="Arial" w:cs="Arial" w:eastAsia="Arial" w:hAnsi="Arial"/>
          <w:sz w:val="19"/>
          <w:szCs w:val="19"/>
          <w:color w:val="232323"/>
        </w:rPr>
        <w:t>shall</w:t>
      </w:r>
      <w:r>
        <w:rPr>
          <w:rFonts w:ascii="Arial" w:cs="Arial" w:eastAsia="Arial" w:hAnsi="Arial"/>
          <w:sz w:val="19"/>
          <w:szCs w:val="19"/>
          <w:color w:val="000000"/>
        </w:rPr>
        <w:t xml:space="preserve"> </w:t>
      </w:r>
      <w:r>
        <w:rPr>
          <w:rFonts w:ascii="Arial" w:cs="Arial" w:eastAsia="Arial" w:hAnsi="Arial"/>
          <w:sz w:val="19"/>
          <w:szCs w:val="19"/>
          <w:color w:val="333333"/>
        </w:rPr>
        <w:t>reasonably</w:t>
      </w:r>
      <w:r>
        <w:rPr>
          <w:rFonts w:ascii="Arial" w:cs="Arial" w:eastAsia="Arial" w:hAnsi="Arial"/>
          <w:sz w:val="19"/>
          <w:szCs w:val="19"/>
          <w:color w:val="000000"/>
        </w:rPr>
        <w:t xml:space="preserve"> </w:t>
      </w:r>
      <w:r>
        <w:rPr>
          <w:rFonts w:ascii="Arial" w:cs="Arial" w:eastAsia="Arial" w:hAnsi="Arial"/>
          <w:sz w:val="19"/>
          <w:szCs w:val="19"/>
          <w:color w:val="232323"/>
        </w:rPr>
        <w:t>require.</w:t>
      </w:r>
    </w:p>
    <w:p>
      <w:pPr>
        <w:spacing w:after="0" w:line="152" w:lineRule="exact"/>
        <w:rPr>
          <w:sz w:val="20"/>
          <w:szCs w:val="20"/>
          <w:color w:val="auto"/>
        </w:rPr>
      </w:pPr>
    </w:p>
    <w:p>
      <w:pPr>
        <w:jc w:val="both"/>
        <w:ind w:left="180" w:hanging="647"/>
        <w:spacing w:after="0" w:line="214" w:lineRule="auto"/>
        <w:tabs>
          <w:tab w:leader="none" w:pos="160" w:val="left"/>
        </w:tabs>
        <w:rPr>
          <w:sz w:val="20"/>
          <w:szCs w:val="20"/>
          <w:color w:val="auto"/>
        </w:rPr>
      </w:pPr>
      <w:r>
        <w:rPr>
          <w:rFonts w:ascii="Arial" w:cs="Arial" w:eastAsia="Arial" w:hAnsi="Arial"/>
          <w:sz w:val="22"/>
          <w:szCs w:val="22"/>
          <w:color w:val="auto"/>
        </w:rPr>
        <w:t>29.4</w:t>
        <w:tab/>
        <w:t xml:space="preserve">Landlord, </w:t>
      </w:r>
      <w:r>
        <w:rPr>
          <w:rFonts w:ascii="Arial" w:cs="Arial" w:eastAsia="Arial" w:hAnsi="Arial"/>
          <w:sz w:val="22"/>
          <w:szCs w:val="22"/>
          <w:color w:val="333333"/>
        </w:rPr>
        <w:t>in</w:t>
      </w:r>
      <w:r>
        <w:rPr>
          <w:rFonts w:ascii="Arial" w:cs="Arial" w:eastAsia="Arial" w:hAnsi="Arial"/>
          <w:sz w:val="22"/>
          <w:szCs w:val="22"/>
          <w:color w:val="auto"/>
        </w:rPr>
        <w:t xml:space="preserve"> determining </w:t>
      </w:r>
      <w:r>
        <w:rPr>
          <w:rFonts w:ascii="Arial" w:cs="Arial" w:eastAsia="Arial" w:hAnsi="Arial"/>
          <w:sz w:val="22"/>
          <w:szCs w:val="22"/>
          <w:color w:val="232323"/>
        </w:rPr>
        <w:t>whether</w:t>
      </w:r>
      <w:r>
        <w:rPr>
          <w:rFonts w:ascii="Arial" w:cs="Arial" w:eastAsia="Arial" w:hAnsi="Arial"/>
          <w:sz w:val="22"/>
          <w:szCs w:val="22"/>
          <w:color w:val="auto"/>
        </w:rPr>
        <w:t xml:space="preserve"> </w:t>
      </w:r>
      <w:r>
        <w:rPr>
          <w:rFonts w:ascii="Arial" w:cs="Arial" w:eastAsia="Arial" w:hAnsi="Arial"/>
          <w:sz w:val="22"/>
          <w:szCs w:val="22"/>
          <w:color w:val="333333"/>
        </w:rPr>
        <w:t>consent should</w:t>
      </w:r>
      <w:r>
        <w:rPr>
          <w:rFonts w:ascii="Arial" w:cs="Arial" w:eastAsia="Arial" w:hAnsi="Arial"/>
          <w:sz w:val="22"/>
          <w:szCs w:val="22"/>
          <w:color w:val="auto"/>
        </w:rPr>
        <w:t xml:space="preserve"> be </w:t>
      </w:r>
      <w:r>
        <w:rPr>
          <w:rFonts w:ascii="Arial" w:cs="Arial" w:eastAsia="Arial" w:hAnsi="Arial"/>
          <w:sz w:val="22"/>
          <w:szCs w:val="22"/>
          <w:color w:val="333333"/>
        </w:rPr>
        <w:t>given</w:t>
      </w:r>
      <w:r>
        <w:rPr>
          <w:rFonts w:ascii="Arial" w:cs="Arial" w:eastAsia="Arial" w:hAnsi="Arial"/>
          <w:sz w:val="22"/>
          <w:szCs w:val="22"/>
          <w:color w:val="auto"/>
        </w:rPr>
        <w:t xml:space="preserve"> </w:t>
      </w:r>
      <w:r>
        <w:rPr>
          <w:rFonts w:ascii="Arial" w:cs="Arial" w:eastAsia="Arial" w:hAnsi="Arial"/>
          <w:sz w:val="22"/>
          <w:szCs w:val="22"/>
          <w:color w:val="232323"/>
        </w:rPr>
        <w:t>to</w:t>
      </w:r>
      <w:r>
        <w:rPr>
          <w:rFonts w:ascii="Arial" w:cs="Arial" w:eastAsia="Arial" w:hAnsi="Arial"/>
          <w:sz w:val="22"/>
          <w:szCs w:val="22"/>
          <w:color w:val="auto"/>
        </w:rPr>
        <w:t xml:space="preserve"> a proposed Transfer, may </w:t>
      </w:r>
      <w:r>
        <w:rPr>
          <w:rFonts w:ascii="Arial" w:cs="Arial" w:eastAsia="Arial" w:hAnsi="Arial"/>
          <w:sz w:val="22"/>
          <w:szCs w:val="22"/>
          <w:color w:val="232323"/>
        </w:rPr>
        <w:t>give consideration to (a)</w:t>
      </w:r>
      <w:r>
        <w:rPr>
          <w:rFonts w:ascii="Arial" w:cs="Arial" w:eastAsia="Arial" w:hAnsi="Arial"/>
          <w:sz w:val="22"/>
          <w:szCs w:val="22"/>
          <w:color w:val="auto"/>
        </w:rPr>
        <w:t xml:space="preserve"> the financ</w:t>
      </w:r>
      <w:r>
        <w:rPr>
          <w:rFonts w:ascii="Arial" w:cs="Arial" w:eastAsia="Arial" w:hAnsi="Arial"/>
          <w:sz w:val="22"/>
          <w:szCs w:val="22"/>
          <w:color w:val="444444"/>
        </w:rPr>
        <w:t>i</w:t>
      </w:r>
      <w:r>
        <w:rPr>
          <w:rFonts w:ascii="Arial" w:cs="Arial" w:eastAsia="Arial" w:hAnsi="Arial"/>
          <w:sz w:val="22"/>
          <w:szCs w:val="22"/>
          <w:color w:val="232323"/>
        </w:rPr>
        <w:t>al</w:t>
      </w:r>
      <w:r>
        <w:rPr>
          <w:rFonts w:ascii="Arial" w:cs="Arial" w:eastAsia="Arial" w:hAnsi="Arial"/>
          <w:sz w:val="22"/>
          <w:szCs w:val="22"/>
          <w:color w:val="auto"/>
        </w:rPr>
        <w:t xml:space="preserve"> </w:t>
      </w:r>
      <w:r>
        <w:rPr>
          <w:rFonts w:ascii="Arial" w:cs="Arial" w:eastAsia="Arial" w:hAnsi="Arial"/>
          <w:sz w:val="22"/>
          <w:szCs w:val="22"/>
          <w:color w:val="333333"/>
        </w:rPr>
        <w:t>strength</w:t>
      </w:r>
      <w:r>
        <w:rPr>
          <w:rFonts w:ascii="Arial" w:cs="Arial" w:eastAsia="Arial" w:hAnsi="Arial"/>
          <w:sz w:val="22"/>
          <w:szCs w:val="22"/>
          <w:color w:val="auto"/>
        </w:rPr>
        <w:t xml:space="preserve"> of </w:t>
      </w:r>
      <w:r>
        <w:rPr>
          <w:rFonts w:ascii="Arial" w:cs="Arial" w:eastAsia="Arial" w:hAnsi="Arial"/>
          <w:sz w:val="22"/>
          <w:szCs w:val="22"/>
          <w:color w:val="232323"/>
        </w:rPr>
        <w:t>such transferee, assignee</w:t>
      </w:r>
      <w:r>
        <w:rPr>
          <w:rFonts w:ascii="Arial" w:cs="Arial" w:eastAsia="Arial" w:hAnsi="Arial"/>
          <w:sz w:val="22"/>
          <w:szCs w:val="22"/>
          <w:color w:val="auto"/>
        </w:rPr>
        <w:t xml:space="preserve"> or </w:t>
      </w:r>
      <w:r>
        <w:rPr>
          <w:rFonts w:ascii="Arial" w:cs="Arial" w:eastAsia="Arial" w:hAnsi="Arial"/>
          <w:sz w:val="22"/>
          <w:szCs w:val="22"/>
          <w:color w:val="232323"/>
        </w:rPr>
        <w:t>sublessee</w:t>
      </w:r>
      <w:r>
        <w:rPr>
          <w:rFonts w:ascii="Arial" w:cs="Arial" w:eastAsia="Arial" w:hAnsi="Arial"/>
          <w:sz w:val="22"/>
          <w:szCs w:val="22"/>
          <w:color w:val="auto"/>
        </w:rPr>
        <w:t xml:space="preserve"> (notwithstanding Tenant rem</w:t>
      </w:r>
      <w:r>
        <w:rPr>
          <w:rFonts w:ascii="Arial" w:cs="Arial" w:eastAsia="Arial" w:hAnsi="Arial"/>
          <w:sz w:val="22"/>
          <w:szCs w:val="22"/>
          <w:color w:val="444444"/>
        </w:rPr>
        <w:t>a</w:t>
      </w:r>
      <w:r>
        <w:rPr>
          <w:rFonts w:ascii="Arial" w:cs="Arial" w:eastAsia="Arial" w:hAnsi="Arial"/>
          <w:sz w:val="22"/>
          <w:szCs w:val="22"/>
          <w:color w:val="232323"/>
        </w:rPr>
        <w:t>ining</w:t>
      </w:r>
      <w:r>
        <w:rPr>
          <w:rFonts w:ascii="Arial" w:cs="Arial" w:eastAsia="Arial" w:hAnsi="Arial"/>
          <w:sz w:val="22"/>
          <w:szCs w:val="22"/>
          <w:color w:val="auto"/>
        </w:rPr>
        <w:t xml:space="preserve"> liable </w:t>
      </w:r>
      <w:r>
        <w:rPr>
          <w:rFonts w:ascii="Arial" w:cs="Arial" w:eastAsia="Arial" w:hAnsi="Arial"/>
          <w:sz w:val="22"/>
          <w:szCs w:val="22"/>
          <w:color w:val="232323"/>
        </w:rPr>
        <w:t>for</w:t>
      </w:r>
      <w:r>
        <w:rPr>
          <w:rFonts w:ascii="Arial" w:cs="Arial" w:eastAsia="Arial" w:hAnsi="Arial"/>
          <w:sz w:val="22"/>
          <w:szCs w:val="22"/>
          <w:color w:val="auto"/>
        </w:rPr>
        <w:t xml:space="preserve"> </w:t>
      </w:r>
      <w:r>
        <w:rPr>
          <w:rFonts w:ascii="Arial" w:cs="Arial" w:eastAsia="Arial" w:hAnsi="Arial"/>
          <w:sz w:val="22"/>
          <w:szCs w:val="22"/>
          <w:color w:val="232323"/>
        </w:rPr>
        <w:t xml:space="preserve">Tenant’s </w:t>
      </w:r>
      <w:r>
        <w:rPr>
          <w:rFonts w:ascii="Arial" w:cs="Arial" w:eastAsia="Arial" w:hAnsi="Arial"/>
          <w:sz w:val="22"/>
          <w:szCs w:val="22"/>
          <w:color w:val="000000"/>
        </w:rPr>
        <w:t>performance), provided</w:t>
      </w:r>
      <w:r>
        <w:rPr>
          <w:rFonts w:ascii="Arial" w:cs="Arial" w:eastAsia="Arial" w:hAnsi="Arial"/>
          <w:sz w:val="22"/>
          <w:szCs w:val="22"/>
          <w:color w:val="232323"/>
        </w:rPr>
        <w:t xml:space="preserve"> however </w:t>
      </w:r>
      <w:r>
        <w:rPr>
          <w:rFonts w:ascii="Arial" w:cs="Arial" w:eastAsia="Arial" w:hAnsi="Arial"/>
          <w:sz w:val="22"/>
          <w:szCs w:val="22"/>
          <w:color w:val="444444"/>
        </w:rPr>
        <w:t>t</w:t>
      </w:r>
      <w:r>
        <w:rPr>
          <w:rFonts w:ascii="Arial" w:cs="Arial" w:eastAsia="Arial" w:hAnsi="Arial"/>
          <w:sz w:val="22"/>
          <w:szCs w:val="22"/>
          <w:color w:val="000000"/>
        </w:rPr>
        <w:t>hat</w:t>
      </w:r>
      <w:r>
        <w:rPr>
          <w:rFonts w:ascii="Arial" w:cs="Arial" w:eastAsia="Arial" w:hAnsi="Arial"/>
          <w:sz w:val="22"/>
          <w:szCs w:val="22"/>
          <w:color w:val="232323"/>
        </w:rPr>
        <w:t xml:space="preserve"> Landlord shall </w:t>
      </w:r>
      <w:r>
        <w:rPr>
          <w:rFonts w:ascii="Arial" w:cs="Arial" w:eastAsia="Arial" w:hAnsi="Arial"/>
          <w:sz w:val="22"/>
          <w:szCs w:val="22"/>
          <w:color w:val="000000"/>
        </w:rPr>
        <w:t>not</w:t>
      </w:r>
      <w:r>
        <w:rPr>
          <w:rFonts w:ascii="Arial" w:cs="Arial" w:eastAsia="Arial" w:hAnsi="Arial"/>
          <w:sz w:val="22"/>
          <w:szCs w:val="22"/>
          <w:color w:val="232323"/>
        </w:rPr>
        <w:t xml:space="preserve"> have </w:t>
      </w:r>
      <w:r>
        <w:rPr>
          <w:rFonts w:ascii="Arial" w:cs="Arial" w:eastAsia="Arial" w:hAnsi="Arial"/>
          <w:sz w:val="22"/>
          <w:szCs w:val="22"/>
          <w:color w:val="333333"/>
        </w:rPr>
        <w:t>the</w:t>
      </w:r>
      <w:r>
        <w:rPr>
          <w:rFonts w:ascii="Arial" w:cs="Arial" w:eastAsia="Arial" w:hAnsi="Arial"/>
          <w:sz w:val="22"/>
          <w:szCs w:val="22"/>
          <w:color w:val="232323"/>
        </w:rPr>
        <w:t xml:space="preserve"> </w:t>
      </w:r>
      <w:r>
        <w:rPr>
          <w:rFonts w:ascii="Arial" w:cs="Arial" w:eastAsia="Arial" w:hAnsi="Arial"/>
          <w:sz w:val="22"/>
          <w:szCs w:val="22"/>
          <w:color w:val="000000"/>
        </w:rPr>
        <w:t>right</w:t>
      </w:r>
      <w:r>
        <w:rPr>
          <w:rFonts w:ascii="Arial" w:cs="Arial" w:eastAsia="Arial" w:hAnsi="Arial"/>
          <w:sz w:val="22"/>
          <w:szCs w:val="22"/>
          <w:color w:val="232323"/>
        </w:rPr>
        <w:t xml:space="preserve"> </w:t>
      </w:r>
      <w:r>
        <w:rPr>
          <w:rFonts w:ascii="Arial" w:cs="Arial" w:eastAsia="Arial" w:hAnsi="Arial"/>
          <w:sz w:val="22"/>
          <w:szCs w:val="22"/>
          <w:color w:val="333333"/>
        </w:rPr>
        <w:t>to</w:t>
      </w:r>
      <w:r>
        <w:rPr>
          <w:rFonts w:ascii="Arial" w:cs="Arial" w:eastAsia="Arial" w:hAnsi="Arial"/>
          <w:sz w:val="22"/>
          <w:szCs w:val="22"/>
          <w:color w:val="232323"/>
        </w:rPr>
        <w:t xml:space="preserve"> </w:t>
      </w:r>
      <w:r>
        <w:rPr>
          <w:rFonts w:ascii="Arial" w:cs="Arial" w:eastAsia="Arial" w:hAnsi="Arial"/>
          <w:sz w:val="22"/>
          <w:szCs w:val="22"/>
          <w:color w:val="000000"/>
        </w:rPr>
        <w:t>review</w:t>
      </w:r>
      <w:r>
        <w:rPr>
          <w:rFonts w:ascii="Arial" w:cs="Arial" w:eastAsia="Arial" w:hAnsi="Arial"/>
          <w:sz w:val="22"/>
          <w:szCs w:val="22"/>
          <w:color w:val="232323"/>
        </w:rPr>
        <w:t xml:space="preserve"> and approve </w:t>
      </w:r>
      <w:r>
        <w:rPr>
          <w:rFonts w:ascii="Arial" w:cs="Arial" w:eastAsia="Arial" w:hAnsi="Arial"/>
          <w:sz w:val="22"/>
          <w:szCs w:val="22"/>
          <w:color w:val="000000"/>
        </w:rPr>
        <w:t>the</w:t>
      </w:r>
      <w:r>
        <w:rPr>
          <w:rFonts w:ascii="Arial" w:cs="Arial" w:eastAsia="Arial" w:hAnsi="Arial"/>
          <w:sz w:val="22"/>
          <w:szCs w:val="22"/>
          <w:color w:val="232323"/>
        </w:rPr>
        <w:t xml:space="preserve"> financial </w:t>
      </w:r>
      <w:r>
        <w:rPr>
          <w:rFonts w:ascii="Arial" w:cs="Arial" w:eastAsia="Arial" w:hAnsi="Arial"/>
          <w:sz w:val="22"/>
          <w:szCs w:val="22"/>
          <w:color w:val="444444"/>
        </w:rPr>
        <w:t>strength</w:t>
      </w:r>
      <w:r>
        <w:rPr>
          <w:rFonts w:ascii="Arial" w:cs="Arial" w:eastAsia="Arial" w:hAnsi="Arial"/>
          <w:sz w:val="22"/>
          <w:szCs w:val="22"/>
          <w:color w:val="232323"/>
        </w:rPr>
        <w:t xml:space="preserve"> of </w:t>
      </w:r>
      <w:r>
        <w:rPr>
          <w:rFonts w:ascii="Arial" w:cs="Arial" w:eastAsia="Arial" w:hAnsi="Arial"/>
          <w:sz w:val="22"/>
          <w:szCs w:val="22"/>
          <w:color w:val="333333"/>
        </w:rPr>
        <w:t>any</w:t>
      </w:r>
      <w:r>
        <w:rPr>
          <w:rFonts w:ascii="Arial" w:cs="Arial" w:eastAsia="Arial" w:hAnsi="Arial"/>
          <w:sz w:val="22"/>
          <w:szCs w:val="22"/>
          <w:color w:val="232323"/>
        </w:rPr>
        <w:t xml:space="preserve"> </w:t>
      </w:r>
      <w:r>
        <w:rPr>
          <w:rFonts w:ascii="Arial" w:cs="Arial" w:eastAsia="Arial" w:hAnsi="Arial"/>
          <w:sz w:val="22"/>
          <w:szCs w:val="22"/>
          <w:color w:val="000000"/>
        </w:rPr>
        <w:t>subtenant</w:t>
      </w:r>
      <w:r>
        <w:rPr>
          <w:rFonts w:ascii="Arial" w:cs="Arial" w:eastAsia="Arial" w:hAnsi="Arial"/>
          <w:sz w:val="22"/>
          <w:szCs w:val="22"/>
          <w:color w:val="232323"/>
        </w:rPr>
        <w:t xml:space="preserve"> subleasing </w:t>
      </w:r>
      <w:r>
        <w:rPr>
          <w:rFonts w:ascii="Arial" w:cs="Arial" w:eastAsia="Arial" w:hAnsi="Arial"/>
          <w:sz w:val="22"/>
          <w:szCs w:val="22"/>
          <w:color w:val="333333"/>
        </w:rPr>
        <w:t>space</w:t>
      </w:r>
      <w:r>
        <w:rPr>
          <w:rFonts w:ascii="Arial" w:cs="Arial" w:eastAsia="Arial" w:hAnsi="Arial"/>
          <w:sz w:val="22"/>
          <w:szCs w:val="22"/>
          <w:color w:val="232323"/>
        </w:rPr>
        <w:t xml:space="preserve"> which comprises less </w:t>
      </w:r>
      <w:r>
        <w:rPr>
          <w:rFonts w:ascii="Arial" w:cs="Arial" w:eastAsia="Arial" w:hAnsi="Arial"/>
          <w:sz w:val="22"/>
          <w:szCs w:val="22"/>
          <w:color w:val="000000"/>
        </w:rPr>
        <w:t>than</w:t>
      </w:r>
      <w:r>
        <w:rPr>
          <w:rFonts w:ascii="Arial" w:cs="Arial" w:eastAsia="Arial" w:hAnsi="Arial"/>
          <w:sz w:val="22"/>
          <w:szCs w:val="22"/>
          <w:color w:val="232323"/>
        </w:rPr>
        <w:t xml:space="preserve"> all of </w:t>
      </w:r>
      <w:r>
        <w:rPr>
          <w:rFonts w:ascii="Arial" w:cs="Arial" w:eastAsia="Arial" w:hAnsi="Arial"/>
          <w:sz w:val="22"/>
          <w:szCs w:val="22"/>
          <w:color w:val="000000"/>
        </w:rPr>
        <w:t>the Premises and for</w:t>
      </w:r>
      <w:r>
        <w:rPr>
          <w:rFonts w:ascii="Arial" w:cs="Arial" w:eastAsia="Arial" w:hAnsi="Arial"/>
          <w:sz w:val="22"/>
          <w:szCs w:val="22"/>
          <w:color w:val="232323"/>
        </w:rPr>
        <w:t xml:space="preserve"> a </w:t>
      </w:r>
      <w:r>
        <w:rPr>
          <w:rFonts w:ascii="Arial" w:cs="Arial" w:eastAsia="Arial" w:hAnsi="Arial"/>
          <w:sz w:val="22"/>
          <w:szCs w:val="22"/>
          <w:color w:val="000000"/>
        </w:rPr>
        <w:t>term</w:t>
      </w:r>
      <w:r>
        <w:rPr>
          <w:rFonts w:ascii="Arial" w:cs="Arial" w:eastAsia="Arial" w:hAnsi="Arial"/>
          <w:sz w:val="22"/>
          <w:szCs w:val="22"/>
          <w:color w:val="232323"/>
        </w:rPr>
        <w:t xml:space="preserve"> </w:t>
      </w:r>
      <w:r>
        <w:rPr>
          <w:rFonts w:ascii="Arial" w:cs="Arial" w:eastAsia="Arial" w:hAnsi="Arial"/>
          <w:sz w:val="22"/>
          <w:szCs w:val="22"/>
          <w:color w:val="000000"/>
        </w:rPr>
        <w:t xml:space="preserve">of less </w:t>
      </w:r>
      <w:r>
        <w:rPr>
          <w:rFonts w:ascii="Arial" w:cs="Arial" w:eastAsia="Arial" w:hAnsi="Arial"/>
          <w:sz w:val="22"/>
          <w:szCs w:val="22"/>
          <w:color w:val="333333"/>
        </w:rPr>
        <w:t>than</w:t>
      </w:r>
      <w:r>
        <w:rPr>
          <w:rFonts w:ascii="Arial" w:cs="Arial" w:eastAsia="Arial" w:hAnsi="Arial"/>
          <w:sz w:val="22"/>
          <w:szCs w:val="22"/>
          <w:color w:val="000000"/>
        </w:rPr>
        <w:t xml:space="preserve"> all or </w:t>
      </w:r>
      <w:r>
        <w:rPr>
          <w:rFonts w:ascii="Arial" w:cs="Arial" w:eastAsia="Arial" w:hAnsi="Arial"/>
          <w:sz w:val="22"/>
          <w:szCs w:val="22"/>
          <w:color w:val="232323"/>
        </w:rPr>
        <w:t>substantially</w:t>
      </w:r>
      <w:r>
        <w:rPr>
          <w:rFonts w:ascii="Arial" w:cs="Arial" w:eastAsia="Arial" w:hAnsi="Arial"/>
          <w:sz w:val="22"/>
          <w:szCs w:val="22"/>
          <w:color w:val="000000"/>
        </w:rPr>
        <w:t xml:space="preserve"> all o</w:t>
      </w:r>
      <w:r>
        <w:rPr>
          <w:rFonts w:ascii="Arial" w:cs="Arial" w:eastAsia="Arial" w:hAnsi="Arial"/>
          <w:sz w:val="22"/>
          <w:szCs w:val="22"/>
          <w:color w:val="444444"/>
        </w:rPr>
        <w:t>f</w:t>
      </w:r>
      <w:r>
        <w:rPr>
          <w:rFonts w:ascii="Arial" w:cs="Arial" w:eastAsia="Arial" w:hAnsi="Arial"/>
          <w:sz w:val="22"/>
          <w:szCs w:val="22"/>
          <w:color w:val="000000"/>
        </w:rPr>
        <w:t xml:space="preserve"> the balance of the </w:t>
      </w:r>
      <w:r>
        <w:rPr>
          <w:rFonts w:ascii="Arial" w:cs="Arial" w:eastAsia="Arial" w:hAnsi="Arial"/>
          <w:sz w:val="22"/>
          <w:szCs w:val="22"/>
          <w:color w:val="232323"/>
        </w:rPr>
        <w:t>Term,</w:t>
      </w:r>
      <w:r>
        <w:rPr>
          <w:rFonts w:ascii="Arial" w:cs="Arial" w:eastAsia="Arial" w:hAnsi="Arial"/>
          <w:sz w:val="22"/>
          <w:szCs w:val="22"/>
          <w:color w:val="000000"/>
        </w:rPr>
        <w:t xml:space="preserve"> and (b) any change in use </w:t>
      </w:r>
      <w:r>
        <w:rPr>
          <w:rFonts w:ascii="Arial" w:cs="Arial" w:eastAsia="Arial" w:hAnsi="Arial"/>
          <w:sz w:val="22"/>
          <w:szCs w:val="22"/>
          <w:color w:val="333333"/>
        </w:rPr>
        <w:t>that</w:t>
      </w:r>
      <w:r>
        <w:rPr>
          <w:rFonts w:ascii="Arial" w:cs="Arial" w:eastAsia="Arial" w:hAnsi="Arial"/>
          <w:sz w:val="22"/>
          <w:szCs w:val="22"/>
          <w:color w:val="000000"/>
        </w:rPr>
        <w:t xml:space="preserve"> </w:t>
      </w:r>
      <w:r>
        <w:rPr>
          <w:rFonts w:ascii="Arial" w:cs="Arial" w:eastAsia="Arial" w:hAnsi="Arial"/>
          <w:sz w:val="22"/>
          <w:szCs w:val="22"/>
          <w:color w:val="444444"/>
        </w:rPr>
        <w:t>such</w:t>
      </w:r>
      <w:r>
        <w:rPr>
          <w:rFonts w:ascii="Arial" w:cs="Arial" w:eastAsia="Arial" w:hAnsi="Arial"/>
          <w:sz w:val="22"/>
          <w:szCs w:val="22"/>
          <w:color w:val="000000"/>
        </w:rPr>
        <w:t xml:space="preserve"> transferee, </w:t>
      </w:r>
      <w:r>
        <w:rPr>
          <w:rFonts w:ascii="Arial" w:cs="Arial" w:eastAsia="Arial" w:hAnsi="Arial"/>
          <w:sz w:val="22"/>
          <w:szCs w:val="22"/>
          <w:color w:val="333333"/>
        </w:rPr>
        <w:t xml:space="preserve">assignee </w:t>
      </w:r>
      <w:r>
        <w:rPr>
          <w:rFonts w:ascii="Arial" w:cs="Arial" w:eastAsia="Arial" w:hAnsi="Arial"/>
          <w:sz w:val="22"/>
          <w:szCs w:val="22"/>
          <w:color w:val="232323"/>
        </w:rPr>
        <w:t>or sublessee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120"/>
          </w:cols>
          <w:pgMar w:left="1440" w:top="1401" w:right="339" w:bottom="1440" w:gutter="0" w:footer="0" w:header="0"/>
        </w:sectPr>
      </w:pPr>
    </w:p>
    <w:bookmarkStart w:id="354" w:name="page355"/>
    <w:bookmarkEnd w:id="354"/>
    <w:p>
      <w:pPr>
        <w:jc w:val="both"/>
        <w:ind w:left="640"/>
        <w:spacing w:after="0"/>
        <w:rPr>
          <w:sz w:val="20"/>
          <w:szCs w:val="20"/>
          <w:color w:val="auto"/>
        </w:rPr>
      </w:pPr>
      <w:r>
        <w:rPr>
          <w:rFonts w:ascii="Arial" w:cs="Arial" w:eastAsia="Arial" w:hAnsi="Arial"/>
          <w:sz w:val="19"/>
          <w:szCs w:val="19"/>
          <w:color w:val="auto"/>
        </w:rPr>
        <w:t>propo</w:t>
      </w:r>
      <w:r>
        <w:rPr>
          <w:rFonts w:ascii="Arial" w:cs="Arial" w:eastAsia="Arial" w:hAnsi="Arial"/>
          <w:sz w:val="19"/>
          <w:szCs w:val="19"/>
          <w:color w:val="444444"/>
        </w:rPr>
        <w:t>s</w:t>
      </w:r>
      <w:r>
        <w:rPr>
          <w:rFonts w:ascii="Arial" w:cs="Arial" w:eastAsia="Arial" w:hAnsi="Arial"/>
          <w:sz w:val="19"/>
          <w:szCs w:val="19"/>
          <w:color w:val="232323"/>
        </w:rPr>
        <w:t>es</w:t>
      </w:r>
      <w:r>
        <w:rPr>
          <w:rFonts w:ascii="Arial" w:cs="Arial" w:eastAsia="Arial" w:hAnsi="Arial"/>
          <w:sz w:val="19"/>
          <w:szCs w:val="19"/>
          <w:color w:val="auto"/>
        </w:rPr>
        <w:t xml:space="preserve"> to </w:t>
      </w:r>
      <w:r>
        <w:rPr>
          <w:rFonts w:ascii="Arial" w:cs="Arial" w:eastAsia="Arial" w:hAnsi="Arial"/>
          <w:sz w:val="19"/>
          <w:szCs w:val="19"/>
          <w:color w:val="232323"/>
        </w:rPr>
        <w:t>make</w:t>
      </w:r>
      <w:r>
        <w:rPr>
          <w:rFonts w:ascii="Arial" w:cs="Arial" w:eastAsia="Arial" w:hAnsi="Arial"/>
          <w:sz w:val="19"/>
          <w:szCs w:val="19"/>
          <w:color w:val="auto"/>
        </w:rPr>
        <w:t xml:space="preserve"> in the use </w:t>
      </w:r>
      <w:r>
        <w:rPr>
          <w:rFonts w:ascii="Arial" w:cs="Arial" w:eastAsia="Arial" w:hAnsi="Arial"/>
          <w:sz w:val="19"/>
          <w:szCs w:val="19"/>
          <w:color w:val="232323"/>
        </w:rPr>
        <w:t>of</w:t>
      </w:r>
      <w:r>
        <w:rPr>
          <w:rFonts w:ascii="Arial" w:cs="Arial" w:eastAsia="Arial" w:hAnsi="Arial"/>
          <w:sz w:val="19"/>
          <w:szCs w:val="19"/>
          <w:color w:val="auto"/>
        </w:rPr>
        <w:t xml:space="preserve"> the Premises. Except as </w:t>
      </w:r>
      <w:r>
        <w:rPr>
          <w:rFonts w:ascii="Arial" w:cs="Arial" w:eastAsia="Arial" w:hAnsi="Arial"/>
          <w:sz w:val="19"/>
          <w:szCs w:val="19"/>
          <w:color w:val="333333"/>
        </w:rPr>
        <w:t>set</w:t>
      </w:r>
      <w:r>
        <w:rPr>
          <w:rFonts w:ascii="Arial" w:cs="Arial" w:eastAsia="Arial" w:hAnsi="Arial"/>
          <w:sz w:val="19"/>
          <w:szCs w:val="19"/>
          <w:color w:val="auto"/>
        </w:rPr>
        <w:t xml:space="preserve"> </w:t>
      </w:r>
      <w:r>
        <w:rPr>
          <w:rFonts w:ascii="Arial" w:cs="Arial" w:eastAsia="Arial" w:hAnsi="Arial"/>
          <w:sz w:val="19"/>
          <w:szCs w:val="19"/>
          <w:color w:val="232323"/>
        </w:rPr>
        <w:t>forth</w:t>
      </w:r>
      <w:r>
        <w:rPr>
          <w:rFonts w:ascii="Arial" w:cs="Arial" w:eastAsia="Arial" w:hAnsi="Arial"/>
          <w:sz w:val="19"/>
          <w:szCs w:val="19"/>
          <w:color w:val="auto"/>
        </w:rPr>
        <w:t xml:space="preserve"> herein to the </w:t>
      </w:r>
      <w:r>
        <w:rPr>
          <w:rFonts w:ascii="Arial" w:cs="Arial" w:eastAsia="Arial" w:hAnsi="Arial"/>
          <w:sz w:val="19"/>
          <w:szCs w:val="19"/>
          <w:color w:val="232323"/>
        </w:rPr>
        <w:t>contrary,</w:t>
      </w:r>
      <w:r>
        <w:rPr>
          <w:rFonts w:ascii="Arial" w:cs="Arial" w:eastAsia="Arial" w:hAnsi="Arial"/>
          <w:sz w:val="19"/>
          <w:szCs w:val="19"/>
          <w:color w:val="auto"/>
        </w:rPr>
        <w:t xml:space="preserve"> in no event </w:t>
      </w:r>
      <w:r>
        <w:rPr>
          <w:rFonts w:ascii="Arial" w:cs="Arial" w:eastAsia="Arial" w:hAnsi="Arial"/>
          <w:sz w:val="19"/>
          <w:szCs w:val="19"/>
          <w:color w:val="232323"/>
        </w:rPr>
        <w:t>shall</w:t>
      </w:r>
      <w:r>
        <w:rPr>
          <w:rFonts w:ascii="Arial" w:cs="Arial" w:eastAsia="Arial" w:hAnsi="Arial"/>
          <w:sz w:val="19"/>
          <w:szCs w:val="19"/>
          <w:color w:val="auto"/>
        </w:rPr>
        <w:t xml:space="preserve"> Landlord be deemed </w:t>
      </w:r>
      <w:r>
        <w:rPr>
          <w:rFonts w:ascii="Arial" w:cs="Arial" w:eastAsia="Arial" w:hAnsi="Arial"/>
          <w:sz w:val="19"/>
          <w:szCs w:val="19"/>
          <w:color w:val="333333"/>
        </w:rPr>
        <w:t>to</w:t>
      </w:r>
      <w:r>
        <w:rPr>
          <w:rFonts w:ascii="Arial" w:cs="Arial" w:eastAsia="Arial" w:hAnsi="Arial"/>
          <w:sz w:val="19"/>
          <w:szCs w:val="19"/>
          <w:color w:val="auto"/>
        </w:rPr>
        <w:t xml:space="preserve"> be unreasonable for declining to consent to </w:t>
      </w:r>
      <w:r>
        <w:rPr>
          <w:rFonts w:ascii="Arial" w:cs="Arial" w:eastAsia="Arial" w:hAnsi="Arial"/>
          <w:sz w:val="19"/>
          <w:szCs w:val="19"/>
          <w:color w:val="232323"/>
        </w:rPr>
        <w:t>a</w:t>
      </w:r>
      <w:r>
        <w:rPr>
          <w:rFonts w:ascii="Arial" w:cs="Arial" w:eastAsia="Arial" w:hAnsi="Arial"/>
          <w:sz w:val="19"/>
          <w:szCs w:val="19"/>
          <w:color w:val="auto"/>
        </w:rPr>
        <w:t xml:space="preserve"> Transfer to a transferee, </w:t>
      </w:r>
      <w:r>
        <w:rPr>
          <w:rFonts w:ascii="Arial" w:cs="Arial" w:eastAsia="Arial" w:hAnsi="Arial"/>
          <w:sz w:val="19"/>
          <w:szCs w:val="19"/>
          <w:color w:val="232323"/>
        </w:rPr>
        <w:t>assignee or sublessee</w:t>
      </w:r>
      <w:r>
        <w:rPr>
          <w:rFonts w:ascii="Arial" w:cs="Arial" w:eastAsia="Arial" w:hAnsi="Arial"/>
          <w:sz w:val="19"/>
          <w:szCs w:val="19"/>
          <w:color w:val="auto"/>
        </w:rPr>
        <w:t xml:space="preserve"> of poor </w:t>
      </w:r>
      <w:r>
        <w:rPr>
          <w:rFonts w:ascii="Arial" w:cs="Arial" w:eastAsia="Arial" w:hAnsi="Arial"/>
          <w:sz w:val="19"/>
          <w:szCs w:val="19"/>
          <w:color w:val="232323"/>
        </w:rPr>
        <w:t xml:space="preserve">reputation, </w:t>
      </w:r>
      <w:r>
        <w:rPr>
          <w:rFonts w:ascii="Arial" w:cs="Arial" w:eastAsia="Arial" w:hAnsi="Arial"/>
          <w:sz w:val="19"/>
          <w:szCs w:val="19"/>
          <w:color w:val="333333"/>
        </w:rPr>
        <w:t>lacking</w:t>
      </w:r>
      <w:r>
        <w:rPr>
          <w:rFonts w:ascii="Arial" w:cs="Arial" w:eastAsia="Arial" w:hAnsi="Arial"/>
          <w:sz w:val="19"/>
          <w:szCs w:val="19"/>
          <w:color w:val="232323"/>
        </w:rPr>
        <w:t xml:space="preserve"> </w:t>
      </w:r>
      <w:r>
        <w:rPr>
          <w:rFonts w:ascii="Arial" w:cs="Arial" w:eastAsia="Arial" w:hAnsi="Arial"/>
          <w:sz w:val="19"/>
          <w:szCs w:val="19"/>
          <w:color w:val="000000"/>
        </w:rPr>
        <w:t>financial qualifications</w:t>
      </w:r>
      <w:r>
        <w:rPr>
          <w:rFonts w:ascii="Arial" w:cs="Arial" w:eastAsia="Arial" w:hAnsi="Arial"/>
          <w:sz w:val="19"/>
          <w:szCs w:val="19"/>
          <w:color w:val="232323"/>
        </w:rPr>
        <w:t xml:space="preserve"> or seeking a change </w:t>
      </w:r>
      <w:r>
        <w:rPr>
          <w:rFonts w:ascii="Arial" w:cs="Arial" w:eastAsia="Arial" w:hAnsi="Arial"/>
          <w:sz w:val="19"/>
          <w:szCs w:val="19"/>
          <w:color w:val="000000"/>
        </w:rPr>
        <w:t>from the Permitted</w:t>
      </w:r>
      <w:r>
        <w:rPr>
          <w:rFonts w:ascii="Arial" w:cs="Arial" w:eastAsia="Arial" w:hAnsi="Arial"/>
          <w:sz w:val="19"/>
          <w:szCs w:val="19"/>
          <w:color w:val="232323"/>
        </w:rPr>
        <w:t xml:space="preserve"> </w:t>
      </w:r>
      <w:r>
        <w:rPr>
          <w:rFonts w:ascii="Arial" w:cs="Arial" w:eastAsia="Arial" w:hAnsi="Arial"/>
          <w:sz w:val="19"/>
          <w:szCs w:val="19"/>
          <w:color w:val="333333"/>
        </w:rPr>
        <w:t>Use,</w:t>
      </w:r>
      <w:r>
        <w:rPr>
          <w:rFonts w:ascii="Arial" w:cs="Arial" w:eastAsia="Arial" w:hAnsi="Arial"/>
          <w:sz w:val="19"/>
          <w:szCs w:val="19"/>
          <w:color w:val="232323"/>
        </w:rPr>
        <w:t xml:space="preserve"> or jeopardizing </w:t>
      </w:r>
      <w:r>
        <w:rPr>
          <w:rFonts w:ascii="Arial" w:cs="Arial" w:eastAsia="Arial" w:hAnsi="Arial"/>
          <w:sz w:val="19"/>
          <w:szCs w:val="19"/>
          <w:color w:val="000000"/>
        </w:rPr>
        <w:t>directly</w:t>
      </w:r>
      <w:r>
        <w:rPr>
          <w:rFonts w:ascii="Arial" w:cs="Arial" w:eastAsia="Arial" w:hAnsi="Arial"/>
          <w:sz w:val="19"/>
          <w:szCs w:val="19"/>
          <w:color w:val="232323"/>
        </w:rPr>
        <w:t xml:space="preserve"> </w:t>
      </w:r>
      <w:r>
        <w:rPr>
          <w:rFonts w:ascii="Arial" w:cs="Arial" w:eastAsia="Arial" w:hAnsi="Arial"/>
          <w:sz w:val="19"/>
          <w:szCs w:val="19"/>
          <w:color w:val="333333"/>
        </w:rPr>
        <w:t>or</w:t>
      </w:r>
      <w:r>
        <w:rPr>
          <w:rFonts w:ascii="Arial" w:cs="Arial" w:eastAsia="Arial" w:hAnsi="Arial"/>
          <w:sz w:val="19"/>
          <w:szCs w:val="19"/>
          <w:color w:val="232323"/>
        </w:rPr>
        <w:t xml:space="preserve"> </w:t>
      </w:r>
      <w:r>
        <w:rPr>
          <w:rFonts w:ascii="Arial" w:cs="Arial" w:eastAsia="Arial" w:hAnsi="Arial"/>
          <w:sz w:val="19"/>
          <w:szCs w:val="19"/>
          <w:color w:val="000000"/>
        </w:rPr>
        <w:t xml:space="preserve">indirectly </w:t>
      </w:r>
      <w:r>
        <w:rPr>
          <w:rFonts w:ascii="Arial" w:cs="Arial" w:eastAsia="Arial" w:hAnsi="Arial"/>
          <w:sz w:val="19"/>
          <w:szCs w:val="19"/>
          <w:color w:val="333333"/>
        </w:rPr>
        <w:t>the status</w:t>
      </w:r>
      <w:r>
        <w:rPr>
          <w:rFonts w:ascii="Arial" w:cs="Arial" w:eastAsia="Arial" w:hAnsi="Arial"/>
          <w:sz w:val="19"/>
          <w:szCs w:val="19"/>
          <w:color w:val="000000"/>
        </w:rPr>
        <w:t xml:space="preserve"> of Landlord or </w:t>
      </w:r>
      <w:r>
        <w:rPr>
          <w:rFonts w:ascii="Arial" w:cs="Arial" w:eastAsia="Arial" w:hAnsi="Arial"/>
          <w:sz w:val="19"/>
          <w:szCs w:val="19"/>
          <w:color w:val="333333"/>
        </w:rPr>
        <w:t>any</w:t>
      </w:r>
      <w:r>
        <w:rPr>
          <w:rFonts w:ascii="Arial" w:cs="Arial" w:eastAsia="Arial" w:hAnsi="Arial"/>
          <w:sz w:val="19"/>
          <w:szCs w:val="19"/>
          <w:color w:val="000000"/>
        </w:rPr>
        <w:t xml:space="preserve"> of Landlord’s </w:t>
      </w:r>
      <w:r>
        <w:rPr>
          <w:rFonts w:ascii="Arial" w:cs="Arial" w:eastAsia="Arial" w:hAnsi="Arial"/>
          <w:sz w:val="19"/>
          <w:szCs w:val="19"/>
          <w:color w:val="333333"/>
        </w:rPr>
        <w:t>affiliates</w:t>
      </w:r>
      <w:r>
        <w:rPr>
          <w:rFonts w:ascii="Arial" w:cs="Arial" w:eastAsia="Arial" w:hAnsi="Arial"/>
          <w:sz w:val="19"/>
          <w:szCs w:val="19"/>
          <w:color w:val="000000"/>
        </w:rPr>
        <w:t xml:space="preserve"> as </w:t>
      </w:r>
      <w:r>
        <w:rPr>
          <w:rFonts w:ascii="Arial" w:cs="Arial" w:eastAsia="Arial" w:hAnsi="Arial"/>
          <w:sz w:val="19"/>
          <w:szCs w:val="19"/>
          <w:color w:val="232323"/>
        </w:rPr>
        <w:t>a Real Estate</w:t>
      </w:r>
      <w:r>
        <w:rPr>
          <w:rFonts w:ascii="Arial" w:cs="Arial" w:eastAsia="Arial" w:hAnsi="Arial"/>
          <w:sz w:val="19"/>
          <w:szCs w:val="19"/>
          <w:color w:val="000000"/>
        </w:rPr>
        <w:t xml:space="preserve"> Investment Trust under </w:t>
      </w:r>
      <w:r>
        <w:rPr>
          <w:rFonts w:ascii="Arial" w:cs="Arial" w:eastAsia="Arial" w:hAnsi="Arial"/>
          <w:sz w:val="19"/>
          <w:szCs w:val="19"/>
          <w:color w:val="232323"/>
        </w:rPr>
        <w:t>the</w:t>
      </w:r>
      <w:r>
        <w:rPr>
          <w:rFonts w:ascii="Arial" w:cs="Arial" w:eastAsia="Arial" w:hAnsi="Arial"/>
          <w:sz w:val="19"/>
          <w:szCs w:val="19"/>
          <w:color w:val="000000"/>
        </w:rPr>
        <w:t xml:space="preserve"> Internal Revenue </w:t>
      </w:r>
      <w:r>
        <w:rPr>
          <w:rFonts w:ascii="Arial" w:cs="Arial" w:eastAsia="Arial" w:hAnsi="Arial"/>
          <w:sz w:val="19"/>
          <w:szCs w:val="19"/>
          <w:color w:val="232323"/>
        </w:rPr>
        <w:t>Code of</w:t>
      </w:r>
      <w:r>
        <w:rPr>
          <w:rFonts w:ascii="Arial" w:cs="Arial" w:eastAsia="Arial" w:hAnsi="Arial"/>
          <w:sz w:val="19"/>
          <w:szCs w:val="19"/>
          <w:color w:val="000000"/>
        </w:rPr>
        <w:t xml:space="preserve"> 1986 (as the </w:t>
      </w:r>
      <w:r>
        <w:rPr>
          <w:rFonts w:ascii="Arial" w:cs="Arial" w:eastAsia="Arial" w:hAnsi="Arial"/>
          <w:sz w:val="19"/>
          <w:szCs w:val="19"/>
          <w:color w:val="333333"/>
        </w:rPr>
        <w:t>same</w:t>
      </w:r>
      <w:r>
        <w:rPr>
          <w:rFonts w:ascii="Arial" w:cs="Arial" w:eastAsia="Arial" w:hAnsi="Arial"/>
          <w:sz w:val="19"/>
          <w:szCs w:val="19"/>
          <w:color w:val="000000"/>
        </w:rPr>
        <w:t xml:space="preserve"> </w:t>
      </w:r>
      <w:r>
        <w:rPr>
          <w:rFonts w:ascii="Arial" w:cs="Arial" w:eastAsia="Arial" w:hAnsi="Arial"/>
          <w:sz w:val="19"/>
          <w:szCs w:val="19"/>
          <w:color w:val="232323"/>
        </w:rPr>
        <w:t>may</w:t>
      </w:r>
      <w:r>
        <w:rPr>
          <w:rFonts w:ascii="Arial" w:cs="Arial" w:eastAsia="Arial" w:hAnsi="Arial"/>
          <w:sz w:val="19"/>
          <w:szCs w:val="19"/>
          <w:color w:val="000000"/>
        </w:rPr>
        <w:t xml:space="preserve"> be </w:t>
      </w:r>
      <w:r>
        <w:rPr>
          <w:rFonts w:ascii="Arial" w:cs="Arial" w:eastAsia="Arial" w:hAnsi="Arial"/>
          <w:sz w:val="19"/>
          <w:szCs w:val="19"/>
          <w:color w:val="333333"/>
        </w:rPr>
        <w:t>amended</w:t>
      </w:r>
      <w:r>
        <w:rPr>
          <w:rFonts w:ascii="Arial" w:cs="Arial" w:eastAsia="Arial" w:hAnsi="Arial"/>
          <w:sz w:val="19"/>
          <w:szCs w:val="19"/>
          <w:color w:val="000000"/>
        </w:rPr>
        <w:t xml:space="preserve"> from time to </w:t>
      </w:r>
      <w:r>
        <w:rPr>
          <w:rFonts w:ascii="Arial" w:cs="Arial" w:eastAsia="Arial" w:hAnsi="Arial"/>
          <w:sz w:val="19"/>
          <w:szCs w:val="19"/>
          <w:color w:val="333333"/>
        </w:rPr>
        <w:t>time,</w:t>
      </w:r>
      <w:r>
        <w:rPr>
          <w:rFonts w:ascii="Arial" w:cs="Arial" w:eastAsia="Arial" w:hAnsi="Arial"/>
          <w:sz w:val="19"/>
          <w:szCs w:val="19"/>
          <w:color w:val="000000"/>
        </w:rPr>
        <w:t xml:space="preserve"> the </w:t>
      </w:r>
      <w:r>
        <w:rPr>
          <w:rFonts w:ascii="Arial" w:cs="Arial" w:eastAsia="Arial" w:hAnsi="Arial"/>
          <w:sz w:val="19"/>
          <w:szCs w:val="19"/>
          <w:color w:val="333333"/>
        </w:rPr>
        <w:t>“</w:t>
      </w:r>
      <w:r>
        <w:rPr>
          <w:rFonts w:ascii="Arial" w:cs="Arial" w:eastAsia="Arial" w:hAnsi="Arial"/>
          <w:sz w:val="19"/>
          <w:szCs w:val="19"/>
          <w:u w:val="single" w:color="auto"/>
          <w:color w:val="333333"/>
        </w:rPr>
        <w:t>Revenue</w:t>
      </w:r>
      <w:r>
        <w:rPr>
          <w:rFonts w:ascii="Arial" w:cs="Arial" w:eastAsia="Arial" w:hAnsi="Arial"/>
          <w:sz w:val="19"/>
          <w:szCs w:val="19"/>
          <w:color w:val="000000"/>
        </w:rPr>
        <w:t xml:space="preserve"> </w:t>
      </w:r>
      <w:r>
        <w:rPr>
          <w:rFonts w:ascii="Arial" w:cs="Arial" w:eastAsia="Arial" w:hAnsi="Arial"/>
          <w:sz w:val="19"/>
          <w:szCs w:val="19"/>
          <w:u w:val="single" w:color="auto"/>
          <w:color w:val="232323"/>
        </w:rPr>
        <w:t>Code</w:t>
      </w:r>
      <w:r>
        <w:rPr>
          <w:rFonts w:ascii="Arial" w:cs="Arial" w:eastAsia="Arial" w:hAnsi="Arial"/>
          <w:sz w:val="19"/>
          <w:szCs w:val="19"/>
          <w:color w:val="232323"/>
        </w:rPr>
        <w:t>”).</w:t>
      </w:r>
      <w:r>
        <w:rPr>
          <w:rFonts w:ascii="Arial" w:cs="Arial" w:eastAsia="Arial" w:hAnsi="Arial"/>
          <w:sz w:val="19"/>
          <w:szCs w:val="19"/>
          <w:color w:val="000000"/>
        </w:rPr>
        <w:t xml:space="preserve"> </w:t>
      </w:r>
      <w:r>
        <w:rPr>
          <w:rFonts w:ascii="Arial" w:cs="Arial" w:eastAsia="Arial" w:hAnsi="Arial"/>
          <w:sz w:val="19"/>
          <w:szCs w:val="19"/>
          <w:color w:val="333333"/>
        </w:rPr>
        <w:t>Notwithstanding</w:t>
      </w:r>
      <w:r>
        <w:rPr>
          <w:rFonts w:ascii="Arial" w:cs="Arial" w:eastAsia="Arial" w:hAnsi="Arial"/>
          <w:sz w:val="19"/>
          <w:szCs w:val="19"/>
          <w:color w:val="000000"/>
        </w:rPr>
        <w:t xml:space="preserve"> anything </w:t>
      </w:r>
      <w:r>
        <w:rPr>
          <w:rFonts w:ascii="Arial" w:cs="Arial" w:eastAsia="Arial" w:hAnsi="Arial"/>
          <w:sz w:val="19"/>
          <w:szCs w:val="19"/>
          <w:color w:val="232323"/>
        </w:rPr>
        <w:t>contained</w:t>
      </w:r>
      <w:r>
        <w:rPr>
          <w:rFonts w:ascii="Arial" w:cs="Arial" w:eastAsia="Arial" w:hAnsi="Arial"/>
          <w:sz w:val="19"/>
          <w:szCs w:val="19"/>
          <w:color w:val="000000"/>
        </w:rPr>
        <w:t xml:space="preserve"> in this Lease to the </w:t>
      </w:r>
      <w:r>
        <w:rPr>
          <w:rFonts w:ascii="Arial" w:cs="Arial" w:eastAsia="Arial" w:hAnsi="Arial"/>
          <w:sz w:val="19"/>
          <w:szCs w:val="19"/>
          <w:color w:val="333333"/>
        </w:rPr>
        <w:t>contrary,</w:t>
      </w:r>
      <w:r>
        <w:rPr>
          <w:rFonts w:ascii="Arial" w:cs="Arial" w:eastAsia="Arial" w:hAnsi="Arial"/>
          <w:sz w:val="19"/>
          <w:szCs w:val="19"/>
          <w:color w:val="000000"/>
        </w:rPr>
        <w:t xml:space="preserve"> (w) </w:t>
      </w:r>
      <w:r>
        <w:rPr>
          <w:rFonts w:ascii="Arial" w:cs="Arial" w:eastAsia="Arial" w:hAnsi="Arial"/>
          <w:sz w:val="19"/>
          <w:szCs w:val="19"/>
          <w:color w:val="232323"/>
        </w:rPr>
        <w:t>no Transfer shall</w:t>
      </w:r>
      <w:r>
        <w:rPr>
          <w:rFonts w:ascii="Arial" w:cs="Arial" w:eastAsia="Arial" w:hAnsi="Arial"/>
          <w:sz w:val="19"/>
          <w:szCs w:val="19"/>
          <w:color w:val="000000"/>
        </w:rPr>
        <w:t xml:space="preserve"> be consummated </w:t>
      </w:r>
      <w:r>
        <w:rPr>
          <w:rFonts w:ascii="Arial" w:cs="Arial" w:eastAsia="Arial" w:hAnsi="Arial"/>
          <w:sz w:val="19"/>
          <w:szCs w:val="19"/>
          <w:color w:val="232323"/>
        </w:rPr>
        <w:t>on</w:t>
      </w:r>
      <w:r>
        <w:rPr>
          <w:rFonts w:ascii="Arial" w:cs="Arial" w:eastAsia="Arial" w:hAnsi="Arial"/>
          <w:sz w:val="19"/>
          <w:szCs w:val="19"/>
          <w:color w:val="000000"/>
        </w:rPr>
        <w:t xml:space="preserve"> </w:t>
      </w:r>
      <w:r>
        <w:rPr>
          <w:rFonts w:ascii="Arial" w:cs="Arial" w:eastAsia="Arial" w:hAnsi="Arial"/>
          <w:sz w:val="19"/>
          <w:szCs w:val="19"/>
          <w:color w:val="333333"/>
        </w:rPr>
        <w:t>any</w:t>
      </w:r>
      <w:r>
        <w:rPr>
          <w:rFonts w:ascii="Arial" w:cs="Arial" w:eastAsia="Arial" w:hAnsi="Arial"/>
          <w:sz w:val="19"/>
          <w:szCs w:val="19"/>
          <w:color w:val="000000"/>
        </w:rPr>
        <w:t xml:space="preserve"> basis </w:t>
      </w:r>
      <w:r>
        <w:rPr>
          <w:rFonts w:ascii="Arial" w:cs="Arial" w:eastAsia="Arial" w:hAnsi="Arial"/>
          <w:sz w:val="19"/>
          <w:szCs w:val="19"/>
          <w:color w:val="232323"/>
        </w:rPr>
        <w:t>such</w:t>
      </w:r>
      <w:r>
        <w:rPr>
          <w:rFonts w:ascii="Arial" w:cs="Arial" w:eastAsia="Arial" w:hAnsi="Arial"/>
          <w:sz w:val="19"/>
          <w:szCs w:val="19"/>
          <w:color w:val="000000"/>
        </w:rPr>
        <w:t xml:space="preserve"> that </w:t>
      </w:r>
      <w:r>
        <w:rPr>
          <w:rFonts w:ascii="Arial" w:cs="Arial" w:eastAsia="Arial" w:hAnsi="Arial"/>
          <w:sz w:val="19"/>
          <w:szCs w:val="19"/>
          <w:color w:val="444444"/>
        </w:rPr>
        <w:t>t</w:t>
      </w:r>
      <w:r>
        <w:rPr>
          <w:rFonts w:ascii="Arial" w:cs="Arial" w:eastAsia="Arial" w:hAnsi="Arial"/>
          <w:sz w:val="19"/>
          <w:szCs w:val="19"/>
          <w:color w:val="000000"/>
        </w:rPr>
        <w:t xml:space="preserve">he </w:t>
      </w:r>
      <w:r>
        <w:rPr>
          <w:rFonts w:ascii="Arial" w:cs="Arial" w:eastAsia="Arial" w:hAnsi="Arial"/>
          <w:sz w:val="19"/>
          <w:szCs w:val="19"/>
          <w:color w:val="232323"/>
        </w:rPr>
        <w:t xml:space="preserve">rental </w:t>
      </w:r>
      <w:r>
        <w:rPr>
          <w:rFonts w:ascii="Arial" w:cs="Arial" w:eastAsia="Arial" w:hAnsi="Arial"/>
          <w:sz w:val="19"/>
          <w:szCs w:val="19"/>
          <w:color w:val="333333"/>
        </w:rPr>
        <w:t>or</w:t>
      </w:r>
      <w:r>
        <w:rPr>
          <w:rFonts w:ascii="Arial" w:cs="Arial" w:eastAsia="Arial" w:hAnsi="Arial"/>
          <w:sz w:val="19"/>
          <w:szCs w:val="19"/>
          <w:color w:val="232323"/>
        </w:rPr>
        <w:t xml:space="preserve"> other amounts </w:t>
      </w:r>
      <w:r>
        <w:rPr>
          <w:rFonts w:ascii="Arial" w:cs="Arial" w:eastAsia="Arial" w:hAnsi="Arial"/>
          <w:sz w:val="19"/>
          <w:szCs w:val="19"/>
          <w:color w:val="000000"/>
        </w:rPr>
        <w:t>to be paid by the</w:t>
      </w:r>
      <w:r>
        <w:rPr>
          <w:rFonts w:ascii="Arial" w:cs="Arial" w:eastAsia="Arial" w:hAnsi="Arial"/>
          <w:sz w:val="19"/>
          <w:szCs w:val="19"/>
          <w:color w:val="232323"/>
        </w:rPr>
        <w:t xml:space="preserve"> occupant, assignee, </w:t>
      </w:r>
      <w:r>
        <w:rPr>
          <w:rFonts w:ascii="Arial" w:cs="Arial" w:eastAsia="Arial" w:hAnsi="Arial"/>
          <w:sz w:val="19"/>
          <w:szCs w:val="19"/>
          <w:color w:val="000000"/>
        </w:rPr>
        <w:t>manager or</w:t>
      </w:r>
      <w:r>
        <w:rPr>
          <w:rFonts w:ascii="Arial" w:cs="Arial" w:eastAsia="Arial" w:hAnsi="Arial"/>
          <w:sz w:val="19"/>
          <w:szCs w:val="19"/>
          <w:color w:val="232323"/>
        </w:rPr>
        <w:t xml:space="preserve"> other </w:t>
      </w:r>
      <w:r>
        <w:rPr>
          <w:rFonts w:ascii="Arial" w:cs="Arial" w:eastAsia="Arial" w:hAnsi="Arial"/>
          <w:sz w:val="19"/>
          <w:szCs w:val="19"/>
          <w:color w:val="333333"/>
        </w:rPr>
        <w:t>transferee</w:t>
      </w:r>
      <w:r>
        <w:rPr>
          <w:rFonts w:ascii="Arial" w:cs="Arial" w:eastAsia="Arial" w:hAnsi="Arial"/>
          <w:sz w:val="19"/>
          <w:szCs w:val="19"/>
          <w:color w:val="232323"/>
        </w:rPr>
        <w:t xml:space="preserve"> </w:t>
      </w:r>
      <w:r>
        <w:rPr>
          <w:rFonts w:ascii="Arial" w:cs="Arial" w:eastAsia="Arial" w:hAnsi="Arial"/>
          <w:sz w:val="19"/>
          <w:szCs w:val="19"/>
          <w:color w:val="000000"/>
        </w:rPr>
        <w:t>thereunder</w:t>
      </w:r>
      <w:r>
        <w:rPr>
          <w:rFonts w:ascii="Arial" w:cs="Arial" w:eastAsia="Arial" w:hAnsi="Arial"/>
          <w:sz w:val="19"/>
          <w:szCs w:val="19"/>
          <w:color w:val="232323"/>
        </w:rPr>
        <w:t xml:space="preserve"> would </w:t>
      </w:r>
      <w:r>
        <w:rPr>
          <w:rFonts w:ascii="Arial" w:cs="Arial" w:eastAsia="Arial" w:hAnsi="Arial"/>
          <w:sz w:val="19"/>
          <w:szCs w:val="19"/>
          <w:color w:val="000000"/>
        </w:rPr>
        <w:t>be</w:t>
      </w:r>
      <w:r>
        <w:rPr>
          <w:rFonts w:ascii="Arial" w:cs="Arial" w:eastAsia="Arial" w:hAnsi="Arial"/>
          <w:sz w:val="19"/>
          <w:szCs w:val="19"/>
          <w:color w:val="232323"/>
        </w:rPr>
        <w:t xml:space="preserve"> </w:t>
      </w:r>
      <w:r>
        <w:rPr>
          <w:rFonts w:ascii="Arial" w:cs="Arial" w:eastAsia="Arial" w:hAnsi="Arial"/>
          <w:sz w:val="19"/>
          <w:szCs w:val="19"/>
          <w:color w:val="000000"/>
        </w:rPr>
        <w:t xml:space="preserve">based, in </w:t>
      </w:r>
      <w:r>
        <w:rPr>
          <w:rFonts w:ascii="Arial" w:cs="Arial" w:eastAsia="Arial" w:hAnsi="Arial"/>
          <w:sz w:val="19"/>
          <w:szCs w:val="19"/>
          <w:color w:val="232323"/>
        </w:rPr>
        <w:t>whole</w:t>
      </w:r>
      <w:r>
        <w:rPr>
          <w:rFonts w:ascii="Arial" w:cs="Arial" w:eastAsia="Arial" w:hAnsi="Arial"/>
          <w:sz w:val="19"/>
          <w:szCs w:val="19"/>
          <w:color w:val="000000"/>
        </w:rPr>
        <w:t xml:space="preserve"> </w:t>
      </w:r>
      <w:r>
        <w:rPr>
          <w:rFonts w:ascii="Arial" w:cs="Arial" w:eastAsia="Arial" w:hAnsi="Arial"/>
          <w:sz w:val="19"/>
          <w:szCs w:val="19"/>
          <w:color w:val="333333"/>
        </w:rPr>
        <w:t>or</w:t>
      </w:r>
      <w:r>
        <w:rPr>
          <w:rFonts w:ascii="Arial" w:cs="Arial" w:eastAsia="Arial" w:hAnsi="Arial"/>
          <w:sz w:val="19"/>
          <w:szCs w:val="19"/>
          <w:color w:val="000000"/>
        </w:rPr>
        <w:t xml:space="preserve"> in part</w:t>
      </w:r>
      <w:r>
        <w:rPr>
          <w:rFonts w:ascii="Arial" w:cs="Arial" w:eastAsia="Arial" w:hAnsi="Arial"/>
          <w:sz w:val="19"/>
          <w:szCs w:val="19"/>
          <w:color w:val="444444"/>
        </w:rPr>
        <w:t>,</w:t>
      </w:r>
      <w:r>
        <w:rPr>
          <w:rFonts w:ascii="Arial" w:cs="Arial" w:eastAsia="Arial" w:hAnsi="Arial"/>
          <w:sz w:val="19"/>
          <w:szCs w:val="19"/>
          <w:color w:val="000000"/>
        </w:rPr>
        <w:t xml:space="preserve"> </w:t>
      </w:r>
      <w:r>
        <w:rPr>
          <w:rFonts w:ascii="Arial" w:cs="Arial" w:eastAsia="Arial" w:hAnsi="Arial"/>
          <w:sz w:val="19"/>
          <w:szCs w:val="19"/>
          <w:color w:val="333333"/>
        </w:rPr>
        <w:t>on</w:t>
      </w:r>
      <w:r>
        <w:rPr>
          <w:rFonts w:ascii="Arial" w:cs="Arial" w:eastAsia="Arial" w:hAnsi="Arial"/>
          <w:sz w:val="19"/>
          <w:szCs w:val="19"/>
          <w:color w:val="000000"/>
        </w:rPr>
        <w:t xml:space="preserve"> the income o</w:t>
      </w:r>
      <w:r>
        <w:rPr>
          <w:rFonts w:ascii="Arial" w:cs="Arial" w:eastAsia="Arial" w:hAnsi="Arial"/>
          <w:sz w:val="19"/>
          <w:szCs w:val="19"/>
          <w:color w:val="444444"/>
        </w:rPr>
        <w:t>r</w:t>
      </w:r>
      <w:r>
        <w:rPr>
          <w:rFonts w:ascii="Arial" w:cs="Arial" w:eastAsia="Arial" w:hAnsi="Arial"/>
          <w:sz w:val="19"/>
          <w:szCs w:val="19"/>
          <w:color w:val="000000"/>
        </w:rPr>
        <w:t xml:space="preserve"> profits </w:t>
      </w:r>
      <w:r>
        <w:rPr>
          <w:rFonts w:ascii="Arial" w:cs="Arial" w:eastAsia="Arial" w:hAnsi="Arial"/>
          <w:sz w:val="19"/>
          <w:szCs w:val="19"/>
          <w:color w:val="232323"/>
        </w:rPr>
        <w:t>derived</w:t>
      </w:r>
      <w:r>
        <w:rPr>
          <w:rFonts w:ascii="Arial" w:cs="Arial" w:eastAsia="Arial" w:hAnsi="Arial"/>
          <w:sz w:val="19"/>
          <w:szCs w:val="19"/>
          <w:color w:val="000000"/>
        </w:rPr>
        <w:t xml:space="preserve"> by the business activities </w:t>
      </w:r>
      <w:r>
        <w:rPr>
          <w:rFonts w:ascii="Arial" w:cs="Arial" w:eastAsia="Arial" w:hAnsi="Arial"/>
          <w:sz w:val="19"/>
          <w:szCs w:val="19"/>
          <w:color w:val="232323"/>
        </w:rPr>
        <w:t>of such occupant,</w:t>
      </w:r>
      <w:r>
        <w:rPr>
          <w:rFonts w:ascii="Arial" w:cs="Arial" w:eastAsia="Arial" w:hAnsi="Arial"/>
          <w:sz w:val="19"/>
          <w:szCs w:val="19"/>
          <w:color w:val="000000"/>
        </w:rPr>
        <w:t xml:space="preserve"> </w:t>
      </w:r>
      <w:r>
        <w:rPr>
          <w:rFonts w:ascii="Arial" w:cs="Arial" w:eastAsia="Arial" w:hAnsi="Arial"/>
          <w:sz w:val="19"/>
          <w:szCs w:val="19"/>
          <w:color w:val="333333"/>
        </w:rPr>
        <w:t>assignee,</w:t>
      </w:r>
      <w:r>
        <w:rPr>
          <w:rFonts w:ascii="Arial" w:cs="Arial" w:eastAsia="Arial" w:hAnsi="Arial"/>
          <w:sz w:val="19"/>
          <w:szCs w:val="19"/>
          <w:color w:val="000000"/>
        </w:rPr>
        <w:t xml:space="preserve"> manager or </w:t>
      </w:r>
      <w:r>
        <w:rPr>
          <w:rFonts w:ascii="Arial" w:cs="Arial" w:eastAsia="Arial" w:hAnsi="Arial"/>
          <w:sz w:val="19"/>
          <w:szCs w:val="19"/>
          <w:color w:val="232323"/>
        </w:rPr>
        <w:t>other</w:t>
      </w:r>
      <w:r>
        <w:rPr>
          <w:rFonts w:ascii="Arial" w:cs="Arial" w:eastAsia="Arial" w:hAnsi="Arial"/>
          <w:sz w:val="19"/>
          <w:szCs w:val="19"/>
          <w:color w:val="000000"/>
        </w:rPr>
        <w:t xml:space="preserve"> transferee; (x) Tenant </w:t>
      </w:r>
      <w:r>
        <w:rPr>
          <w:rFonts w:ascii="Arial" w:cs="Arial" w:eastAsia="Arial" w:hAnsi="Arial"/>
          <w:sz w:val="19"/>
          <w:szCs w:val="19"/>
          <w:color w:val="232323"/>
        </w:rPr>
        <w:t>shall</w:t>
      </w:r>
      <w:r>
        <w:rPr>
          <w:rFonts w:ascii="Arial" w:cs="Arial" w:eastAsia="Arial" w:hAnsi="Arial"/>
          <w:sz w:val="19"/>
          <w:szCs w:val="19"/>
          <w:color w:val="000000"/>
        </w:rPr>
        <w:t xml:space="preserve"> not </w:t>
      </w:r>
      <w:r>
        <w:rPr>
          <w:rFonts w:ascii="Arial" w:cs="Arial" w:eastAsia="Arial" w:hAnsi="Arial"/>
          <w:sz w:val="19"/>
          <w:szCs w:val="19"/>
          <w:color w:val="232323"/>
        </w:rPr>
        <w:t>furnish or</w:t>
      </w:r>
      <w:r>
        <w:rPr>
          <w:rFonts w:ascii="Arial" w:cs="Arial" w:eastAsia="Arial" w:hAnsi="Arial"/>
          <w:sz w:val="19"/>
          <w:szCs w:val="19"/>
          <w:color w:val="000000"/>
        </w:rPr>
        <w:t xml:space="preserve"> render </w:t>
      </w:r>
      <w:r>
        <w:rPr>
          <w:rFonts w:ascii="Arial" w:cs="Arial" w:eastAsia="Arial" w:hAnsi="Arial"/>
          <w:sz w:val="19"/>
          <w:szCs w:val="19"/>
          <w:color w:val="232323"/>
        </w:rPr>
        <w:t>any</w:t>
      </w:r>
      <w:r>
        <w:rPr>
          <w:rFonts w:ascii="Arial" w:cs="Arial" w:eastAsia="Arial" w:hAnsi="Arial"/>
          <w:sz w:val="19"/>
          <w:szCs w:val="19"/>
          <w:color w:val="000000"/>
        </w:rPr>
        <w:t xml:space="preserve"> services beyond what is typical in </w:t>
      </w:r>
      <w:r>
        <w:rPr>
          <w:rFonts w:ascii="Arial" w:cs="Arial" w:eastAsia="Arial" w:hAnsi="Arial"/>
          <w:sz w:val="19"/>
          <w:szCs w:val="19"/>
          <w:color w:val="232323"/>
        </w:rPr>
        <w:t>the</w:t>
      </w:r>
      <w:r>
        <w:rPr>
          <w:rFonts w:ascii="Arial" w:cs="Arial" w:eastAsia="Arial" w:hAnsi="Arial"/>
          <w:sz w:val="19"/>
          <w:szCs w:val="19"/>
          <w:color w:val="000000"/>
        </w:rPr>
        <w:t xml:space="preserve"> market to </w:t>
      </w:r>
      <w:r>
        <w:rPr>
          <w:rFonts w:ascii="Arial" w:cs="Arial" w:eastAsia="Arial" w:hAnsi="Arial"/>
          <w:sz w:val="19"/>
          <w:szCs w:val="19"/>
          <w:color w:val="232323"/>
        </w:rPr>
        <w:t>an</w:t>
      </w:r>
      <w:r>
        <w:rPr>
          <w:rFonts w:ascii="Arial" w:cs="Arial" w:eastAsia="Arial" w:hAnsi="Arial"/>
          <w:sz w:val="19"/>
          <w:szCs w:val="19"/>
          <w:color w:val="000000"/>
        </w:rPr>
        <w:t xml:space="preserve"> occupant, </w:t>
      </w:r>
      <w:r>
        <w:rPr>
          <w:rFonts w:ascii="Arial" w:cs="Arial" w:eastAsia="Arial" w:hAnsi="Arial"/>
          <w:sz w:val="19"/>
          <w:szCs w:val="19"/>
          <w:color w:val="333333"/>
        </w:rPr>
        <w:t>assignee,</w:t>
      </w:r>
      <w:r>
        <w:rPr>
          <w:rFonts w:ascii="Arial" w:cs="Arial" w:eastAsia="Arial" w:hAnsi="Arial"/>
          <w:sz w:val="19"/>
          <w:szCs w:val="19"/>
          <w:color w:val="000000"/>
        </w:rPr>
        <w:t xml:space="preserve"> </w:t>
      </w:r>
      <w:r>
        <w:rPr>
          <w:rFonts w:ascii="Arial" w:cs="Arial" w:eastAsia="Arial" w:hAnsi="Arial"/>
          <w:sz w:val="19"/>
          <w:szCs w:val="19"/>
          <w:color w:val="232323"/>
        </w:rPr>
        <w:t>manager</w:t>
      </w:r>
      <w:r>
        <w:rPr>
          <w:rFonts w:ascii="Arial" w:cs="Arial" w:eastAsia="Arial" w:hAnsi="Arial"/>
          <w:sz w:val="19"/>
          <w:szCs w:val="19"/>
          <w:color w:val="000000"/>
        </w:rPr>
        <w:t xml:space="preserve"> or other transferee with </w:t>
      </w:r>
      <w:r>
        <w:rPr>
          <w:rFonts w:ascii="Arial" w:cs="Arial" w:eastAsia="Arial" w:hAnsi="Arial"/>
          <w:sz w:val="19"/>
          <w:szCs w:val="19"/>
          <w:color w:val="232323"/>
        </w:rPr>
        <w:t>respect</w:t>
      </w:r>
      <w:r>
        <w:rPr>
          <w:rFonts w:ascii="Arial" w:cs="Arial" w:eastAsia="Arial" w:hAnsi="Arial"/>
          <w:sz w:val="19"/>
          <w:szCs w:val="19"/>
          <w:color w:val="000000"/>
        </w:rPr>
        <w:t xml:space="preserve"> to whom </w:t>
      </w:r>
      <w:r>
        <w:rPr>
          <w:rFonts w:ascii="Arial" w:cs="Arial" w:eastAsia="Arial" w:hAnsi="Arial"/>
          <w:sz w:val="19"/>
          <w:szCs w:val="19"/>
          <w:color w:val="232323"/>
        </w:rPr>
        <w:t>consideration</w:t>
      </w:r>
      <w:r>
        <w:rPr>
          <w:rFonts w:ascii="Arial" w:cs="Arial" w:eastAsia="Arial" w:hAnsi="Arial"/>
          <w:sz w:val="19"/>
          <w:szCs w:val="19"/>
          <w:color w:val="000000"/>
        </w:rPr>
        <w:t xml:space="preserve"> </w:t>
      </w:r>
      <w:r>
        <w:rPr>
          <w:rFonts w:ascii="Arial" w:cs="Arial" w:eastAsia="Arial" w:hAnsi="Arial"/>
          <w:sz w:val="19"/>
          <w:szCs w:val="19"/>
          <w:color w:val="333333"/>
        </w:rPr>
        <w:t>is</w:t>
      </w:r>
      <w:r>
        <w:rPr>
          <w:rFonts w:ascii="Arial" w:cs="Arial" w:eastAsia="Arial" w:hAnsi="Arial"/>
          <w:sz w:val="19"/>
          <w:szCs w:val="19"/>
          <w:color w:val="000000"/>
        </w:rPr>
        <w:t xml:space="preserve"> required </w:t>
      </w:r>
      <w:r>
        <w:rPr>
          <w:rFonts w:ascii="Arial" w:cs="Arial" w:eastAsia="Arial" w:hAnsi="Arial"/>
          <w:sz w:val="19"/>
          <w:szCs w:val="19"/>
          <w:color w:val="232323"/>
        </w:rPr>
        <w:t>to</w:t>
      </w:r>
      <w:r>
        <w:rPr>
          <w:rFonts w:ascii="Arial" w:cs="Arial" w:eastAsia="Arial" w:hAnsi="Arial"/>
          <w:sz w:val="19"/>
          <w:szCs w:val="19"/>
          <w:color w:val="000000"/>
        </w:rPr>
        <w:t xml:space="preserve"> be paid </w:t>
      </w:r>
      <w:r>
        <w:rPr>
          <w:rFonts w:ascii="Arial" w:cs="Arial" w:eastAsia="Arial" w:hAnsi="Arial"/>
          <w:sz w:val="19"/>
          <w:szCs w:val="19"/>
          <w:color w:val="333333"/>
        </w:rPr>
        <w:t>to</w:t>
      </w:r>
      <w:r>
        <w:rPr>
          <w:rFonts w:ascii="Arial" w:cs="Arial" w:eastAsia="Arial" w:hAnsi="Arial"/>
          <w:sz w:val="19"/>
          <w:szCs w:val="19"/>
          <w:color w:val="000000"/>
        </w:rPr>
        <w:t xml:space="preserve"> Landlord pursuant to </w:t>
      </w:r>
      <w:r>
        <w:rPr>
          <w:rFonts w:ascii="Arial" w:cs="Arial" w:eastAsia="Arial" w:hAnsi="Arial"/>
          <w:sz w:val="19"/>
          <w:szCs w:val="19"/>
          <w:color w:val="232323"/>
        </w:rPr>
        <w:t>Section 29.5.2, or</w:t>
      </w:r>
      <w:r>
        <w:rPr>
          <w:rFonts w:ascii="Arial" w:cs="Arial" w:eastAsia="Arial" w:hAnsi="Arial"/>
          <w:sz w:val="19"/>
          <w:szCs w:val="19"/>
          <w:color w:val="000000"/>
        </w:rPr>
        <w:t xml:space="preserve"> manage </w:t>
      </w:r>
      <w:r>
        <w:rPr>
          <w:rFonts w:ascii="Arial" w:cs="Arial" w:eastAsia="Arial" w:hAnsi="Arial"/>
          <w:sz w:val="19"/>
          <w:szCs w:val="19"/>
          <w:color w:val="232323"/>
        </w:rPr>
        <w:t>or</w:t>
      </w:r>
      <w:r>
        <w:rPr>
          <w:rFonts w:ascii="Arial" w:cs="Arial" w:eastAsia="Arial" w:hAnsi="Arial"/>
          <w:sz w:val="19"/>
          <w:szCs w:val="19"/>
          <w:color w:val="000000"/>
        </w:rPr>
        <w:t xml:space="preserve"> operate </w:t>
      </w:r>
      <w:r>
        <w:rPr>
          <w:rFonts w:ascii="Arial" w:cs="Arial" w:eastAsia="Arial" w:hAnsi="Arial"/>
          <w:sz w:val="19"/>
          <w:szCs w:val="19"/>
          <w:color w:val="333333"/>
        </w:rPr>
        <w:t>the</w:t>
      </w:r>
      <w:r>
        <w:rPr>
          <w:rFonts w:ascii="Arial" w:cs="Arial" w:eastAsia="Arial" w:hAnsi="Arial"/>
          <w:sz w:val="19"/>
          <w:szCs w:val="19"/>
          <w:color w:val="000000"/>
        </w:rPr>
        <w:t xml:space="preserve"> </w:t>
      </w:r>
      <w:r>
        <w:rPr>
          <w:rFonts w:ascii="Arial" w:cs="Arial" w:eastAsia="Arial" w:hAnsi="Arial"/>
          <w:sz w:val="19"/>
          <w:szCs w:val="19"/>
          <w:color w:val="232323"/>
        </w:rPr>
        <w:t>Premises or any</w:t>
      </w:r>
      <w:r>
        <w:rPr>
          <w:rFonts w:ascii="Arial" w:cs="Arial" w:eastAsia="Arial" w:hAnsi="Arial"/>
          <w:sz w:val="19"/>
          <w:szCs w:val="19"/>
          <w:color w:val="000000"/>
        </w:rPr>
        <w:t xml:space="preserve"> capital </w:t>
      </w:r>
      <w:r>
        <w:rPr>
          <w:rFonts w:ascii="Arial" w:cs="Arial" w:eastAsia="Arial" w:hAnsi="Arial"/>
          <w:sz w:val="19"/>
          <w:szCs w:val="19"/>
          <w:color w:val="232323"/>
        </w:rPr>
        <w:t>additions so</w:t>
      </w:r>
      <w:r>
        <w:rPr>
          <w:rFonts w:ascii="Arial" w:cs="Arial" w:eastAsia="Arial" w:hAnsi="Arial"/>
          <w:sz w:val="19"/>
          <w:szCs w:val="19"/>
          <w:color w:val="000000"/>
        </w:rPr>
        <w:t xml:space="preserve"> tr</w:t>
      </w:r>
      <w:r>
        <w:rPr>
          <w:rFonts w:ascii="Arial" w:cs="Arial" w:eastAsia="Arial" w:hAnsi="Arial"/>
          <w:sz w:val="19"/>
          <w:szCs w:val="19"/>
          <w:color w:val="333333"/>
        </w:rPr>
        <w:t>ansferr</w:t>
      </w:r>
      <w:r>
        <w:rPr>
          <w:rFonts w:ascii="Arial" w:cs="Arial" w:eastAsia="Arial" w:hAnsi="Arial"/>
          <w:sz w:val="19"/>
          <w:szCs w:val="19"/>
          <w:color w:val="000000"/>
        </w:rPr>
        <w:t>ed</w:t>
      </w:r>
      <w:r>
        <w:rPr>
          <w:rFonts w:ascii="Arial" w:cs="Arial" w:eastAsia="Arial" w:hAnsi="Arial"/>
          <w:sz w:val="19"/>
          <w:szCs w:val="19"/>
          <w:color w:val="444444"/>
        </w:rPr>
        <w:t>,</w:t>
      </w:r>
      <w:r>
        <w:rPr>
          <w:rFonts w:ascii="Arial" w:cs="Arial" w:eastAsia="Arial" w:hAnsi="Arial"/>
          <w:sz w:val="19"/>
          <w:szCs w:val="19"/>
          <w:color w:val="000000"/>
        </w:rPr>
        <w:t xml:space="preserve"> with respect to </w:t>
      </w:r>
      <w:r>
        <w:rPr>
          <w:rFonts w:ascii="Arial" w:cs="Arial" w:eastAsia="Arial" w:hAnsi="Arial"/>
          <w:sz w:val="19"/>
          <w:szCs w:val="19"/>
          <w:color w:val="232323"/>
        </w:rPr>
        <w:t>which consideration</w:t>
      </w:r>
      <w:r>
        <w:rPr>
          <w:rFonts w:ascii="Arial" w:cs="Arial" w:eastAsia="Arial" w:hAnsi="Arial"/>
          <w:sz w:val="19"/>
          <w:szCs w:val="19"/>
          <w:color w:val="000000"/>
        </w:rPr>
        <w:t xml:space="preserve"> </w:t>
      </w:r>
      <w:r>
        <w:rPr>
          <w:rFonts w:ascii="Arial" w:cs="Arial" w:eastAsia="Arial" w:hAnsi="Arial"/>
          <w:sz w:val="19"/>
          <w:szCs w:val="19"/>
          <w:color w:val="444444"/>
        </w:rPr>
        <w:t>is</w:t>
      </w:r>
      <w:r>
        <w:rPr>
          <w:rFonts w:ascii="Arial" w:cs="Arial" w:eastAsia="Arial" w:hAnsi="Arial"/>
          <w:sz w:val="19"/>
          <w:szCs w:val="19"/>
          <w:color w:val="000000"/>
        </w:rPr>
        <w:t xml:space="preserve"> required to be paid </w:t>
      </w:r>
      <w:r>
        <w:rPr>
          <w:rFonts w:ascii="Arial" w:cs="Arial" w:eastAsia="Arial" w:hAnsi="Arial"/>
          <w:sz w:val="19"/>
          <w:szCs w:val="19"/>
          <w:color w:val="333333"/>
        </w:rPr>
        <w:t>to</w:t>
      </w:r>
      <w:r>
        <w:rPr>
          <w:rFonts w:ascii="Arial" w:cs="Arial" w:eastAsia="Arial" w:hAnsi="Arial"/>
          <w:sz w:val="19"/>
          <w:szCs w:val="19"/>
          <w:color w:val="000000"/>
        </w:rPr>
        <w:t xml:space="preserve"> </w:t>
      </w:r>
      <w:r>
        <w:rPr>
          <w:rFonts w:ascii="Arial" w:cs="Arial" w:eastAsia="Arial" w:hAnsi="Arial"/>
          <w:sz w:val="19"/>
          <w:szCs w:val="19"/>
          <w:color w:val="232323"/>
        </w:rPr>
        <w:t>Landlord</w:t>
      </w:r>
      <w:r>
        <w:rPr>
          <w:rFonts w:ascii="Arial" w:cs="Arial" w:eastAsia="Arial" w:hAnsi="Arial"/>
          <w:sz w:val="19"/>
          <w:szCs w:val="19"/>
          <w:color w:val="000000"/>
        </w:rPr>
        <w:t xml:space="preserve"> pursuant </w:t>
      </w:r>
      <w:r>
        <w:rPr>
          <w:rFonts w:ascii="Arial" w:cs="Arial" w:eastAsia="Arial" w:hAnsi="Arial"/>
          <w:sz w:val="19"/>
          <w:szCs w:val="19"/>
          <w:color w:val="333333"/>
        </w:rPr>
        <w:t>to Section</w:t>
      </w:r>
      <w:r>
        <w:rPr>
          <w:rFonts w:ascii="Arial" w:cs="Arial" w:eastAsia="Arial" w:hAnsi="Arial"/>
          <w:sz w:val="19"/>
          <w:szCs w:val="19"/>
          <w:color w:val="000000"/>
        </w:rPr>
        <w:t xml:space="preserve"> 29.5.2, </w:t>
      </w:r>
      <w:r>
        <w:rPr>
          <w:rFonts w:ascii="Arial" w:cs="Arial" w:eastAsia="Arial" w:hAnsi="Arial"/>
          <w:sz w:val="19"/>
          <w:szCs w:val="19"/>
          <w:color w:val="232323"/>
        </w:rPr>
        <w:t xml:space="preserve">without </w:t>
      </w:r>
      <w:r>
        <w:rPr>
          <w:rFonts w:ascii="Arial" w:cs="Arial" w:eastAsia="Arial" w:hAnsi="Arial"/>
          <w:sz w:val="19"/>
          <w:szCs w:val="19"/>
          <w:color w:val="000000"/>
        </w:rPr>
        <w:t>Landlord’s consent, not to be unrea</w:t>
      </w:r>
      <w:r>
        <w:rPr>
          <w:rFonts w:ascii="Arial" w:cs="Arial" w:eastAsia="Arial" w:hAnsi="Arial"/>
          <w:sz w:val="19"/>
          <w:szCs w:val="19"/>
          <w:color w:val="333333"/>
        </w:rPr>
        <w:t>so</w:t>
      </w:r>
      <w:r>
        <w:rPr>
          <w:rFonts w:ascii="Arial" w:cs="Arial" w:eastAsia="Arial" w:hAnsi="Arial"/>
          <w:sz w:val="19"/>
          <w:szCs w:val="19"/>
          <w:color w:val="000000"/>
        </w:rPr>
        <w:t>nably withheld, to ensure</w:t>
      </w:r>
      <w:r>
        <w:rPr>
          <w:rFonts w:ascii="Arial" w:cs="Arial" w:eastAsia="Arial" w:hAnsi="Arial"/>
          <w:sz w:val="19"/>
          <w:szCs w:val="19"/>
          <w:color w:val="232323"/>
        </w:rPr>
        <w:t xml:space="preserve"> the </w:t>
      </w:r>
      <w:r>
        <w:rPr>
          <w:rFonts w:ascii="Arial" w:cs="Arial" w:eastAsia="Arial" w:hAnsi="Arial"/>
          <w:sz w:val="19"/>
          <w:szCs w:val="19"/>
          <w:color w:val="000000"/>
        </w:rPr>
        <w:t>Landlord Parties’</w:t>
      </w:r>
      <w:r>
        <w:rPr>
          <w:rFonts w:ascii="Arial" w:cs="Arial" w:eastAsia="Arial" w:hAnsi="Arial"/>
          <w:sz w:val="19"/>
          <w:szCs w:val="19"/>
          <w:color w:val="232323"/>
        </w:rPr>
        <w:t xml:space="preserve"> compliance with </w:t>
      </w:r>
      <w:r>
        <w:rPr>
          <w:rFonts w:ascii="Arial" w:cs="Arial" w:eastAsia="Arial" w:hAnsi="Arial"/>
          <w:sz w:val="19"/>
          <w:szCs w:val="19"/>
          <w:color w:val="000000"/>
        </w:rPr>
        <w:t xml:space="preserve">applicable </w:t>
      </w:r>
      <w:r>
        <w:rPr>
          <w:rFonts w:ascii="Arial" w:cs="Arial" w:eastAsia="Arial" w:hAnsi="Arial"/>
          <w:sz w:val="19"/>
          <w:szCs w:val="19"/>
          <w:color w:val="333333"/>
        </w:rPr>
        <w:t>REIT</w:t>
      </w:r>
      <w:r>
        <w:rPr>
          <w:rFonts w:ascii="Arial" w:cs="Arial" w:eastAsia="Arial" w:hAnsi="Arial"/>
          <w:sz w:val="19"/>
          <w:szCs w:val="19"/>
          <w:color w:val="000000"/>
        </w:rPr>
        <w:t xml:space="preserve"> </w:t>
      </w:r>
      <w:r>
        <w:rPr>
          <w:rFonts w:ascii="Arial" w:cs="Arial" w:eastAsia="Arial" w:hAnsi="Arial"/>
          <w:sz w:val="19"/>
          <w:szCs w:val="19"/>
          <w:color w:val="232323"/>
        </w:rPr>
        <w:t>tax</w:t>
      </w:r>
      <w:r>
        <w:rPr>
          <w:rFonts w:ascii="Arial" w:cs="Arial" w:eastAsia="Arial" w:hAnsi="Arial"/>
          <w:sz w:val="19"/>
          <w:szCs w:val="19"/>
          <w:color w:val="000000"/>
        </w:rPr>
        <w:t xml:space="preserve"> rules </w:t>
      </w:r>
      <w:r>
        <w:rPr>
          <w:rFonts w:ascii="Arial" w:cs="Arial" w:eastAsia="Arial" w:hAnsi="Arial"/>
          <w:sz w:val="19"/>
          <w:szCs w:val="19"/>
          <w:color w:val="232323"/>
        </w:rPr>
        <w:t>and</w:t>
      </w:r>
      <w:r>
        <w:rPr>
          <w:rFonts w:ascii="Arial" w:cs="Arial" w:eastAsia="Arial" w:hAnsi="Arial"/>
          <w:sz w:val="19"/>
          <w:szCs w:val="19"/>
          <w:color w:val="000000"/>
        </w:rPr>
        <w:t xml:space="preserve"> </w:t>
      </w:r>
      <w:r>
        <w:rPr>
          <w:rFonts w:ascii="Arial" w:cs="Arial" w:eastAsia="Arial" w:hAnsi="Arial"/>
          <w:sz w:val="19"/>
          <w:szCs w:val="19"/>
          <w:color w:val="212121"/>
        </w:rPr>
        <w:t>regulations; (y) Tenant</w:t>
      </w:r>
      <w:r>
        <w:rPr>
          <w:rFonts w:ascii="Arial" w:cs="Arial" w:eastAsia="Arial" w:hAnsi="Arial"/>
          <w:sz w:val="19"/>
          <w:szCs w:val="19"/>
          <w:color w:val="000000"/>
        </w:rPr>
        <w:t xml:space="preserve"> </w:t>
      </w:r>
      <w:r>
        <w:rPr>
          <w:rFonts w:ascii="Arial" w:cs="Arial" w:eastAsia="Arial" w:hAnsi="Arial"/>
          <w:sz w:val="19"/>
          <w:szCs w:val="19"/>
          <w:color w:val="343434"/>
        </w:rPr>
        <w:t>shall</w:t>
      </w:r>
      <w:r>
        <w:rPr>
          <w:rFonts w:ascii="Arial" w:cs="Arial" w:eastAsia="Arial" w:hAnsi="Arial"/>
          <w:sz w:val="19"/>
          <w:szCs w:val="19"/>
          <w:color w:val="000000"/>
        </w:rPr>
        <w:t xml:space="preserve"> </w:t>
      </w:r>
      <w:r>
        <w:rPr>
          <w:rFonts w:ascii="Arial" w:cs="Arial" w:eastAsia="Arial" w:hAnsi="Arial"/>
          <w:sz w:val="19"/>
          <w:szCs w:val="19"/>
          <w:color w:val="0C0C0C"/>
        </w:rPr>
        <w:t>not</w:t>
      </w:r>
      <w:r>
        <w:rPr>
          <w:rFonts w:ascii="Arial" w:cs="Arial" w:eastAsia="Arial" w:hAnsi="Arial"/>
          <w:sz w:val="19"/>
          <w:szCs w:val="19"/>
          <w:color w:val="000000"/>
        </w:rPr>
        <w:t xml:space="preserve"> </w:t>
      </w:r>
      <w:r>
        <w:rPr>
          <w:rFonts w:ascii="Arial" w:cs="Arial" w:eastAsia="Arial" w:hAnsi="Arial"/>
          <w:sz w:val="19"/>
          <w:szCs w:val="19"/>
          <w:color w:val="212121"/>
        </w:rPr>
        <w:t>consummate a Transfer with any</w:t>
      </w:r>
      <w:r>
        <w:rPr>
          <w:rFonts w:ascii="Arial" w:cs="Arial" w:eastAsia="Arial" w:hAnsi="Arial"/>
          <w:sz w:val="19"/>
          <w:szCs w:val="19"/>
          <w:color w:val="000000"/>
        </w:rPr>
        <w:t xml:space="preserve"> </w:t>
      </w:r>
      <w:r>
        <w:rPr>
          <w:rFonts w:ascii="Arial" w:cs="Arial" w:eastAsia="Arial" w:hAnsi="Arial"/>
          <w:sz w:val="19"/>
          <w:szCs w:val="19"/>
          <w:color w:val="343434"/>
        </w:rPr>
        <w:t>person in which</w:t>
      </w:r>
      <w:r>
        <w:rPr>
          <w:rFonts w:ascii="Arial" w:cs="Arial" w:eastAsia="Arial" w:hAnsi="Arial"/>
          <w:sz w:val="19"/>
          <w:szCs w:val="19"/>
          <w:color w:val="000000"/>
        </w:rPr>
        <w:t xml:space="preserve"> </w:t>
      </w:r>
      <w:r>
        <w:rPr>
          <w:rFonts w:ascii="Arial" w:cs="Arial" w:eastAsia="Arial" w:hAnsi="Arial"/>
          <w:sz w:val="19"/>
          <w:szCs w:val="19"/>
          <w:color w:val="212121"/>
        </w:rPr>
        <w:t xml:space="preserve">Landlord owns </w:t>
      </w:r>
      <w:r>
        <w:rPr>
          <w:rFonts w:ascii="Arial" w:cs="Arial" w:eastAsia="Arial" w:hAnsi="Arial"/>
          <w:sz w:val="19"/>
          <w:szCs w:val="19"/>
          <w:color w:val="343434"/>
        </w:rPr>
        <w:t>an</w:t>
      </w:r>
      <w:r>
        <w:rPr>
          <w:rFonts w:ascii="Arial" w:cs="Arial" w:eastAsia="Arial" w:hAnsi="Arial"/>
          <w:sz w:val="19"/>
          <w:szCs w:val="19"/>
          <w:color w:val="212121"/>
        </w:rPr>
        <w:t xml:space="preserve"> interest, directly or indirectly (by applying constructive ownership </w:t>
      </w:r>
      <w:r>
        <w:rPr>
          <w:rFonts w:ascii="Arial" w:cs="Arial" w:eastAsia="Arial" w:hAnsi="Arial"/>
          <w:sz w:val="19"/>
          <w:szCs w:val="19"/>
          <w:color w:val="0C0C0C"/>
        </w:rPr>
        <w:t>rules</w:t>
      </w:r>
      <w:r>
        <w:rPr>
          <w:rFonts w:ascii="Arial" w:cs="Arial" w:eastAsia="Arial" w:hAnsi="Arial"/>
          <w:sz w:val="19"/>
          <w:szCs w:val="19"/>
          <w:color w:val="212121"/>
        </w:rPr>
        <w:t xml:space="preserve"> set forth in </w:t>
      </w:r>
      <w:r>
        <w:rPr>
          <w:rFonts w:ascii="Arial" w:cs="Arial" w:eastAsia="Arial" w:hAnsi="Arial"/>
          <w:sz w:val="19"/>
          <w:szCs w:val="19"/>
          <w:color w:val="343434"/>
        </w:rPr>
        <w:t>Section</w:t>
      </w:r>
      <w:r>
        <w:rPr>
          <w:rFonts w:ascii="Arial" w:cs="Arial" w:eastAsia="Arial" w:hAnsi="Arial"/>
          <w:sz w:val="19"/>
          <w:szCs w:val="19"/>
          <w:color w:val="212121"/>
        </w:rPr>
        <w:t xml:space="preserve"> 856(d)(5) of the Revenue Code); and </w:t>
      </w:r>
      <w:r>
        <w:rPr>
          <w:rFonts w:ascii="Arial" w:cs="Arial" w:eastAsia="Arial" w:hAnsi="Arial"/>
          <w:sz w:val="19"/>
          <w:szCs w:val="19"/>
          <w:color w:val="343434"/>
        </w:rPr>
        <w:t>(z)</w:t>
      </w:r>
      <w:r>
        <w:rPr>
          <w:rFonts w:ascii="Arial" w:cs="Arial" w:eastAsia="Arial" w:hAnsi="Arial"/>
          <w:sz w:val="19"/>
          <w:szCs w:val="19"/>
          <w:color w:val="212121"/>
        </w:rPr>
        <w:t xml:space="preserve"> Tenant </w:t>
      </w:r>
      <w:r>
        <w:rPr>
          <w:rFonts w:ascii="Arial" w:cs="Arial" w:eastAsia="Arial" w:hAnsi="Arial"/>
          <w:sz w:val="19"/>
          <w:szCs w:val="19"/>
          <w:color w:val="343434"/>
        </w:rPr>
        <w:t>shall</w:t>
      </w:r>
      <w:r>
        <w:rPr>
          <w:rFonts w:ascii="Arial" w:cs="Arial" w:eastAsia="Arial" w:hAnsi="Arial"/>
          <w:sz w:val="19"/>
          <w:szCs w:val="19"/>
          <w:color w:val="212121"/>
        </w:rPr>
        <w:t xml:space="preserve"> not consummate a Transfer </w:t>
      </w:r>
      <w:r>
        <w:rPr>
          <w:rFonts w:ascii="Arial" w:cs="Arial" w:eastAsia="Arial" w:hAnsi="Arial"/>
          <w:sz w:val="19"/>
          <w:szCs w:val="19"/>
          <w:color w:val="343434"/>
        </w:rPr>
        <w:t>with</w:t>
      </w:r>
      <w:r>
        <w:rPr>
          <w:rFonts w:ascii="Arial" w:cs="Arial" w:eastAsia="Arial" w:hAnsi="Arial"/>
          <w:sz w:val="19"/>
          <w:szCs w:val="19"/>
          <w:color w:val="212121"/>
        </w:rPr>
        <w:t xml:space="preserve"> any person or </w:t>
      </w:r>
      <w:r>
        <w:rPr>
          <w:rFonts w:ascii="Arial" w:cs="Arial" w:eastAsia="Arial" w:hAnsi="Arial"/>
          <w:sz w:val="19"/>
          <w:szCs w:val="19"/>
          <w:color w:val="343434"/>
        </w:rPr>
        <w:t>in</w:t>
      </w:r>
      <w:r>
        <w:rPr>
          <w:rFonts w:ascii="Arial" w:cs="Arial" w:eastAsia="Arial" w:hAnsi="Arial"/>
          <w:sz w:val="19"/>
          <w:szCs w:val="19"/>
          <w:color w:val="212121"/>
        </w:rPr>
        <w:t xml:space="preserve"> any </w:t>
      </w:r>
      <w:r>
        <w:rPr>
          <w:rFonts w:ascii="Arial" w:cs="Arial" w:eastAsia="Arial" w:hAnsi="Arial"/>
          <w:sz w:val="19"/>
          <w:szCs w:val="19"/>
          <w:color w:val="0C0C0C"/>
        </w:rPr>
        <w:t xml:space="preserve">manner </w:t>
      </w:r>
      <w:r>
        <w:rPr>
          <w:rFonts w:ascii="Arial" w:cs="Arial" w:eastAsia="Arial" w:hAnsi="Arial"/>
          <w:sz w:val="19"/>
          <w:szCs w:val="19"/>
          <w:color w:val="343434"/>
        </w:rPr>
        <w:t>that</w:t>
      </w:r>
      <w:r>
        <w:rPr>
          <w:rFonts w:ascii="Arial" w:cs="Arial" w:eastAsia="Arial" w:hAnsi="Arial"/>
          <w:sz w:val="19"/>
          <w:szCs w:val="19"/>
          <w:color w:val="0C0C0C"/>
        </w:rPr>
        <w:t xml:space="preserve"> </w:t>
      </w:r>
      <w:r>
        <w:rPr>
          <w:rFonts w:ascii="Arial" w:cs="Arial" w:eastAsia="Arial" w:hAnsi="Arial"/>
          <w:sz w:val="19"/>
          <w:szCs w:val="19"/>
          <w:color w:val="212121"/>
        </w:rPr>
        <w:t>could cause any portion of</w:t>
      </w:r>
      <w:r>
        <w:rPr>
          <w:rFonts w:ascii="Arial" w:cs="Arial" w:eastAsia="Arial" w:hAnsi="Arial"/>
          <w:sz w:val="19"/>
          <w:szCs w:val="19"/>
          <w:color w:val="0C0C0C"/>
        </w:rPr>
        <w:t xml:space="preserve"> the </w:t>
      </w:r>
      <w:r>
        <w:rPr>
          <w:rFonts w:ascii="Arial" w:cs="Arial" w:eastAsia="Arial" w:hAnsi="Arial"/>
          <w:sz w:val="19"/>
          <w:szCs w:val="19"/>
          <w:color w:val="212121"/>
        </w:rPr>
        <w:t>amounts received</w:t>
      </w:r>
      <w:r>
        <w:rPr>
          <w:rFonts w:ascii="Arial" w:cs="Arial" w:eastAsia="Arial" w:hAnsi="Arial"/>
          <w:sz w:val="19"/>
          <w:szCs w:val="19"/>
          <w:color w:val="0C0C0C"/>
        </w:rPr>
        <w:t xml:space="preserve"> by </w:t>
      </w:r>
      <w:r>
        <w:rPr>
          <w:rFonts w:ascii="Arial" w:cs="Arial" w:eastAsia="Arial" w:hAnsi="Arial"/>
          <w:sz w:val="19"/>
          <w:szCs w:val="19"/>
          <w:color w:val="212121"/>
        </w:rPr>
        <w:t>Landlord</w:t>
      </w:r>
      <w:r>
        <w:rPr>
          <w:rFonts w:ascii="Arial" w:cs="Arial" w:eastAsia="Arial" w:hAnsi="Arial"/>
          <w:sz w:val="19"/>
          <w:szCs w:val="19"/>
          <w:color w:val="0C0C0C"/>
        </w:rPr>
        <w:t xml:space="preserve"> pursuant </w:t>
      </w:r>
      <w:r>
        <w:rPr>
          <w:rFonts w:ascii="Arial" w:cs="Arial" w:eastAsia="Arial" w:hAnsi="Arial"/>
          <w:sz w:val="19"/>
          <w:szCs w:val="19"/>
          <w:color w:val="212121"/>
        </w:rPr>
        <w:t>to</w:t>
      </w:r>
      <w:r>
        <w:rPr>
          <w:rFonts w:ascii="Arial" w:cs="Arial" w:eastAsia="Arial" w:hAnsi="Arial"/>
          <w:sz w:val="19"/>
          <w:szCs w:val="19"/>
          <w:color w:val="0C0C0C"/>
        </w:rPr>
        <w:t xml:space="preserve"> </w:t>
      </w:r>
      <w:r>
        <w:rPr>
          <w:rFonts w:ascii="Arial" w:cs="Arial" w:eastAsia="Arial" w:hAnsi="Arial"/>
          <w:sz w:val="19"/>
          <w:szCs w:val="19"/>
          <w:color w:val="343434"/>
        </w:rPr>
        <w:t>this</w:t>
      </w:r>
      <w:r>
        <w:rPr>
          <w:rFonts w:ascii="Arial" w:cs="Arial" w:eastAsia="Arial" w:hAnsi="Arial"/>
          <w:sz w:val="19"/>
          <w:szCs w:val="19"/>
          <w:color w:val="0C0C0C"/>
        </w:rPr>
        <w:t xml:space="preserve"> </w:t>
      </w:r>
      <w:r>
        <w:rPr>
          <w:rFonts w:ascii="Arial" w:cs="Arial" w:eastAsia="Arial" w:hAnsi="Arial"/>
          <w:sz w:val="19"/>
          <w:szCs w:val="19"/>
          <w:color w:val="212121"/>
        </w:rPr>
        <w:t>Lease or any</w:t>
      </w:r>
      <w:r>
        <w:rPr>
          <w:rFonts w:ascii="Arial" w:cs="Arial" w:eastAsia="Arial" w:hAnsi="Arial"/>
          <w:sz w:val="19"/>
          <w:szCs w:val="19"/>
          <w:color w:val="0C0C0C"/>
        </w:rPr>
        <w:t xml:space="preserve"> </w:t>
      </w:r>
      <w:r>
        <w:rPr>
          <w:rFonts w:ascii="Arial" w:cs="Arial" w:eastAsia="Arial" w:hAnsi="Arial"/>
          <w:sz w:val="19"/>
          <w:szCs w:val="19"/>
          <w:color w:val="343434"/>
        </w:rPr>
        <w:t>sublease,</w:t>
      </w:r>
      <w:r>
        <w:rPr>
          <w:rFonts w:ascii="Arial" w:cs="Arial" w:eastAsia="Arial" w:hAnsi="Arial"/>
          <w:sz w:val="19"/>
          <w:szCs w:val="19"/>
          <w:color w:val="0C0C0C"/>
        </w:rPr>
        <w:t xml:space="preserve"> </w:t>
      </w:r>
      <w:r>
        <w:rPr>
          <w:rFonts w:ascii="Arial" w:cs="Arial" w:eastAsia="Arial" w:hAnsi="Arial"/>
          <w:sz w:val="19"/>
          <w:szCs w:val="19"/>
          <w:color w:val="212121"/>
        </w:rPr>
        <w:t xml:space="preserve">license or other arrangement </w:t>
      </w:r>
      <w:r>
        <w:rPr>
          <w:rFonts w:ascii="Arial" w:cs="Arial" w:eastAsia="Arial" w:hAnsi="Arial"/>
          <w:sz w:val="19"/>
          <w:szCs w:val="19"/>
          <w:color w:val="343434"/>
        </w:rPr>
        <w:t>for</w:t>
      </w:r>
      <w:r>
        <w:rPr>
          <w:rFonts w:ascii="Arial" w:cs="Arial" w:eastAsia="Arial" w:hAnsi="Arial"/>
          <w:sz w:val="19"/>
          <w:szCs w:val="19"/>
          <w:color w:val="212121"/>
        </w:rPr>
        <w:t xml:space="preserve"> the right </w:t>
      </w:r>
      <w:r>
        <w:rPr>
          <w:rFonts w:ascii="Arial" w:cs="Arial" w:eastAsia="Arial" w:hAnsi="Arial"/>
          <w:sz w:val="19"/>
          <w:szCs w:val="19"/>
          <w:color w:val="343434"/>
        </w:rPr>
        <w:t>to</w:t>
      </w:r>
      <w:r>
        <w:rPr>
          <w:rFonts w:ascii="Arial" w:cs="Arial" w:eastAsia="Arial" w:hAnsi="Arial"/>
          <w:sz w:val="19"/>
          <w:szCs w:val="19"/>
          <w:color w:val="212121"/>
        </w:rPr>
        <w:t xml:space="preserve"> use, occupy or </w:t>
      </w:r>
      <w:r>
        <w:rPr>
          <w:rFonts w:ascii="Arial" w:cs="Arial" w:eastAsia="Arial" w:hAnsi="Arial"/>
          <w:sz w:val="19"/>
          <w:szCs w:val="19"/>
          <w:color w:val="343434"/>
        </w:rPr>
        <w:t>possess</w:t>
      </w:r>
      <w:r>
        <w:rPr>
          <w:rFonts w:ascii="Arial" w:cs="Arial" w:eastAsia="Arial" w:hAnsi="Arial"/>
          <w:sz w:val="19"/>
          <w:szCs w:val="19"/>
          <w:color w:val="212121"/>
        </w:rPr>
        <w:t xml:space="preserve"> any portion of the Premises to </w:t>
      </w:r>
      <w:r>
        <w:rPr>
          <w:rFonts w:ascii="Arial" w:cs="Arial" w:eastAsia="Arial" w:hAnsi="Arial"/>
          <w:sz w:val="19"/>
          <w:szCs w:val="19"/>
          <w:color w:val="343434"/>
        </w:rPr>
        <w:t>fail to</w:t>
      </w:r>
      <w:r>
        <w:rPr>
          <w:rFonts w:ascii="Arial" w:cs="Arial" w:eastAsia="Arial" w:hAnsi="Arial"/>
          <w:sz w:val="19"/>
          <w:szCs w:val="19"/>
          <w:color w:val="212121"/>
        </w:rPr>
        <w:t xml:space="preserve"> </w:t>
      </w:r>
      <w:r>
        <w:rPr>
          <w:rFonts w:ascii="Arial" w:cs="Arial" w:eastAsia="Arial" w:hAnsi="Arial"/>
          <w:sz w:val="19"/>
          <w:szCs w:val="19"/>
          <w:color w:val="0C0C0C"/>
        </w:rPr>
        <w:t>qualify</w:t>
      </w:r>
      <w:r>
        <w:rPr>
          <w:rFonts w:ascii="Arial" w:cs="Arial" w:eastAsia="Arial" w:hAnsi="Arial"/>
          <w:sz w:val="19"/>
          <w:szCs w:val="19"/>
          <w:color w:val="212121"/>
        </w:rPr>
        <w:t xml:space="preserve"> as “rents from real property” within the meaning of Section 856(</w:t>
      </w:r>
      <w:r>
        <w:rPr>
          <w:rFonts w:ascii="Arial" w:cs="Arial" w:eastAsia="Arial" w:hAnsi="Arial"/>
          <w:sz w:val="19"/>
          <w:szCs w:val="19"/>
          <w:color w:val="0C0C0C"/>
        </w:rPr>
        <w:t>d)</w:t>
      </w:r>
      <w:r>
        <w:rPr>
          <w:rFonts w:ascii="Arial" w:cs="Arial" w:eastAsia="Arial" w:hAnsi="Arial"/>
          <w:sz w:val="19"/>
          <w:szCs w:val="19"/>
          <w:color w:val="212121"/>
        </w:rPr>
        <w:t xml:space="preserve"> of the </w:t>
      </w:r>
      <w:r>
        <w:rPr>
          <w:rFonts w:ascii="Arial" w:cs="Arial" w:eastAsia="Arial" w:hAnsi="Arial"/>
          <w:sz w:val="19"/>
          <w:szCs w:val="19"/>
          <w:color w:val="0C0C0C"/>
        </w:rPr>
        <w:t>Revenue</w:t>
      </w:r>
      <w:r>
        <w:rPr>
          <w:rFonts w:ascii="Arial" w:cs="Arial" w:eastAsia="Arial" w:hAnsi="Arial"/>
          <w:sz w:val="19"/>
          <w:szCs w:val="19"/>
          <w:color w:val="212121"/>
        </w:rPr>
        <w:t xml:space="preserve"> Code, or any similar or successor provision </w:t>
      </w:r>
      <w:r>
        <w:rPr>
          <w:rFonts w:ascii="Arial" w:cs="Arial" w:eastAsia="Arial" w:hAnsi="Arial"/>
          <w:sz w:val="19"/>
          <w:szCs w:val="19"/>
          <w:color w:val="0C0C0C"/>
        </w:rPr>
        <w:t>thereto</w:t>
      </w:r>
      <w:r>
        <w:rPr>
          <w:rFonts w:ascii="Arial" w:cs="Arial" w:eastAsia="Arial" w:hAnsi="Arial"/>
          <w:sz w:val="19"/>
          <w:szCs w:val="19"/>
          <w:color w:val="212121"/>
        </w:rPr>
        <w:t xml:space="preserve"> or which could cause any other </w:t>
      </w:r>
      <w:r>
        <w:rPr>
          <w:rFonts w:ascii="Arial" w:cs="Arial" w:eastAsia="Arial" w:hAnsi="Arial"/>
          <w:sz w:val="19"/>
          <w:szCs w:val="19"/>
          <w:color w:val="343434"/>
        </w:rPr>
        <w:t>income</w:t>
      </w:r>
      <w:r>
        <w:rPr>
          <w:rFonts w:ascii="Arial" w:cs="Arial" w:eastAsia="Arial" w:hAnsi="Arial"/>
          <w:sz w:val="19"/>
          <w:szCs w:val="19"/>
          <w:color w:val="212121"/>
        </w:rPr>
        <w:t xml:space="preserve"> of </w:t>
      </w:r>
      <w:r>
        <w:rPr>
          <w:rFonts w:ascii="Arial" w:cs="Arial" w:eastAsia="Arial" w:hAnsi="Arial"/>
          <w:sz w:val="19"/>
          <w:szCs w:val="19"/>
          <w:color w:val="343434"/>
        </w:rPr>
        <w:t>Landlord</w:t>
      </w:r>
      <w:r>
        <w:rPr>
          <w:rFonts w:ascii="Arial" w:cs="Arial" w:eastAsia="Arial" w:hAnsi="Arial"/>
          <w:sz w:val="19"/>
          <w:szCs w:val="19"/>
          <w:color w:val="212121"/>
        </w:rPr>
        <w:t xml:space="preserve"> to fail to qualify as income described in </w:t>
      </w:r>
      <w:r>
        <w:rPr>
          <w:rFonts w:ascii="Arial" w:cs="Arial" w:eastAsia="Arial" w:hAnsi="Arial"/>
          <w:sz w:val="19"/>
          <w:szCs w:val="19"/>
          <w:color w:val="343434"/>
        </w:rPr>
        <w:t xml:space="preserve">Section </w:t>
      </w:r>
      <w:r>
        <w:rPr>
          <w:rFonts w:ascii="Arial" w:cs="Arial" w:eastAsia="Arial" w:hAnsi="Arial"/>
          <w:sz w:val="19"/>
          <w:szCs w:val="19"/>
          <w:color w:val="212121"/>
        </w:rPr>
        <w:t>856(c)(2) of the Revenue Code.</w:t>
      </w:r>
    </w:p>
    <w:p>
      <w:pPr>
        <w:spacing w:after="0" w:line="36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29.5</w:t>
      </w:r>
      <w:r>
        <w:rPr>
          <w:sz w:val="20"/>
          <w:szCs w:val="20"/>
          <w:color w:val="auto"/>
        </w:rPr>
        <w:tab/>
      </w:r>
      <w:r>
        <w:rPr>
          <w:rFonts w:ascii="Arial" w:cs="Arial" w:eastAsia="Arial" w:hAnsi="Arial"/>
          <w:sz w:val="19"/>
          <w:szCs w:val="19"/>
          <w:color w:val="auto"/>
        </w:rPr>
        <w:t xml:space="preserve">As conditions precedent to Tenant </w:t>
      </w:r>
      <w:r>
        <w:rPr>
          <w:rFonts w:ascii="Arial" w:cs="Arial" w:eastAsia="Arial" w:hAnsi="Arial"/>
          <w:sz w:val="19"/>
          <w:szCs w:val="19"/>
          <w:color w:val="343434"/>
        </w:rPr>
        <w:t>subleasing</w:t>
      </w:r>
      <w:r>
        <w:rPr>
          <w:rFonts w:ascii="Arial" w:cs="Arial" w:eastAsia="Arial" w:hAnsi="Arial"/>
          <w:sz w:val="19"/>
          <w:szCs w:val="19"/>
          <w:color w:val="auto"/>
        </w:rPr>
        <w:t xml:space="preserve"> the Premises or </w:t>
      </w:r>
      <w:r>
        <w:rPr>
          <w:rFonts w:ascii="Arial" w:cs="Arial" w:eastAsia="Arial" w:hAnsi="Arial"/>
          <w:sz w:val="19"/>
          <w:szCs w:val="19"/>
          <w:color w:val="0C0C0C"/>
        </w:rPr>
        <w:t>to</w:t>
      </w:r>
      <w:r>
        <w:rPr>
          <w:rFonts w:ascii="Arial" w:cs="Arial" w:eastAsia="Arial" w:hAnsi="Arial"/>
          <w:sz w:val="19"/>
          <w:szCs w:val="19"/>
          <w:color w:val="auto"/>
        </w:rPr>
        <w:t xml:space="preserve"> Landlord considering a request by </w:t>
      </w:r>
      <w:r>
        <w:rPr>
          <w:rFonts w:ascii="Arial" w:cs="Arial" w:eastAsia="Arial" w:hAnsi="Arial"/>
          <w:sz w:val="19"/>
          <w:szCs w:val="19"/>
          <w:color w:val="0C0C0C"/>
        </w:rPr>
        <w:t>Tenant</w:t>
      </w:r>
      <w:r>
        <w:rPr>
          <w:rFonts w:ascii="Arial" w:cs="Arial" w:eastAsia="Arial" w:hAnsi="Arial"/>
          <w:sz w:val="19"/>
          <w:szCs w:val="19"/>
          <w:color w:val="auto"/>
        </w:rPr>
        <w:t xml:space="preserve"> to</w:t>
      </w:r>
    </w:p>
    <w:p>
      <w:pPr>
        <w:ind w:left="640"/>
        <w:spacing w:after="0"/>
        <w:rPr>
          <w:sz w:val="20"/>
          <w:szCs w:val="20"/>
          <w:color w:val="auto"/>
        </w:rPr>
      </w:pPr>
      <w:r>
        <w:rPr>
          <w:rFonts w:ascii="Arial" w:cs="Arial" w:eastAsia="Arial" w:hAnsi="Arial"/>
          <w:sz w:val="22"/>
          <w:szCs w:val="22"/>
          <w:color w:val="0C0C0C"/>
        </w:rPr>
        <w:t xml:space="preserve">Tenant’s </w:t>
      </w:r>
      <w:r>
        <w:rPr>
          <w:rFonts w:ascii="Arial" w:cs="Arial" w:eastAsia="Arial" w:hAnsi="Arial"/>
          <w:sz w:val="22"/>
          <w:szCs w:val="22"/>
          <w:color w:val="000000"/>
        </w:rPr>
        <w:t>transfer of</w:t>
      </w:r>
      <w:r>
        <w:rPr>
          <w:rFonts w:ascii="Arial" w:cs="Arial" w:eastAsia="Arial" w:hAnsi="Arial"/>
          <w:sz w:val="22"/>
          <w:szCs w:val="22"/>
          <w:color w:val="0C0C0C"/>
        </w:rPr>
        <w:t xml:space="preserve"> </w:t>
      </w:r>
      <w:r>
        <w:rPr>
          <w:rFonts w:ascii="Arial" w:cs="Arial" w:eastAsia="Arial" w:hAnsi="Arial"/>
          <w:sz w:val="22"/>
          <w:szCs w:val="22"/>
          <w:color w:val="343434"/>
        </w:rPr>
        <w:t>rights</w:t>
      </w:r>
      <w:r>
        <w:rPr>
          <w:rFonts w:ascii="Arial" w:cs="Arial" w:eastAsia="Arial" w:hAnsi="Arial"/>
          <w:sz w:val="22"/>
          <w:szCs w:val="22"/>
          <w:color w:val="0C0C0C"/>
        </w:rPr>
        <w:t xml:space="preserve"> </w:t>
      </w:r>
      <w:r>
        <w:rPr>
          <w:rFonts w:ascii="Arial" w:cs="Arial" w:eastAsia="Arial" w:hAnsi="Arial"/>
          <w:sz w:val="22"/>
          <w:szCs w:val="22"/>
          <w:color w:val="000000"/>
        </w:rPr>
        <w:t>or</w:t>
      </w:r>
      <w:r>
        <w:rPr>
          <w:rFonts w:ascii="Arial" w:cs="Arial" w:eastAsia="Arial" w:hAnsi="Arial"/>
          <w:sz w:val="22"/>
          <w:szCs w:val="22"/>
          <w:color w:val="0C0C0C"/>
        </w:rPr>
        <w:t xml:space="preserve"> </w:t>
      </w:r>
      <w:r>
        <w:rPr>
          <w:rFonts w:ascii="Arial" w:cs="Arial" w:eastAsia="Arial" w:hAnsi="Arial"/>
          <w:sz w:val="22"/>
          <w:szCs w:val="22"/>
          <w:color w:val="343434"/>
        </w:rPr>
        <w:t>sharing</w:t>
      </w:r>
      <w:r>
        <w:rPr>
          <w:rFonts w:ascii="Arial" w:cs="Arial" w:eastAsia="Arial" w:hAnsi="Arial"/>
          <w:sz w:val="22"/>
          <w:szCs w:val="22"/>
          <w:color w:val="0C0C0C"/>
        </w:rPr>
        <w:t xml:space="preserve"> </w:t>
      </w:r>
      <w:r>
        <w:rPr>
          <w:rFonts w:ascii="Arial" w:cs="Arial" w:eastAsia="Arial" w:hAnsi="Arial"/>
          <w:sz w:val="22"/>
          <w:szCs w:val="22"/>
          <w:color w:val="000000"/>
        </w:rPr>
        <w:t>of</w:t>
      </w:r>
      <w:r>
        <w:rPr>
          <w:rFonts w:ascii="Arial" w:cs="Arial" w:eastAsia="Arial" w:hAnsi="Arial"/>
          <w:sz w:val="22"/>
          <w:szCs w:val="22"/>
          <w:color w:val="0C0C0C"/>
        </w:rPr>
        <w:t xml:space="preserve"> </w:t>
      </w:r>
      <w:r>
        <w:rPr>
          <w:rFonts w:ascii="Arial" w:cs="Arial" w:eastAsia="Arial" w:hAnsi="Arial"/>
          <w:sz w:val="22"/>
          <w:szCs w:val="22"/>
          <w:color w:val="464646"/>
        </w:rPr>
        <w:t>the</w:t>
      </w:r>
      <w:r>
        <w:rPr>
          <w:rFonts w:ascii="Arial" w:cs="Arial" w:eastAsia="Arial" w:hAnsi="Arial"/>
          <w:sz w:val="22"/>
          <w:szCs w:val="22"/>
          <w:color w:val="0C0C0C"/>
        </w:rPr>
        <w:t xml:space="preserve"> </w:t>
      </w:r>
      <w:r>
        <w:rPr>
          <w:rFonts w:ascii="Arial" w:cs="Arial" w:eastAsia="Arial" w:hAnsi="Arial"/>
          <w:sz w:val="22"/>
          <w:szCs w:val="22"/>
          <w:color w:val="000000"/>
        </w:rPr>
        <w:t>Premises, Landlord may</w:t>
      </w:r>
      <w:r>
        <w:rPr>
          <w:rFonts w:ascii="Arial" w:cs="Arial" w:eastAsia="Arial" w:hAnsi="Arial"/>
          <w:sz w:val="22"/>
          <w:szCs w:val="22"/>
          <w:color w:val="0C0C0C"/>
        </w:rPr>
        <w:t xml:space="preserve"> </w:t>
      </w:r>
      <w:r>
        <w:rPr>
          <w:rFonts w:ascii="Arial" w:cs="Arial" w:eastAsia="Arial" w:hAnsi="Arial"/>
          <w:sz w:val="22"/>
          <w:szCs w:val="22"/>
          <w:color w:val="343434"/>
        </w:rPr>
        <w:t>require any</w:t>
      </w:r>
      <w:r>
        <w:rPr>
          <w:rFonts w:ascii="Arial" w:cs="Arial" w:eastAsia="Arial" w:hAnsi="Arial"/>
          <w:sz w:val="22"/>
          <w:szCs w:val="22"/>
          <w:color w:val="0C0C0C"/>
        </w:rPr>
        <w:t xml:space="preserve"> </w:t>
      </w:r>
      <w:r>
        <w:rPr>
          <w:rFonts w:ascii="Arial" w:cs="Arial" w:eastAsia="Arial" w:hAnsi="Arial"/>
          <w:sz w:val="22"/>
          <w:szCs w:val="22"/>
          <w:color w:val="000000"/>
        </w:rPr>
        <w:t>or all of the following:</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29.5.1. Tenant </w:t>
      </w:r>
      <w:r>
        <w:rPr>
          <w:rFonts w:ascii="Arial" w:cs="Arial" w:eastAsia="Arial" w:hAnsi="Arial"/>
          <w:sz w:val="22"/>
          <w:szCs w:val="22"/>
          <w:color w:val="343434"/>
        </w:rPr>
        <w:t>shall remain</w:t>
      </w:r>
      <w:r>
        <w:rPr>
          <w:rFonts w:ascii="Arial" w:cs="Arial" w:eastAsia="Arial" w:hAnsi="Arial"/>
          <w:sz w:val="22"/>
          <w:szCs w:val="22"/>
          <w:color w:val="auto"/>
        </w:rPr>
        <w:t xml:space="preserve"> fully liable under this Lease </w:t>
      </w:r>
      <w:r>
        <w:rPr>
          <w:rFonts w:ascii="Arial" w:cs="Arial" w:eastAsia="Arial" w:hAnsi="Arial"/>
          <w:sz w:val="22"/>
          <w:szCs w:val="22"/>
          <w:color w:val="0C0C0C"/>
        </w:rPr>
        <w:t>during</w:t>
      </w:r>
      <w:r>
        <w:rPr>
          <w:rFonts w:ascii="Arial" w:cs="Arial" w:eastAsia="Arial" w:hAnsi="Arial"/>
          <w:sz w:val="22"/>
          <w:szCs w:val="22"/>
          <w:color w:val="auto"/>
        </w:rPr>
        <w:t xml:space="preserve"> the unexpired </w:t>
      </w:r>
      <w:r>
        <w:rPr>
          <w:rFonts w:ascii="Arial" w:cs="Arial" w:eastAsia="Arial" w:hAnsi="Arial"/>
          <w:sz w:val="22"/>
          <w:szCs w:val="22"/>
          <w:color w:val="343434"/>
        </w:rPr>
        <w:t>Term;</w:t>
      </w:r>
    </w:p>
    <w:p>
      <w:pPr>
        <w:spacing w:after="0" w:line="179" w:lineRule="exact"/>
        <w:rPr>
          <w:sz w:val="20"/>
          <w:szCs w:val="20"/>
          <w:color w:val="auto"/>
        </w:rPr>
      </w:pPr>
    </w:p>
    <w:p>
      <w:pPr>
        <w:jc w:val="both"/>
        <w:ind w:left="1300" w:hanging="647"/>
        <w:spacing w:after="0" w:line="221" w:lineRule="auto"/>
        <w:rPr>
          <w:sz w:val="20"/>
          <w:szCs w:val="20"/>
          <w:color w:val="auto"/>
        </w:rPr>
      </w:pPr>
      <w:r>
        <w:rPr>
          <w:rFonts w:ascii="Arial" w:cs="Arial" w:eastAsia="Arial" w:hAnsi="Arial"/>
          <w:sz w:val="21"/>
          <w:szCs w:val="21"/>
          <w:color w:val="auto"/>
        </w:rPr>
        <w:t xml:space="preserve">29.5.2. </w:t>
      </w:r>
      <w:r>
        <w:rPr>
          <w:rFonts w:ascii="Arial" w:cs="Arial" w:eastAsia="Arial" w:hAnsi="Arial"/>
          <w:sz w:val="21"/>
          <w:szCs w:val="21"/>
          <w:color w:val="0C0C0C"/>
        </w:rPr>
        <w:t>If Tenant’s</w:t>
      </w:r>
      <w:r>
        <w:rPr>
          <w:rFonts w:ascii="Arial" w:cs="Arial" w:eastAsia="Arial" w:hAnsi="Arial"/>
          <w:sz w:val="21"/>
          <w:szCs w:val="21"/>
          <w:color w:val="auto"/>
        </w:rPr>
        <w:t xml:space="preserve"> </w:t>
      </w:r>
      <w:r>
        <w:rPr>
          <w:rFonts w:ascii="Arial" w:cs="Arial" w:eastAsia="Arial" w:hAnsi="Arial"/>
          <w:sz w:val="21"/>
          <w:szCs w:val="21"/>
          <w:color w:val="343434"/>
        </w:rPr>
        <w:t>transfer</w:t>
      </w:r>
      <w:r>
        <w:rPr>
          <w:rFonts w:ascii="Arial" w:cs="Arial" w:eastAsia="Arial" w:hAnsi="Arial"/>
          <w:sz w:val="21"/>
          <w:szCs w:val="21"/>
          <w:color w:val="auto"/>
        </w:rPr>
        <w:t xml:space="preserve"> of </w:t>
      </w:r>
      <w:r>
        <w:rPr>
          <w:rFonts w:ascii="Arial" w:cs="Arial" w:eastAsia="Arial" w:hAnsi="Arial"/>
          <w:sz w:val="21"/>
          <w:szCs w:val="21"/>
          <w:color w:val="0C0C0C"/>
        </w:rPr>
        <w:t>rights</w:t>
      </w:r>
      <w:r>
        <w:rPr>
          <w:rFonts w:ascii="Arial" w:cs="Arial" w:eastAsia="Arial" w:hAnsi="Arial"/>
          <w:sz w:val="21"/>
          <w:szCs w:val="21"/>
          <w:color w:val="auto"/>
        </w:rPr>
        <w:t xml:space="preserve"> or sharing of the </w:t>
      </w:r>
      <w:r>
        <w:rPr>
          <w:rFonts w:ascii="Arial" w:cs="Arial" w:eastAsia="Arial" w:hAnsi="Arial"/>
          <w:sz w:val="21"/>
          <w:szCs w:val="21"/>
          <w:color w:val="0C0C0C"/>
        </w:rPr>
        <w:t>Premises</w:t>
      </w:r>
      <w:r>
        <w:rPr>
          <w:rFonts w:ascii="Arial" w:cs="Arial" w:eastAsia="Arial" w:hAnsi="Arial"/>
          <w:sz w:val="21"/>
          <w:szCs w:val="21"/>
          <w:color w:val="auto"/>
        </w:rPr>
        <w:t xml:space="preserve"> provides for </w:t>
      </w:r>
      <w:r>
        <w:rPr>
          <w:rFonts w:ascii="Arial" w:cs="Arial" w:eastAsia="Arial" w:hAnsi="Arial"/>
          <w:sz w:val="21"/>
          <w:szCs w:val="21"/>
          <w:color w:val="0C0C0C"/>
        </w:rPr>
        <w:t>the</w:t>
      </w:r>
      <w:r>
        <w:rPr>
          <w:rFonts w:ascii="Arial" w:cs="Arial" w:eastAsia="Arial" w:hAnsi="Arial"/>
          <w:sz w:val="21"/>
          <w:szCs w:val="21"/>
          <w:color w:val="auto"/>
        </w:rPr>
        <w:t xml:space="preserve"> receipt </w:t>
      </w:r>
      <w:r>
        <w:rPr>
          <w:rFonts w:ascii="Arial" w:cs="Arial" w:eastAsia="Arial" w:hAnsi="Arial"/>
          <w:sz w:val="21"/>
          <w:szCs w:val="21"/>
          <w:color w:val="0C0C0C"/>
        </w:rPr>
        <w:t>by,</w:t>
      </w:r>
      <w:r>
        <w:rPr>
          <w:rFonts w:ascii="Arial" w:cs="Arial" w:eastAsia="Arial" w:hAnsi="Arial"/>
          <w:sz w:val="21"/>
          <w:szCs w:val="21"/>
          <w:color w:val="auto"/>
        </w:rPr>
        <w:t xml:space="preserve"> on behalf of or on account of Tenant of any consideration of any kind whatsoever (including a premium </w:t>
      </w:r>
      <w:r>
        <w:rPr>
          <w:rFonts w:ascii="Arial" w:cs="Arial" w:eastAsia="Arial" w:hAnsi="Arial"/>
          <w:sz w:val="21"/>
          <w:szCs w:val="21"/>
          <w:color w:val="343434"/>
        </w:rPr>
        <w:t>rental</w:t>
      </w:r>
      <w:r>
        <w:rPr>
          <w:rFonts w:ascii="Arial" w:cs="Arial" w:eastAsia="Arial" w:hAnsi="Arial"/>
          <w:sz w:val="21"/>
          <w:szCs w:val="21"/>
          <w:color w:val="auto"/>
        </w:rPr>
        <w:t xml:space="preserve"> for a </w:t>
      </w:r>
      <w:r>
        <w:rPr>
          <w:rFonts w:ascii="Arial" w:cs="Arial" w:eastAsia="Arial" w:hAnsi="Arial"/>
          <w:sz w:val="21"/>
          <w:szCs w:val="21"/>
          <w:color w:val="343434"/>
        </w:rPr>
        <w:t>sublease</w:t>
      </w:r>
      <w:r>
        <w:rPr>
          <w:rFonts w:ascii="Arial" w:cs="Arial" w:eastAsia="Arial" w:hAnsi="Arial"/>
          <w:sz w:val="21"/>
          <w:szCs w:val="21"/>
          <w:color w:val="auto"/>
        </w:rPr>
        <w:t xml:space="preserve"> or lump </w:t>
      </w:r>
      <w:r>
        <w:rPr>
          <w:rFonts w:ascii="Arial" w:cs="Arial" w:eastAsia="Arial" w:hAnsi="Arial"/>
          <w:sz w:val="21"/>
          <w:szCs w:val="21"/>
          <w:color w:val="343434"/>
        </w:rPr>
        <w:t>sum</w:t>
      </w:r>
      <w:r>
        <w:rPr>
          <w:rFonts w:ascii="Arial" w:cs="Arial" w:eastAsia="Arial" w:hAnsi="Arial"/>
          <w:sz w:val="21"/>
          <w:szCs w:val="21"/>
          <w:color w:val="auto"/>
        </w:rPr>
        <w:t xml:space="preserve"> payment for an assignment, but excluding </w:t>
      </w:r>
      <w:r>
        <w:rPr>
          <w:rFonts w:ascii="Arial" w:cs="Arial" w:eastAsia="Arial" w:hAnsi="Arial"/>
          <w:sz w:val="21"/>
          <w:szCs w:val="21"/>
          <w:color w:val="343434"/>
        </w:rPr>
        <w:t>Tenant’s</w:t>
      </w:r>
      <w:r>
        <w:rPr>
          <w:rFonts w:ascii="Arial" w:cs="Arial" w:eastAsia="Arial" w:hAnsi="Arial"/>
          <w:sz w:val="21"/>
          <w:szCs w:val="21"/>
          <w:color w:val="auto"/>
        </w:rPr>
        <w:t xml:space="preserve"> reasonable costs in marketing and </w:t>
      </w:r>
      <w:r>
        <w:rPr>
          <w:rFonts w:ascii="Arial" w:cs="Arial" w:eastAsia="Arial" w:hAnsi="Arial"/>
          <w:sz w:val="21"/>
          <w:szCs w:val="21"/>
          <w:color w:val="343434"/>
        </w:rPr>
        <w:t xml:space="preserve">subleasing </w:t>
      </w:r>
      <w:r>
        <w:rPr>
          <w:rFonts w:ascii="Arial" w:cs="Arial" w:eastAsia="Arial" w:hAnsi="Arial"/>
          <w:sz w:val="21"/>
          <w:szCs w:val="21"/>
          <w:color w:val="0C0C0C"/>
        </w:rPr>
        <w:t>the</w:t>
      </w:r>
      <w:r>
        <w:rPr>
          <w:rFonts w:ascii="Arial" w:cs="Arial" w:eastAsia="Arial" w:hAnsi="Arial"/>
          <w:sz w:val="21"/>
          <w:szCs w:val="21"/>
          <w:color w:val="343434"/>
        </w:rPr>
        <w:t xml:space="preserve"> Premises) in </w:t>
      </w:r>
      <w:r>
        <w:rPr>
          <w:rFonts w:ascii="Arial" w:cs="Arial" w:eastAsia="Arial" w:hAnsi="Arial"/>
          <w:sz w:val="21"/>
          <w:szCs w:val="21"/>
          <w:color w:val="000000"/>
        </w:rPr>
        <w:t>excess of the rental and other</w:t>
      </w:r>
      <w:r>
        <w:rPr>
          <w:rFonts w:ascii="Arial" w:cs="Arial" w:eastAsia="Arial" w:hAnsi="Arial"/>
          <w:sz w:val="21"/>
          <w:szCs w:val="21"/>
          <w:color w:val="343434"/>
        </w:rPr>
        <w:t xml:space="preserve"> charges </w:t>
      </w:r>
      <w:r>
        <w:rPr>
          <w:rFonts w:ascii="Arial" w:cs="Arial" w:eastAsia="Arial" w:hAnsi="Arial"/>
          <w:sz w:val="21"/>
          <w:szCs w:val="21"/>
          <w:color w:val="000000"/>
        </w:rPr>
        <w:t>due to Landlord under</w:t>
      </w:r>
      <w:r>
        <w:rPr>
          <w:rFonts w:ascii="Arial" w:cs="Arial" w:eastAsia="Arial" w:hAnsi="Arial"/>
          <w:sz w:val="21"/>
          <w:szCs w:val="21"/>
          <w:color w:val="343434"/>
        </w:rPr>
        <w:t xml:space="preserve"> this </w:t>
      </w:r>
      <w:r>
        <w:rPr>
          <w:rFonts w:ascii="Arial" w:cs="Arial" w:eastAsia="Arial" w:hAnsi="Arial"/>
          <w:sz w:val="21"/>
          <w:szCs w:val="21"/>
          <w:color w:val="000000"/>
        </w:rPr>
        <w:t>Lease, Tenant</w:t>
      </w:r>
      <w:r>
        <w:rPr>
          <w:rFonts w:ascii="Arial" w:cs="Arial" w:eastAsia="Arial" w:hAnsi="Arial"/>
          <w:sz w:val="21"/>
          <w:szCs w:val="21"/>
          <w:color w:val="343434"/>
        </w:rPr>
        <w:t xml:space="preserve"> </w:t>
      </w:r>
      <w:r>
        <w:rPr>
          <w:rFonts w:ascii="Arial" w:cs="Arial" w:eastAsia="Arial" w:hAnsi="Arial"/>
          <w:sz w:val="21"/>
          <w:szCs w:val="21"/>
          <w:color w:val="000000"/>
        </w:rPr>
        <w:t xml:space="preserve">shall </w:t>
      </w:r>
      <w:r>
        <w:rPr>
          <w:rFonts w:ascii="Arial" w:cs="Arial" w:eastAsia="Arial" w:hAnsi="Arial"/>
          <w:sz w:val="21"/>
          <w:szCs w:val="21"/>
          <w:color w:val="0C0C0C"/>
        </w:rPr>
        <w:t>pay</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w:t>
      </w:r>
      <w:r>
        <w:rPr>
          <w:rFonts w:ascii="Arial" w:cs="Arial" w:eastAsia="Arial" w:hAnsi="Arial"/>
          <w:sz w:val="21"/>
          <w:szCs w:val="21"/>
          <w:color w:val="000000"/>
        </w:rPr>
        <w:t xml:space="preserve"> percent </w:t>
      </w:r>
      <w:r>
        <w:rPr>
          <w:rFonts w:ascii="Arial" w:cs="Arial" w:eastAsia="Arial" w:hAnsi="Arial"/>
          <w:sz w:val="21"/>
          <w:szCs w:val="21"/>
          <w:color w:val="0C0C0C"/>
        </w:rPr>
        <w:t>(</w:t>
      </w:r>
      <w:r>
        <w:rPr>
          <w:rFonts w:ascii="Arial" w:cs="Arial" w:eastAsia="Arial" w:hAnsi="Arial"/>
          <w:sz w:val="21"/>
          <w:szCs w:val="21"/>
          <w:u w:val="single" w:color="auto"/>
          <w:color w:val="000000"/>
        </w:rPr>
        <w:t>[***]</w:t>
      </w:r>
      <w:r>
        <w:rPr>
          <w:rFonts w:ascii="Arial" w:cs="Arial" w:eastAsia="Arial" w:hAnsi="Arial"/>
          <w:sz w:val="21"/>
          <w:szCs w:val="21"/>
          <w:color w:val="0C0C0C"/>
        </w:rPr>
        <w:t>%)</w:t>
      </w:r>
      <w:r>
        <w:rPr>
          <w:rFonts w:ascii="Arial" w:cs="Arial" w:eastAsia="Arial" w:hAnsi="Arial"/>
          <w:sz w:val="21"/>
          <w:szCs w:val="21"/>
          <w:color w:val="000000"/>
        </w:rPr>
        <w:t xml:space="preserve"> of all of </w:t>
      </w:r>
      <w:r>
        <w:rPr>
          <w:rFonts w:ascii="Arial" w:cs="Arial" w:eastAsia="Arial" w:hAnsi="Arial"/>
          <w:sz w:val="21"/>
          <w:szCs w:val="21"/>
          <w:color w:val="343434"/>
        </w:rPr>
        <w:t>such</w:t>
      </w:r>
      <w:r>
        <w:rPr>
          <w:rFonts w:ascii="Arial" w:cs="Arial" w:eastAsia="Arial" w:hAnsi="Arial"/>
          <w:sz w:val="21"/>
          <w:szCs w:val="21"/>
          <w:color w:val="000000"/>
        </w:rPr>
        <w:t xml:space="preserve"> excess to Landlord, after making deductions </w:t>
      </w:r>
      <w:r>
        <w:rPr>
          <w:rFonts w:ascii="Arial" w:cs="Arial" w:eastAsia="Arial" w:hAnsi="Arial"/>
          <w:sz w:val="21"/>
          <w:szCs w:val="21"/>
          <w:color w:val="343434"/>
        </w:rPr>
        <w:t>for</w:t>
      </w:r>
      <w:r>
        <w:rPr>
          <w:rFonts w:ascii="Arial" w:cs="Arial" w:eastAsia="Arial" w:hAnsi="Arial"/>
          <w:sz w:val="21"/>
          <w:szCs w:val="21"/>
          <w:color w:val="000000"/>
        </w:rPr>
        <w:t xml:space="preserve"> any </w:t>
      </w:r>
      <w:r>
        <w:rPr>
          <w:rFonts w:ascii="Arial" w:cs="Arial" w:eastAsia="Arial" w:hAnsi="Arial"/>
          <w:sz w:val="21"/>
          <w:szCs w:val="21"/>
          <w:color w:val="0C0C0C"/>
        </w:rPr>
        <w:t xml:space="preserve">reasonable </w:t>
      </w:r>
      <w:r>
        <w:rPr>
          <w:rFonts w:ascii="Arial" w:cs="Arial" w:eastAsia="Arial" w:hAnsi="Arial"/>
          <w:sz w:val="21"/>
          <w:szCs w:val="21"/>
          <w:color w:val="000000"/>
        </w:rPr>
        <w:t>marketing</w:t>
      </w:r>
      <w:r>
        <w:rPr>
          <w:rFonts w:ascii="Arial" w:cs="Arial" w:eastAsia="Arial" w:hAnsi="Arial"/>
          <w:sz w:val="21"/>
          <w:szCs w:val="21"/>
          <w:color w:val="0C0C0C"/>
        </w:rPr>
        <w:t xml:space="preserve"> </w:t>
      </w:r>
      <w:r>
        <w:rPr>
          <w:rFonts w:ascii="Arial" w:cs="Arial" w:eastAsia="Arial" w:hAnsi="Arial"/>
          <w:sz w:val="21"/>
          <w:szCs w:val="21"/>
          <w:color w:val="343434"/>
        </w:rPr>
        <w:t>expenses,</w:t>
      </w:r>
      <w:r>
        <w:rPr>
          <w:rFonts w:ascii="Arial" w:cs="Arial" w:eastAsia="Arial" w:hAnsi="Arial"/>
          <w:sz w:val="21"/>
          <w:szCs w:val="21"/>
          <w:color w:val="0C0C0C"/>
        </w:rPr>
        <w:t xml:space="preserve"> </w:t>
      </w:r>
      <w:r>
        <w:rPr>
          <w:rFonts w:ascii="Arial" w:cs="Arial" w:eastAsia="Arial" w:hAnsi="Arial"/>
          <w:sz w:val="21"/>
          <w:szCs w:val="21"/>
          <w:color w:val="000000"/>
        </w:rPr>
        <w:t>tenant</w:t>
      </w:r>
      <w:r>
        <w:rPr>
          <w:rFonts w:ascii="Arial" w:cs="Arial" w:eastAsia="Arial" w:hAnsi="Arial"/>
          <w:sz w:val="21"/>
          <w:szCs w:val="21"/>
          <w:color w:val="0C0C0C"/>
        </w:rPr>
        <w:t xml:space="preserve"> improvement </w:t>
      </w:r>
      <w:r>
        <w:rPr>
          <w:rFonts w:ascii="Arial" w:cs="Arial" w:eastAsia="Arial" w:hAnsi="Arial"/>
          <w:sz w:val="21"/>
          <w:szCs w:val="21"/>
          <w:color w:val="000000"/>
        </w:rPr>
        <w:t>funds expended by Tenant, alterations, cash</w:t>
      </w:r>
      <w:r>
        <w:rPr>
          <w:rFonts w:ascii="Arial" w:cs="Arial" w:eastAsia="Arial" w:hAnsi="Arial"/>
          <w:sz w:val="21"/>
          <w:szCs w:val="21"/>
          <w:color w:val="0C0C0C"/>
        </w:rPr>
        <w:t xml:space="preserve"> </w:t>
      </w:r>
      <w:r>
        <w:rPr>
          <w:rFonts w:ascii="Arial" w:cs="Arial" w:eastAsia="Arial" w:hAnsi="Arial"/>
          <w:sz w:val="21"/>
          <w:szCs w:val="21"/>
          <w:color w:val="000000"/>
        </w:rPr>
        <w:t xml:space="preserve">concessions, brokerage commissions, attorneys’ fees and </w:t>
      </w:r>
      <w:r>
        <w:rPr>
          <w:rFonts w:ascii="Arial" w:cs="Arial" w:eastAsia="Arial" w:hAnsi="Arial"/>
          <w:sz w:val="21"/>
          <w:szCs w:val="21"/>
          <w:color w:val="343434"/>
        </w:rPr>
        <w:t>free</w:t>
      </w:r>
      <w:r>
        <w:rPr>
          <w:rFonts w:ascii="Arial" w:cs="Arial" w:eastAsia="Arial" w:hAnsi="Arial"/>
          <w:sz w:val="21"/>
          <w:szCs w:val="21"/>
          <w:color w:val="000000"/>
        </w:rPr>
        <w:t xml:space="preserve"> rent actually paid </w:t>
      </w:r>
      <w:r>
        <w:rPr>
          <w:rFonts w:ascii="Arial" w:cs="Arial" w:eastAsia="Arial" w:hAnsi="Arial"/>
          <w:sz w:val="21"/>
          <w:szCs w:val="21"/>
          <w:color w:val="0C0C0C"/>
        </w:rPr>
        <w:t>by Tenant.</w:t>
      </w:r>
      <w:r>
        <w:rPr>
          <w:rFonts w:ascii="Arial" w:cs="Arial" w:eastAsia="Arial" w:hAnsi="Arial"/>
          <w:sz w:val="21"/>
          <w:szCs w:val="21"/>
          <w:color w:val="000000"/>
        </w:rPr>
        <w:t xml:space="preserve"> If said consideration consists of cash paid to Tenant, payment </w:t>
      </w:r>
      <w:r>
        <w:rPr>
          <w:rFonts w:ascii="Arial" w:cs="Arial" w:eastAsia="Arial" w:hAnsi="Arial"/>
          <w:sz w:val="21"/>
          <w:szCs w:val="21"/>
          <w:color w:val="343434"/>
        </w:rPr>
        <w:t>to</w:t>
      </w:r>
      <w:r>
        <w:rPr>
          <w:rFonts w:ascii="Arial" w:cs="Arial" w:eastAsia="Arial" w:hAnsi="Arial"/>
          <w:sz w:val="21"/>
          <w:szCs w:val="21"/>
          <w:color w:val="000000"/>
        </w:rPr>
        <w:t xml:space="preserve"> Landlord </w:t>
      </w:r>
      <w:r>
        <w:rPr>
          <w:rFonts w:ascii="Arial" w:cs="Arial" w:eastAsia="Arial" w:hAnsi="Arial"/>
          <w:sz w:val="21"/>
          <w:szCs w:val="21"/>
          <w:color w:val="343434"/>
        </w:rPr>
        <w:t>shall</w:t>
      </w:r>
      <w:r>
        <w:rPr>
          <w:rFonts w:ascii="Arial" w:cs="Arial" w:eastAsia="Arial" w:hAnsi="Arial"/>
          <w:sz w:val="21"/>
          <w:szCs w:val="21"/>
          <w:color w:val="000000"/>
        </w:rPr>
        <w:t xml:space="preserve"> be made upon receipt by Tenant of </w:t>
      </w:r>
      <w:r>
        <w:rPr>
          <w:rFonts w:ascii="Arial" w:cs="Arial" w:eastAsia="Arial" w:hAnsi="Arial"/>
          <w:sz w:val="21"/>
          <w:szCs w:val="21"/>
          <w:color w:val="343434"/>
        </w:rPr>
        <w:t>such</w:t>
      </w:r>
      <w:r>
        <w:rPr>
          <w:rFonts w:ascii="Arial" w:cs="Arial" w:eastAsia="Arial" w:hAnsi="Arial"/>
          <w:sz w:val="21"/>
          <w:szCs w:val="21"/>
          <w:color w:val="000000"/>
        </w:rPr>
        <w:t xml:space="preserve"> cash payment; and</w:t>
      </w:r>
    </w:p>
    <w:p>
      <w:pPr>
        <w:spacing w:after="0" w:line="159" w:lineRule="exact"/>
        <w:rPr>
          <w:sz w:val="20"/>
          <w:szCs w:val="20"/>
          <w:color w:val="auto"/>
        </w:rPr>
      </w:pPr>
    </w:p>
    <w:p>
      <w:pPr>
        <w:jc w:val="both"/>
        <w:ind w:left="1300" w:right="20" w:hanging="647"/>
        <w:spacing w:after="0" w:line="223" w:lineRule="auto"/>
        <w:rPr>
          <w:sz w:val="20"/>
          <w:szCs w:val="20"/>
          <w:color w:val="auto"/>
        </w:rPr>
      </w:pPr>
      <w:r>
        <w:rPr>
          <w:rFonts w:ascii="Arial" w:cs="Arial" w:eastAsia="Arial" w:hAnsi="Arial"/>
          <w:sz w:val="22"/>
          <w:szCs w:val="22"/>
          <w:color w:val="auto"/>
        </w:rPr>
        <w:t xml:space="preserve">29.5.3. Tenant </w:t>
      </w:r>
      <w:r>
        <w:rPr>
          <w:rFonts w:ascii="Arial" w:cs="Arial" w:eastAsia="Arial" w:hAnsi="Arial"/>
          <w:sz w:val="22"/>
          <w:szCs w:val="22"/>
          <w:color w:val="343434"/>
        </w:rPr>
        <w:t>shall</w:t>
      </w:r>
      <w:r>
        <w:rPr>
          <w:rFonts w:ascii="Arial" w:cs="Arial" w:eastAsia="Arial" w:hAnsi="Arial"/>
          <w:sz w:val="22"/>
          <w:szCs w:val="22"/>
          <w:color w:val="auto"/>
        </w:rPr>
        <w:t xml:space="preserve"> reimburse </w:t>
      </w:r>
      <w:r>
        <w:rPr>
          <w:rFonts w:ascii="Arial" w:cs="Arial" w:eastAsia="Arial" w:hAnsi="Arial"/>
          <w:sz w:val="22"/>
          <w:szCs w:val="22"/>
          <w:color w:val="0C0C0C"/>
        </w:rPr>
        <w:t>Landlord</w:t>
      </w:r>
      <w:r>
        <w:rPr>
          <w:rFonts w:ascii="Arial" w:cs="Arial" w:eastAsia="Arial" w:hAnsi="Arial"/>
          <w:sz w:val="22"/>
          <w:szCs w:val="22"/>
          <w:color w:val="auto"/>
        </w:rPr>
        <w:t xml:space="preserve"> for Landlord’s actual and </w:t>
      </w:r>
      <w:r>
        <w:rPr>
          <w:rFonts w:ascii="Arial" w:cs="Arial" w:eastAsia="Arial" w:hAnsi="Arial"/>
          <w:sz w:val="22"/>
          <w:szCs w:val="22"/>
          <w:color w:val="343434"/>
        </w:rPr>
        <w:t>reasonable costs</w:t>
      </w:r>
      <w:r>
        <w:rPr>
          <w:rFonts w:ascii="Arial" w:cs="Arial" w:eastAsia="Arial" w:hAnsi="Arial"/>
          <w:sz w:val="22"/>
          <w:szCs w:val="22"/>
          <w:color w:val="auto"/>
        </w:rPr>
        <w:t xml:space="preserve"> and expenses, </w:t>
      </w:r>
      <w:r>
        <w:rPr>
          <w:rFonts w:ascii="Arial" w:cs="Arial" w:eastAsia="Arial" w:hAnsi="Arial"/>
          <w:sz w:val="22"/>
          <w:szCs w:val="22"/>
          <w:color w:val="0C0C0C"/>
        </w:rPr>
        <w:t>including</w:t>
      </w:r>
      <w:r>
        <w:rPr>
          <w:rFonts w:ascii="Arial" w:cs="Arial" w:eastAsia="Arial" w:hAnsi="Arial"/>
          <w:sz w:val="22"/>
          <w:szCs w:val="22"/>
          <w:color w:val="auto"/>
        </w:rPr>
        <w:t xml:space="preserve"> </w:t>
      </w:r>
      <w:r>
        <w:rPr>
          <w:rFonts w:ascii="Arial" w:cs="Arial" w:eastAsia="Arial" w:hAnsi="Arial"/>
          <w:sz w:val="22"/>
          <w:szCs w:val="22"/>
          <w:color w:val="0C0C0C"/>
        </w:rPr>
        <w:t xml:space="preserve">reasonable </w:t>
      </w:r>
      <w:r>
        <w:rPr>
          <w:rFonts w:ascii="Arial" w:cs="Arial" w:eastAsia="Arial" w:hAnsi="Arial"/>
          <w:sz w:val="22"/>
          <w:szCs w:val="22"/>
          <w:color w:val="000000"/>
        </w:rPr>
        <w:t>attorneys’ fees, charges</w:t>
      </w:r>
      <w:r>
        <w:rPr>
          <w:rFonts w:ascii="Arial" w:cs="Arial" w:eastAsia="Arial" w:hAnsi="Arial"/>
          <w:sz w:val="22"/>
          <w:szCs w:val="22"/>
          <w:color w:val="0C0C0C"/>
        </w:rPr>
        <w:t xml:space="preserve"> </w:t>
      </w:r>
      <w:r>
        <w:rPr>
          <w:rFonts w:ascii="Arial" w:cs="Arial" w:eastAsia="Arial" w:hAnsi="Arial"/>
          <w:sz w:val="22"/>
          <w:szCs w:val="22"/>
          <w:color w:val="343434"/>
        </w:rPr>
        <w:t>and</w:t>
      </w:r>
      <w:r>
        <w:rPr>
          <w:rFonts w:ascii="Arial" w:cs="Arial" w:eastAsia="Arial" w:hAnsi="Arial"/>
          <w:sz w:val="22"/>
          <w:szCs w:val="22"/>
          <w:color w:val="0C0C0C"/>
        </w:rPr>
        <w:t xml:space="preserve"> </w:t>
      </w:r>
      <w:r>
        <w:rPr>
          <w:rFonts w:ascii="Arial" w:cs="Arial" w:eastAsia="Arial" w:hAnsi="Arial"/>
          <w:sz w:val="22"/>
          <w:szCs w:val="22"/>
          <w:color w:val="000000"/>
        </w:rPr>
        <w:t>disbursements incurred in</w:t>
      </w:r>
      <w:r>
        <w:rPr>
          <w:rFonts w:ascii="Arial" w:cs="Arial" w:eastAsia="Arial" w:hAnsi="Arial"/>
          <w:sz w:val="22"/>
          <w:szCs w:val="22"/>
          <w:color w:val="0C0C0C"/>
        </w:rPr>
        <w:t xml:space="preserve"> </w:t>
      </w:r>
      <w:r>
        <w:rPr>
          <w:rFonts w:ascii="Arial" w:cs="Arial" w:eastAsia="Arial" w:hAnsi="Arial"/>
          <w:sz w:val="22"/>
          <w:szCs w:val="22"/>
          <w:color w:val="343434"/>
        </w:rPr>
        <w:t>connection</w:t>
      </w:r>
      <w:r>
        <w:rPr>
          <w:rFonts w:ascii="Arial" w:cs="Arial" w:eastAsia="Arial" w:hAnsi="Arial"/>
          <w:sz w:val="22"/>
          <w:szCs w:val="22"/>
          <w:color w:val="0C0C0C"/>
        </w:rPr>
        <w:t xml:space="preserve"> </w:t>
      </w:r>
      <w:r>
        <w:rPr>
          <w:rFonts w:ascii="Arial" w:cs="Arial" w:eastAsia="Arial" w:hAnsi="Arial"/>
          <w:sz w:val="22"/>
          <w:szCs w:val="22"/>
          <w:color w:val="000000"/>
        </w:rPr>
        <w:t>with the</w:t>
      </w:r>
      <w:r>
        <w:rPr>
          <w:rFonts w:ascii="Arial" w:cs="Arial" w:eastAsia="Arial" w:hAnsi="Arial"/>
          <w:sz w:val="22"/>
          <w:szCs w:val="22"/>
          <w:color w:val="0C0C0C"/>
        </w:rPr>
        <w:t xml:space="preserve"> review, </w:t>
      </w:r>
      <w:r>
        <w:rPr>
          <w:rFonts w:ascii="Arial" w:cs="Arial" w:eastAsia="Arial" w:hAnsi="Arial"/>
          <w:sz w:val="22"/>
          <w:szCs w:val="22"/>
          <w:color w:val="000000"/>
        </w:rPr>
        <w:t>processing</w:t>
      </w:r>
      <w:r>
        <w:rPr>
          <w:rFonts w:ascii="Arial" w:cs="Arial" w:eastAsia="Arial" w:hAnsi="Arial"/>
          <w:sz w:val="22"/>
          <w:szCs w:val="22"/>
          <w:color w:val="0C0C0C"/>
        </w:rPr>
        <w:t xml:space="preserve"> </w:t>
      </w:r>
      <w:r>
        <w:rPr>
          <w:rFonts w:ascii="Arial" w:cs="Arial" w:eastAsia="Arial" w:hAnsi="Arial"/>
          <w:sz w:val="22"/>
          <w:szCs w:val="22"/>
          <w:color w:val="343434"/>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580"/>
          </w:cols>
          <w:pgMar w:left="980" w:top="1401" w:right="339" w:bottom="1440" w:gutter="0" w:footer="0" w:header="0"/>
        </w:sectPr>
      </w:pPr>
    </w:p>
    <w:bookmarkStart w:id="355" w:name="page356"/>
    <w:bookmarkEnd w:id="355"/>
    <w:p>
      <w:pPr>
        <w:ind w:left="1300"/>
        <w:spacing w:after="0"/>
        <w:rPr>
          <w:sz w:val="20"/>
          <w:szCs w:val="20"/>
          <w:color w:val="auto"/>
        </w:rPr>
      </w:pPr>
      <w:r>
        <w:rPr>
          <w:rFonts w:ascii="Arial" w:cs="Arial" w:eastAsia="Arial" w:hAnsi="Arial"/>
          <w:sz w:val="22"/>
          <w:szCs w:val="22"/>
          <w:color w:val="auto"/>
        </w:rPr>
        <w:t xml:space="preserve">documentation of </w:t>
      </w:r>
      <w:r>
        <w:rPr>
          <w:rFonts w:ascii="Arial" w:cs="Arial" w:eastAsia="Arial" w:hAnsi="Arial"/>
          <w:sz w:val="22"/>
          <w:szCs w:val="22"/>
          <w:color w:val="343434"/>
        </w:rPr>
        <w:t>such</w:t>
      </w:r>
      <w:r>
        <w:rPr>
          <w:rFonts w:ascii="Arial" w:cs="Arial" w:eastAsia="Arial" w:hAnsi="Arial"/>
          <w:sz w:val="22"/>
          <w:szCs w:val="22"/>
          <w:color w:val="auto"/>
        </w:rPr>
        <w:t xml:space="preserve"> request, not in </w:t>
      </w:r>
      <w:r>
        <w:rPr>
          <w:rFonts w:ascii="Arial" w:cs="Arial" w:eastAsia="Arial" w:hAnsi="Arial"/>
          <w:sz w:val="22"/>
          <w:szCs w:val="22"/>
          <w:color w:val="212121"/>
        </w:rPr>
        <w:t>excess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color w:val="212121"/>
        </w:rPr>
        <w:t>Dollars ($</w:t>
      </w:r>
      <w:r>
        <w:rPr>
          <w:rFonts w:ascii="Arial" w:cs="Arial" w:eastAsia="Arial" w:hAnsi="Arial"/>
          <w:sz w:val="22"/>
          <w:szCs w:val="22"/>
          <w:u w:val="single" w:color="auto"/>
          <w:color w:val="auto"/>
        </w:rPr>
        <w:t>[***]</w:t>
      </w:r>
      <w:r>
        <w:rPr>
          <w:rFonts w:ascii="Arial" w:cs="Arial" w:eastAsia="Arial" w:hAnsi="Arial"/>
          <w:sz w:val="22"/>
          <w:szCs w:val="22"/>
          <w:color w:val="212121"/>
        </w:rPr>
        <w:t>)</w:t>
      </w:r>
      <w:r>
        <w:rPr>
          <w:rFonts w:ascii="Arial" w:cs="Arial" w:eastAsia="Arial" w:hAnsi="Arial"/>
          <w:sz w:val="22"/>
          <w:szCs w:val="22"/>
          <w:color w:val="auto"/>
        </w:rPr>
        <w:t xml:space="preserve"> </w:t>
      </w:r>
      <w:r>
        <w:rPr>
          <w:rFonts w:ascii="Arial" w:cs="Arial" w:eastAsia="Arial" w:hAnsi="Arial"/>
          <w:sz w:val="22"/>
          <w:szCs w:val="22"/>
          <w:color w:val="0C0C0C"/>
        </w:rPr>
        <w:t>per</w:t>
      </w:r>
      <w:r>
        <w:rPr>
          <w:rFonts w:ascii="Arial" w:cs="Arial" w:eastAsia="Arial" w:hAnsi="Arial"/>
          <w:sz w:val="22"/>
          <w:szCs w:val="22"/>
          <w:color w:val="auto"/>
        </w:rPr>
        <w:t xml:space="preserve"> </w:t>
      </w:r>
      <w:r>
        <w:rPr>
          <w:rFonts w:ascii="Arial" w:cs="Arial" w:eastAsia="Arial" w:hAnsi="Arial"/>
          <w:sz w:val="22"/>
          <w:szCs w:val="22"/>
          <w:color w:val="212121"/>
        </w:rPr>
        <w:t>occurrence/request.</w:t>
      </w:r>
    </w:p>
    <w:p>
      <w:pPr>
        <w:spacing w:after="0" w:line="179"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2"/>
          <w:szCs w:val="22"/>
          <w:color w:val="auto"/>
        </w:rPr>
        <w:t>29.6</w:t>
      </w:r>
      <w:r>
        <w:rPr>
          <w:sz w:val="20"/>
          <w:szCs w:val="20"/>
          <w:color w:val="auto"/>
        </w:rPr>
        <w:tab/>
      </w:r>
      <w:r>
        <w:rPr>
          <w:rFonts w:ascii="Arial" w:cs="Arial" w:eastAsia="Arial" w:hAnsi="Arial"/>
          <w:sz w:val="19"/>
          <w:szCs w:val="19"/>
          <w:color w:val="auto"/>
        </w:rPr>
        <w:t xml:space="preserve">The proposed transferee, assignee or </w:t>
      </w:r>
      <w:r>
        <w:rPr>
          <w:rFonts w:ascii="Arial" w:cs="Arial" w:eastAsia="Arial" w:hAnsi="Arial"/>
          <w:sz w:val="19"/>
          <w:szCs w:val="19"/>
          <w:color w:val="343434"/>
        </w:rPr>
        <w:t>sublessee</w:t>
      </w:r>
      <w:r>
        <w:rPr>
          <w:rFonts w:ascii="Arial" w:cs="Arial" w:eastAsia="Arial" w:hAnsi="Arial"/>
          <w:sz w:val="19"/>
          <w:szCs w:val="19"/>
          <w:color w:val="auto"/>
        </w:rPr>
        <w:t xml:space="preserve"> </w:t>
      </w:r>
      <w:r>
        <w:rPr>
          <w:rFonts w:ascii="Arial" w:cs="Arial" w:eastAsia="Arial" w:hAnsi="Arial"/>
          <w:sz w:val="19"/>
          <w:szCs w:val="19"/>
          <w:color w:val="464646"/>
        </w:rPr>
        <w:t>shall</w:t>
      </w:r>
      <w:r>
        <w:rPr>
          <w:rFonts w:ascii="Arial" w:cs="Arial" w:eastAsia="Arial" w:hAnsi="Arial"/>
          <w:sz w:val="19"/>
          <w:szCs w:val="19"/>
          <w:color w:val="auto"/>
        </w:rPr>
        <w:t xml:space="preserve"> </w:t>
      </w:r>
      <w:r>
        <w:rPr>
          <w:rFonts w:ascii="Arial" w:cs="Arial" w:eastAsia="Arial" w:hAnsi="Arial"/>
          <w:sz w:val="19"/>
          <w:szCs w:val="19"/>
          <w:color w:val="343434"/>
        </w:rPr>
        <w:t>agree that,</w:t>
      </w:r>
      <w:r>
        <w:rPr>
          <w:rFonts w:ascii="Arial" w:cs="Arial" w:eastAsia="Arial" w:hAnsi="Arial"/>
          <w:sz w:val="19"/>
          <w:szCs w:val="19"/>
          <w:color w:val="auto"/>
        </w:rPr>
        <w:t xml:space="preserve"> </w:t>
      </w:r>
      <w:r>
        <w:rPr>
          <w:rFonts w:ascii="Arial" w:cs="Arial" w:eastAsia="Arial" w:hAnsi="Arial"/>
          <w:sz w:val="19"/>
          <w:szCs w:val="19"/>
          <w:color w:val="0C0C0C"/>
        </w:rPr>
        <w:t>in</w:t>
      </w:r>
      <w:r>
        <w:rPr>
          <w:rFonts w:ascii="Arial" w:cs="Arial" w:eastAsia="Arial" w:hAnsi="Arial"/>
          <w:sz w:val="19"/>
          <w:szCs w:val="19"/>
          <w:color w:val="auto"/>
        </w:rPr>
        <w:t xml:space="preserve"> </w:t>
      </w:r>
      <w:r>
        <w:rPr>
          <w:rFonts w:ascii="Arial" w:cs="Arial" w:eastAsia="Arial" w:hAnsi="Arial"/>
          <w:sz w:val="19"/>
          <w:szCs w:val="19"/>
          <w:color w:val="343434"/>
        </w:rPr>
        <w:t>the</w:t>
      </w:r>
      <w:r>
        <w:rPr>
          <w:rFonts w:ascii="Arial" w:cs="Arial" w:eastAsia="Arial" w:hAnsi="Arial"/>
          <w:sz w:val="19"/>
          <w:szCs w:val="19"/>
          <w:color w:val="auto"/>
        </w:rPr>
        <w:t xml:space="preserve"> event Landlord gives </w:t>
      </w:r>
      <w:r>
        <w:rPr>
          <w:rFonts w:ascii="Arial" w:cs="Arial" w:eastAsia="Arial" w:hAnsi="Arial"/>
          <w:sz w:val="19"/>
          <w:szCs w:val="19"/>
          <w:color w:val="343434"/>
        </w:rPr>
        <w:t>such</w:t>
      </w:r>
      <w:r>
        <w:rPr>
          <w:rFonts w:ascii="Arial" w:cs="Arial" w:eastAsia="Arial" w:hAnsi="Arial"/>
          <w:sz w:val="19"/>
          <w:szCs w:val="19"/>
          <w:color w:val="auto"/>
        </w:rPr>
        <w:t xml:space="preserve"> proposed transferee, assignee or sublessee notice </w:t>
      </w:r>
      <w:r>
        <w:rPr>
          <w:rFonts w:ascii="Arial" w:cs="Arial" w:eastAsia="Arial" w:hAnsi="Arial"/>
          <w:sz w:val="19"/>
          <w:szCs w:val="19"/>
          <w:color w:val="0C0C0C"/>
        </w:rPr>
        <w:t>that,</w:t>
      </w:r>
      <w:r>
        <w:rPr>
          <w:rFonts w:ascii="Arial" w:cs="Arial" w:eastAsia="Arial" w:hAnsi="Arial"/>
          <w:sz w:val="19"/>
          <w:szCs w:val="19"/>
          <w:color w:val="auto"/>
        </w:rPr>
        <w:t xml:space="preserve"> so </w:t>
      </w:r>
      <w:r>
        <w:rPr>
          <w:rFonts w:ascii="Arial" w:cs="Arial" w:eastAsia="Arial" w:hAnsi="Arial"/>
          <w:sz w:val="19"/>
          <w:szCs w:val="19"/>
          <w:color w:val="0C0C0C"/>
        </w:rPr>
        <w:t>long</w:t>
      </w:r>
      <w:r>
        <w:rPr>
          <w:rFonts w:ascii="Arial" w:cs="Arial" w:eastAsia="Arial" w:hAnsi="Arial"/>
          <w:sz w:val="19"/>
          <w:szCs w:val="19"/>
          <w:color w:val="auto"/>
        </w:rPr>
        <w:t xml:space="preserve"> </w:t>
      </w:r>
      <w:r>
        <w:rPr>
          <w:rFonts w:ascii="Arial" w:cs="Arial" w:eastAsia="Arial" w:hAnsi="Arial"/>
          <w:sz w:val="19"/>
          <w:szCs w:val="19"/>
          <w:color w:val="343434"/>
        </w:rPr>
        <w:t>as</w:t>
      </w:r>
      <w:r>
        <w:rPr>
          <w:rFonts w:ascii="Arial" w:cs="Arial" w:eastAsia="Arial" w:hAnsi="Arial"/>
          <w:sz w:val="19"/>
          <w:szCs w:val="19"/>
          <w:color w:val="auto"/>
        </w:rPr>
        <w:t xml:space="preserve"> Tenant is in Default under this </w:t>
      </w:r>
      <w:r>
        <w:rPr>
          <w:rFonts w:ascii="Arial" w:cs="Arial" w:eastAsia="Arial" w:hAnsi="Arial"/>
          <w:sz w:val="19"/>
          <w:szCs w:val="19"/>
          <w:color w:val="343434"/>
        </w:rPr>
        <w:t>Lease, such proposed</w:t>
      </w:r>
      <w:r>
        <w:rPr>
          <w:rFonts w:ascii="Arial" w:cs="Arial" w:eastAsia="Arial" w:hAnsi="Arial"/>
          <w:sz w:val="19"/>
          <w:szCs w:val="19"/>
          <w:color w:val="auto"/>
        </w:rPr>
        <w:t xml:space="preserve"> transferee, assignee or </w:t>
      </w:r>
      <w:r>
        <w:rPr>
          <w:rFonts w:ascii="Arial" w:cs="Arial" w:eastAsia="Arial" w:hAnsi="Arial"/>
          <w:sz w:val="19"/>
          <w:szCs w:val="19"/>
          <w:color w:val="343434"/>
        </w:rPr>
        <w:t>sublessee shall thereafter</w:t>
      </w:r>
      <w:r>
        <w:rPr>
          <w:rFonts w:ascii="Arial" w:cs="Arial" w:eastAsia="Arial" w:hAnsi="Arial"/>
          <w:sz w:val="19"/>
          <w:szCs w:val="19"/>
          <w:color w:val="auto"/>
        </w:rPr>
        <w:t xml:space="preserve"> </w:t>
      </w:r>
      <w:r>
        <w:rPr>
          <w:rFonts w:ascii="Arial" w:cs="Arial" w:eastAsia="Arial" w:hAnsi="Arial"/>
          <w:sz w:val="19"/>
          <w:szCs w:val="19"/>
          <w:color w:val="0C0C0C"/>
        </w:rPr>
        <w:t>make</w:t>
      </w:r>
      <w:r>
        <w:rPr>
          <w:rFonts w:ascii="Arial" w:cs="Arial" w:eastAsia="Arial" w:hAnsi="Arial"/>
          <w:sz w:val="19"/>
          <w:szCs w:val="19"/>
          <w:color w:val="auto"/>
        </w:rPr>
        <w:t xml:space="preserve"> all payments otherwise </w:t>
      </w:r>
      <w:r>
        <w:rPr>
          <w:rFonts w:ascii="Arial" w:cs="Arial" w:eastAsia="Arial" w:hAnsi="Arial"/>
          <w:sz w:val="19"/>
          <w:szCs w:val="19"/>
          <w:color w:val="0C0C0C"/>
        </w:rPr>
        <w:t>due Tenant</w:t>
      </w:r>
      <w:r>
        <w:rPr>
          <w:rFonts w:ascii="Arial" w:cs="Arial" w:eastAsia="Arial" w:hAnsi="Arial"/>
          <w:sz w:val="19"/>
          <w:szCs w:val="19"/>
          <w:color w:val="auto"/>
        </w:rPr>
        <w:t xml:space="preserve"> directly </w:t>
      </w:r>
      <w:r>
        <w:rPr>
          <w:rFonts w:ascii="Arial" w:cs="Arial" w:eastAsia="Arial" w:hAnsi="Arial"/>
          <w:sz w:val="19"/>
          <w:szCs w:val="19"/>
          <w:color w:val="343434"/>
        </w:rPr>
        <w:t>to</w:t>
      </w:r>
      <w:r>
        <w:rPr>
          <w:rFonts w:ascii="Arial" w:cs="Arial" w:eastAsia="Arial" w:hAnsi="Arial"/>
          <w:sz w:val="19"/>
          <w:szCs w:val="19"/>
          <w:color w:val="auto"/>
        </w:rPr>
        <w:t xml:space="preserve"> Landlord, which payments shall be </w:t>
      </w:r>
      <w:r>
        <w:rPr>
          <w:rFonts w:ascii="Arial" w:cs="Arial" w:eastAsia="Arial" w:hAnsi="Arial"/>
          <w:sz w:val="19"/>
          <w:szCs w:val="19"/>
          <w:color w:val="0C0C0C"/>
        </w:rPr>
        <w:t>received by</w:t>
      </w:r>
      <w:r>
        <w:rPr>
          <w:rFonts w:ascii="Arial" w:cs="Arial" w:eastAsia="Arial" w:hAnsi="Arial"/>
          <w:sz w:val="19"/>
          <w:szCs w:val="19"/>
          <w:color w:val="auto"/>
        </w:rPr>
        <w:t xml:space="preserve"> Landlord without any liability being </w:t>
      </w:r>
      <w:r>
        <w:rPr>
          <w:rFonts w:ascii="Arial" w:cs="Arial" w:eastAsia="Arial" w:hAnsi="Arial"/>
          <w:sz w:val="19"/>
          <w:szCs w:val="19"/>
          <w:color w:val="0C0C0C"/>
        </w:rPr>
        <w:t>incurred</w:t>
      </w:r>
      <w:r>
        <w:rPr>
          <w:rFonts w:ascii="Arial" w:cs="Arial" w:eastAsia="Arial" w:hAnsi="Arial"/>
          <w:sz w:val="19"/>
          <w:szCs w:val="19"/>
          <w:color w:val="auto"/>
        </w:rPr>
        <w:t xml:space="preserve"> by </w:t>
      </w:r>
      <w:r>
        <w:rPr>
          <w:rFonts w:ascii="Arial" w:cs="Arial" w:eastAsia="Arial" w:hAnsi="Arial"/>
          <w:sz w:val="19"/>
          <w:szCs w:val="19"/>
          <w:color w:val="343434"/>
        </w:rPr>
        <w:t>Landlord,</w:t>
      </w:r>
      <w:r>
        <w:rPr>
          <w:rFonts w:ascii="Arial" w:cs="Arial" w:eastAsia="Arial" w:hAnsi="Arial"/>
          <w:sz w:val="19"/>
          <w:szCs w:val="19"/>
          <w:color w:val="auto"/>
        </w:rPr>
        <w:t xml:space="preserve"> except to credit such </w:t>
      </w:r>
      <w:r>
        <w:rPr>
          <w:rFonts w:ascii="Arial" w:cs="Arial" w:eastAsia="Arial" w:hAnsi="Arial"/>
          <w:sz w:val="19"/>
          <w:szCs w:val="19"/>
          <w:color w:val="0C0C0C"/>
        </w:rPr>
        <w:t>payment</w:t>
      </w:r>
      <w:r>
        <w:rPr>
          <w:rFonts w:ascii="Arial" w:cs="Arial" w:eastAsia="Arial" w:hAnsi="Arial"/>
          <w:sz w:val="19"/>
          <w:szCs w:val="19"/>
          <w:color w:val="auto"/>
        </w:rPr>
        <w:t xml:space="preserve"> against those </w:t>
      </w:r>
      <w:r>
        <w:rPr>
          <w:rFonts w:ascii="Arial" w:cs="Arial" w:eastAsia="Arial" w:hAnsi="Arial"/>
          <w:sz w:val="19"/>
          <w:szCs w:val="19"/>
          <w:color w:val="0C0C0C"/>
        </w:rPr>
        <w:t>due</w:t>
      </w:r>
      <w:r>
        <w:rPr>
          <w:rFonts w:ascii="Arial" w:cs="Arial" w:eastAsia="Arial" w:hAnsi="Arial"/>
          <w:sz w:val="19"/>
          <w:szCs w:val="19"/>
          <w:color w:val="auto"/>
        </w:rPr>
        <w:t xml:space="preserve"> by </w:t>
      </w:r>
      <w:r>
        <w:rPr>
          <w:rFonts w:ascii="Arial" w:cs="Arial" w:eastAsia="Arial" w:hAnsi="Arial"/>
          <w:sz w:val="19"/>
          <w:szCs w:val="19"/>
          <w:color w:val="0C0C0C"/>
        </w:rPr>
        <w:t>Tenant</w:t>
      </w:r>
      <w:r>
        <w:rPr>
          <w:rFonts w:ascii="Arial" w:cs="Arial" w:eastAsia="Arial" w:hAnsi="Arial"/>
          <w:sz w:val="19"/>
          <w:szCs w:val="19"/>
          <w:color w:val="auto"/>
        </w:rPr>
        <w:t xml:space="preserve"> under </w:t>
      </w:r>
      <w:r>
        <w:rPr>
          <w:rFonts w:ascii="Arial" w:cs="Arial" w:eastAsia="Arial" w:hAnsi="Arial"/>
          <w:sz w:val="19"/>
          <w:szCs w:val="19"/>
          <w:color w:val="343434"/>
        </w:rPr>
        <w:t>this</w:t>
      </w:r>
      <w:r>
        <w:rPr>
          <w:rFonts w:ascii="Arial" w:cs="Arial" w:eastAsia="Arial" w:hAnsi="Arial"/>
          <w:sz w:val="19"/>
          <w:szCs w:val="19"/>
          <w:color w:val="auto"/>
        </w:rPr>
        <w:t xml:space="preserve"> Lease, and any </w:t>
      </w:r>
      <w:r>
        <w:rPr>
          <w:rFonts w:ascii="Arial" w:cs="Arial" w:eastAsia="Arial" w:hAnsi="Arial"/>
          <w:sz w:val="19"/>
          <w:szCs w:val="19"/>
          <w:color w:val="343434"/>
        </w:rPr>
        <w:t>such</w:t>
      </w:r>
      <w:r>
        <w:rPr>
          <w:rFonts w:ascii="Arial" w:cs="Arial" w:eastAsia="Arial" w:hAnsi="Arial"/>
          <w:sz w:val="19"/>
          <w:szCs w:val="19"/>
          <w:color w:val="auto"/>
        </w:rPr>
        <w:t xml:space="preserve"> proposed transferee, assignee or sublessee shall </w:t>
      </w:r>
      <w:r>
        <w:rPr>
          <w:rFonts w:ascii="Arial" w:cs="Arial" w:eastAsia="Arial" w:hAnsi="Arial"/>
          <w:sz w:val="19"/>
          <w:szCs w:val="19"/>
          <w:color w:val="343434"/>
        </w:rPr>
        <w:t>agree</w:t>
      </w:r>
      <w:r>
        <w:rPr>
          <w:rFonts w:ascii="Arial" w:cs="Arial" w:eastAsia="Arial" w:hAnsi="Arial"/>
          <w:sz w:val="19"/>
          <w:szCs w:val="19"/>
          <w:color w:val="auto"/>
        </w:rPr>
        <w:t xml:space="preserve"> </w:t>
      </w:r>
      <w:r>
        <w:rPr>
          <w:rFonts w:ascii="Arial" w:cs="Arial" w:eastAsia="Arial" w:hAnsi="Arial"/>
          <w:sz w:val="19"/>
          <w:szCs w:val="19"/>
          <w:color w:val="0C0C0C"/>
        </w:rPr>
        <w:t>to</w:t>
      </w:r>
      <w:r>
        <w:rPr>
          <w:rFonts w:ascii="Arial" w:cs="Arial" w:eastAsia="Arial" w:hAnsi="Arial"/>
          <w:sz w:val="19"/>
          <w:szCs w:val="19"/>
          <w:color w:val="auto"/>
        </w:rPr>
        <w:t xml:space="preserve"> attorn to Landlord or </w:t>
      </w:r>
      <w:r>
        <w:rPr>
          <w:rFonts w:ascii="Arial" w:cs="Arial" w:eastAsia="Arial" w:hAnsi="Arial"/>
          <w:sz w:val="19"/>
          <w:szCs w:val="19"/>
          <w:color w:val="0C0C0C"/>
        </w:rPr>
        <w:t>its</w:t>
      </w:r>
      <w:r>
        <w:rPr>
          <w:rFonts w:ascii="Arial" w:cs="Arial" w:eastAsia="Arial" w:hAnsi="Arial"/>
          <w:sz w:val="19"/>
          <w:szCs w:val="19"/>
          <w:color w:val="auto"/>
        </w:rPr>
        <w:t xml:space="preserve"> successors and assigns should </w:t>
      </w:r>
      <w:r>
        <w:rPr>
          <w:rFonts w:ascii="Arial" w:cs="Arial" w:eastAsia="Arial" w:hAnsi="Arial"/>
          <w:sz w:val="19"/>
          <w:szCs w:val="19"/>
          <w:color w:val="0C0C0C"/>
        </w:rPr>
        <w:t>this</w:t>
      </w:r>
      <w:r>
        <w:rPr>
          <w:rFonts w:ascii="Arial" w:cs="Arial" w:eastAsia="Arial" w:hAnsi="Arial"/>
          <w:sz w:val="19"/>
          <w:szCs w:val="19"/>
          <w:color w:val="auto"/>
        </w:rPr>
        <w:t xml:space="preserve"> Lease </w:t>
      </w:r>
      <w:r>
        <w:rPr>
          <w:rFonts w:ascii="Arial" w:cs="Arial" w:eastAsia="Arial" w:hAnsi="Arial"/>
          <w:sz w:val="19"/>
          <w:szCs w:val="19"/>
          <w:color w:val="0C0C0C"/>
        </w:rPr>
        <w:t>be</w:t>
      </w:r>
      <w:r>
        <w:rPr>
          <w:rFonts w:ascii="Arial" w:cs="Arial" w:eastAsia="Arial" w:hAnsi="Arial"/>
          <w:sz w:val="19"/>
          <w:szCs w:val="19"/>
          <w:color w:val="auto"/>
        </w:rPr>
        <w:t xml:space="preserve"> terminated </w:t>
      </w:r>
      <w:r>
        <w:rPr>
          <w:rFonts w:ascii="Arial" w:cs="Arial" w:eastAsia="Arial" w:hAnsi="Arial"/>
          <w:sz w:val="19"/>
          <w:szCs w:val="19"/>
          <w:color w:val="343434"/>
        </w:rPr>
        <w:t>for</w:t>
      </w:r>
      <w:r>
        <w:rPr>
          <w:rFonts w:ascii="Arial" w:cs="Arial" w:eastAsia="Arial" w:hAnsi="Arial"/>
          <w:sz w:val="19"/>
          <w:szCs w:val="19"/>
          <w:color w:val="auto"/>
        </w:rPr>
        <w:t xml:space="preserve"> any reason; provided, however, that </w:t>
      </w:r>
      <w:r>
        <w:rPr>
          <w:rFonts w:ascii="Arial" w:cs="Arial" w:eastAsia="Arial" w:hAnsi="Arial"/>
          <w:sz w:val="19"/>
          <w:szCs w:val="19"/>
          <w:color w:val="343434"/>
        </w:rPr>
        <w:t>in</w:t>
      </w:r>
      <w:r>
        <w:rPr>
          <w:rFonts w:ascii="Arial" w:cs="Arial" w:eastAsia="Arial" w:hAnsi="Arial"/>
          <w:sz w:val="19"/>
          <w:szCs w:val="19"/>
          <w:color w:val="auto"/>
        </w:rPr>
        <w:t xml:space="preserve"> no event </w:t>
      </w:r>
      <w:r>
        <w:rPr>
          <w:rFonts w:ascii="Arial" w:cs="Arial" w:eastAsia="Arial" w:hAnsi="Arial"/>
          <w:sz w:val="19"/>
          <w:szCs w:val="19"/>
          <w:color w:val="343434"/>
        </w:rPr>
        <w:t>shall</w:t>
      </w:r>
      <w:r>
        <w:rPr>
          <w:rFonts w:ascii="Arial" w:cs="Arial" w:eastAsia="Arial" w:hAnsi="Arial"/>
          <w:sz w:val="19"/>
          <w:szCs w:val="19"/>
          <w:color w:val="auto"/>
        </w:rPr>
        <w:t xml:space="preserve"> Landlord or its Lenders, </w:t>
      </w:r>
      <w:r>
        <w:rPr>
          <w:rFonts w:ascii="Arial" w:cs="Arial" w:eastAsia="Arial" w:hAnsi="Arial"/>
          <w:sz w:val="19"/>
          <w:szCs w:val="19"/>
          <w:color w:val="343434"/>
        </w:rPr>
        <w:t>successors</w:t>
      </w:r>
      <w:r>
        <w:rPr>
          <w:rFonts w:ascii="Arial" w:cs="Arial" w:eastAsia="Arial" w:hAnsi="Arial"/>
          <w:sz w:val="19"/>
          <w:szCs w:val="19"/>
          <w:color w:val="auto"/>
        </w:rPr>
        <w:t xml:space="preserve"> or </w:t>
      </w:r>
      <w:r>
        <w:rPr>
          <w:rFonts w:ascii="Arial" w:cs="Arial" w:eastAsia="Arial" w:hAnsi="Arial"/>
          <w:sz w:val="19"/>
          <w:szCs w:val="19"/>
          <w:color w:val="343434"/>
        </w:rPr>
        <w:t>assigns</w:t>
      </w:r>
      <w:r>
        <w:rPr>
          <w:rFonts w:ascii="Arial" w:cs="Arial" w:eastAsia="Arial" w:hAnsi="Arial"/>
          <w:sz w:val="19"/>
          <w:szCs w:val="19"/>
          <w:color w:val="auto"/>
        </w:rPr>
        <w:t xml:space="preserve"> be obligated </w:t>
      </w:r>
      <w:r>
        <w:rPr>
          <w:rFonts w:ascii="Arial" w:cs="Arial" w:eastAsia="Arial" w:hAnsi="Arial"/>
          <w:sz w:val="19"/>
          <w:szCs w:val="19"/>
          <w:color w:val="0C0C0C"/>
        </w:rPr>
        <w:t>to</w:t>
      </w:r>
      <w:r>
        <w:rPr>
          <w:rFonts w:ascii="Arial" w:cs="Arial" w:eastAsia="Arial" w:hAnsi="Arial"/>
          <w:sz w:val="19"/>
          <w:szCs w:val="19"/>
          <w:color w:val="auto"/>
        </w:rPr>
        <w:t xml:space="preserve"> </w:t>
      </w:r>
      <w:r>
        <w:rPr>
          <w:rFonts w:ascii="Arial" w:cs="Arial" w:eastAsia="Arial" w:hAnsi="Arial"/>
          <w:sz w:val="19"/>
          <w:szCs w:val="19"/>
          <w:color w:val="343434"/>
        </w:rPr>
        <w:t xml:space="preserve">accept </w:t>
      </w:r>
      <w:r>
        <w:rPr>
          <w:rFonts w:ascii="Arial" w:cs="Arial" w:eastAsia="Arial" w:hAnsi="Arial"/>
          <w:sz w:val="19"/>
          <w:szCs w:val="19"/>
          <w:color w:val="000000"/>
        </w:rPr>
        <w:t>such attornment, except Landlord shall provide a</w:t>
      </w:r>
      <w:r>
        <w:rPr>
          <w:rFonts w:ascii="Arial" w:cs="Arial" w:eastAsia="Arial" w:hAnsi="Arial"/>
          <w:sz w:val="19"/>
          <w:szCs w:val="19"/>
          <w:color w:val="343434"/>
        </w:rPr>
        <w:t xml:space="preserve"> commercially </w:t>
      </w:r>
      <w:r>
        <w:rPr>
          <w:rFonts w:ascii="Arial" w:cs="Arial" w:eastAsia="Arial" w:hAnsi="Arial"/>
          <w:sz w:val="19"/>
          <w:szCs w:val="19"/>
          <w:color w:val="0C0C0C"/>
        </w:rPr>
        <w:t>reasonable</w:t>
      </w:r>
      <w:r>
        <w:rPr>
          <w:rFonts w:ascii="Arial" w:cs="Arial" w:eastAsia="Arial" w:hAnsi="Arial"/>
          <w:sz w:val="19"/>
          <w:szCs w:val="19"/>
          <w:color w:val="343434"/>
        </w:rPr>
        <w:t xml:space="preserve"> </w:t>
      </w:r>
      <w:r>
        <w:rPr>
          <w:rFonts w:ascii="Arial" w:cs="Arial" w:eastAsia="Arial" w:hAnsi="Arial"/>
          <w:sz w:val="19"/>
          <w:szCs w:val="19"/>
          <w:color w:val="000000"/>
        </w:rPr>
        <w:t>non-disturbance agreement</w:t>
      </w:r>
      <w:r>
        <w:rPr>
          <w:rFonts w:ascii="Arial" w:cs="Arial" w:eastAsia="Arial" w:hAnsi="Arial"/>
          <w:sz w:val="19"/>
          <w:szCs w:val="19"/>
          <w:color w:val="343434"/>
        </w:rPr>
        <w:t xml:space="preserve"> </w:t>
      </w:r>
      <w:r>
        <w:rPr>
          <w:rFonts w:ascii="Arial" w:cs="Arial" w:eastAsia="Arial" w:hAnsi="Arial"/>
          <w:sz w:val="19"/>
          <w:szCs w:val="19"/>
          <w:color w:val="0C0C0C"/>
        </w:rPr>
        <w:t>to</w:t>
      </w:r>
      <w:r>
        <w:rPr>
          <w:rFonts w:ascii="Arial" w:cs="Arial" w:eastAsia="Arial" w:hAnsi="Arial"/>
          <w:sz w:val="19"/>
          <w:szCs w:val="19"/>
          <w:color w:val="343434"/>
        </w:rPr>
        <w:t xml:space="preserve"> </w:t>
      </w:r>
      <w:r>
        <w:rPr>
          <w:rFonts w:ascii="Arial" w:cs="Arial" w:eastAsia="Arial" w:hAnsi="Arial"/>
          <w:sz w:val="19"/>
          <w:szCs w:val="19"/>
          <w:color w:val="000000"/>
        </w:rPr>
        <w:t xml:space="preserve">any entity that subleases for greater </w:t>
      </w:r>
      <w:r>
        <w:rPr>
          <w:rFonts w:ascii="Arial" w:cs="Arial" w:eastAsia="Arial" w:hAnsi="Arial"/>
          <w:sz w:val="19"/>
          <w:szCs w:val="19"/>
          <w:color w:val="0C0C0C"/>
        </w:rPr>
        <w:t>than</w:t>
      </w:r>
      <w:r>
        <w:rPr>
          <w:rFonts w:ascii="Arial" w:cs="Arial" w:eastAsia="Arial" w:hAnsi="Arial"/>
          <w:sz w:val="19"/>
          <w:szCs w:val="19"/>
          <w:color w:val="000000"/>
        </w:rPr>
        <w:t xml:space="preserve"> one-half (1</w:t>
      </w:r>
      <w:r>
        <w:rPr>
          <w:rFonts w:ascii="Arial" w:cs="Arial" w:eastAsia="Arial" w:hAnsi="Arial"/>
          <w:sz w:val="19"/>
          <w:szCs w:val="19"/>
          <w:color w:val="464646"/>
        </w:rPr>
        <w:t>/2)</w:t>
      </w:r>
      <w:r>
        <w:rPr>
          <w:rFonts w:ascii="Arial" w:cs="Arial" w:eastAsia="Arial" w:hAnsi="Arial"/>
          <w:sz w:val="19"/>
          <w:szCs w:val="19"/>
          <w:color w:val="000000"/>
        </w:rPr>
        <w:t xml:space="preserve"> of the Premises or takes an </w:t>
      </w:r>
      <w:r>
        <w:rPr>
          <w:rFonts w:ascii="Arial" w:cs="Arial" w:eastAsia="Arial" w:hAnsi="Arial"/>
          <w:sz w:val="19"/>
          <w:szCs w:val="19"/>
          <w:color w:val="343434"/>
        </w:rPr>
        <w:t>assignment</w:t>
      </w:r>
      <w:r>
        <w:rPr>
          <w:rFonts w:ascii="Arial" w:cs="Arial" w:eastAsia="Arial" w:hAnsi="Arial"/>
          <w:sz w:val="19"/>
          <w:szCs w:val="19"/>
          <w:color w:val="000000"/>
        </w:rPr>
        <w:t xml:space="preserve"> of </w:t>
      </w:r>
      <w:r>
        <w:rPr>
          <w:rFonts w:ascii="Arial" w:cs="Arial" w:eastAsia="Arial" w:hAnsi="Arial"/>
          <w:sz w:val="19"/>
          <w:szCs w:val="19"/>
          <w:color w:val="343434"/>
        </w:rPr>
        <w:t>the Lease;</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29.7</w:t>
      </w:r>
      <w:r>
        <w:rPr>
          <w:sz w:val="20"/>
          <w:szCs w:val="20"/>
          <w:color w:val="auto"/>
        </w:rPr>
        <w:tab/>
      </w:r>
      <w:r>
        <w:rPr>
          <w:rFonts w:ascii="Arial" w:cs="Arial" w:eastAsia="Arial" w:hAnsi="Arial"/>
          <w:sz w:val="19"/>
          <w:szCs w:val="19"/>
          <w:color w:val="auto"/>
        </w:rPr>
        <w:t>Landlord’s consent to any such Transfer shall be effected on commercially reasonable forms;</w:t>
      </w:r>
    </w:p>
    <w:p>
      <w:pPr>
        <w:spacing w:after="0" w:line="179" w:lineRule="exact"/>
        <w:rPr>
          <w:sz w:val="20"/>
          <w:szCs w:val="20"/>
          <w:color w:val="auto"/>
        </w:rPr>
      </w:pPr>
    </w:p>
    <w:p>
      <w:pPr>
        <w:jc w:val="both"/>
        <w:ind w:left="640" w:hanging="647"/>
        <w:spacing w:after="0" w:line="232" w:lineRule="auto"/>
        <w:tabs>
          <w:tab w:leader="none" w:pos="620" w:val="left"/>
        </w:tabs>
        <w:rPr>
          <w:sz w:val="20"/>
          <w:szCs w:val="20"/>
          <w:color w:val="auto"/>
        </w:rPr>
      </w:pPr>
      <w:r>
        <w:rPr>
          <w:rFonts w:ascii="Arial" w:cs="Arial" w:eastAsia="Arial" w:hAnsi="Arial"/>
          <w:sz w:val="22"/>
          <w:szCs w:val="22"/>
          <w:color w:val="auto"/>
        </w:rPr>
        <w:t>29.8</w:t>
        <w:tab/>
        <w:t>Tenant shall not be in default of any its monetary obligations or in Default of any of its non-monetary obligations hereunder.</w:t>
      </w:r>
    </w:p>
    <w:p>
      <w:pPr>
        <w:spacing w:after="0" w:line="15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29.9</w:t>
      </w:r>
      <w:r>
        <w:rPr>
          <w:sz w:val="20"/>
          <w:szCs w:val="20"/>
          <w:color w:val="auto"/>
        </w:rPr>
        <w:tab/>
      </w:r>
      <w:r>
        <w:rPr>
          <w:rFonts w:ascii="Arial" w:cs="Arial" w:eastAsia="Arial" w:hAnsi="Arial"/>
          <w:sz w:val="19"/>
          <w:szCs w:val="19"/>
          <w:color w:val="auto"/>
        </w:rPr>
        <w:t>Such proposed transferee, assignee or sublessee shall not use the Premises for any use that is not a Permitted Use;</w:t>
      </w:r>
    </w:p>
    <w:p>
      <w:pPr>
        <w:spacing w:after="0" w:line="179" w:lineRule="exact"/>
        <w:rPr>
          <w:sz w:val="20"/>
          <w:szCs w:val="20"/>
          <w:color w:val="auto"/>
        </w:rPr>
      </w:pPr>
    </w:p>
    <w:p>
      <w:pPr>
        <w:jc w:val="both"/>
        <w:ind w:left="640" w:hanging="647"/>
        <w:spacing w:after="0" w:line="232" w:lineRule="auto"/>
        <w:rPr>
          <w:sz w:val="20"/>
          <w:szCs w:val="20"/>
          <w:color w:val="auto"/>
        </w:rPr>
      </w:pPr>
      <w:r>
        <w:rPr>
          <w:rFonts w:ascii="Arial" w:cs="Arial" w:eastAsia="Arial" w:hAnsi="Arial"/>
          <w:sz w:val="22"/>
          <w:szCs w:val="22"/>
          <w:color w:val="auto"/>
        </w:rPr>
        <w:t>29.10 Landlord shall not be bound by any provision of any agreement pertaining to the Transfer, except for Landlord’s written consent to the same and except for the nondisturbance described above;</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29.11  Tenant shall pay all transfer and other taxes (including interest and penalties) assessed or payable for any Transfer;</w:t>
      </w:r>
    </w:p>
    <w:p>
      <w:pPr>
        <w:spacing w:after="0" w:line="214" w:lineRule="exact"/>
        <w:rPr>
          <w:sz w:val="20"/>
          <w:szCs w:val="20"/>
          <w:color w:val="auto"/>
        </w:rPr>
      </w:pPr>
    </w:p>
    <w:p>
      <w:pPr>
        <w:jc w:val="both"/>
        <w:ind w:left="640" w:hanging="647"/>
        <w:spacing w:after="0" w:line="232" w:lineRule="auto"/>
        <w:rPr>
          <w:sz w:val="20"/>
          <w:szCs w:val="20"/>
          <w:color w:val="auto"/>
        </w:rPr>
      </w:pPr>
      <w:r>
        <w:rPr>
          <w:rFonts w:ascii="Arial" w:cs="Arial" w:eastAsia="Arial" w:hAnsi="Arial"/>
          <w:sz w:val="22"/>
          <w:szCs w:val="22"/>
          <w:color w:val="auto"/>
        </w:rPr>
        <w:t>29.12 Landlord’s consent (or waiver of its rights) for any Transfer shall not waive Landlord’s right to consent to any later Transfer;</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29.13  Tenant shall deliver to Landlord one executed copy of any and all written instruments evidencing the Transfer; and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29.14  Any Transfer that is not in compliance with the provisions of this Article shall be void and a default.</w:t>
      </w:r>
    </w:p>
    <w:p>
      <w:pPr>
        <w:spacing w:after="0" w:line="179" w:lineRule="exact"/>
        <w:rPr>
          <w:sz w:val="20"/>
          <w:szCs w:val="20"/>
          <w:color w:val="auto"/>
        </w:rPr>
      </w:pPr>
    </w:p>
    <w:p>
      <w:pPr>
        <w:jc w:val="both"/>
        <w:ind w:left="640" w:hanging="647"/>
        <w:spacing w:after="0" w:line="268" w:lineRule="auto"/>
        <w:rPr>
          <w:sz w:val="20"/>
          <w:szCs w:val="20"/>
          <w:color w:val="auto"/>
        </w:rPr>
      </w:pPr>
      <w:r>
        <w:rPr>
          <w:rFonts w:ascii="Arial" w:cs="Arial" w:eastAsia="Arial" w:hAnsi="Arial"/>
          <w:sz w:val="19"/>
          <w:szCs w:val="19"/>
          <w:color w:val="auto"/>
        </w:rPr>
        <w:t>29.15 The consent by Landlord to a Transfer shall not relieve Tenant or proposed transferee, assignee or sublessee from obtaining Landlord’s consent to any further Transfer in accordance with the terms hereof, nor shall it release Tenant or any proposed transferee, assignee or sublessee of Tenant from full and primary liability under this Lease.</w:t>
      </w:r>
    </w:p>
    <w:p>
      <w:pPr>
        <w:spacing w:after="0" w:line="132" w:lineRule="exact"/>
        <w:rPr>
          <w:sz w:val="20"/>
          <w:szCs w:val="20"/>
          <w:color w:val="auto"/>
        </w:rPr>
      </w:pPr>
    </w:p>
    <w:p>
      <w:pPr>
        <w:jc w:val="both"/>
        <w:ind w:left="640" w:hanging="647"/>
        <w:spacing w:after="0" w:line="229" w:lineRule="auto"/>
        <w:rPr>
          <w:sz w:val="20"/>
          <w:szCs w:val="20"/>
          <w:color w:val="auto"/>
        </w:rPr>
      </w:pPr>
      <w:r>
        <w:rPr>
          <w:rFonts w:ascii="Arial" w:cs="Arial" w:eastAsia="Arial" w:hAnsi="Arial"/>
          <w:sz w:val="21"/>
          <w:szCs w:val="21"/>
          <w:color w:val="auto"/>
        </w:rPr>
        <w:t>29.16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580"/>
          </w:cols>
          <w:pgMar w:left="980" w:top="1401" w:right="339" w:bottom="1440" w:gutter="0" w:footer="0" w:header="0"/>
        </w:sectPr>
      </w:pPr>
    </w:p>
    <w:bookmarkStart w:id="356" w:name="page357"/>
    <w:bookmarkEnd w:id="356"/>
    <w:p>
      <w:pPr>
        <w:ind w:left="1300"/>
        <w:spacing w:after="0" w:line="232" w:lineRule="auto"/>
        <w:rPr>
          <w:sz w:val="20"/>
          <w:szCs w:val="20"/>
          <w:color w:val="auto"/>
        </w:rPr>
      </w:pPr>
      <w:r>
        <w:rPr>
          <w:rFonts w:ascii="Arial" w:cs="Arial" w:eastAsia="Arial" w:hAnsi="Arial"/>
          <w:sz w:val="22"/>
          <w:szCs w:val="22"/>
          <w:color w:val="auto"/>
        </w:rPr>
        <w:t>from any person or entity other than Tenant shall not be deemed a waiver of any of the provisions of this Lease or a consent to any Transfer.</w:t>
      </w:r>
    </w:p>
    <w:p>
      <w:pPr>
        <w:spacing w:after="0" w:line="159" w:lineRule="exact"/>
        <w:rPr>
          <w:sz w:val="20"/>
          <w:szCs w:val="20"/>
          <w:color w:val="auto"/>
        </w:rPr>
      </w:pPr>
    </w:p>
    <w:p>
      <w:pPr>
        <w:jc w:val="both"/>
        <w:ind w:left="1300" w:hanging="647"/>
        <w:spacing w:after="0" w:line="252" w:lineRule="auto"/>
        <w:rPr>
          <w:sz w:val="20"/>
          <w:szCs w:val="20"/>
          <w:color w:val="auto"/>
        </w:rPr>
      </w:pPr>
      <w:r>
        <w:rPr>
          <w:rFonts w:ascii="Arial" w:cs="Arial" w:eastAsia="Arial" w:hAnsi="Arial"/>
          <w:sz w:val="19"/>
          <w:szCs w:val="19"/>
          <w:color w:val="auto"/>
        </w:rPr>
        <w:t xml:space="preserve">29.17 If Tenant sublets the Premises or any portion thereof, Tenant hereby immediately and irrevocably assigns to Landlord, as security for Tenant’s obligations under this Lease, all rent from any such subletting, and appoints Landlord as assignee and attorneyin-fact for Tenant, and Landlord (or a receiver for Tenant appointed on Landlord’s application) may collect such rent and apply it toward Tenant’s obligations under this 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have the right to collect such rent so long as no Default exists or is continuing.</w:t>
      </w:r>
    </w:p>
    <w:p>
      <w:pPr>
        <w:spacing w:after="0" w:line="149" w:lineRule="exact"/>
        <w:rPr>
          <w:sz w:val="20"/>
          <w:szCs w:val="20"/>
          <w:color w:val="auto"/>
        </w:rPr>
      </w:pPr>
    </w:p>
    <w:p>
      <w:pPr>
        <w:ind w:left="660" w:hanging="652"/>
        <w:spacing w:after="0"/>
        <w:tabs>
          <w:tab w:leader="none" w:pos="660" w:val="left"/>
        </w:tabs>
        <w:numPr>
          <w:ilvl w:val="0"/>
          <w:numId w:val="302"/>
        </w:numPr>
        <w:rPr>
          <w:rFonts w:ascii="Arial" w:cs="Arial" w:eastAsia="Arial" w:hAnsi="Arial"/>
          <w:sz w:val="22"/>
          <w:szCs w:val="22"/>
          <w:color w:val="auto"/>
        </w:rPr>
      </w:pPr>
      <w:r>
        <w:rPr>
          <w:rFonts w:ascii="Arial" w:cs="Arial" w:eastAsia="Arial" w:hAnsi="Arial"/>
          <w:sz w:val="22"/>
          <w:szCs w:val="22"/>
          <w:u w:val="single" w:color="auto"/>
          <w:color w:val="auto"/>
        </w:rPr>
        <w:t>Subordination</w:t>
      </w:r>
      <w:r>
        <w:rPr>
          <w:rFonts w:ascii="Arial" w:cs="Arial" w:eastAsia="Arial" w:hAnsi="Arial"/>
          <w:sz w:val="22"/>
          <w:szCs w:val="22"/>
          <w:color w:val="auto"/>
        </w:rPr>
        <w:t xml:space="preserve"> </w:t>
      </w:r>
      <w:r>
        <w:rPr>
          <w:rFonts w:ascii="Arial" w:cs="Arial" w:eastAsia="Arial" w:hAnsi="Arial"/>
          <w:sz w:val="22"/>
          <w:szCs w:val="22"/>
          <w:u w:val="single" w:color="auto"/>
          <w:color w:val="131313"/>
        </w:rPr>
        <w:t>and</w:t>
      </w:r>
      <w:r>
        <w:rPr>
          <w:rFonts w:ascii="Arial" w:cs="Arial" w:eastAsia="Arial" w:hAnsi="Arial"/>
          <w:sz w:val="22"/>
          <w:szCs w:val="22"/>
          <w:color w:val="auto"/>
        </w:rPr>
        <w:t xml:space="preserve"> </w:t>
      </w:r>
      <w:r>
        <w:rPr>
          <w:rFonts w:ascii="Arial" w:cs="Arial" w:eastAsia="Arial" w:hAnsi="Arial"/>
          <w:sz w:val="22"/>
          <w:szCs w:val="22"/>
          <w:u w:val="single" w:color="auto"/>
          <w:color w:val="232323"/>
        </w:rPr>
        <w:t>Attornment</w:t>
      </w:r>
      <w:r>
        <w:rPr>
          <w:rFonts w:ascii="Arial" w:cs="Arial" w:eastAsia="Arial" w:hAnsi="Arial"/>
          <w:sz w:val="22"/>
          <w:szCs w:val="22"/>
          <w:color w:val="232323"/>
        </w:rPr>
        <w:t>.</w:t>
      </w:r>
    </w:p>
    <w:p>
      <w:pPr>
        <w:spacing w:after="0" w:line="179" w:lineRule="exact"/>
        <w:rPr>
          <w:rFonts w:ascii="Arial" w:cs="Arial" w:eastAsia="Arial" w:hAnsi="Arial"/>
          <w:sz w:val="22"/>
          <w:szCs w:val="22"/>
          <w:color w:val="auto"/>
        </w:rPr>
      </w:pPr>
    </w:p>
    <w:p>
      <w:pPr>
        <w:ind w:left="1300" w:hanging="648"/>
        <w:spacing w:after="0" w:line="216" w:lineRule="auto"/>
        <w:rPr>
          <w:rFonts w:ascii="Arial" w:cs="Arial" w:eastAsia="Arial" w:hAnsi="Arial"/>
          <w:sz w:val="22"/>
          <w:szCs w:val="22"/>
          <w:color w:val="auto"/>
        </w:rPr>
      </w:pPr>
      <w:r>
        <w:rPr>
          <w:rFonts w:ascii="Arial" w:cs="Arial" w:eastAsia="Arial" w:hAnsi="Arial"/>
          <w:sz w:val="22"/>
          <w:szCs w:val="22"/>
          <w:color w:val="auto"/>
        </w:rPr>
        <w:t xml:space="preserve">30.1 </w:t>
      </w:r>
      <w:r>
        <w:rPr>
          <w:rFonts w:ascii="Arial" w:cs="Arial" w:eastAsia="Arial" w:hAnsi="Arial"/>
          <w:sz w:val="22"/>
          <w:szCs w:val="22"/>
          <w:color w:val="343434"/>
        </w:rPr>
        <w:t>Subject to</w:t>
      </w:r>
      <w:r>
        <w:rPr>
          <w:rFonts w:ascii="Arial" w:cs="Arial" w:eastAsia="Arial" w:hAnsi="Arial"/>
          <w:sz w:val="22"/>
          <w:szCs w:val="22"/>
          <w:color w:val="auto"/>
        </w:rPr>
        <w:t xml:space="preserve"> the </w:t>
      </w:r>
      <w:r>
        <w:rPr>
          <w:rFonts w:ascii="Arial" w:cs="Arial" w:eastAsia="Arial" w:hAnsi="Arial"/>
          <w:sz w:val="22"/>
          <w:szCs w:val="22"/>
          <w:color w:val="343434"/>
        </w:rPr>
        <w:t>provisions set</w:t>
      </w:r>
      <w:r>
        <w:rPr>
          <w:rFonts w:ascii="Arial" w:cs="Arial" w:eastAsia="Arial" w:hAnsi="Arial"/>
          <w:sz w:val="22"/>
          <w:szCs w:val="22"/>
          <w:color w:val="auto"/>
        </w:rPr>
        <w:t xml:space="preserve"> forth </w:t>
      </w:r>
      <w:r>
        <w:rPr>
          <w:rFonts w:ascii="Arial" w:cs="Arial" w:eastAsia="Arial" w:hAnsi="Arial"/>
          <w:sz w:val="22"/>
          <w:szCs w:val="22"/>
          <w:color w:val="131313"/>
        </w:rPr>
        <w:t>b</w:t>
      </w:r>
      <w:r>
        <w:rPr>
          <w:rFonts w:ascii="Arial" w:cs="Arial" w:eastAsia="Arial" w:hAnsi="Arial"/>
          <w:sz w:val="22"/>
          <w:szCs w:val="22"/>
          <w:color w:val="343434"/>
        </w:rPr>
        <w:t>el</w:t>
      </w:r>
      <w:r>
        <w:rPr>
          <w:rFonts w:ascii="Arial" w:cs="Arial" w:eastAsia="Arial" w:hAnsi="Arial"/>
          <w:sz w:val="22"/>
          <w:szCs w:val="22"/>
          <w:color w:val="131313"/>
        </w:rPr>
        <w:t>ow</w:t>
      </w:r>
      <w:r>
        <w:rPr>
          <w:rFonts w:ascii="Arial" w:cs="Arial" w:eastAsia="Arial" w:hAnsi="Arial"/>
          <w:sz w:val="22"/>
          <w:szCs w:val="22"/>
          <w:color w:val="494949"/>
        </w:rPr>
        <w:t>,</w:t>
      </w:r>
      <w:r>
        <w:rPr>
          <w:rFonts w:ascii="Arial" w:cs="Arial" w:eastAsia="Arial" w:hAnsi="Arial"/>
          <w:sz w:val="22"/>
          <w:szCs w:val="22"/>
          <w:color w:val="auto"/>
        </w:rPr>
        <w:t xml:space="preserve"> </w:t>
      </w:r>
      <w:r>
        <w:rPr>
          <w:rFonts w:ascii="Arial" w:cs="Arial" w:eastAsia="Arial" w:hAnsi="Arial"/>
          <w:sz w:val="22"/>
          <w:szCs w:val="22"/>
          <w:color w:val="343434"/>
        </w:rPr>
        <w:t>this</w:t>
      </w:r>
      <w:r>
        <w:rPr>
          <w:rFonts w:ascii="Arial" w:cs="Arial" w:eastAsia="Arial" w:hAnsi="Arial"/>
          <w:sz w:val="22"/>
          <w:szCs w:val="22"/>
          <w:color w:val="auto"/>
        </w:rPr>
        <w:t xml:space="preserve"> Lease shall be </w:t>
      </w:r>
      <w:r>
        <w:rPr>
          <w:rFonts w:ascii="Arial" w:cs="Arial" w:eastAsia="Arial" w:hAnsi="Arial"/>
          <w:sz w:val="22"/>
          <w:szCs w:val="22"/>
          <w:color w:val="343434"/>
        </w:rPr>
        <w:t>subject</w:t>
      </w:r>
      <w:r>
        <w:rPr>
          <w:rFonts w:ascii="Arial" w:cs="Arial" w:eastAsia="Arial" w:hAnsi="Arial"/>
          <w:sz w:val="22"/>
          <w:szCs w:val="22"/>
          <w:color w:val="auto"/>
        </w:rPr>
        <w:t xml:space="preserve"> and subordinate to </w:t>
      </w:r>
      <w:r>
        <w:rPr>
          <w:rFonts w:ascii="Arial" w:cs="Arial" w:eastAsia="Arial" w:hAnsi="Arial"/>
          <w:sz w:val="22"/>
          <w:szCs w:val="22"/>
          <w:color w:val="131313"/>
        </w:rPr>
        <w:t>the lien</w:t>
      </w:r>
      <w:r>
        <w:rPr>
          <w:rFonts w:ascii="Arial" w:cs="Arial" w:eastAsia="Arial" w:hAnsi="Arial"/>
          <w:sz w:val="22"/>
          <w:szCs w:val="22"/>
          <w:color w:val="auto"/>
        </w:rPr>
        <w:t xml:space="preserve"> of </w:t>
      </w:r>
      <w:r>
        <w:rPr>
          <w:rFonts w:ascii="Arial" w:cs="Arial" w:eastAsia="Arial" w:hAnsi="Arial"/>
          <w:sz w:val="22"/>
          <w:szCs w:val="22"/>
          <w:color w:val="131313"/>
        </w:rPr>
        <w:t>any mortgage,</w:t>
      </w:r>
      <w:r>
        <w:rPr>
          <w:rFonts w:ascii="Arial" w:cs="Arial" w:eastAsia="Arial" w:hAnsi="Arial"/>
          <w:sz w:val="22"/>
          <w:szCs w:val="22"/>
          <w:color w:val="auto"/>
        </w:rPr>
        <w:t xml:space="preserve"> </w:t>
      </w:r>
      <w:r>
        <w:rPr>
          <w:rFonts w:ascii="Arial" w:cs="Arial" w:eastAsia="Arial" w:hAnsi="Arial"/>
          <w:sz w:val="22"/>
          <w:szCs w:val="22"/>
          <w:color w:val="131313"/>
        </w:rPr>
        <w:t xml:space="preserve">deed </w:t>
      </w:r>
      <w:r>
        <w:rPr>
          <w:rFonts w:ascii="Arial" w:cs="Arial" w:eastAsia="Arial" w:hAnsi="Arial"/>
          <w:sz w:val="22"/>
          <w:szCs w:val="22"/>
          <w:color w:val="000000"/>
        </w:rPr>
        <w:t>of</w:t>
      </w:r>
      <w:r>
        <w:rPr>
          <w:rFonts w:ascii="Arial" w:cs="Arial" w:eastAsia="Arial" w:hAnsi="Arial"/>
          <w:sz w:val="22"/>
          <w:szCs w:val="22"/>
          <w:color w:val="131313"/>
        </w:rPr>
        <w:t xml:space="preserve"> </w:t>
      </w:r>
      <w:r>
        <w:rPr>
          <w:rFonts w:ascii="Arial" w:cs="Arial" w:eastAsia="Arial" w:hAnsi="Arial"/>
          <w:sz w:val="22"/>
          <w:szCs w:val="22"/>
          <w:color w:val="343434"/>
        </w:rPr>
        <w:t>trust,</w:t>
      </w:r>
      <w:r>
        <w:rPr>
          <w:rFonts w:ascii="Arial" w:cs="Arial" w:eastAsia="Arial" w:hAnsi="Arial"/>
          <w:sz w:val="22"/>
          <w:szCs w:val="22"/>
          <w:color w:val="131313"/>
        </w:rPr>
        <w:t xml:space="preserve"> </w:t>
      </w:r>
      <w:r>
        <w:rPr>
          <w:rFonts w:ascii="Arial" w:cs="Arial" w:eastAsia="Arial" w:hAnsi="Arial"/>
          <w:sz w:val="22"/>
          <w:szCs w:val="22"/>
          <w:color w:val="000000"/>
        </w:rPr>
        <w:t>or</w:t>
      </w:r>
      <w:r>
        <w:rPr>
          <w:rFonts w:ascii="Arial" w:cs="Arial" w:eastAsia="Arial" w:hAnsi="Arial"/>
          <w:sz w:val="22"/>
          <w:szCs w:val="22"/>
          <w:color w:val="131313"/>
        </w:rPr>
        <w:t xml:space="preserve"> lease in </w:t>
      </w:r>
      <w:r>
        <w:rPr>
          <w:rFonts w:ascii="Arial" w:cs="Arial" w:eastAsia="Arial" w:hAnsi="Arial"/>
          <w:sz w:val="22"/>
          <w:szCs w:val="22"/>
          <w:color w:val="000000"/>
        </w:rPr>
        <w:t>which</w:t>
      </w:r>
      <w:r>
        <w:rPr>
          <w:rFonts w:ascii="Arial" w:cs="Arial" w:eastAsia="Arial" w:hAnsi="Arial"/>
          <w:sz w:val="22"/>
          <w:szCs w:val="22"/>
          <w:color w:val="131313"/>
        </w:rPr>
        <w:t xml:space="preserve"> Landlord </w:t>
      </w:r>
      <w:r>
        <w:rPr>
          <w:rFonts w:ascii="Arial" w:cs="Arial" w:eastAsia="Arial" w:hAnsi="Arial"/>
          <w:sz w:val="22"/>
          <w:szCs w:val="22"/>
          <w:color w:val="343434"/>
        </w:rPr>
        <w:t>is</w:t>
      </w:r>
      <w:r>
        <w:rPr>
          <w:rFonts w:ascii="Arial" w:cs="Arial" w:eastAsia="Arial" w:hAnsi="Arial"/>
          <w:sz w:val="22"/>
          <w:szCs w:val="22"/>
          <w:color w:val="131313"/>
        </w:rPr>
        <w:t xml:space="preserve"> tenant </w:t>
      </w:r>
      <w:r>
        <w:rPr>
          <w:rFonts w:ascii="Arial" w:cs="Arial" w:eastAsia="Arial" w:hAnsi="Arial"/>
          <w:sz w:val="22"/>
          <w:szCs w:val="22"/>
          <w:color w:val="000000"/>
        </w:rPr>
        <w:t>now or</w:t>
      </w:r>
      <w:r>
        <w:rPr>
          <w:rFonts w:ascii="Arial" w:cs="Arial" w:eastAsia="Arial" w:hAnsi="Arial"/>
          <w:sz w:val="22"/>
          <w:szCs w:val="22"/>
          <w:color w:val="131313"/>
        </w:rPr>
        <w:t xml:space="preserve"> hereafter </w:t>
      </w:r>
      <w:r>
        <w:rPr>
          <w:rFonts w:ascii="Arial" w:cs="Arial" w:eastAsia="Arial" w:hAnsi="Arial"/>
          <w:sz w:val="22"/>
          <w:szCs w:val="22"/>
          <w:color w:val="494949"/>
        </w:rPr>
        <w:t>in</w:t>
      </w:r>
      <w:r>
        <w:rPr>
          <w:rFonts w:ascii="Arial" w:cs="Arial" w:eastAsia="Arial" w:hAnsi="Arial"/>
          <w:sz w:val="22"/>
          <w:szCs w:val="22"/>
          <w:color w:val="131313"/>
        </w:rPr>
        <w:t xml:space="preserve"> force against the </w:t>
      </w:r>
      <w:r>
        <w:rPr>
          <w:rFonts w:ascii="Arial" w:cs="Arial" w:eastAsia="Arial" w:hAnsi="Arial"/>
          <w:sz w:val="22"/>
          <w:szCs w:val="22"/>
          <w:color w:val="000000"/>
        </w:rPr>
        <w:t>Building</w:t>
      </w:r>
      <w:r>
        <w:rPr>
          <w:rFonts w:ascii="Arial" w:cs="Arial" w:eastAsia="Arial" w:hAnsi="Arial"/>
          <w:sz w:val="22"/>
          <w:szCs w:val="22"/>
          <w:color w:val="131313"/>
        </w:rPr>
        <w:t xml:space="preserve"> and </w:t>
      </w:r>
      <w:r>
        <w:rPr>
          <w:rFonts w:ascii="Arial" w:cs="Arial" w:eastAsia="Arial" w:hAnsi="Arial"/>
          <w:sz w:val="22"/>
          <w:szCs w:val="22"/>
          <w:color w:val="000000"/>
        </w:rPr>
        <w:t>Common</w:t>
      </w:r>
      <w:r>
        <w:rPr>
          <w:rFonts w:ascii="Arial" w:cs="Arial" w:eastAsia="Arial" w:hAnsi="Arial"/>
          <w:sz w:val="22"/>
          <w:szCs w:val="22"/>
          <w:color w:val="131313"/>
        </w:rPr>
        <w:t xml:space="preserve"> </w:t>
      </w:r>
      <w:r>
        <w:rPr>
          <w:rFonts w:ascii="Arial" w:cs="Arial" w:eastAsia="Arial" w:hAnsi="Arial"/>
          <w:sz w:val="22"/>
          <w:szCs w:val="22"/>
          <w:color w:val="000000"/>
        </w:rPr>
        <w:t>Areas (“</w:t>
      </w:r>
      <w:r>
        <w:rPr>
          <w:rFonts w:ascii="Arial" w:cs="Arial" w:eastAsia="Arial" w:hAnsi="Arial"/>
          <w:sz w:val="22"/>
          <w:szCs w:val="22"/>
          <w:u w:val="single" w:color="auto"/>
          <w:color w:val="000000"/>
        </w:rPr>
        <w:t>Mortgage</w:t>
      </w:r>
      <w:r>
        <w:rPr>
          <w:rFonts w:ascii="Arial" w:cs="Arial" w:eastAsia="Arial" w:hAnsi="Arial"/>
          <w:sz w:val="22"/>
          <w:szCs w:val="22"/>
          <w:color w:val="000000"/>
        </w:rPr>
        <w:t xml:space="preserve">”) </w:t>
      </w:r>
      <w:r>
        <w:rPr>
          <w:rFonts w:ascii="Arial" w:cs="Arial" w:eastAsia="Arial" w:hAnsi="Arial"/>
          <w:sz w:val="22"/>
          <w:szCs w:val="22"/>
          <w:color w:val="343434"/>
        </w:rPr>
        <w:t>and</w:t>
      </w:r>
      <w:r>
        <w:rPr>
          <w:rFonts w:ascii="Arial" w:cs="Arial" w:eastAsia="Arial" w:hAnsi="Arial"/>
          <w:sz w:val="22"/>
          <w:szCs w:val="22"/>
          <w:color w:val="000000"/>
        </w:rPr>
        <w:t xml:space="preserve"> </w:t>
      </w:r>
      <w:r>
        <w:rPr>
          <w:rFonts w:ascii="Arial" w:cs="Arial" w:eastAsia="Arial" w:hAnsi="Arial"/>
          <w:sz w:val="22"/>
          <w:szCs w:val="22"/>
          <w:color w:val="131313"/>
        </w:rPr>
        <w:t>to</w:t>
      </w:r>
      <w:r>
        <w:rPr>
          <w:rFonts w:ascii="Arial" w:cs="Arial" w:eastAsia="Arial" w:hAnsi="Arial"/>
          <w:sz w:val="22"/>
          <w:szCs w:val="22"/>
          <w:color w:val="000000"/>
        </w:rPr>
        <w:t xml:space="preserve"> all </w:t>
      </w:r>
      <w:r>
        <w:rPr>
          <w:rFonts w:ascii="Arial" w:cs="Arial" w:eastAsia="Arial" w:hAnsi="Arial"/>
          <w:sz w:val="22"/>
          <w:szCs w:val="22"/>
          <w:color w:val="343434"/>
        </w:rPr>
        <w:t>advances</w:t>
      </w:r>
      <w:r>
        <w:rPr>
          <w:rFonts w:ascii="Arial" w:cs="Arial" w:eastAsia="Arial" w:hAnsi="Arial"/>
          <w:sz w:val="22"/>
          <w:szCs w:val="22"/>
          <w:color w:val="000000"/>
        </w:rPr>
        <w:t xml:space="preserve"> made or hereafter </w:t>
      </w:r>
      <w:r>
        <w:rPr>
          <w:rFonts w:ascii="Arial" w:cs="Arial" w:eastAsia="Arial" w:hAnsi="Arial"/>
          <w:sz w:val="22"/>
          <w:szCs w:val="22"/>
          <w:color w:val="131313"/>
        </w:rPr>
        <w:t>to</w:t>
      </w:r>
      <w:r>
        <w:rPr>
          <w:rFonts w:ascii="Arial" w:cs="Arial" w:eastAsia="Arial" w:hAnsi="Arial"/>
          <w:sz w:val="22"/>
          <w:szCs w:val="22"/>
          <w:color w:val="000000"/>
        </w:rPr>
        <w:t xml:space="preserve"> be </w:t>
      </w:r>
      <w:r>
        <w:rPr>
          <w:rFonts w:ascii="Arial" w:cs="Arial" w:eastAsia="Arial" w:hAnsi="Arial"/>
          <w:sz w:val="22"/>
          <w:szCs w:val="22"/>
          <w:color w:val="131313"/>
        </w:rPr>
        <w:t>made</w:t>
      </w:r>
      <w:r>
        <w:rPr>
          <w:rFonts w:ascii="Arial" w:cs="Arial" w:eastAsia="Arial" w:hAnsi="Arial"/>
          <w:sz w:val="22"/>
          <w:szCs w:val="22"/>
          <w:color w:val="000000"/>
        </w:rPr>
        <w:t xml:space="preserve"> upon </w:t>
      </w:r>
      <w:r>
        <w:rPr>
          <w:rFonts w:ascii="Arial" w:cs="Arial" w:eastAsia="Arial" w:hAnsi="Arial"/>
          <w:sz w:val="22"/>
          <w:szCs w:val="22"/>
          <w:color w:val="343434"/>
        </w:rPr>
        <w:t>the security thereof</w:t>
      </w:r>
      <w:r>
        <w:rPr>
          <w:rFonts w:ascii="Arial" w:cs="Arial" w:eastAsia="Arial" w:hAnsi="Arial"/>
          <w:sz w:val="22"/>
          <w:szCs w:val="22"/>
          <w:color w:val="000000"/>
        </w:rPr>
        <w:t xml:space="preserve"> without the </w:t>
      </w:r>
      <w:r>
        <w:rPr>
          <w:rFonts w:ascii="Arial" w:cs="Arial" w:eastAsia="Arial" w:hAnsi="Arial"/>
          <w:sz w:val="22"/>
          <w:szCs w:val="22"/>
          <w:color w:val="131313"/>
        </w:rPr>
        <w:t xml:space="preserve">necessity </w:t>
      </w:r>
      <w:r>
        <w:rPr>
          <w:rFonts w:ascii="Arial" w:cs="Arial" w:eastAsia="Arial" w:hAnsi="Arial"/>
          <w:sz w:val="22"/>
          <w:szCs w:val="22"/>
          <w:color w:val="343434"/>
        </w:rPr>
        <w:t>of</w:t>
      </w:r>
      <w:r>
        <w:rPr>
          <w:rFonts w:ascii="Arial" w:cs="Arial" w:eastAsia="Arial" w:hAnsi="Arial"/>
          <w:sz w:val="22"/>
          <w:szCs w:val="22"/>
          <w:color w:val="131313"/>
        </w:rPr>
        <w:t xml:space="preserve"> the execution </w:t>
      </w:r>
      <w:r>
        <w:rPr>
          <w:rFonts w:ascii="Arial" w:cs="Arial" w:eastAsia="Arial" w:hAnsi="Arial"/>
          <w:sz w:val="22"/>
          <w:szCs w:val="22"/>
          <w:color w:val="000000"/>
        </w:rPr>
        <w:t>and</w:t>
      </w:r>
      <w:r>
        <w:rPr>
          <w:rFonts w:ascii="Arial" w:cs="Arial" w:eastAsia="Arial" w:hAnsi="Arial"/>
          <w:sz w:val="22"/>
          <w:szCs w:val="22"/>
          <w:color w:val="131313"/>
        </w:rPr>
        <w:t xml:space="preserve"> delivery </w:t>
      </w:r>
      <w:r>
        <w:rPr>
          <w:rFonts w:ascii="Arial" w:cs="Arial" w:eastAsia="Arial" w:hAnsi="Arial"/>
          <w:sz w:val="22"/>
          <w:szCs w:val="22"/>
          <w:color w:val="000000"/>
        </w:rPr>
        <w:t>of</w:t>
      </w:r>
      <w:r>
        <w:rPr>
          <w:rFonts w:ascii="Arial" w:cs="Arial" w:eastAsia="Arial" w:hAnsi="Arial"/>
          <w:sz w:val="22"/>
          <w:szCs w:val="22"/>
          <w:color w:val="131313"/>
        </w:rPr>
        <w:t xml:space="preserve"> </w:t>
      </w:r>
      <w:r>
        <w:rPr>
          <w:rFonts w:ascii="Arial" w:cs="Arial" w:eastAsia="Arial" w:hAnsi="Arial"/>
          <w:sz w:val="22"/>
          <w:szCs w:val="22"/>
          <w:color w:val="343434"/>
        </w:rPr>
        <w:t>any</w:t>
      </w:r>
      <w:r>
        <w:rPr>
          <w:rFonts w:ascii="Arial" w:cs="Arial" w:eastAsia="Arial" w:hAnsi="Arial"/>
          <w:sz w:val="22"/>
          <w:szCs w:val="22"/>
          <w:color w:val="131313"/>
        </w:rPr>
        <w:t xml:space="preserve"> further </w:t>
      </w:r>
      <w:r>
        <w:rPr>
          <w:rFonts w:ascii="Arial" w:cs="Arial" w:eastAsia="Arial" w:hAnsi="Arial"/>
          <w:sz w:val="22"/>
          <w:szCs w:val="22"/>
          <w:color w:val="000000"/>
        </w:rPr>
        <w:t>instruments on</w:t>
      </w:r>
      <w:r>
        <w:rPr>
          <w:rFonts w:ascii="Arial" w:cs="Arial" w:eastAsia="Arial" w:hAnsi="Arial"/>
          <w:sz w:val="22"/>
          <w:szCs w:val="22"/>
          <w:color w:val="131313"/>
        </w:rPr>
        <w:t xml:space="preserve"> </w:t>
      </w:r>
      <w:r>
        <w:rPr>
          <w:rFonts w:ascii="Arial" w:cs="Arial" w:eastAsia="Arial" w:hAnsi="Arial"/>
          <w:sz w:val="22"/>
          <w:szCs w:val="22"/>
          <w:color w:val="343434"/>
        </w:rPr>
        <w:t>the</w:t>
      </w:r>
      <w:r>
        <w:rPr>
          <w:rFonts w:ascii="Arial" w:cs="Arial" w:eastAsia="Arial" w:hAnsi="Arial"/>
          <w:sz w:val="22"/>
          <w:szCs w:val="22"/>
          <w:color w:val="131313"/>
        </w:rPr>
        <w:t xml:space="preserve"> part </w:t>
      </w:r>
      <w:r>
        <w:rPr>
          <w:rFonts w:ascii="Arial" w:cs="Arial" w:eastAsia="Arial" w:hAnsi="Arial"/>
          <w:sz w:val="22"/>
          <w:szCs w:val="22"/>
          <w:color w:val="343434"/>
        </w:rPr>
        <w:t>of</w:t>
      </w:r>
      <w:r>
        <w:rPr>
          <w:rFonts w:ascii="Arial" w:cs="Arial" w:eastAsia="Arial" w:hAnsi="Arial"/>
          <w:sz w:val="22"/>
          <w:szCs w:val="22"/>
          <w:color w:val="131313"/>
        </w:rPr>
        <w:t xml:space="preserve"> </w:t>
      </w:r>
      <w:r>
        <w:rPr>
          <w:rFonts w:ascii="Arial" w:cs="Arial" w:eastAsia="Arial" w:hAnsi="Arial"/>
          <w:sz w:val="22"/>
          <w:szCs w:val="22"/>
          <w:color w:val="000000"/>
        </w:rPr>
        <w:t>Tenant to</w:t>
      </w:r>
      <w:r>
        <w:rPr>
          <w:rFonts w:ascii="Arial" w:cs="Arial" w:eastAsia="Arial" w:hAnsi="Arial"/>
          <w:sz w:val="22"/>
          <w:szCs w:val="22"/>
          <w:color w:val="131313"/>
        </w:rPr>
        <w:t xml:space="preserve"> </w:t>
      </w:r>
      <w:r>
        <w:rPr>
          <w:rFonts w:ascii="Arial" w:cs="Arial" w:eastAsia="Arial" w:hAnsi="Arial"/>
          <w:sz w:val="22"/>
          <w:szCs w:val="22"/>
          <w:color w:val="343434"/>
        </w:rPr>
        <w:t>effectuate such</w:t>
      </w:r>
      <w:r>
        <w:rPr>
          <w:rFonts w:ascii="Arial" w:cs="Arial" w:eastAsia="Arial" w:hAnsi="Arial"/>
          <w:sz w:val="22"/>
          <w:szCs w:val="22"/>
          <w:color w:val="131313"/>
        </w:rPr>
        <w:t xml:space="preserve"> </w:t>
      </w:r>
      <w:r>
        <w:rPr>
          <w:rFonts w:ascii="Arial" w:cs="Arial" w:eastAsia="Arial" w:hAnsi="Arial"/>
          <w:sz w:val="22"/>
          <w:szCs w:val="22"/>
          <w:color w:val="000000"/>
        </w:rPr>
        <w:t>subordination.</w:t>
      </w:r>
    </w:p>
    <w:p>
      <w:pPr>
        <w:spacing w:after="0" w:line="157" w:lineRule="exact"/>
        <w:rPr>
          <w:rFonts w:ascii="Arial" w:cs="Arial" w:eastAsia="Arial" w:hAnsi="Arial"/>
          <w:sz w:val="22"/>
          <w:szCs w:val="22"/>
          <w:color w:val="auto"/>
        </w:rPr>
      </w:pPr>
    </w:p>
    <w:p>
      <w:pPr>
        <w:ind w:left="1300" w:hanging="648"/>
        <w:spacing w:after="0" w:line="244" w:lineRule="auto"/>
        <w:rPr>
          <w:rFonts w:ascii="Arial" w:cs="Arial" w:eastAsia="Arial" w:hAnsi="Arial"/>
          <w:sz w:val="22"/>
          <w:szCs w:val="22"/>
          <w:color w:val="auto"/>
        </w:rPr>
      </w:pPr>
      <w:r>
        <w:rPr>
          <w:rFonts w:ascii="Arial" w:cs="Arial" w:eastAsia="Arial" w:hAnsi="Arial"/>
          <w:sz w:val="19"/>
          <w:szCs w:val="19"/>
          <w:color w:val="auto"/>
        </w:rPr>
        <w:t xml:space="preserve">30.2 </w:t>
      </w:r>
      <w:r>
        <w:rPr>
          <w:rFonts w:ascii="Arial" w:cs="Arial" w:eastAsia="Arial" w:hAnsi="Arial"/>
          <w:sz w:val="19"/>
          <w:szCs w:val="19"/>
          <w:color w:val="232323"/>
        </w:rPr>
        <w:t>Notwithstanding</w:t>
      </w:r>
      <w:r>
        <w:rPr>
          <w:rFonts w:ascii="Arial" w:cs="Arial" w:eastAsia="Arial" w:hAnsi="Arial"/>
          <w:sz w:val="19"/>
          <w:szCs w:val="19"/>
          <w:color w:val="auto"/>
        </w:rPr>
        <w:t xml:space="preserve"> the </w:t>
      </w:r>
      <w:r>
        <w:rPr>
          <w:rFonts w:ascii="Arial" w:cs="Arial" w:eastAsia="Arial" w:hAnsi="Arial"/>
          <w:sz w:val="19"/>
          <w:szCs w:val="19"/>
          <w:color w:val="232323"/>
        </w:rPr>
        <w:t>foregoing,</w:t>
      </w:r>
      <w:r>
        <w:rPr>
          <w:rFonts w:ascii="Arial" w:cs="Arial" w:eastAsia="Arial" w:hAnsi="Arial"/>
          <w:sz w:val="19"/>
          <w:szCs w:val="19"/>
          <w:color w:val="auto"/>
        </w:rPr>
        <w:t xml:space="preserve"> Tenant </w:t>
      </w:r>
      <w:r>
        <w:rPr>
          <w:rFonts w:ascii="Arial" w:cs="Arial" w:eastAsia="Arial" w:hAnsi="Arial"/>
          <w:sz w:val="19"/>
          <w:szCs w:val="19"/>
          <w:color w:val="232323"/>
        </w:rPr>
        <w:t>shall</w:t>
      </w:r>
      <w:r>
        <w:rPr>
          <w:rFonts w:ascii="Arial" w:cs="Arial" w:eastAsia="Arial" w:hAnsi="Arial"/>
          <w:sz w:val="19"/>
          <w:szCs w:val="19"/>
          <w:color w:val="auto"/>
        </w:rPr>
        <w:t xml:space="preserve"> </w:t>
      </w:r>
      <w:r>
        <w:rPr>
          <w:rFonts w:ascii="Arial" w:cs="Arial" w:eastAsia="Arial" w:hAnsi="Arial"/>
          <w:sz w:val="19"/>
          <w:szCs w:val="19"/>
          <w:color w:val="343434"/>
        </w:rPr>
        <w:t>execute</w:t>
      </w:r>
      <w:r>
        <w:rPr>
          <w:rFonts w:ascii="Arial" w:cs="Arial" w:eastAsia="Arial" w:hAnsi="Arial"/>
          <w:sz w:val="19"/>
          <w:szCs w:val="19"/>
          <w:color w:val="auto"/>
        </w:rPr>
        <w:t xml:space="preserve"> and </w:t>
      </w:r>
      <w:r>
        <w:rPr>
          <w:rFonts w:ascii="Arial" w:cs="Arial" w:eastAsia="Arial" w:hAnsi="Arial"/>
          <w:sz w:val="19"/>
          <w:szCs w:val="19"/>
          <w:color w:val="232323"/>
        </w:rPr>
        <w:t>deliver</w:t>
      </w:r>
      <w:r>
        <w:rPr>
          <w:rFonts w:ascii="Arial" w:cs="Arial" w:eastAsia="Arial" w:hAnsi="Arial"/>
          <w:sz w:val="19"/>
          <w:szCs w:val="19"/>
          <w:color w:val="auto"/>
        </w:rPr>
        <w:t xml:space="preserve"> upon </w:t>
      </w:r>
      <w:r>
        <w:rPr>
          <w:rFonts w:ascii="Arial" w:cs="Arial" w:eastAsia="Arial" w:hAnsi="Arial"/>
          <w:sz w:val="19"/>
          <w:szCs w:val="19"/>
          <w:color w:val="232323"/>
        </w:rPr>
        <w:t>demand</w:t>
      </w:r>
      <w:r>
        <w:rPr>
          <w:rFonts w:ascii="Arial" w:cs="Arial" w:eastAsia="Arial" w:hAnsi="Arial"/>
          <w:sz w:val="19"/>
          <w:szCs w:val="19"/>
          <w:color w:val="auto"/>
        </w:rPr>
        <w:t xml:space="preserve"> </w:t>
      </w:r>
      <w:r>
        <w:rPr>
          <w:rFonts w:ascii="Arial" w:cs="Arial" w:eastAsia="Arial" w:hAnsi="Arial"/>
          <w:sz w:val="19"/>
          <w:szCs w:val="19"/>
          <w:color w:val="343434"/>
        </w:rPr>
        <w:t>such</w:t>
      </w:r>
      <w:r>
        <w:rPr>
          <w:rFonts w:ascii="Arial" w:cs="Arial" w:eastAsia="Arial" w:hAnsi="Arial"/>
          <w:sz w:val="19"/>
          <w:szCs w:val="19"/>
          <w:color w:val="auto"/>
        </w:rPr>
        <w:t xml:space="preserve"> further instrument or instruments </w:t>
      </w:r>
      <w:r>
        <w:rPr>
          <w:rFonts w:ascii="Arial" w:cs="Arial" w:eastAsia="Arial" w:hAnsi="Arial"/>
          <w:sz w:val="19"/>
          <w:szCs w:val="19"/>
          <w:color w:val="232323"/>
        </w:rPr>
        <w:t>evidencing</w:t>
      </w:r>
      <w:r>
        <w:rPr>
          <w:rFonts w:ascii="Arial" w:cs="Arial" w:eastAsia="Arial" w:hAnsi="Arial"/>
          <w:sz w:val="19"/>
          <w:szCs w:val="19"/>
          <w:color w:val="auto"/>
        </w:rPr>
        <w:t xml:space="preserve"> </w:t>
      </w:r>
      <w:r>
        <w:rPr>
          <w:rFonts w:ascii="Arial" w:cs="Arial" w:eastAsia="Arial" w:hAnsi="Arial"/>
          <w:sz w:val="19"/>
          <w:szCs w:val="19"/>
          <w:color w:val="343434"/>
        </w:rPr>
        <w:t>such subordination</w:t>
      </w:r>
      <w:r>
        <w:rPr>
          <w:rFonts w:ascii="Arial" w:cs="Arial" w:eastAsia="Arial" w:hAnsi="Arial"/>
          <w:sz w:val="19"/>
          <w:szCs w:val="19"/>
          <w:color w:val="auto"/>
        </w:rPr>
        <w:t xml:space="preserve"> </w:t>
      </w:r>
      <w:r>
        <w:rPr>
          <w:rFonts w:ascii="Arial" w:cs="Arial" w:eastAsia="Arial" w:hAnsi="Arial"/>
          <w:sz w:val="19"/>
          <w:szCs w:val="19"/>
          <w:color w:val="232323"/>
        </w:rPr>
        <w:t>of</w:t>
      </w:r>
      <w:r>
        <w:rPr>
          <w:rFonts w:ascii="Arial" w:cs="Arial" w:eastAsia="Arial" w:hAnsi="Arial"/>
          <w:sz w:val="19"/>
          <w:szCs w:val="19"/>
          <w:color w:val="auto"/>
        </w:rPr>
        <w:t xml:space="preserve"> this </w:t>
      </w:r>
      <w:r>
        <w:rPr>
          <w:rFonts w:ascii="Arial" w:cs="Arial" w:eastAsia="Arial" w:hAnsi="Arial"/>
          <w:sz w:val="19"/>
          <w:szCs w:val="19"/>
          <w:color w:val="232323"/>
        </w:rPr>
        <w:t>Lease</w:t>
      </w:r>
      <w:r>
        <w:rPr>
          <w:rFonts w:ascii="Arial" w:cs="Arial" w:eastAsia="Arial" w:hAnsi="Arial"/>
          <w:sz w:val="19"/>
          <w:szCs w:val="19"/>
          <w:color w:val="auto"/>
        </w:rPr>
        <w:t xml:space="preserve"> to the lien of any </w:t>
      </w:r>
      <w:r>
        <w:rPr>
          <w:rFonts w:ascii="Arial" w:cs="Arial" w:eastAsia="Arial" w:hAnsi="Arial"/>
          <w:sz w:val="19"/>
          <w:szCs w:val="19"/>
          <w:color w:val="232323"/>
        </w:rPr>
        <w:t>such</w:t>
      </w:r>
      <w:r>
        <w:rPr>
          <w:rFonts w:ascii="Arial" w:cs="Arial" w:eastAsia="Arial" w:hAnsi="Arial"/>
          <w:sz w:val="19"/>
          <w:szCs w:val="19"/>
          <w:color w:val="auto"/>
        </w:rPr>
        <w:t xml:space="preserve"> mortgage </w:t>
      </w:r>
      <w:r>
        <w:rPr>
          <w:rFonts w:ascii="Arial" w:cs="Arial" w:eastAsia="Arial" w:hAnsi="Arial"/>
          <w:sz w:val="19"/>
          <w:szCs w:val="19"/>
          <w:color w:val="232323"/>
        </w:rPr>
        <w:t>or</w:t>
      </w:r>
      <w:r>
        <w:rPr>
          <w:rFonts w:ascii="Arial" w:cs="Arial" w:eastAsia="Arial" w:hAnsi="Arial"/>
          <w:sz w:val="19"/>
          <w:szCs w:val="19"/>
          <w:color w:val="auto"/>
        </w:rPr>
        <w:t xml:space="preserve"> mortgages </w:t>
      </w:r>
      <w:r>
        <w:rPr>
          <w:rFonts w:ascii="Arial" w:cs="Arial" w:eastAsia="Arial" w:hAnsi="Arial"/>
          <w:sz w:val="19"/>
          <w:szCs w:val="19"/>
          <w:color w:val="232323"/>
        </w:rPr>
        <w:t>or</w:t>
      </w:r>
      <w:r>
        <w:rPr>
          <w:rFonts w:ascii="Arial" w:cs="Arial" w:eastAsia="Arial" w:hAnsi="Arial"/>
          <w:sz w:val="19"/>
          <w:szCs w:val="19"/>
          <w:color w:val="auto"/>
        </w:rPr>
        <w:t xml:space="preserve"> deeds </w:t>
      </w:r>
      <w:r>
        <w:rPr>
          <w:rFonts w:ascii="Arial" w:cs="Arial" w:eastAsia="Arial" w:hAnsi="Arial"/>
          <w:sz w:val="19"/>
          <w:szCs w:val="19"/>
          <w:color w:val="232323"/>
        </w:rPr>
        <w:t>of</w:t>
      </w:r>
      <w:r>
        <w:rPr>
          <w:rFonts w:ascii="Arial" w:cs="Arial" w:eastAsia="Arial" w:hAnsi="Arial"/>
          <w:sz w:val="19"/>
          <w:szCs w:val="19"/>
          <w:color w:val="auto"/>
        </w:rPr>
        <w:t xml:space="preserve"> </w:t>
      </w:r>
      <w:r>
        <w:rPr>
          <w:rFonts w:ascii="Arial" w:cs="Arial" w:eastAsia="Arial" w:hAnsi="Arial"/>
          <w:sz w:val="19"/>
          <w:szCs w:val="19"/>
          <w:color w:val="232323"/>
        </w:rPr>
        <w:t xml:space="preserve">trust or </w:t>
      </w:r>
      <w:r>
        <w:rPr>
          <w:rFonts w:ascii="Arial" w:cs="Arial" w:eastAsia="Arial" w:hAnsi="Arial"/>
          <w:sz w:val="19"/>
          <w:szCs w:val="19"/>
          <w:color w:val="343434"/>
        </w:rPr>
        <w:t>lease</w:t>
      </w:r>
      <w:r>
        <w:rPr>
          <w:rFonts w:ascii="Arial" w:cs="Arial" w:eastAsia="Arial" w:hAnsi="Arial"/>
          <w:sz w:val="19"/>
          <w:szCs w:val="19"/>
          <w:color w:val="232323"/>
        </w:rPr>
        <w:t xml:space="preserve"> </w:t>
      </w:r>
      <w:r>
        <w:rPr>
          <w:rFonts w:ascii="Arial" w:cs="Arial" w:eastAsia="Arial" w:hAnsi="Arial"/>
          <w:sz w:val="19"/>
          <w:szCs w:val="19"/>
          <w:color w:val="000000"/>
        </w:rPr>
        <w:t>in</w:t>
      </w:r>
      <w:r>
        <w:rPr>
          <w:rFonts w:ascii="Arial" w:cs="Arial" w:eastAsia="Arial" w:hAnsi="Arial"/>
          <w:sz w:val="19"/>
          <w:szCs w:val="19"/>
          <w:color w:val="232323"/>
        </w:rPr>
        <w:t xml:space="preserve"> which </w:t>
      </w:r>
      <w:r>
        <w:rPr>
          <w:rFonts w:ascii="Arial" w:cs="Arial" w:eastAsia="Arial" w:hAnsi="Arial"/>
          <w:sz w:val="19"/>
          <w:szCs w:val="19"/>
          <w:color w:val="000000"/>
        </w:rPr>
        <w:t>Landlord is</w:t>
      </w:r>
      <w:r>
        <w:rPr>
          <w:rFonts w:ascii="Arial" w:cs="Arial" w:eastAsia="Arial" w:hAnsi="Arial"/>
          <w:sz w:val="19"/>
          <w:szCs w:val="19"/>
          <w:color w:val="232323"/>
        </w:rPr>
        <w:t xml:space="preserve"> </w:t>
      </w:r>
      <w:r>
        <w:rPr>
          <w:rFonts w:ascii="Arial" w:cs="Arial" w:eastAsia="Arial" w:hAnsi="Arial"/>
          <w:sz w:val="19"/>
          <w:szCs w:val="19"/>
          <w:color w:val="343434"/>
        </w:rPr>
        <w:t>tenant as may</w:t>
      </w:r>
      <w:r>
        <w:rPr>
          <w:rFonts w:ascii="Arial" w:cs="Arial" w:eastAsia="Arial" w:hAnsi="Arial"/>
          <w:sz w:val="19"/>
          <w:szCs w:val="19"/>
          <w:color w:val="232323"/>
        </w:rPr>
        <w:t xml:space="preserve"> </w:t>
      </w:r>
      <w:r>
        <w:rPr>
          <w:rFonts w:ascii="Arial" w:cs="Arial" w:eastAsia="Arial" w:hAnsi="Arial"/>
          <w:sz w:val="19"/>
          <w:szCs w:val="19"/>
          <w:color w:val="000000"/>
        </w:rPr>
        <w:t>be required</w:t>
      </w:r>
      <w:r>
        <w:rPr>
          <w:rFonts w:ascii="Arial" w:cs="Arial" w:eastAsia="Arial" w:hAnsi="Arial"/>
          <w:sz w:val="19"/>
          <w:szCs w:val="19"/>
          <w:color w:val="232323"/>
        </w:rPr>
        <w:t xml:space="preserve"> </w:t>
      </w:r>
      <w:r>
        <w:rPr>
          <w:rFonts w:ascii="Arial" w:cs="Arial" w:eastAsia="Arial" w:hAnsi="Arial"/>
          <w:sz w:val="19"/>
          <w:szCs w:val="19"/>
          <w:color w:val="343434"/>
        </w:rPr>
        <w:t>by</w:t>
      </w:r>
      <w:r>
        <w:rPr>
          <w:rFonts w:ascii="Arial" w:cs="Arial" w:eastAsia="Arial" w:hAnsi="Arial"/>
          <w:sz w:val="19"/>
          <w:szCs w:val="19"/>
          <w:color w:val="232323"/>
        </w:rPr>
        <w:t xml:space="preserve"> Landlord. If </w:t>
      </w:r>
      <w:r>
        <w:rPr>
          <w:rFonts w:ascii="Arial" w:cs="Arial" w:eastAsia="Arial" w:hAnsi="Arial"/>
          <w:sz w:val="19"/>
          <w:szCs w:val="19"/>
          <w:color w:val="000000"/>
        </w:rPr>
        <w:t>any</w:t>
      </w:r>
      <w:r>
        <w:rPr>
          <w:rFonts w:ascii="Arial" w:cs="Arial" w:eastAsia="Arial" w:hAnsi="Arial"/>
          <w:sz w:val="19"/>
          <w:szCs w:val="19"/>
          <w:color w:val="232323"/>
        </w:rPr>
        <w:t xml:space="preserve"> such </w:t>
      </w:r>
      <w:r>
        <w:rPr>
          <w:rFonts w:ascii="Arial" w:cs="Arial" w:eastAsia="Arial" w:hAnsi="Arial"/>
          <w:sz w:val="19"/>
          <w:szCs w:val="19"/>
          <w:color w:val="000000"/>
        </w:rPr>
        <w:t>mortgagee,</w:t>
      </w:r>
      <w:r>
        <w:rPr>
          <w:rFonts w:ascii="Arial" w:cs="Arial" w:eastAsia="Arial" w:hAnsi="Arial"/>
          <w:sz w:val="19"/>
          <w:szCs w:val="19"/>
          <w:color w:val="232323"/>
        </w:rPr>
        <w:t xml:space="preserve"> beneficiary </w:t>
      </w:r>
      <w:r>
        <w:rPr>
          <w:rFonts w:ascii="Arial" w:cs="Arial" w:eastAsia="Arial" w:hAnsi="Arial"/>
          <w:sz w:val="19"/>
          <w:szCs w:val="19"/>
          <w:color w:val="343434"/>
        </w:rPr>
        <w:t>or</w:t>
      </w:r>
      <w:r>
        <w:rPr>
          <w:rFonts w:ascii="Arial" w:cs="Arial" w:eastAsia="Arial" w:hAnsi="Arial"/>
          <w:sz w:val="19"/>
          <w:szCs w:val="19"/>
          <w:color w:val="232323"/>
        </w:rPr>
        <w:t xml:space="preserve"> </w:t>
      </w:r>
      <w:r>
        <w:rPr>
          <w:rFonts w:ascii="Arial" w:cs="Arial" w:eastAsia="Arial" w:hAnsi="Arial"/>
          <w:sz w:val="19"/>
          <w:szCs w:val="19"/>
          <w:color w:val="000000"/>
        </w:rPr>
        <w:t xml:space="preserve">landlord under </w:t>
      </w:r>
      <w:r>
        <w:rPr>
          <w:rFonts w:ascii="Arial" w:cs="Arial" w:eastAsia="Arial" w:hAnsi="Arial"/>
          <w:sz w:val="19"/>
          <w:szCs w:val="19"/>
          <w:color w:val="232323"/>
        </w:rPr>
        <w:t>a</w:t>
      </w:r>
      <w:r>
        <w:rPr>
          <w:rFonts w:ascii="Arial" w:cs="Arial" w:eastAsia="Arial" w:hAnsi="Arial"/>
          <w:sz w:val="19"/>
          <w:szCs w:val="19"/>
          <w:color w:val="000000"/>
        </w:rPr>
        <w:t xml:space="preserve"> </w:t>
      </w:r>
      <w:r>
        <w:rPr>
          <w:rFonts w:ascii="Arial" w:cs="Arial" w:eastAsia="Arial" w:hAnsi="Arial"/>
          <w:sz w:val="19"/>
          <w:szCs w:val="19"/>
          <w:color w:val="343434"/>
        </w:rPr>
        <w:t>lease</w:t>
      </w:r>
      <w:r>
        <w:rPr>
          <w:rFonts w:ascii="Arial" w:cs="Arial" w:eastAsia="Arial" w:hAnsi="Arial"/>
          <w:sz w:val="19"/>
          <w:szCs w:val="19"/>
          <w:color w:val="000000"/>
        </w:rPr>
        <w:t xml:space="preserve"> </w:t>
      </w:r>
      <w:r>
        <w:rPr>
          <w:rFonts w:ascii="Arial" w:cs="Arial" w:eastAsia="Arial" w:hAnsi="Arial"/>
          <w:sz w:val="19"/>
          <w:szCs w:val="19"/>
          <w:color w:val="232323"/>
        </w:rPr>
        <w:t>wherein</w:t>
      </w:r>
      <w:r>
        <w:rPr>
          <w:rFonts w:ascii="Arial" w:cs="Arial" w:eastAsia="Arial" w:hAnsi="Arial"/>
          <w:sz w:val="19"/>
          <w:szCs w:val="19"/>
          <w:color w:val="000000"/>
        </w:rPr>
        <w:t xml:space="preserve"> Landlord is </w:t>
      </w:r>
      <w:r>
        <w:rPr>
          <w:rFonts w:ascii="Arial" w:cs="Arial" w:eastAsia="Arial" w:hAnsi="Arial"/>
          <w:sz w:val="19"/>
          <w:szCs w:val="19"/>
          <w:color w:val="232323"/>
        </w:rPr>
        <w:t>tenant</w:t>
      </w:r>
      <w:r>
        <w:rPr>
          <w:rFonts w:ascii="Arial" w:cs="Arial" w:eastAsia="Arial" w:hAnsi="Arial"/>
          <w:sz w:val="19"/>
          <w:szCs w:val="19"/>
          <w:color w:val="000000"/>
        </w:rPr>
        <w:t xml:space="preserve"> (</w:t>
      </w:r>
      <w:r>
        <w:rPr>
          <w:rFonts w:ascii="Arial" w:cs="Arial" w:eastAsia="Arial" w:hAnsi="Arial"/>
          <w:sz w:val="19"/>
          <w:szCs w:val="19"/>
          <w:color w:val="343434"/>
        </w:rPr>
        <w:t>each, a “</w:t>
      </w:r>
      <w:r>
        <w:rPr>
          <w:rFonts w:ascii="Arial" w:cs="Arial" w:eastAsia="Arial" w:hAnsi="Arial"/>
          <w:sz w:val="19"/>
          <w:szCs w:val="19"/>
          <w:u w:val="single" w:color="auto"/>
          <w:color w:val="343434"/>
        </w:rPr>
        <w:t>Mortgagee</w:t>
      </w:r>
      <w:r>
        <w:rPr>
          <w:rFonts w:ascii="Arial" w:cs="Arial" w:eastAsia="Arial" w:hAnsi="Arial"/>
          <w:sz w:val="19"/>
          <w:szCs w:val="19"/>
          <w:color w:val="343434"/>
        </w:rPr>
        <w:t>”) so</w:t>
      </w:r>
      <w:r>
        <w:rPr>
          <w:rFonts w:ascii="Arial" w:cs="Arial" w:eastAsia="Arial" w:hAnsi="Arial"/>
          <w:sz w:val="19"/>
          <w:szCs w:val="19"/>
          <w:color w:val="000000"/>
        </w:rPr>
        <w:t xml:space="preserve"> </w:t>
      </w:r>
      <w:r>
        <w:rPr>
          <w:rFonts w:ascii="Arial" w:cs="Arial" w:eastAsia="Arial" w:hAnsi="Arial"/>
          <w:sz w:val="19"/>
          <w:szCs w:val="19"/>
          <w:color w:val="232323"/>
        </w:rPr>
        <w:t>elects,</w:t>
      </w:r>
      <w:r>
        <w:rPr>
          <w:rFonts w:ascii="Arial" w:cs="Arial" w:eastAsia="Arial" w:hAnsi="Arial"/>
          <w:sz w:val="19"/>
          <w:szCs w:val="19"/>
          <w:color w:val="000000"/>
        </w:rPr>
        <w:t xml:space="preserve"> however, </w:t>
      </w:r>
      <w:r>
        <w:rPr>
          <w:rFonts w:ascii="Arial" w:cs="Arial" w:eastAsia="Arial" w:hAnsi="Arial"/>
          <w:sz w:val="19"/>
          <w:szCs w:val="19"/>
          <w:color w:val="232323"/>
        </w:rPr>
        <w:t>this</w:t>
      </w:r>
      <w:r>
        <w:rPr>
          <w:rFonts w:ascii="Arial" w:cs="Arial" w:eastAsia="Arial" w:hAnsi="Arial"/>
          <w:sz w:val="19"/>
          <w:szCs w:val="19"/>
          <w:color w:val="000000"/>
        </w:rPr>
        <w:t xml:space="preserve"> Lease </w:t>
      </w:r>
      <w:r>
        <w:rPr>
          <w:rFonts w:ascii="Arial" w:cs="Arial" w:eastAsia="Arial" w:hAnsi="Arial"/>
          <w:sz w:val="19"/>
          <w:szCs w:val="19"/>
          <w:color w:val="232323"/>
        </w:rPr>
        <w:t>shall</w:t>
      </w:r>
      <w:r>
        <w:rPr>
          <w:rFonts w:ascii="Arial" w:cs="Arial" w:eastAsia="Arial" w:hAnsi="Arial"/>
          <w:sz w:val="19"/>
          <w:szCs w:val="19"/>
          <w:color w:val="000000"/>
        </w:rPr>
        <w:t xml:space="preserve"> be deemed </w:t>
      </w:r>
      <w:r>
        <w:rPr>
          <w:rFonts w:ascii="Arial" w:cs="Arial" w:eastAsia="Arial" w:hAnsi="Arial"/>
          <w:sz w:val="19"/>
          <w:szCs w:val="19"/>
          <w:color w:val="232323"/>
        </w:rPr>
        <w:t>prior</w:t>
      </w:r>
      <w:r>
        <w:rPr>
          <w:rFonts w:ascii="Arial" w:cs="Arial" w:eastAsia="Arial" w:hAnsi="Arial"/>
          <w:sz w:val="19"/>
          <w:szCs w:val="19"/>
          <w:color w:val="000000"/>
        </w:rPr>
        <w:t xml:space="preserve"> in lien to </w:t>
      </w:r>
      <w:r>
        <w:rPr>
          <w:rFonts w:ascii="Arial" w:cs="Arial" w:eastAsia="Arial" w:hAnsi="Arial"/>
          <w:sz w:val="19"/>
          <w:szCs w:val="19"/>
          <w:color w:val="232323"/>
        </w:rPr>
        <w:t>any</w:t>
      </w:r>
      <w:r>
        <w:rPr>
          <w:rFonts w:ascii="Arial" w:cs="Arial" w:eastAsia="Arial" w:hAnsi="Arial"/>
          <w:sz w:val="19"/>
          <w:szCs w:val="19"/>
          <w:color w:val="000000"/>
        </w:rPr>
        <w:t xml:space="preserve"> </w:t>
      </w:r>
      <w:r>
        <w:rPr>
          <w:rFonts w:ascii="Arial" w:cs="Arial" w:eastAsia="Arial" w:hAnsi="Arial"/>
          <w:sz w:val="19"/>
          <w:szCs w:val="19"/>
          <w:color w:val="343434"/>
        </w:rPr>
        <w:t>such</w:t>
      </w:r>
      <w:r>
        <w:rPr>
          <w:rFonts w:ascii="Arial" w:cs="Arial" w:eastAsia="Arial" w:hAnsi="Arial"/>
          <w:sz w:val="19"/>
          <w:szCs w:val="19"/>
          <w:color w:val="000000"/>
        </w:rPr>
        <w:t xml:space="preserve"> </w:t>
      </w:r>
      <w:r>
        <w:rPr>
          <w:rFonts w:ascii="Arial" w:cs="Arial" w:eastAsia="Arial" w:hAnsi="Arial"/>
          <w:sz w:val="19"/>
          <w:szCs w:val="19"/>
          <w:color w:val="494949"/>
        </w:rPr>
        <w:t>lease,</w:t>
      </w:r>
      <w:r>
        <w:rPr>
          <w:rFonts w:ascii="Arial" w:cs="Arial" w:eastAsia="Arial" w:hAnsi="Arial"/>
          <w:sz w:val="19"/>
          <w:szCs w:val="19"/>
          <w:color w:val="000000"/>
        </w:rPr>
        <w:t xml:space="preserve"> </w:t>
      </w:r>
      <w:r>
        <w:rPr>
          <w:rFonts w:ascii="Arial" w:cs="Arial" w:eastAsia="Arial" w:hAnsi="Arial"/>
          <w:sz w:val="19"/>
          <w:szCs w:val="19"/>
          <w:color w:val="343434"/>
        </w:rPr>
        <w:t>mortgage,</w:t>
      </w:r>
      <w:r>
        <w:rPr>
          <w:rFonts w:ascii="Arial" w:cs="Arial" w:eastAsia="Arial" w:hAnsi="Arial"/>
          <w:sz w:val="19"/>
          <w:szCs w:val="19"/>
          <w:color w:val="000000"/>
        </w:rPr>
        <w:t xml:space="preserve"> or deed of </w:t>
      </w:r>
      <w:r>
        <w:rPr>
          <w:rFonts w:ascii="Arial" w:cs="Arial" w:eastAsia="Arial" w:hAnsi="Arial"/>
          <w:sz w:val="19"/>
          <w:szCs w:val="19"/>
          <w:color w:val="232323"/>
        </w:rPr>
        <w:t>trust upon</w:t>
      </w:r>
      <w:r>
        <w:rPr>
          <w:rFonts w:ascii="Arial" w:cs="Arial" w:eastAsia="Arial" w:hAnsi="Arial"/>
          <w:sz w:val="19"/>
          <w:szCs w:val="19"/>
          <w:color w:val="000000"/>
        </w:rPr>
        <w:t xml:space="preserve"> </w:t>
      </w:r>
      <w:r>
        <w:rPr>
          <w:rFonts w:ascii="Arial" w:cs="Arial" w:eastAsia="Arial" w:hAnsi="Arial"/>
          <w:sz w:val="19"/>
          <w:szCs w:val="19"/>
          <w:color w:val="343434"/>
        </w:rPr>
        <w:t>or</w:t>
      </w:r>
      <w:r>
        <w:rPr>
          <w:rFonts w:ascii="Arial" w:cs="Arial" w:eastAsia="Arial" w:hAnsi="Arial"/>
          <w:sz w:val="19"/>
          <w:szCs w:val="19"/>
          <w:color w:val="000000"/>
        </w:rPr>
        <w:t xml:space="preserve"> </w:t>
      </w:r>
      <w:r>
        <w:rPr>
          <w:rFonts w:ascii="Arial" w:cs="Arial" w:eastAsia="Arial" w:hAnsi="Arial"/>
          <w:sz w:val="19"/>
          <w:szCs w:val="19"/>
          <w:color w:val="232323"/>
        </w:rPr>
        <w:t>including</w:t>
      </w:r>
      <w:r>
        <w:rPr>
          <w:rFonts w:ascii="Arial" w:cs="Arial" w:eastAsia="Arial" w:hAnsi="Arial"/>
          <w:sz w:val="19"/>
          <w:szCs w:val="19"/>
          <w:color w:val="000000"/>
        </w:rPr>
        <w:t xml:space="preserve"> the </w:t>
      </w:r>
      <w:r>
        <w:rPr>
          <w:rFonts w:ascii="Arial" w:cs="Arial" w:eastAsia="Arial" w:hAnsi="Arial"/>
          <w:sz w:val="19"/>
          <w:szCs w:val="19"/>
          <w:color w:val="232323"/>
        </w:rPr>
        <w:t>Premises</w:t>
      </w:r>
      <w:r>
        <w:rPr>
          <w:rFonts w:ascii="Arial" w:cs="Arial" w:eastAsia="Arial" w:hAnsi="Arial"/>
          <w:sz w:val="19"/>
          <w:szCs w:val="19"/>
          <w:color w:val="000000"/>
        </w:rPr>
        <w:t xml:space="preserve"> </w:t>
      </w:r>
      <w:r>
        <w:rPr>
          <w:rFonts w:ascii="Arial" w:cs="Arial" w:eastAsia="Arial" w:hAnsi="Arial"/>
          <w:sz w:val="19"/>
          <w:szCs w:val="19"/>
          <w:color w:val="343434"/>
        </w:rPr>
        <w:t>regardless</w:t>
      </w:r>
      <w:r>
        <w:rPr>
          <w:rFonts w:ascii="Arial" w:cs="Arial" w:eastAsia="Arial" w:hAnsi="Arial"/>
          <w:sz w:val="19"/>
          <w:szCs w:val="19"/>
          <w:color w:val="000000"/>
        </w:rPr>
        <w:t xml:space="preserve"> </w:t>
      </w:r>
      <w:r>
        <w:rPr>
          <w:rFonts w:ascii="Arial" w:cs="Arial" w:eastAsia="Arial" w:hAnsi="Arial"/>
          <w:sz w:val="19"/>
          <w:szCs w:val="19"/>
          <w:color w:val="232323"/>
        </w:rPr>
        <w:t>of date</w:t>
      </w:r>
      <w:r>
        <w:rPr>
          <w:rFonts w:ascii="Arial" w:cs="Arial" w:eastAsia="Arial" w:hAnsi="Arial"/>
          <w:sz w:val="19"/>
          <w:szCs w:val="19"/>
          <w:color w:val="000000"/>
        </w:rPr>
        <w:t xml:space="preserve"> and Tenant </w:t>
      </w:r>
      <w:r>
        <w:rPr>
          <w:rFonts w:ascii="Arial" w:cs="Arial" w:eastAsia="Arial" w:hAnsi="Arial"/>
          <w:sz w:val="19"/>
          <w:szCs w:val="19"/>
          <w:color w:val="343434"/>
        </w:rPr>
        <w:t>shall</w:t>
      </w:r>
      <w:r>
        <w:rPr>
          <w:rFonts w:ascii="Arial" w:cs="Arial" w:eastAsia="Arial" w:hAnsi="Arial"/>
          <w:sz w:val="19"/>
          <w:szCs w:val="19"/>
          <w:color w:val="000000"/>
        </w:rPr>
        <w:t xml:space="preserve"> execute </w:t>
      </w:r>
      <w:r>
        <w:rPr>
          <w:rFonts w:ascii="Arial" w:cs="Arial" w:eastAsia="Arial" w:hAnsi="Arial"/>
          <w:sz w:val="19"/>
          <w:szCs w:val="19"/>
          <w:color w:val="232323"/>
        </w:rPr>
        <w:t>a</w:t>
      </w:r>
      <w:r>
        <w:rPr>
          <w:rFonts w:ascii="Arial" w:cs="Arial" w:eastAsia="Arial" w:hAnsi="Arial"/>
          <w:sz w:val="19"/>
          <w:szCs w:val="19"/>
          <w:color w:val="000000"/>
        </w:rPr>
        <w:t xml:space="preserve"> </w:t>
      </w:r>
      <w:r>
        <w:rPr>
          <w:rFonts w:ascii="Arial" w:cs="Arial" w:eastAsia="Arial" w:hAnsi="Arial"/>
          <w:sz w:val="19"/>
          <w:szCs w:val="19"/>
          <w:color w:val="343434"/>
        </w:rPr>
        <w:t>statement</w:t>
      </w:r>
      <w:r>
        <w:rPr>
          <w:rFonts w:ascii="Arial" w:cs="Arial" w:eastAsia="Arial" w:hAnsi="Arial"/>
          <w:sz w:val="19"/>
          <w:szCs w:val="19"/>
          <w:color w:val="000000"/>
        </w:rPr>
        <w:t xml:space="preserve"> </w:t>
      </w:r>
      <w:r>
        <w:rPr>
          <w:rFonts w:ascii="Arial" w:cs="Arial" w:eastAsia="Arial" w:hAnsi="Arial"/>
          <w:sz w:val="19"/>
          <w:szCs w:val="19"/>
          <w:color w:val="232323"/>
        </w:rPr>
        <w:t>in</w:t>
      </w:r>
      <w:r>
        <w:rPr>
          <w:rFonts w:ascii="Arial" w:cs="Arial" w:eastAsia="Arial" w:hAnsi="Arial"/>
          <w:sz w:val="19"/>
          <w:szCs w:val="19"/>
          <w:color w:val="000000"/>
        </w:rPr>
        <w:t xml:space="preserve"> </w:t>
      </w:r>
      <w:r>
        <w:rPr>
          <w:rFonts w:ascii="Arial" w:cs="Arial" w:eastAsia="Arial" w:hAnsi="Arial"/>
          <w:sz w:val="19"/>
          <w:szCs w:val="19"/>
          <w:color w:val="343434"/>
        </w:rPr>
        <w:t>writing</w:t>
      </w:r>
      <w:r>
        <w:rPr>
          <w:rFonts w:ascii="Arial" w:cs="Arial" w:eastAsia="Arial" w:hAnsi="Arial"/>
          <w:sz w:val="19"/>
          <w:szCs w:val="19"/>
          <w:color w:val="000000"/>
        </w:rPr>
        <w:t xml:space="preserve"> </w:t>
      </w:r>
      <w:r>
        <w:rPr>
          <w:rFonts w:ascii="Arial" w:cs="Arial" w:eastAsia="Arial" w:hAnsi="Arial"/>
          <w:sz w:val="19"/>
          <w:szCs w:val="19"/>
          <w:color w:val="232323"/>
        </w:rPr>
        <w:t>to</w:t>
      </w:r>
      <w:r>
        <w:rPr>
          <w:rFonts w:ascii="Arial" w:cs="Arial" w:eastAsia="Arial" w:hAnsi="Arial"/>
          <w:sz w:val="19"/>
          <w:szCs w:val="19"/>
          <w:color w:val="000000"/>
        </w:rPr>
        <w:t xml:space="preserve"> </w:t>
      </w:r>
      <w:r>
        <w:rPr>
          <w:rFonts w:ascii="Arial" w:cs="Arial" w:eastAsia="Arial" w:hAnsi="Arial"/>
          <w:sz w:val="19"/>
          <w:szCs w:val="19"/>
          <w:color w:val="343434"/>
        </w:rPr>
        <w:t>such</w:t>
      </w:r>
      <w:r>
        <w:rPr>
          <w:rFonts w:ascii="Arial" w:cs="Arial" w:eastAsia="Arial" w:hAnsi="Arial"/>
          <w:sz w:val="19"/>
          <w:szCs w:val="19"/>
          <w:color w:val="000000"/>
        </w:rPr>
        <w:t xml:space="preserve"> </w:t>
      </w:r>
      <w:r>
        <w:rPr>
          <w:rFonts w:ascii="Arial" w:cs="Arial" w:eastAsia="Arial" w:hAnsi="Arial"/>
          <w:sz w:val="19"/>
          <w:szCs w:val="19"/>
          <w:color w:val="232323"/>
        </w:rPr>
        <w:t>effect at</w:t>
      </w:r>
      <w:r>
        <w:rPr>
          <w:rFonts w:ascii="Arial" w:cs="Arial" w:eastAsia="Arial" w:hAnsi="Arial"/>
          <w:sz w:val="19"/>
          <w:szCs w:val="19"/>
          <w:color w:val="000000"/>
        </w:rPr>
        <w:t xml:space="preserve"> Landlord’s request. If </w:t>
      </w:r>
      <w:r>
        <w:rPr>
          <w:rFonts w:ascii="Arial" w:cs="Arial" w:eastAsia="Arial" w:hAnsi="Arial"/>
          <w:sz w:val="19"/>
          <w:szCs w:val="19"/>
          <w:color w:val="343434"/>
        </w:rPr>
        <w:t>Tenant fails to execute</w:t>
      </w:r>
      <w:r>
        <w:rPr>
          <w:rFonts w:ascii="Arial" w:cs="Arial" w:eastAsia="Arial" w:hAnsi="Arial"/>
          <w:sz w:val="19"/>
          <w:szCs w:val="19"/>
          <w:color w:val="000000"/>
        </w:rPr>
        <w:t xml:space="preserve"> </w:t>
      </w:r>
      <w:r>
        <w:rPr>
          <w:rFonts w:ascii="Arial" w:cs="Arial" w:eastAsia="Arial" w:hAnsi="Arial"/>
          <w:sz w:val="19"/>
          <w:szCs w:val="19"/>
          <w:color w:val="232323"/>
        </w:rPr>
        <w:t>any</w:t>
      </w:r>
      <w:r>
        <w:rPr>
          <w:rFonts w:ascii="Arial" w:cs="Arial" w:eastAsia="Arial" w:hAnsi="Arial"/>
          <w:sz w:val="19"/>
          <w:szCs w:val="19"/>
          <w:color w:val="000000"/>
        </w:rPr>
        <w:t xml:space="preserve"> </w:t>
      </w:r>
      <w:r>
        <w:rPr>
          <w:rFonts w:ascii="Arial" w:cs="Arial" w:eastAsia="Arial" w:hAnsi="Arial"/>
          <w:sz w:val="19"/>
          <w:szCs w:val="19"/>
          <w:color w:val="232323"/>
        </w:rPr>
        <w:t xml:space="preserve">document required </w:t>
      </w:r>
      <w:r>
        <w:rPr>
          <w:rFonts w:ascii="Arial" w:cs="Arial" w:eastAsia="Arial" w:hAnsi="Arial"/>
          <w:sz w:val="19"/>
          <w:szCs w:val="19"/>
          <w:color w:val="343434"/>
        </w:rPr>
        <w:t>from Tenant</w:t>
      </w:r>
      <w:r>
        <w:rPr>
          <w:rFonts w:ascii="Arial" w:cs="Arial" w:eastAsia="Arial" w:hAnsi="Arial"/>
          <w:sz w:val="19"/>
          <w:szCs w:val="19"/>
          <w:color w:val="232323"/>
        </w:rPr>
        <w:t xml:space="preserve"> </w:t>
      </w:r>
      <w:r>
        <w:rPr>
          <w:rFonts w:ascii="Arial" w:cs="Arial" w:eastAsia="Arial" w:hAnsi="Arial"/>
          <w:sz w:val="19"/>
          <w:szCs w:val="19"/>
          <w:color w:val="000000"/>
        </w:rPr>
        <w:t>under this</w:t>
      </w:r>
      <w:r>
        <w:rPr>
          <w:rFonts w:ascii="Arial" w:cs="Arial" w:eastAsia="Arial" w:hAnsi="Arial"/>
          <w:sz w:val="19"/>
          <w:szCs w:val="19"/>
          <w:color w:val="232323"/>
        </w:rPr>
        <w:t xml:space="preserve"> </w:t>
      </w:r>
      <w:r>
        <w:rPr>
          <w:rFonts w:ascii="Arial" w:cs="Arial" w:eastAsia="Arial" w:hAnsi="Arial"/>
          <w:sz w:val="19"/>
          <w:szCs w:val="19"/>
          <w:color w:val="343434"/>
        </w:rPr>
        <w:t>Section</w:t>
      </w:r>
      <w:r>
        <w:rPr>
          <w:rFonts w:ascii="Arial" w:cs="Arial" w:eastAsia="Arial" w:hAnsi="Arial"/>
          <w:sz w:val="19"/>
          <w:szCs w:val="19"/>
          <w:color w:val="232323"/>
        </w:rPr>
        <w:t xml:space="preserve"> within </w:t>
      </w:r>
      <w:r>
        <w:rPr>
          <w:rFonts w:ascii="Arial" w:cs="Arial" w:eastAsia="Arial" w:hAnsi="Arial"/>
          <w:sz w:val="19"/>
          <w:szCs w:val="19"/>
          <w:u w:val="single" w:color="auto"/>
          <w:color w:val="000000"/>
        </w:rPr>
        <w:t>[***]</w:t>
      </w:r>
      <w:r>
        <w:rPr>
          <w:rFonts w:ascii="Arial" w:cs="Arial" w:eastAsia="Arial" w:hAnsi="Arial"/>
          <w:sz w:val="19"/>
          <w:szCs w:val="19"/>
          <w:color w:val="232323"/>
        </w:rPr>
        <w:t xml:space="preserve"> </w:t>
      </w:r>
      <w:r>
        <w:rPr>
          <w:rFonts w:ascii="Arial" w:cs="Arial" w:eastAsia="Arial" w:hAnsi="Arial"/>
          <w:sz w:val="19"/>
          <w:szCs w:val="19"/>
          <w:color w:val="000000"/>
        </w:rPr>
        <w:t>days</w:t>
      </w:r>
      <w:r>
        <w:rPr>
          <w:rFonts w:ascii="Arial" w:cs="Arial" w:eastAsia="Arial" w:hAnsi="Arial"/>
          <w:sz w:val="19"/>
          <w:szCs w:val="19"/>
          <w:color w:val="232323"/>
        </w:rPr>
        <w:t xml:space="preserve"> after written </w:t>
      </w:r>
      <w:r>
        <w:rPr>
          <w:rFonts w:ascii="Arial" w:cs="Arial" w:eastAsia="Arial" w:hAnsi="Arial"/>
          <w:sz w:val="19"/>
          <w:szCs w:val="19"/>
          <w:color w:val="000000"/>
        </w:rPr>
        <w:t>request</w:t>
      </w:r>
      <w:r>
        <w:rPr>
          <w:rFonts w:ascii="Arial" w:cs="Arial" w:eastAsia="Arial" w:hAnsi="Arial"/>
          <w:sz w:val="19"/>
          <w:szCs w:val="19"/>
          <w:color w:val="232323"/>
        </w:rPr>
        <w:t xml:space="preserve"> </w:t>
      </w:r>
      <w:r>
        <w:rPr>
          <w:rFonts w:ascii="Arial" w:cs="Arial" w:eastAsia="Arial" w:hAnsi="Arial"/>
          <w:sz w:val="19"/>
          <w:szCs w:val="19"/>
          <w:color w:val="343434"/>
        </w:rPr>
        <w:t>therefor,</w:t>
      </w:r>
      <w:r>
        <w:rPr>
          <w:rFonts w:ascii="Arial" w:cs="Arial" w:eastAsia="Arial" w:hAnsi="Arial"/>
          <w:sz w:val="19"/>
          <w:szCs w:val="19"/>
          <w:color w:val="232323"/>
        </w:rPr>
        <w:t xml:space="preserve"> </w:t>
      </w:r>
      <w:r>
        <w:rPr>
          <w:rFonts w:ascii="Arial" w:cs="Arial" w:eastAsia="Arial" w:hAnsi="Arial"/>
          <w:sz w:val="19"/>
          <w:szCs w:val="19"/>
          <w:color w:val="000000"/>
        </w:rPr>
        <w:t>Tenant</w:t>
      </w:r>
      <w:r>
        <w:rPr>
          <w:rFonts w:ascii="Arial" w:cs="Arial" w:eastAsia="Arial" w:hAnsi="Arial"/>
          <w:sz w:val="19"/>
          <w:szCs w:val="19"/>
          <w:color w:val="232323"/>
        </w:rPr>
        <w:t xml:space="preserve"> hereby constitutes and appoints </w:t>
      </w:r>
      <w:r>
        <w:rPr>
          <w:rFonts w:ascii="Arial" w:cs="Arial" w:eastAsia="Arial" w:hAnsi="Arial"/>
          <w:sz w:val="19"/>
          <w:szCs w:val="19"/>
          <w:color w:val="343434"/>
        </w:rPr>
        <w:t>Landlord</w:t>
      </w:r>
      <w:r>
        <w:rPr>
          <w:rFonts w:ascii="Arial" w:cs="Arial" w:eastAsia="Arial" w:hAnsi="Arial"/>
          <w:sz w:val="19"/>
          <w:szCs w:val="19"/>
          <w:color w:val="232323"/>
        </w:rPr>
        <w:t xml:space="preserve"> or </w:t>
      </w:r>
      <w:r>
        <w:rPr>
          <w:rFonts w:ascii="Arial" w:cs="Arial" w:eastAsia="Arial" w:hAnsi="Arial"/>
          <w:sz w:val="19"/>
          <w:szCs w:val="19"/>
          <w:color w:val="000000"/>
        </w:rPr>
        <w:t>its</w:t>
      </w:r>
      <w:r>
        <w:rPr>
          <w:rFonts w:ascii="Arial" w:cs="Arial" w:eastAsia="Arial" w:hAnsi="Arial"/>
          <w:sz w:val="19"/>
          <w:szCs w:val="19"/>
          <w:color w:val="232323"/>
        </w:rPr>
        <w:t xml:space="preserve"> </w:t>
      </w:r>
      <w:r>
        <w:rPr>
          <w:rFonts w:ascii="Arial" w:cs="Arial" w:eastAsia="Arial" w:hAnsi="Arial"/>
          <w:sz w:val="19"/>
          <w:szCs w:val="19"/>
          <w:color w:val="343434"/>
        </w:rPr>
        <w:t>special attorney-in-fact</w:t>
      </w:r>
      <w:r>
        <w:rPr>
          <w:rFonts w:ascii="Arial" w:cs="Arial" w:eastAsia="Arial" w:hAnsi="Arial"/>
          <w:sz w:val="19"/>
          <w:szCs w:val="19"/>
          <w:color w:val="232323"/>
        </w:rPr>
        <w:t xml:space="preserve"> </w:t>
      </w:r>
      <w:r>
        <w:rPr>
          <w:rFonts w:ascii="Arial" w:cs="Arial" w:eastAsia="Arial" w:hAnsi="Arial"/>
          <w:sz w:val="19"/>
          <w:szCs w:val="19"/>
          <w:color w:val="000000"/>
        </w:rPr>
        <w:t>to</w:t>
      </w:r>
      <w:r>
        <w:rPr>
          <w:rFonts w:ascii="Arial" w:cs="Arial" w:eastAsia="Arial" w:hAnsi="Arial"/>
          <w:sz w:val="19"/>
          <w:szCs w:val="19"/>
          <w:color w:val="232323"/>
        </w:rPr>
        <w:t xml:space="preserve"> execute </w:t>
      </w:r>
      <w:r>
        <w:rPr>
          <w:rFonts w:ascii="Arial" w:cs="Arial" w:eastAsia="Arial" w:hAnsi="Arial"/>
          <w:sz w:val="19"/>
          <w:szCs w:val="19"/>
          <w:color w:val="000000"/>
        </w:rPr>
        <w:t>and</w:t>
      </w:r>
      <w:r>
        <w:rPr>
          <w:rFonts w:ascii="Arial" w:cs="Arial" w:eastAsia="Arial" w:hAnsi="Arial"/>
          <w:sz w:val="19"/>
          <w:szCs w:val="19"/>
          <w:color w:val="232323"/>
        </w:rPr>
        <w:t xml:space="preserve"> deliver </w:t>
      </w:r>
      <w:r>
        <w:rPr>
          <w:rFonts w:ascii="Arial" w:cs="Arial" w:eastAsia="Arial" w:hAnsi="Arial"/>
          <w:sz w:val="19"/>
          <w:szCs w:val="19"/>
          <w:color w:val="000000"/>
        </w:rPr>
        <w:t>any</w:t>
      </w:r>
      <w:r>
        <w:rPr>
          <w:rFonts w:ascii="Arial" w:cs="Arial" w:eastAsia="Arial" w:hAnsi="Arial"/>
          <w:sz w:val="19"/>
          <w:szCs w:val="19"/>
          <w:color w:val="232323"/>
        </w:rPr>
        <w:t xml:space="preserve"> </w:t>
      </w:r>
      <w:r>
        <w:rPr>
          <w:rFonts w:ascii="Arial" w:cs="Arial" w:eastAsia="Arial" w:hAnsi="Arial"/>
          <w:sz w:val="19"/>
          <w:szCs w:val="19"/>
          <w:color w:val="343434"/>
        </w:rPr>
        <w:t>such</w:t>
      </w:r>
      <w:r>
        <w:rPr>
          <w:rFonts w:ascii="Arial" w:cs="Arial" w:eastAsia="Arial" w:hAnsi="Arial"/>
          <w:sz w:val="19"/>
          <w:szCs w:val="19"/>
          <w:color w:val="232323"/>
        </w:rPr>
        <w:t xml:space="preserve"> </w:t>
      </w:r>
      <w:r>
        <w:rPr>
          <w:rFonts w:ascii="Arial" w:cs="Arial" w:eastAsia="Arial" w:hAnsi="Arial"/>
          <w:sz w:val="19"/>
          <w:szCs w:val="19"/>
          <w:color w:val="000000"/>
        </w:rPr>
        <w:t>document</w:t>
      </w:r>
      <w:r>
        <w:rPr>
          <w:rFonts w:ascii="Arial" w:cs="Arial" w:eastAsia="Arial" w:hAnsi="Arial"/>
          <w:sz w:val="19"/>
          <w:szCs w:val="19"/>
          <w:color w:val="232323"/>
        </w:rPr>
        <w:t xml:space="preserve"> or </w:t>
      </w:r>
      <w:r>
        <w:rPr>
          <w:rFonts w:ascii="Arial" w:cs="Arial" w:eastAsia="Arial" w:hAnsi="Arial"/>
          <w:sz w:val="19"/>
          <w:szCs w:val="19"/>
          <w:color w:val="000000"/>
        </w:rPr>
        <w:t xml:space="preserve">documents </w:t>
      </w:r>
      <w:r>
        <w:rPr>
          <w:rFonts w:ascii="Arial" w:cs="Arial" w:eastAsia="Arial" w:hAnsi="Arial"/>
          <w:sz w:val="19"/>
          <w:szCs w:val="19"/>
          <w:color w:val="232323"/>
        </w:rPr>
        <w:t>in</w:t>
      </w:r>
      <w:r>
        <w:rPr>
          <w:rFonts w:ascii="Arial" w:cs="Arial" w:eastAsia="Arial" w:hAnsi="Arial"/>
          <w:sz w:val="19"/>
          <w:szCs w:val="19"/>
          <w:color w:val="000000"/>
        </w:rPr>
        <w:t xml:space="preserve"> the name </w:t>
      </w:r>
      <w:r>
        <w:rPr>
          <w:rFonts w:ascii="Arial" w:cs="Arial" w:eastAsia="Arial" w:hAnsi="Arial"/>
          <w:sz w:val="19"/>
          <w:szCs w:val="19"/>
          <w:color w:val="232323"/>
        </w:rPr>
        <w:t>of Tenant.</w:t>
      </w:r>
      <w:r>
        <w:rPr>
          <w:rFonts w:ascii="Arial" w:cs="Arial" w:eastAsia="Arial" w:hAnsi="Arial"/>
          <w:sz w:val="19"/>
          <w:szCs w:val="19"/>
          <w:color w:val="000000"/>
        </w:rPr>
        <w:t xml:space="preserve"> </w:t>
      </w:r>
      <w:r>
        <w:rPr>
          <w:rFonts w:ascii="Arial" w:cs="Arial" w:eastAsia="Arial" w:hAnsi="Arial"/>
          <w:sz w:val="19"/>
          <w:szCs w:val="19"/>
          <w:color w:val="343434"/>
        </w:rPr>
        <w:t>Such</w:t>
      </w:r>
      <w:r>
        <w:rPr>
          <w:rFonts w:ascii="Arial" w:cs="Arial" w:eastAsia="Arial" w:hAnsi="Arial"/>
          <w:sz w:val="19"/>
          <w:szCs w:val="19"/>
          <w:color w:val="000000"/>
        </w:rPr>
        <w:t xml:space="preserve"> </w:t>
      </w:r>
      <w:r>
        <w:rPr>
          <w:rFonts w:ascii="Arial" w:cs="Arial" w:eastAsia="Arial" w:hAnsi="Arial"/>
          <w:sz w:val="19"/>
          <w:szCs w:val="19"/>
          <w:color w:val="232323"/>
        </w:rPr>
        <w:t>power</w:t>
      </w:r>
      <w:r>
        <w:rPr>
          <w:rFonts w:ascii="Arial" w:cs="Arial" w:eastAsia="Arial" w:hAnsi="Arial"/>
          <w:sz w:val="19"/>
          <w:szCs w:val="19"/>
          <w:color w:val="000000"/>
        </w:rPr>
        <w:t xml:space="preserve"> is </w:t>
      </w:r>
      <w:r>
        <w:rPr>
          <w:rFonts w:ascii="Arial" w:cs="Arial" w:eastAsia="Arial" w:hAnsi="Arial"/>
          <w:sz w:val="19"/>
          <w:szCs w:val="19"/>
          <w:color w:val="232323"/>
        </w:rPr>
        <w:t>coupled</w:t>
      </w:r>
      <w:r>
        <w:rPr>
          <w:rFonts w:ascii="Arial" w:cs="Arial" w:eastAsia="Arial" w:hAnsi="Arial"/>
          <w:sz w:val="19"/>
          <w:szCs w:val="19"/>
          <w:color w:val="000000"/>
        </w:rPr>
        <w:t xml:space="preserve"> </w:t>
      </w:r>
      <w:r>
        <w:rPr>
          <w:rFonts w:ascii="Arial" w:cs="Arial" w:eastAsia="Arial" w:hAnsi="Arial"/>
          <w:sz w:val="19"/>
          <w:szCs w:val="19"/>
          <w:color w:val="343434"/>
        </w:rPr>
        <w:t>with</w:t>
      </w:r>
      <w:r>
        <w:rPr>
          <w:rFonts w:ascii="Arial" w:cs="Arial" w:eastAsia="Arial" w:hAnsi="Arial"/>
          <w:sz w:val="19"/>
          <w:szCs w:val="19"/>
          <w:color w:val="000000"/>
        </w:rPr>
        <w:t xml:space="preserve"> an interest and is irrevocable.</w:t>
      </w:r>
    </w:p>
    <w:p>
      <w:pPr>
        <w:spacing w:after="0" w:line="160" w:lineRule="exact"/>
        <w:rPr>
          <w:rFonts w:ascii="Arial" w:cs="Arial" w:eastAsia="Arial" w:hAnsi="Arial"/>
          <w:sz w:val="22"/>
          <w:szCs w:val="22"/>
          <w:color w:val="auto"/>
        </w:rPr>
      </w:pPr>
    </w:p>
    <w:p>
      <w:pPr>
        <w:ind w:left="1300" w:hanging="648"/>
        <w:spacing w:after="0" w:line="244" w:lineRule="auto"/>
        <w:rPr>
          <w:rFonts w:ascii="Arial" w:cs="Arial" w:eastAsia="Arial" w:hAnsi="Arial"/>
          <w:sz w:val="22"/>
          <w:szCs w:val="22"/>
          <w:color w:val="auto"/>
        </w:rPr>
      </w:pPr>
      <w:r>
        <w:rPr>
          <w:rFonts w:ascii="Arial" w:cs="Arial" w:eastAsia="Arial" w:hAnsi="Arial"/>
          <w:sz w:val="19"/>
          <w:szCs w:val="19"/>
          <w:color w:val="auto"/>
        </w:rPr>
        <w:t xml:space="preserve">30.3 </w:t>
      </w:r>
      <w:r>
        <w:rPr>
          <w:rFonts w:ascii="Arial" w:cs="Arial" w:eastAsia="Arial" w:hAnsi="Arial"/>
          <w:sz w:val="19"/>
          <w:szCs w:val="19"/>
          <w:color w:val="131313"/>
        </w:rPr>
        <w:t>Landlord</w:t>
      </w:r>
      <w:r>
        <w:rPr>
          <w:rFonts w:ascii="Arial" w:cs="Arial" w:eastAsia="Arial" w:hAnsi="Arial"/>
          <w:sz w:val="19"/>
          <w:szCs w:val="19"/>
          <w:color w:val="auto"/>
        </w:rPr>
        <w:t xml:space="preserve"> represents and warrants </w:t>
      </w:r>
      <w:r>
        <w:rPr>
          <w:rFonts w:ascii="Arial" w:cs="Arial" w:eastAsia="Arial" w:hAnsi="Arial"/>
          <w:sz w:val="19"/>
          <w:szCs w:val="19"/>
          <w:color w:val="343434"/>
        </w:rPr>
        <w:t>to</w:t>
      </w:r>
      <w:r>
        <w:rPr>
          <w:rFonts w:ascii="Arial" w:cs="Arial" w:eastAsia="Arial" w:hAnsi="Arial"/>
          <w:sz w:val="19"/>
          <w:szCs w:val="19"/>
          <w:color w:val="auto"/>
        </w:rPr>
        <w:t xml:space="preserve"> Tenant </w:t>
      </w:r>
      <w:r>
        <w:rPr>
          <w:rFonts w:ascii="Arial" w:cs="Arial" w:eastAsia="Arial" w:hAnsi="Arial"/>
          <w:sz w:val="19"/>
          <w:szCs w:val="19"/>
          <w:color w:val="131313"/>
        </w:rPr>
        <w:t>that</w:t>
      </w:r>
      <w:r>
        <w:rPr>
          <w:rFonts w:ascii="Arial" w:cs="Arial" w:eastAsia="Arial" w:hAnsi="Arial"/>
          <w:sz w:val="19"/>
          <w:szCs w:val="19"/>
          <w:color w:val="auto"/>
        </w:rPr>
        <w:t xml:space="preserve"> as of the Execution </w:t>
      </w:r>
      <w:r>
        <w:rPr>
          <w:rFonts w:ascii="Arial" w:cs="Arial" w:eastAsia="Arial" w:hAnsi="Arial"/>
          <w:sz w:val="19"/>
          <w:szCs w:val="19"/>
          <w:color w:val="131313"/>
        </w:rPr>
        <w:t>Date, there</w:t>
      </w:r>
      <w:r>
        <w:rPr>
          <w:rFonts w:ascii="Arial" w:cs="Arial" w:eastAsia="Arial" w:hAnsi="Arial"/>
          <w:sz w:val="19"/>
          <w:szCs w:val="19"/>
          <w:color w:val="auto"/>
        </w:rPr>
        <w:t xml:space="preserve"> </w:t>
      </w:r>
      <w:r>
        <w:rPr>
          <w:rFonts w:ascii="Arial" w:cs="Arial" w:eastAsia="Arial" w:hAnsi="Arial"/>
          <w:sz w:val="19"/>
          <w:szCs w:val="19"/>
          <w:color w:val="343434"/>
        </w:rPr>
        <w:t>is</w:t>
      </w:r>
      <w:r>
        <w:rPr>
          <w:rFonts w:ascii="Arial" w:cs="Arial" w:eastAsia="Arial" w:hAnsi="Arial"/>
          <w:sz w:val="19"/>
          <w:szCs w:val="19"/>
          <w:color w:val="auto"/>
        </w:rPr>
        <w:t xml:space="preserve"> </w:t>
      </w:r>
      <w:r>
        <w:rPr>
          <w:rFonts w:ascii="Arial" w:cs="Arial" w:eastAsia="Arial" w:hAnsi="Arial"/>
          <w:sz w:val="19"/>
          <w:szCs w:val="19"/>
          <w:color w:val="131313"/>
        </w:rPr>
        <w:t>no</w:t>
      </w:r>
      <w:r>
        <w:rPr>
          <w:rFonts w:ascii="Arial" w:cs="Arial" w:eastAsia="Arial" w:hAnsi="Arial"/>
          <w:sz w:val="19"/>
          <w:szCs w:val="19"/>
          <w:color w:val="auto"/>
        </w:rPr>
        <w:t xml:space="preserve"> current </w:t>
      </w:r>
      <w:r>
        <w:rPr>
          <w:rFonts w:ascii="Arial" w:cs="Arial" w:eastAsia="Arial" w:hAnsi="Arial"/>
          <w:sz w:val="19"/>
          <w:szCs w:val="19"/>
          <w:color w:val="131313"/>
        </w:rPr>
        <w:t>mortgagee</w:t>
      </w:r>
      <w:r>
        <w:rPr>
          <w:rFonts w:ascii="Arial" w:cs="Arial" w:eastAsia="Arial" w:hAnsi="Arial"/>
          <w:sz w:val="19"/>
          <w:szCs w:val="19"/>
          <w:color w:val="auto"/>
        </w:rPr>
        <w:t xml:space="preserve"> </w:t>
      </w:r>
      <w:r>
        <w:rPr>
          <w:rFonts w:ascii="Arial" w:cs="Arial" w:eastAsia="Arial" w:hAnsi="Arial"/>
          <w:sz w:val="19"/>
          <w:szCs w:val="19"/>
          <w:color w:val="343434"/>
        </w:rPr>
        <w:t>with</w:t>
      </w:r>
      <w:r>
        <w:rPr>
          <w:rFonts w:ascii="Arial" w:cs="Arial" w:eastAsia="Arial" w:hAnsi="Arial"/>
          <w:sz w:val="19"/>
          <w:szCs w:val="19"/>
          <w:color w:val="auto"/>
        </w:rPr>
        <w:t xml:space="preserve"> </w:t>
      </w:r>
      <w:r>
        <w:rPr>
          <w:rFonts w:ascii="Arial" w:cs="Arial" w:eastAsia="Arial" w:hAnsi="Arial"/>
          <w:sz w:val="19"/>
          <w:szCs w:val="19"/>
          <w:color w:val="131313"/>
        </w:rPr>
        <w:t xml:space="preserve">respect to the Property. </w:t>
      </w:r>
      <w:r>
        <w:rPr>
          <w:rFonts w:ascii="Arial" w:cs="Arial" w:eastAsia="Arial" w:hAnsi="Arial"/>
          <w:sz w:val="19"/>
          <w:szCs w:val="19"/>
          <w:color w:val="343434"/>
        </w:rPr>
        <w:t>Tenant’s</w:t>
      </w:r>
      <w:r>
        <w:rPr>
          <w:rFonts w:ascii="Arial" w:cs="Arial" w:eastAsia="Arial" w:hAnsi="Arial"/>
          <w:sz w:val="19"/>
          <w:szCs w:val="19"/>
          <w:color w:val="131313"/>
        </w:rPr>
        <w:t xml:space="preserve"> </w:t>
      </w:r>
      <w:r>
        <w:rPr>
          <w:rFonts w:ascii="Arial" w:cs="Arial" w:eastAsia="Arial" w:hAnsi="Arial"/>
          <w:sz w:val="19"/>
          <w:szCs w:val="19"/>
          <w:color w:val="000000"/>
        </w:rPr>
        <w:t>obligation to</w:t>
      </w:r>
      <w:r>
        <w:rPr>
          <w:rFonts w:ascii="Arial" w:cs="Arial" w:eastAsia="Arial" w:hAnsi="Arial"/>
          <w:sz w:val="19"/>
          <w:szCs w:val="19"/>
          <w:color w:val="131313"/>
        </w:rPr>
        <w:t xml:space="preserve"> </w:t>
      </w:r>
      <w:r>
        <w:rPr>
          <w:rFonts w:ascii="Arial" w:cs="Arial" w:eastAsia="Arial" w:hAnsi="Arial"/>
          <w:sz w:val="19"/>
          <w:szCs w:val="19"/>
          <w:color w:val="343434"/>
        </w:rPr>
        <w:t>subordinate</w:t>
      </w:r>
      <w:r>
        <w:rPr>
          <w:rFonts w:ascii="Arial" w:cs="Arial" w:eastAsia="Arial" w:hAnsi="Arial"/>
          <w:sz w:val="19"/>
          <w:szCs w:val="19"/>
          <w:color w:val="131313"/>
        </w:rPr>
        <w:t xml:space="preserve"> </w:t>
      </w:r>
      <w:r>
        <w:rPr>
          <w:rFonts w:ascii="Arial" w:cs="Arial" w:eastAsia="Arial" w:hAnsi="Arial"/>
          <w:sz w:val="19"/>
          <w:szCs w:val="19"/>
          <w:color w:val="000000"/>
        </w:rPr>
        <w:t>and attorn to</w:t>
      </w:r>
      <w:r>
        <w:rPr>
          <w:rFonts w:ascii="Arial" w:cs="Arial" w:eastAsia="Arial" w:hAnsi="Arial"/>
          <w:sz w:val="19"/>
          <w:szCs w:val="19"/>
          <w:color w:val="131313"/>
        </w:rPr>
        <w:t xml:space="preserve"> </w:t>
      </w:r>
      <w:r>
        <w:rPr>
          <w:rFonts w:ascii="Arial" w:cs="Arial" w:eastAsia="Arial" w:hAnsi="Arial"/>
          <w:sz w:val="19"/>
          <w:szCs w:val="19"/>
          <w:color w:val="343434"/>
        </w:rPr>
        <w:t>future</w:t>
      </w:r>
      <w:r>
        <w:rPr>
          <w:rFonts w:ascii="Arial" w:cs="Arial" w:eastAsia="Arial" w:hAnsi="Arial"/>
          <w:sz w:val="19"/>
          <w:szCs w:val="19"/>
          <w:color w:val="131313"/>
        </w:rPr>
        <w:t xml:space="preserve"> </w:t>
      </w:r>
      <w:r>
        <w:rPr>
          <w:rFonts w:ascii="Arial" w:cs="Arial" w:eastAsia="Arial" w:hAnsi="Arial"/>
          <w:sz w:val="19"/>
          <w:szCs w:val="19"/>
          <w:color w:val="000000"/>
        </w:rPr>
        <w:t>Mortgagees</w:t>
      </w:r>
      <w:r>
        <w:rPr>
          <w:rFonts w:ascii="Arial" w:cs="Arial" w:eastAsia="Arial" w:hAnsi="Arial"/>
          <w:sz w:val="19"/>
          <w:szCs w:val="19"/>
          <w:color w:val="131313"/>
        </w:rPr>
        <w:t xml:space="preserve"> is </w:t>
      </w:r>
      <w:r>
        <w:rPr>
          <w:rFonts w:ascii="Arial" w:cs="Arial" w:eastAsia="Arial" w:hAnsi="Arial"/>
          <w:sz w:val="19"/>
          <w:szCs w:val="19"/>
          <w:color w:val="000000"/>
        </w:rPr>
        <w:t>conditioned</w:t>
      </w:r>
      <w:r>
        <w:rPr>
          <w:rFonts w:ascii="Arial" w:cs="Arial" w:eastAsia="Arial" w:hAnsi="Arial"/>
          <w:sz w:val="19"/>
          <w:szCs w:val="19"/>
          <w:color w:val="131313"/>
        </w:rPr>
        <w:t xml:space="preserve"> upon </w:t>
      </w:r>
      <w:r>
        <w:rPr>
          <w:rFonts w:ascii="Arial" w:cs="Arial" w:eastAsia="Arial" w:hAnsi="Arial"/>
          <w:sz w:val="19"/>
          <w:szCs w:val="19"/>
          <w:color w:val="000000"/>
        </w:rPr>
        <w:t xml:space="preserve">Landlord </w:t>
      </w:r>
      <w:r>
        <w:rPr>
          <w:rFonts w:ascii="Arial" w:cs="Arial" w:eastAsia="Arial" w:hAnsi="Arial"/>
          <w:sz w:val="19"/>
          <w:szCs w:val="19"/>
          <w:color w:val="131313"/>
        </w:rPr>
        <w:t>delivering to</w:t>
      </w:r>
      <w:r>
        <w:rPr>
          <w:rFonts w:ascii="Arial" w:cs="Arial" w:eastAsia="Arial" w:hAnsi="Arial"/>
          <w:sz w:val="19"/>
          <w:szCs w:val="19"/>
          <w:color w:val="000000"/>
        </w:rPr>
        <w:t xml:space="preserve"> Tenant </w:t>
      </w:r>
      <w:r>
        <w:rPr>
          <w:rFonts w:ascii="Arial" w:cs="Arial" w:eastAsia="Arial" w:hAnsi="Arial"/>
          <w:sz w:val="19"/>
          <w:szCs w:val="19"/>
          <w:color w:val="131313"/>
        </w:rPr>
        <w:t>a</w:t>
      </w:r>
      <w:r>
        <w:rPr>
          <w:rFonts w:ascii="Arial" w:cs="Arial" w:eastAsia="Arial" w:hAnsi="Arial"/>
          <w:sz w:val="19"/>
          <w:szCs w:val="19"/>
          <w:color w:val="000000"/>
        </w:rPr>
        <w:t xml:space="preserve"> commercially </w:t>
      </w:r>
      <w:r>
        <w:rPr>
          <w:rFonts w:ascii="Arial" w:cs="Arial" w:eastAsia="Arial" w:hAnsi="Arial"/>
          <w:sz w:val="19"/>
          <w:szCs w:val="19"/>
          <w:color w:val="131313"/>
        </w:rPr>
        <w:t>reasonable</w:t>
      </w:r>
      <w:r>
        <w:rPr>
          <w:rFonts w:ascii="Arial" w:cs="Arial" w:eastAsia="Arial" w:hAnsi="Arial"/>
          <w:sz w:val="19"/>
          <w:szCs w:val="19"/>
          <w:color w:val="000000"/>
        </w:rPr>
        <w:t xml:space="preserve"> </w:t>
      </w:r>
      <w:r>
        <w:rPr>
          <w:rFonts w:ascii="Arial" w:cs="Arial" w:eastAsia="Arial" w:hAnsi="Arial"/>
          <w:sz w:val="19"/>
          <w:szCs w:val="19"/>
          <w:color w:val="343434"/>
        </w:rPr>
        <w:t>subordination,</w:t>
      </w:r>
      <w:r>
        <w:rPr>
          <w:rFonts w:ascii="Arial" w:cs="Arial" w:eastAsia="Arial" w:hAnsi="Arial"/>
          <w:sz w:val="19"/>
          <w:szCs w:val="19"/>
          <w:color w:val="000000"/>
        </w:rPr>
        <w:t xml:space="preserve"> </w:t>
      </w:r>
      <w:r>
        <w:rPr>
          <w:rFonts w:ascii="Arial" w:cs="Arial" w:eastAsia="Arial" w:hAnsi="Arial"/>
          <w:sz w:val="19"/>
          <w:szCs w:val="19"/>
          <w:color w:val="131313"/>
        </w:rPr>
        <w:t>non-disturbance and attornment</w:t>
      </w:r>
      <w:r>
        <w:rPr>
          <w:rFonts w:ascii="Arial" w:cs="Arial" w:eastAsia="Arial" w:hAnsi="Arial"/>
          <w:sz w:val="19"/>
          <w:szCs w:val="19"/>
          <w:color w:val="000000"/>
        </w:rPr>
        <w:t xml:space="preserve"> </w:t>
      </w:r>
      <w:r>
        <w:rPr>
          <w:rFonts w:ascii="Arial" w:cs="Arial" w:eastAsia="Arial" w:hAnsi="Arial"/>
          <w:sz w:val="19"/>
          <w:szCs w:val="19"/>
          <w:color w:val="343434"/>
        </w:rPr>
        <w:t xml:space="preserve">agreement </w:t>
      </w:r>
      <w:r>
        <w:rPr>
          <w:rFonts w:ascii="Arial" w:cs="Arial" w:eastAsia="Arial" w:hAnsi="Arial"/>
          <w:sz w:val="19"/>
          <w:szCs w:val="19"/>
          <w:color w:val="000000"/>
        </w:rPr>
        <w:t>(“</w:t>
      </w:r>
      <w:r>
        <w:rPr>
          <w:rFonts w:ascii="Arial" w:cs="Arial" w:eastAsia="Arial" w:hAnsi="Arial"/>
          <w:sz w:val="19"/>
          <w:szCs w:val="19"/>
          <w:u w:val="single" w:color="auto"/>
          <w:color w:val="000000"/>
        </w:rPr>
        <w:t>SNDA</w:t>
      </w:r>
      <w:r>
        <w:rPr>
          <w:rFonts w:ascii="Arial" w:cs="Arial" w:eastAsia="Arial" w:hAnsi="Arial"/>
          <w:sz w:val="19"/>
          <w:szCs w:val="19"/>
          <w:color w:val="000000"/>
        </w:rPr>
        <w:t>”). If</w:t>
      </w:r>
      <w:r>
        <w:rPr>
          <w:rFonts w:ascii="Arial" w:cs="Arial" w:eastAsia="Arial" w:hAnsi="Arial"/>
          <w:sz w:val="19"/>
          <w:szCs w:val="19"/>
          <w:color w:val="343434"/>
        </w:rPr>
        <w:t xml:space="preserve"> at any time after </w:t>
      </w:r>
      <w:r>
        <w:rPr>
          <w:rFonts w:ascii="Arial" w:cs="Arial" w:eastAsia="Arial" w:hAnsi="Arial"/>
          <w:sz w:val="19"/>
          <w:szCs w:val="19"/>
          <w:color w:val="131313"/>
        </w:rPr>
        <w:t>the</w:t>
      </w:r>
      <w:r>
        <w:rPr>
          <w:rFonts w:ascii="Arial" w:cs="Arial" w:eastAsia="Arial" w:hAnsi="Arial"/>
          <w:sz w:val="19"/>
          <w:szCs w:val="19"/>
          <w:color w:val="343434"/>
        </w:rPr>
        <w:t xml:space="preserve"> date </w:t>
      </w:r>
      <w:r>
        <w:rPr>
          <w:rFonts w:ascii="Arial" w:cs="Arial" w:eastAsia="Arial" w:hAnsi="Arial"/>
          <w:sz w:val="19"/>
          <w:szCs w:val="19"/>
          <w:color w:val="000000"/>
        </w:rPr>
        <w:t>of</w:t>
      </w:r>
      <w:r>
        <w:rPr>
          <w:rFonts w:ascii="Arial" w:cs="Arial" w:eastAsia="Arial" w:hAnsi="Arial"/>
          <w:sz w:val="19"/>
          <w:szCs w:val="19"/>
          <w:color w:val="343434"/>
        </w:rPr>
        <w:t xml:space="preserve"> this </w:t>
      </w:r>
      <w:r>
        <w:rPr>
          <w:rFonts w:ascii="Arial" w:cs="Arial" w:eastAsia="Arial" w:hAnsi="Arial"/>
          <w:sz w:val="19"/>
          <w:szCs w:val="19"/>
          <w:color w:val="000000"/>
        </w:rPr>
        <w:t>Lease</w:t>
      </w:r>
      <w:r>
        <w:rPr>
          <w:rFonts w:ascii="Arial" w:cs="Arial" w:eastAsia="Arial" w:hAnsi="Arial"/>
          <w:sz w:val="19"/>
          <w:szCs w:val="19"/>
          <w:color w:val="343434"/>
        </w:rPr>
        <w:t xml:space="preserve"> </w:t>
      </w:r>
      <w:r>
        <w:rPr>
          <w:rFonts w:ascii="Arial" w:cs="Arial" w:eastAsia="Arial" w:hAnsi="Arial"/>
          <w:sz w:val="19"/>
          <w:szCs w:val="19"/>
          <w:color w:val="131313"/>
        </w:rPr>
        <w:t>Landlord</w:t>
      </w:r>
      <w:r>
        <w:rPr>
          <w:rFonts w:ascii="Arial" w:cs="Arial" w:eastAsia="Arial" w:hAnsi="Arial"/>
          <w:sz w:val="19"/>
          <w:szCs w:val="19"/>
          <w:color w:val="343434"/>
        </w:rPr>
        <w:t xml:space="preserve"> </w:t>
      </w:r>
      <w:r>
        <w:rPr>
          <w:rFonts w:ascii="Arial" w:cs="Arial" w:eastAsia="Arial" w:hAnsi="Arial"/>
          <w:sz w:val="19"/>
          <w:szCs w:val="19"/>
          <w:color w:val="000000"/>
        </w:rPr>
        <w:t>should</w:t>
      </w:r>
      <w:r>
        <w:rPr>
          <w:rFonts w:ascii="Arial" w:cs="Arial" w:eastAsia="Arial" w:hAnsi="Arial"/>
          <w:sz w:val="19"/>
          <w:szCs w:val="19"/>
          <w:color w:val="343434"/>
        </w:rPr>
        <w:t xml:space="preserve"> desire to place </w:t>
      </w:r>
      <w:r>
        <w:rPr>
          <w:rFonts w:ascii="Arial" w:cs="Arial" w:eastAsia="Arial" w:hAnsi="Arial"/>
          <w:sz w:val="19"/>
          <w:szCs w:val="19"/>
          <w:color w:val="000000"/>
        </w:rPr>
        <w:t>a Mortgage on</w:t>
      </w:r>
      <w:r>
        <w:rPr>
          <w:rFonts w:ascii="Arial" w:cs="Arial" w:eastAsia="Arial" w:hAnsi="Arial"/>
          <w:sz w:val="19"/>
          <w:szCs w:val="19"/>
          <w:color w:val="343434"/>
        </w:rPr>
        <w:t xml:space="preserve"> the </w:t>
      </w:r>
      <w:r>
        <w:rPr>
          <w:rFonts w:ascii="Arial" w:cs="Arial" w:eastAsia="Arial" w:hAnsi="Arial"/>
          <w:sz w:val="19"/>
          <w:szCs w:val="19"/>
          <w:color w:val="000000"/>
        </w:rPr>
        <w:t xml:space="preserve">Building, Land or </w:t>
      </w:r>
      <w:r>
        <w:rPr>
          <w:rFonts w:ascii="Arial" w:cs="Arial" w:eastAsia="Arial" w:hAnsi="Arial"/>
          <w:sz w:val="19"/>
          <w:szCs w:val="19"/>
          <w:color w:val="131313"/>
        </w:rPr>
        <w:t>Project, Landlord</w:t>
      </w:r>
      <w:r>
        <w:rPr>
          <w:rFonts w:ascii="Arial" w:cs="Arial" w:eastAsia="Arial" w:hAnsi="Arial"/>
          <w:sz w:val="19"/>
          <w:szCs w:val="19"/>
          <w:color w:val="000000"/>
        </w:rPr>
        <w:t xml:space="preserve"> agrees that it will </w:t>
      </w:r>
      <w:r>
        <w:rPr>
          <w:rFonts w:ascii="Arial" w:cs="Arial" w:eastAsia="Arial" w:hAnsi="Arial"/>
          <w:sz w:val="19"/>
          <w:szCs w:val="19"/>
          <w:color w:val="131313"/>
        </w:rPr>
        <w:t>use</w:t>
      </w:r>
      <w:r>
        <w:rPr>
          <w:rFonts w:ascii="Arial" w:cs="Arial" w:eastAsia="Arial" w:hAnsi="Arial"/>
          <w:sz w:val="19"/>
          <w:szCs w:val="19"/>
          <w:color w:val="000000"/>
        </w:rPr>
        <w:t xml:space="preserve"> commercially </w:t>
      </w:r>
      <w:r>
        <w:rPr>
          <w:rFonts w:ascii="Arial" w:cs="Arial" w:eastAsia="Arial" w:hAnsi="Arial"/>
          <w:sz w:val="19"/>
          <w:szCs w:val="19"/>
          <w:color w:val="343434"/>
        </w:rPr>
        <w:t>reasonable</w:t>
      </w:r>
      <w:r>
        <w:rPr>
          <w:rFonts w:ascii="Arial" w:cs="Arial" w:eastAsia="Arial" w:hAnsi="Arial"/>
          <w:sz w:val="19"/>
          <w:szCs w:val="19"/>
          <w:color w:val="000000"/>
        </w:rPr>
        <w:t xml:space="preserve"> </w:t>
      </w:r>
      <w:r>
        <w:rPr>
          <w:rFonts w:ascii="Arial" w:cs="Arial" w:eastAsia="Arial" w:hAnsi="Arial"/>
          <w:sz w:val="19"/>
          <w:szCs w:val="19"/>
          <w:color w:val="BFBFBF"/>
        </w:rPr>
        <w:t>.</w:t>
      </w:r>
      <w:r>
        <w:rPr>
          <w:rFonts w:ascii="Arial" w:cs="Arial" w:eastAsia="Arial" w:hAnsi="Arial"/>
          <w:sz w:val="19"/>
          <w:szCs w:val="19"/>
          <w:color w:val="131313"/>
        </w:rPr>
        <w:t>ef</w:t>
      </w:r>
      <w:r>
        <w:rPr>
          <w:rFonts w:ascii="Arial" w:cs="Arial" w:eastAsia="Arial" w:hAnsi="Arial"/>
          <w:sz w:val="19"/>
          <w:szCs w:val="19"/>
          <w:color w:val="343434"/>
        </w:rPr>
        <w:t>forts</w:t>
      </w:r>
      <w:r>
        <w:rPr>
          <w:rFonts w:ascii="Arial" w:cs="Arial" w:eastAsia="Arial" w:hAnsi="Arial"/>
          <w:sz w:val="19"/>
          <w:szCs w:val="19"/>
          <w:color w:val="000000"/>
        </w:rPr>
        <w:t xml:space="preserve"> </w:t>
      </w:r>
      <w:r>
        <w:rPr>
          <w:rFonts w:ascii="Arial" w:cs="Arial" w:eastAsia="Arial" w:hAnsi="Arial"/>
          <w:sz w:val="19"/>
          <w:szCs w:val="19"/>
          <w:color w:val="131313"/>
        </w:rPr>
        <w:t>to</w:t>
      </w:r>
      <w:r>
        <w:rPr>
          <w:rFonts w:ascii="Arial" w:cs="Arial" w:eastAsia="Arial" w:hAnsi="Arial"/>
          <w:sz w:val="19"/>
          <w:szCs w:val="19"/>
          <w:color w:val="000000"/>
        </w:rPr>
        <w:t xml:space="preserve"> cause </w:t>
      </w:r>
      <w:r>
        <w:rPr>
          <w:rFonts w:ascii="Arial" w:cs="Arial" w:eastAsia="Arial" w:hAnsi="Arial"/>
          <w:sz w:val="19"/>
          <w:szCs w:val="19"/>
          <w:color w:val="131313"/>
        </w:rPr>
        <w:t>the holder of</w:t>
      </w:r>
      <w:r>
        <w:rPr>
          <w:rFonts w:ascii="Arial" w:cs="Arial" w:eastAsia="Arial" w:hAnsi="Arial"/>
          <w:sz w:val="19"/>
          <w:szCs w:val="19"/>
          <w:color w:val="000000"/>
        </w:rPr>
        <w:t xml:space="preserve"> </w:t>
      </w:r>
      <w:r>
        <w:rPr>
          <w:rFonts w:ascii="Arial" w:cs="Arial" w:eastAsia="Arial" w:hAnsi="Arial"/>
          <w:sz w:val="19"/>
          <w:szCs w:val="19"/>
          <w:color w:val="343434"/>
        </w:rPr>
        <w:t xml:space="preserve">such </w:t>
      </w:r>
      <w:r>
        <w:rPr>
          <w:rFonts w:ascii="Arial" w:cs="Arial" w:eastAsia="Arial" w:hAnsi="Arial"/>
          <w:sz w:val="19"/>
          <w:szCs w:val="19"/>
          <w:color w:val="131313"/>
        </w:rPr>
        <w:t>Mortgage to</w:t>
      </w:r>
      <w:r>
        <w:rPr>
          <w:rFonts w:ascii="Arial" w:cs="Arial" w:eastAsia="Arial" w:hAnsi="Arial"/>
          <w:sz w:val="19"/>
          <w:szCs w:val="19"/>
          <w:color w:val="343434"/>
        </w:rPr>
        <w:t xml:space="preserve"> </w:t>
      </w:r>
      <w:r>
        <w:rPr>
          <w:rFonts w:ascii="Arial" w:cs="Arial" w:eastAsia="Arial" w:hAnsi="Arial"/>
          <w:sz w:val="19"/>
          <w:szCs w:val="19"/>
          <w:color w:val="000000"/>
        </w:rPr>
        <w:t>enter</w:t>
      </w:r>
      <w:r>
        <w:rPr>
          <w:rFonts w:ascii="Arial" w:cs="Arial" w:eastAsia="Arial" w:hAnsi="Arial"/>
          <w:sz w:val="19"/>
          <w:szCs w:val="19"/>
          <w:color w:val="343434"/>
        </w:rPr>
        <w:t xml:space="preserve"> </w:t>
      </w:r>
      <w:r>
        <w:rPr>
          <w:rFonts w:ascii="Arial" w:cs="Arial" w:eastAsia="Arial" w:hAnsi="Arial"/>
          <w:sz w:val="19"/>
          <w:szCs w:val="19"/>
          <w:color w:val="131313"/>
        </w:rPr>
        <w:t>into</w:t>
      </w:r>
      <w:r>
        <w:rPr>
          <w:rFonts w:ascii="Arial" w:cs="Arial" w:eastAsia="Arial" w:hAnsi="Arial"/>
          <w:sz w:val="19"/>
          <w:szCs w:val="19"/>
          <w:color w:val="343434"/>
        </w:rPr>
        <w:t xml:space="preserve"> </w:t>
      </w:r>
      <w:r>
        <w:rPr>
          <w:rFonts w:ascii="Arial" w:cs="Arial" w:eastAsia="Arial" w:hAnsi="Arial"/>
          <w:sz w:val="19"/>
          <w:szCs w:val="19"/>
          <w:color w:val="000000"/>
        </w:rPr>
        <w:t>a SNDA</w:t>
      </w:r>
      <w:r>
        <w:rPr>
          <w:rFonts w:ascii="Arial" w:cs="Arial" w:eastAsia="Arial" w:hAnsi="Arial"/>
          <w:sz w:val="19"/>
          <w:szCs w:val="19"/>
          <w:color w:val="343434"/>
        </w:rPr>
        <w:t xml:space="preserve"> </w:t>
      </w:r>
      <w:r>
        <w:rPr>
          <w:rFonts w:ascii="Arial" w:cs="Arial" w:eastAsia="Arial" w:hAnsi="Arial"/>
          <w:sz w:val="19"/>
          <w:szCs w:val="19"/>
          <w:color w:val="131313"/>
        </w:rPr>
        <w:t>in connection</w:t>
      </w:r>
      <w:r>
        <w:rPr>
          <w:rFonts w:ascii="Arial" w:cs="Arial" w:eastAsia="Arial" w:hAnsi="Arial"/>
          <w:sz w:val="19"/>
          <w:szCs w:val="19"/>
          <w:color w:val="343434"/>
        </w:rPr>
        <w:t xml:space="preserve"> </w:t>
      </w:r>
      <w:r>
        <w:rPr>
          <w:rFonts w:ascii="Arial" w:cs="Arial" w:eastAsia="Arial" w:hAnsi="Arial"/>
          <w:sz w:val="19"/>
          <w:szCs w:val="19"/>
          <w:color w:val="000000"/>
        </w:rPr>
        <w:t>with</w:t>
      </w:r>
      <w:r>
        <w:rPr>
          <w:rFonts w:ascii="Arial" w:cs="Arial" w:eastAsia="Arial" w:hAnsi="Arial"/>
          <w:sz w:val="19"/>
          <w:szCs w:val="19"/>
          <w:color w:val="343434"/>
        </w:rPr>
        <w:t xml:space="preserve"> this Lease whereby such </w:t>
      </w:r>
      <w:r>
        <w:rPr>
          <w:rFonts w:ascii="Arial" w:cs="Arial" w:eastAsia="Arial" w:hAnsi="Arial"/>
          <w:sz w:val="19"/>
          <w:szCs w:val="19"/>
          <w:color w:val="131313"/>
        </w:rPr>
        <w:t>Mortgagee</w:t>
      </w:r>
      <w:r>
        <w:rPr>
          <w:rFonts w:ascii="Arial" w:cs="Arial" w:eastAsia="Arial" w:hAnsi="Arial"/>
          <w:sz w:val="19"/>
          <w:szCs w:val="19"/>
          <w:color w:val="343434"/>
        </w:rPr>
        <w:t xml:space="preserve"> </w:t>
      </w:r>
      <w:r>
        <w:rPr>
          <w:rFonts w:ascii="Arial" w:cs="Arial" w:eastAsia="Arial" w:hAnsi="Arial"/>
          <w:sz w:val="19"/>
          <w:szCs w:val="19"/>
          <w:color w:val="000000"/>
        </w:rPr>
        <w:t>agrees</w:t>
      </w:r>
      <w:r>
        <w:rPr>
          <w:rFonts w:ascii="Arial" w:cs="Arial" w:eastAsia="Arial" w:hAnsi="Arial"/>
          <w:sz w:val="19"/>
          <w:szCs w:val="19"/>
          <w:color w:val="343434"/>
        </w:rPr>
        <w:t xml:space="preserve"> </w:t>
      </w:r>
      <w:r>
        <w:rPr>
          <w:rFonts w:ascii="Arial" w:cs="Arial" w:eastAsia="Arial" w:hAnsi="Arial"/>
          <w:sz w:val="19"/>
          <w:szCs w:val="19"/>
          <w:color w:val="131313"/>
        </w:rPr>
        <w:t>that,</w:t>
      </w:r>
      <w:r>
        <w:rPr>
          <w:rFonts w:ascii="Arial" w:cs="Arial" w:eastAsia="Arial" w:hAnsi="Arial"/>
          <w:sz w:val="19"/>
          <w:szCs w:val="19"/>
          <w:color w:val="343434"/>
        </w:rPr>
        <w:t xml:space="preserve"> </w:t>
      </w:r>
      <w:r>
        <w:rPr>
          <w:rFonts w:ascii="Arial" w:cs="Arial" w:eastAsia="Arial" w:hAnsi="Arial"/>
          <w:sz w:val="19"/>
          <w:szCs w:val="19"/>
          <w:color w:val="000000"/>
        </w:rPr>
        <w:t>so</w:t>
      </w:r>
      <w:r>
        <w:rPr>
          <w:rFonts w:ascii="Arial" w:cs="Arial" w:eastAsia="Arial" w:hAnsi="Arial"/>
          <w:sz w:val="19"/>
          <w:szCs w:val="19"/>
          <w:color w:val="343434"/>
        </w:rPr>
        <w:t xml:space="preserve"> </w:t>
      </w:r>
      <w:r>
        <w:rPr>
          <w:rFonts w:ascii="Arial" w:cs="Arial" w:eastAsia="Arial" w:hAnsi="Arial"/>
          <w:sz w:val="19"/>
          <w:szCs w:val="19"/>
          <w:color w:val="131313"/>
        </w:rPr>
        <w:t>long</w:t>
      </w:r>
      <w:r>
        <w:rPr>
          <w:rFonts w:ascii="Arial" w:cs="Arial" w:eastAsia="Arial" w:hAnsi="Arial"/>
          <w:sz w:val="19"/>
          <w:szCs w:val="19"/>
          <w:color w:val="343434"/>
        </w:rPr>
        <w:t xml:space="preserve"> </w:t>
      </w:r>
      <w:r>
        <w:rPr>
          <w:rFonts w:ascii="Arial" w:cs="Arial" w:eastAsia="Arial" w:hAnsi="Arial"/>
          <w:sz w:val="19"/>
          <w:szCs w:val="19"/>
          <w:color w:val="000000"/>
        </w:rPr>
        <w:t xml:space="preserve">as </w:t>
      </w:r>
      <w:r>
        <w:rPr>
          <w:rFonts w:ascii="Arial" w:cs="Arial" w:eastAsia="Arial" w:hAnsi="Arial"/>
          <w:sz w:val="19"/>
          <w:szCs w:val="19"/>
          <w:color w:val="131313"/>
        </w:rPr>
        <w:t>no Default</w:t>
      </w:r>
      <w:r>
        <w:rPr>
          <w:rFonts w:ascii="Arial" w:cs="Arial" w:eastAsia="Arial" w:hAnsi="Arial"/>
          <w:sz w:val="19"/>
          <w:szCs w:val="19"/>
          <w:color w:val="000000"/>
        </w:rPr>
        <w:t xml:space="preserve"> </w:t>
      </w:r>
      <w:r>
        <w:rPr>
          <w:rFonts w:ascii="Arial" w:cs="Arial" w:eastAsia="Arial" w:hAnsi="Arial"/>
          <w:sz w:val="19"/>
          <w:szCs w:val="19"/>
          <w:color w:val="343434"/>
        </w:rPr>
        <w:t>shall</w:t>
      </w:r>
      <w:r>
        <w:rPr>
          <w:rFonts w:ascii="Arial" w:cs="Arial" w:eastAsia="Arial" w:hAnsi="Arial"/>
          <w:sz w:val="19"/>
          <w:szCs w:val="19"/>
          <w:color w:val="000000"/>
        </w:rPr>
        <w:t xml:space="preserve"> </w:t>
      </w:r>
      <w:r>
        <w:rPr>
          <w:rFonts w:ascii="Arial" w:cs="Arial" w:eastAsia="Arial" w:hAnsi="Arial"/>
          <w:sz w:val="19"/>
          <w:szCs w:val="19"/>
          <w:color w:val="131313"/>
        </w:rPr>
        <w:t>have occurred</w:t>
      </w:r>
      <w:r>
        <w:rPr>
          <w:rFonts w:ascii="Arial" w:cs="Arial" w:eastAsia="Arial" w:hAnsi="Arial"/>
          <w:sz w:val="19"/>
          <w:szCs w:val="19"/>
          <w:color w:val="000000"/>
        </w:rPr>
        <w:t xml:space="preserve"> and </w:t>
      </w:r>
      <w:r>
        <w:rPr>
          <w:rFonts w:ascii="Arial" w:cs="Arial" w:eastAsia="Arial" w:hAnsi="Arial"/>
          <w:sz w:val="19"/>
          <w:szCs w:val="19"/>
          <w:color w:val="131313"/>
        </w:rPr>
        <w:t>be</w:t>
      </w:r>
      <w:r>
        <w:rPr>
          <w:rFonts w:ascii="Arial" w:cs="Arial" w:eastAsia="Arial" w:hAnsi="Arial"/>
          <w:sz w:val="19"/>
          <w:szCs w:val="19"/>
          <w:color w:val="000000"/>
        </w:rPr>
        <w:t xml:space="preserve"> continuing </w:t>
      </w:r>
      <w:r>
        <w:rPr>
          <w:rFonts w:ascii="Arial" w:cs="Arial" w:eastAsia="Arial" w:hAnsi="Arial"/>
          <w:sz w:val="19"/>
          <w:szCs w:val="19"/>
          <w:color w:val="131313"/>
        </w:rPr>
        <w:t>under</w:t>
      </w:r>
      <w:r>
        <w:rPr>
          <w:rFonts w:ascii="Arial" w:cs="Arial" w:eastAsia="Arial" w:hAnsi="Arial"/>
          <w:sz w:val="19"/>
          <w:szCs w:val="19"/>
          <w:color w:val="000000"/>
        </w:rPr>
        <w:t xml:space="preserve"> this Lease, </w:t>
      </w:r>
      <w:r>
        <w:rPr>
          <w:rFonts w:ascii="Arial" w:cs="Arial" w:eastAsia="Arial" w:hAnsi="Arial"/>
          <w:sz w:val="19"/>
          <w:szCs w:val="19"/>
          <w:color w:val="343434"/>
        </w:rPr>
        <w:t>the</w:t>
      </w:r>
      <w:r>
        <w:rPr>
          <w:rFonts w:ascii="Arial" w:cs="Arial" w:eastAsia="Arial" w:hAnsi="Arial"/>
          <w:sz w:val="19"/>
          <w:szCs w:val="19"/>
          <w:color w:val="000000"/>
        </w:rPr>
        <w:t xml:space="preserve"> </w:t>
      </w:r>
      <w:r>
        <w:rPr>
          <w:rFonts w:ascii="Arial" w:cs="Arial" w:eastAsia="Arial" w:hAnsi="Arial"/>
          <w:sz w:val="19"/>
          <w:szCs w:val="19"/>
          <w:color w:val="494949"/>
        </w:rPr>
        <w:t>leasehold</w:t>
      </w:r>
      <w:r>
        <w:rPr>
          <w:rFonts w:ascii="Arial" w:cs="Arial" w:eastAsia="Arial" w:hAnsi="Arial"/>
          <w:sz w:val="19"/>
          <w:szCs w:val="19"/>
          <w:color w:val="000000"/>
        </w:rPr>
        <w:t xml:space="preserve"> </w:t>
      </w:r>
      <w:r>
        <w:rPr>
          <w:rFonts w:ascii="Arial" w:cs="Arial" w:eastAsia="Arial" w:hAnsi="Arial"/>
          <w:sz w:val="19"/>
          <w:szCs w:val="19"/>
          <w:color w:val="131313"/>
        </w:rPr>
        <w:t>estate</w:t>
      </w:r>
      <w:r>
        <w:rPr>
          <w:rFonts w:ascii="Arial" w:cs="Arial" w:eastAsia="Arial" w:hAnsi="Arial"/>
          <w:sz w:val="19"/>
          <w:szCs w:val="19"/>
          <w:color w:val="000000"/>
        </w:rPr>
        <w:t xml:space="preserve"> granted </w:t>
      </w:r>
      <w:r>
        <w:rPr>
          <w:rFonts w:ascii="Arial" w:cs="Arial" w:eastAsia="Arial" w:hAnsi="Arial"/>
          <w:sz w:val="19"/>
          <w:szCs w:val="19"/>
          <w:color w:val="131313"/>
        </w:rPr>
        <w:t>to</w:t>
      </w:r>
      <w:r>
        <w:rPr>
          <w:rFonts w:ascii="Arial" w:cs="Arial" w:eastAsia="Arial" w:hAnsi="Arial"/>
          <w:sz w:val="19"/>
          <w:szCs w:val="19"/>
          <w:color w:val="000000"/>
        </w:rPr>
        <w:t xml:space="preserve"> </w:t>
      </w:r>
      <w:r>
        <w:rPr>
          <w:rFonts w:ascii="Arial" w:cs="Arial" w:eastAsia="Arial" w:hAnsi="Arial"/>
          <w:sz w:val="19"/>
          <w:szCs w:val="19"/>
          <w:color w:val="343434"/>
        </w:rPr>
        <w:t>Tenant</w:t>
      </w:r>
      <w:r>
        <w:rPr>
          <w:rFonts w:ascii="Arial" w:cs="Arial" w:eastAsia="Arial" w:hAnsi="Arial"/>
          <w:sz w:val="19"/>
          <w:szCs w:val="19"/>
          <w:color w:val="000000"/>
        </w:rPr>
        <w:t xml:space="preserve"> and </w:t>
      </w:r>
      <w:r>
        <w:rPr>
          <w:rFonts w:ascii="Arial" w:cs="Arial" w:eastAsia="Arial" w:hAnsi="Arial"/>
          <w:sz w:val="19"/>
          <w:szCs w:val="19"/>
          <w:color w:val="343434"/>
        </w:rPr>
        <w:t xml:space="preserve">the </w:t>
      </w:r>
      <w:r>
        <w:rPr>
          <w:rFonts w:ascii="Arial" w:cs="Arial" w:eastAsia="Arial" w:hAnsi="Arial"/>
          <w:sz w:val="19"/>
          <w:szCs w:val="19"/>
          <w:color w:val="131313"/>
        </w:rPr>
        <w:t>rights</w:t>
      </w:r>
      <w:r>
        <w:rPr>
          <w:rFonts w:ascii="Arial" w:cs="Arial" w:eastAsia="Arial" w:hAnsi="Arial"/>
          <w:sz w:val="19"/>
          <w:szCs w:val="19"/>
          <w:color w:val="343434"/>
        </w:rPr>
        <w:t xml:space="preserve"> of </w:t>
      </w:r>
      <w:r>
        <w:rPr>
          <w:rFonts w:ascii="Arial" w:cs="Arial" w:eastAsia="Arial" w:hAnsi="Arial"/>
          <w:sz w:val="19"/>
          <w:szCs w:val="19"/>
          <w:color w:val="131313"/>
        </w:rPr>
        <w:t>Tenant pursuant to this</w:t>
      </w:r>
      <w:r>
        <w:rPr>
          <w:rFonts w:ascii="Arial" w:cs="Arial" w:eastAsia="Arial" w:hAnsi="Arial"/>
          <w:sz w:val="19"/>
          <w:szCs w:val="19"/>
          <w:color w:val="343434"/>
        </w:rPr>
        <w:t xml:space="preserve"> </w:t>
      </w:r>
      <w:r>
        <w:rPr>
          <w:rFonts w:ascii="Arial" w:cs="Arial" w:eastAsia="Arial" w:hAnsi="Arial"/>
          <w:sz w:val="19"/>
          <w:szCs w:val="19"/>
          <w:color w:val="000000"/>
        </w:rPr>
        <w:t>Lease</w:t>
      </w:r>
      <w:r>
        <w:rPr>
          <w:rFonts w:ascii="Arial" w:cs="Arial" w:eastAsia="Arial" w:hAnsi="Arial"/>
          <w:sz w:val="19"/>
          <w:szCs w:val="19"/>
          <w:color w:val="343434"/>
        </w:rPr>
        <w:t xml:space="preserve"> </w:t>
      </w:r>
      <w:r>
        <w:rPr>
          <w:rFonts w:ascii="Arial" w:cs="Arial" w:eastAsia="Arial" w:hAnsi="Arial"/>
          <w:sz w:val="19"/>
          <w:szCs w:val="19"/>
          <w:color w:val="131313"/>
        </w:rPr>
        <w:t>to</w:t>
      </w:r>
      <w:r>
        <w:rPr>
          <w:rFonts w:ascii="Arial" w:cs="Arial" w:eastAsia="Arial" w:hAnsi="Arial"/>
          <w:sz w:val="19"/>
          <w:szCs w:val="19"/>
          <w:color w:val="343434"/>
        </w:rPr>
        <w:t xml:space="preserve"> </w:t>
      </w:r>
      <w:r>
        <w:rPr>
          <w:rFonts w:ascii="Arial" w:cs="Arial" w:eastAsia="Arial" w:hAnsi="Arial"/>
          <w:sz w:val="19"/>
          <w:szCs w:val="19"/>
          <w:color w:val="000000"/>
        </w:rPr>
        <w:t>quiet and</w:t>
      </w:r>
      <w:r>
        <w:rPr>
          <w:rFonts w:ascii="Arial" w:cs="Arial" w:eastAsia="Arial" w:hAnsi="Arial"/>
          <w:sz w:val="19"/>
          <w:szCs w:val="19"/>
          <w:color w:val="343434"/>
        </w:rPr>
        <w:t xml:space="preserve"> </w:t>
      </w:r>
      <w:r>
        <w:rPr>
          <w:rFonts w:ascii="Arial" w:cs="Arial" w:eastAsia="Arial" w:hAnsi="Arial"/>
          <w:sz w:val="19"/>
          <w:szCs w:val="19"/>
          <w:color w:val="131313"/>
        </w:rPr>
        <w:t>peaceful</w:t>
      </w:r>
      <w:r>
        <w:rPr>
          <w:rFonts w:ascii="Arial" w:cs="Arial" w:eastAsia="Arial" w:hAnsi="Arial"/>
          <w:sz w:val="19"/>
          <w:szCs w:val="19"/>
          <w:color w:val="343434"/>
        </w:rPr>
        <w:t xml:space="preserve"> </w:t>
      </w:r>
      <w:r>
        <w:rPr>
          <w:rFonts w:ascii="Arial" w:cs="Arial" w:eastAsia="Arial" w:hAnsi="Arial"/>
          <w:sz w:val="19"/>
          <w:szCs w:val="19"/>
          <w:color w:val="000000"/>
        </w:rPr>
        <w:t>possession</w:t>
      </w:r>
      <w:r>
        <w:rPr>
          <w:rFonts w:ascii="Arial" w:cs="Arial" w:eastAsia="Arial" w:hAnsi="Arial"/>
          <w:sz w:val="19"/>
          <w:szCs w:val="19"/>
          <w:color w:val="343434"/>
        </w:rPr>
        <w:t xml:space="preserve"> </w:t>
      </w:r>
      <w:r>
        <w:rPr>
          <w:rFonts w:ascii="Arial" w:cs="Arial" w:eastAsia="Arial" w:hAnsi="Arial"/>
          <w:sz w:val="19"/>
          <w:szCs w:val="19"/>
          <w:color w:val="131313"/>
        </w:rPr>
        <w:t>of</w:t>
      </w:r>
      <w:r>
        <w:rPr>
          <w:rFonts w:ascii="Arial" w:cs="Arial" w:eastAsia="Arial" w:hAnsi="Arial"/>
          <w:sz w:val="19"/>
          <w:szCs w:val="19"/>
          <w:color w:val="343434"/>
        </w:rPr>
        <w:t xml:space="preserve"> </w:t>
      </w:r>
      <w:r>
        <w:rPr>
          <w:rFonts w:ascii="Arial" w:cs="Arial" w:eastAsia="Arial" w:hAnsi="Arial"/>
          <w:sz w:val="19"/>
          <w:szCs w:val="19"/>
          <w:color w:val="000000"/>
        </w:rPr>
        <w:t>the</w:t>
      </w:r>
      <w:r>
        <w:rPr>
          <w:rFonts w:ascii="Arial" w:cs="Arial" w:eastAsia="Arial" w:hAnsi="Arial"/>
          <w:sz w:val="19"/>
          <w:szCs w:val="19"/>
          <w:color w:val="343434"/>
        </w:rPr>
        <w:t xml:space="preserve"> </w:t>
      </w:r>
      <w:r>
        <w:rPr>
          <w:rFonts w:ascii="Arial" w:cs="Arial" w:eastAsia="Arial" w:hAnsi="Arial"/>
          <w:sz w:val="19"/>
          <w:szCs w:val="19"/>
          <w:color w:val="131313"/>
        </w:rPr>
        <w:t>Premises</w:t>
      </w:r>
      <w:r>
        <w:rPr>
          <w:rFonts w:ascii="Arial" w:cs="Arial" w:eastAsia="Arial" w:hAnsi="Arial"/>
          <w:sz w:val="19"/>
          <w:szCs w:val="19"/>
          <w:color w:val="343434"/>
        </w:rPr>
        <w:t xml:space="preserve"> shall </w:t>
      </w:r>
      <w:r>
        <w:rPr>
          <w:rFonts w:ascii="Arial" w:cs="Arial" w:eastAsia="Arial" w:hAnsi="Arial"/>
          <w:sz w:val="19"/>
          <w:szCs w:val="19"/>
          <w:color w:val="000000"/>
        </w:rPr>
        <w:t>not</w:t>
      </w:r>
      <w:r>
        <w:rPr>
          <w:rFonts w:ascii="Arial" w:cs="Arial" w:eastAsia="Arial" w:hAnsi="Arial"/>
          <w:sz w:val="19"/>
          <w:szCs w:val="19"/>
          <w:color w:val="343434"/>
        </w:rPr>
        <w:t xml:space="preserve"> </w:t>
      </w:r>
      <w:r>
        <w:rPr>
          <w:rFonts w:ascii="Arial" w:cs="Arial" w:eastAsia="Arial" w:hAnsi="Arial"/>
          <w:sz w:val="19"/>
          <w:szCs w:val="19"/>
          <w:color w:val="131313"/>
        </w:rPr>
        <w:t>be</w:t>
      </w:r>
      <w:r>
        <w:rPr>
          <w:rFonts w:ascii="Arial" w:cs="Arial" w:eastAsia="Arial" w:hAnsi="Arial"/>
          <w:sz w:val="19"/>
          <w:szCs w:val="19"/>
          <w:color w:val="343434"/>
        </w:rPr>
        <w:t xml:space="preserve"> </w:t>
      </w:r>
      <w:r>
        <w:rPr>
          <w:rFonts w:ascii="Arial" w:cs="Arial" w:eastAsia="Arial" w:hAnsi="Arial"/>
          <w:sz w:val="19"/>
          <w:szCs w:val="19"/>
          <w:color w:val="000000"/>
        </w:rPr>
        <w:t>terminated,</w:t>
      </w:r>
      <w:r>
        <w:rPr>
          <w:rFonts w:ascii="Arial" w:cs="Arial" w:eastAsia="Arial" w:hAnsi="Arial"/>
          <w:sz w:val="19"/>
          <w:szCs w:val="19"/>
          <w:color w:val="343434"/>
        </w:rPr>
        <w:t xml:space="preserve"> </w:t>
      </w:r>
      <w:r>
        <w:rPr>
          <w:rFonts w:ascii="Arial" w:cs="Arial" w:eastAsia="Arial" w:hAnsi="Arial"/>
          <w:sz w:val="19"/>
          <w:szCs w:val="19"/>
          <w:color w:val="000000"/>
        </w:rPr>
        <w:t xml:space="preserve">modified, affected or </w:t>
      </w:r>
      <w:r>
        <w:rPr>
          <w:rFonts w:ascii="Arial" w:cs="Arial" w:eastAsia="Arial" w:hAnsi="Arial"/>
          <w:sz w:val="19"/>
          <w:szCs w:val="19"/>
          <w:color w:val="131313"/>
        </w:rPr>
        <w:t>disturbed by any action</w:t>
      </w:r>
      <w:r>
        <w:rPr>
          <w:rFonts w:ascii="Arial" w:cs="Arial" w:eastAsia="Arial" w:hAnsi="Arial"/>
          <w:sz w:val="19"/>
          <w:szCs w:val="19"/>
          <w:color w:val="000000"/>
        </w:rPr>
        <w:t xml:space="preserve"> </w:t>
      </w:r>
      <w:r>
        <w:rPr>
          <w:rFonts w:ascii="Arial" w:cs="Arial" w:eastAsia="Arial" w:hAnsi="Arial"/>
          <w:sz w:val="19"/>
          <w:szCs w:val="19"/>
          <w:color w:val="343434"/>
        </w:rPr>
        <w:t>which</w:t>
      </w:r>
      <w:r>
        <w:rPr>
          <w:rFonts w:ascii="Arial" w:cs="Arial" w:eastAsia="Arial" w:hAnsi="Arial"/>
          <w:sz w:val="19"/>
          <w:szCs w:val="19"/>
          <w:color w:val="000000"/>
        </w:rPr>
        <w:t xml:space="preserve"> the Mortgagee </w:t>
      </w:r>
      <w:r>
        <w:rPr>
          <w:rFonts w:ascii="Arial" w:cs="Arial" w:eastAsia="Arial" w:hAnsi="Arial"/>
          <w:sz w:val="19"/>
          <w:szCs w:val="19"/>
          <w:color w:val="131313"/>
        </w:rPr>
        <w:t>may take to</w:t>
      </w:r>
      <w:r>
        <w:rPr>
          <w:rFonts w:ascii="Arial" w:cs="Arial" w:eastAsia="Arial" w:hAnsi="Arial"/>
          <w:sz w:val="19"/>
          <w:szCs w:val="19"/>
          <w:color w:val="000000"/>
        </w:rPr>
        <w:t xml:space="preserve"> foreclose or </w:t>
      </w:r>
      <w:r>
        <w:rPr>
          <w:rFonts w:ascii="Arial" w:cs="Arial" w:eastAsia="Arial" w:hAnsi="Arial"/>
          <w:sz w:val="19"/>
          <w:szCs w:val="19"/>
          <w:color w:val="131313"/>
        </w:rPr>
        <w:t>terminate</w:t>
      </w:r>
      <w:r>
        <w:rPr>
          <w:rFonts w:ascii="Arial" w:cs="Arial" w:eastAsia="Arial" w:hAnsi="Arial"/>
          <w:sz w:val="19"/>
          <w:szCs w:val="19"/>
          <w:color w:val="000000"/>
        </w:rPr>
        <w:t xml:space="preserve"> </w:t>
      </w:r>
      <w:r>
        <w:rPr>
          <w:rFonts w:ascii="Arial" w:cs="Arial" w:eastAsia="Arial" w:hAnsi="Arial"/>
          <w:sz w:val="19"/>
          <w:szCs w:val="19"/>
          <w:color w:val="343434"/>
        </w:rPr>
        <w:t>any</w:t>
      </w:r>
      <w:r>
        <w:rPr>
          <w:rFonts w:ascii="Arial" w:cs="Arial" w:eastAsia="Arial" w:hAnsi="Arial"/>
          <w:sz w:val="19"/>
          <w:szCs w:val="19"/>
          <w:color w:val="000000"/>
        </w:rPr>
        <w:t xml:space="preserve"> such </w:t>
      </w:r>
      <w:r>
        <w:rPr>
          <w:rFonts w:ascii="Arial" w:cs="Arial" w:eastAsia="Arial" w:hAnsi="Arial"/>
          <w:sz w:val="19"/>
          <w:szCs w:val="19"/>
          <w:color w:val="131313"/>
        </w:rPr>
        <w:t>Mo</w:t>
      </w:r>
      <w:r>
        <w:rPr>
          <w:rFonts w:ascii="Arial" w:cs="Arial" w:eastAsia="Arial" w:hAnsi="Arial"/>
          <w:sz w:val="19"/>
          <w:szCs w:val="19"/>
          <w:color w:val="494949"/>
        </w:rPr>
        <w:t>r</w:t>
      </w:r>
      <w:r>
        <w:rPr>
          <w:rFonts w:ascii="Arial" w:cs="Arial" w:eastAsia="Arial" w:hAnsi="Arial"/>
          <w:sz w:val="19"/>
          <w:szCs w:val="19"/>
          <w:color w:val="131313"/>
        </w:rPr>
        <w:t xml:space="preserve">tgage, and </w:t>
      </w:r>
      <w:r>
        <w:rPr>
          <w:rFonts w:ascii="Arial" w:cs="Arial" w:eastAsia="Arial" w:hAnsi="Arial"/>
          <w:sz w:val="19"/>
          <w:szCs w:val="19"/>
          <w:color w:val="000000"/>
        </w:rPr>
        <w:t>that</w:t>
      </w:r>
      <w:r>
        <w:rPr>
          <w:rFonts w:ascii="Arial" w:cs="Arial" w:eastAsia="Arial" w:hAnsi="Arial"/>
          <w:sz w:val="19"/>
          <w:szCs w:val="19"/>
          <w:color w:val="131313"/>
        </w:rPr>
        <w:t xml:space="preserve"> any </w:t>
      </w:r>
      <w:r>
        <w:rPr>
          <w:rFonts w:ascii="Arial" w:cs="Arial" w:eastAsia="Arial" w:hAnsi="Arial"/>
          <w:sz w:val="19"/>
          <w:szCs w:val="19"/>
          <w:color w:val="000000"/>
        </w:rPr>
        <w:t>successor</w:t>
      </w:r>
      <w:r>
        <w:rPr>
          <w:rFonts w:ascii="Arial" w:cs="Arial" w:eastAsia="Arial" w:hAnsi="Arial"/>
          <w:sz w:val="19"/>
          <w:szCs w:val="19"/>
          <w:color w:val="131313"/>
        </w:rPr>
        <w:t xml:space="preserve"> landlord </w:t>
      </w:r>
      <w:r>
        <w:rPr>
          <w:rFonts w:ascii="Arial" w:cs="Arial" w:eastAsia="Arial" w:hAnsi="Arial"/>
          <w:sz w:val="19"/>
          <w:szCs w:val="19"/>
          <w:color w:val="000000"/>
        </w:rPr>
        <w:t>shall</w:t>
      </w:r>
      <w:r>
        <w:rPr>
          <w:rFonts w:ascii="Arial" w:cs="Arial" w:eastAsia="Arial" w:hAnsi="Arial"/>
          <w:sz w:val="19"/>
          <w:szCs w:val="19"/>
          <w:color w:val="131313"/>
        </w:rPr>
        <w:t xml:space="preserve"> </w:t>
      </w:r>
      <w:r>
        <w:rPr>
          <w:rFonts w:ascii="Arial" w:cs="Arial" w:eastAsia="Arial" w:hAnsi="Arial"/>
          <w:sz w:val="19"/>
          <w:szCs w:val="19"/>
          <w:color w:val="343434"/>
        </w:rPr>
        <w:t>recognize this Lease</w:t>
      </w:r>
      <w:r>
        <w:rPr>
          <w:rFonts w:ascii="Arial" w:cs="Arial" w:eastAsia="Arial" w:hAnsi="Arial"/>
          <w:sz w:val="19"/>
          <w:szCs w:val="19"/>
          <w:color w:val="131313"/>
        </w:rPr>
        <w:t xml:space="preserve"> </w:t>
      </w:r>
      <w:r>
        <w:rPr>
          <w:rFonts w:ascii="Arial" w:cs="Arial" w:eastAsia="Arial" w:hAnsi="Arial"/>
          <w:sz w:val="19"/>
          <w:szCs w:val="19"/>
          <w:color w:val="000000"/>
        </w:rPr>
        <w:t>as being in full</w:t>
      </w:r>
      <w:r>
        <w:rPr>
          <w:rFonts w:ascii="Arial" w:cs="Arial" w:eastAsia="Arial" w:hAnsi="Arial"/>
          <w:sz w:val="19"/>
          <w:szCs w:val="19"/>
          <w:color w:val="131313"/>
        </w:rPr>
        <w:t xml:space="preserve"> </w:t>
      </w:r>
      <w:r>
        <w:rPr>
          <w:rFonts w:ascii="Arial" w:cs="Arial" w:eastAsia="Arial" w:hAnsi="Arial"/>
          <w:sz w:val="19"/>
          <w:szCs w:val="19"/>
          <w:color w:val="343434"/>
        </w:rPr>
        <w:t>force</w:t>
      </w:r>
      <w:r>
        <w:rPr>
          <w:rFonts w:ascii="Arial" w:cs="Arial" w:eastAsia="Arial" w:hAnsi="Arial"/>
          <w:sz w:val="19"/>
          <w:szCs w:val="19"/>
          <w:color w:val="131313"/>
        </w:rPr>
        <w:t xml:space="preserve"> </w:t>
      </w:r>
      <w:r>
        <w:rPr>
          <w:rFonts w:ascii="Arial" w:cs="Arial" w:eastAsia="Arial" w:hAnsi="Arial"/>
          <w:sz w:val="19"/>
          <w:szCs w:val="19"/>
          <w:color w:val="000000"/>
        </w:rPr>
        <w:t>and</w:t>
      </w:r>
      <w:r>
        <w:rPr>
          <w:rFonts w:ascii="Arial" w:cs="Arial" w:eastAsia="Arial" w:hAnsi="Arial"/>
          <w:sz w:val="19"/>
          <w:szCs w:val="19"/>
          <w:color w:val="131313"/>
        </w:rPr>
        <w:t xml:space="preserve"> </w:t>
      </w:r>
      <w:r>
        <w:rPr>
          <w:rFonts w:ascii="Arial" w:cs="Arial" w:eastAsia="Arial" w:hAnsi="Arial"/>
          <w:sz w:val="19"/>
          <w:szCs w:val="19"/>
          <w:color w:val="343434"/>
        </w:rPr>
        <w:t>effect.</w:t>
      </w:r>
    </w:p>
    <w:p>
      <w:pPr>
        <w:spacing w:after="0" w:line="154"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 xml:space="preserve">30.4 In </w:t>
      </w:r>
      <w:r>
        <w:rPr>
          <w:rFonts w:ascii="Arial" w:cs="Arial" w:eastAsia="Arial" w:hAnsi="Arial"/>
          <w:sz w:val="22"/>
          <w:szCs w:val="22"/>
          <w:color w:val="232323"/>
        </w:rPr>
        <w:t>the</w:t>
      </w:r>
      <w:r>
        <w:rPr>
          <w:rFonts w:ascii="Arial" w:cs="Arial" w:eastAsia="Arial" w:hAnsi="Arial"/>
          <w:sz w:val="22"/>
          <w:szCs w:val="22"/>
          <w:color w:val="auto"/>
        </w:rPr>
        <w:t xml:space="preserve"> </w:t>
      </w:r>
      <w:r>
        <w:rPr>
          <w:rFonts w:ascii="Arial" w:cs="Arial" w:eastAsia="Arial" w:hAnsi="Arial"/>
          <w:sz w:val="22"/>
          <w:szCs w:val="22"/>
          <w:color w:val="343434"/>
        </w:rPr>
        <w:t>event</w:t>
      </w:r>
      <w:r>
        <w:rPr>
          <w:rFonts w:ascii="Arial" w:cs="Arial" w:eastAsia="Arial" w:hAnsi="Arial"/>
          <w:sz w:val="22"/>
          <w:szCs w:val="22"/>
          <w:color w:val="auto"/>
        </w:rPr>
        <w:t xml:space="preserve"> any </w:t>
      </w:r>
      <w:r>
        <w:rPr>
          <w:rFonts w:ascii="Arial" w:cs="Arial" w:eastAsia="Arial" w:hAnsi="Arial"/>
          <w:sz w:val="22"/>
          <w:szCs w:val="22"/>
          <w:color w:val="232323"/>
        </w:rPr>
        <w:t>proceedings</w:t>
      </w:r>
      <w:r>
        <w:rPr>
          <w:rFonts w:ascii="Arial" w:cs="Arial" w:eastAsia="Arial" w:hAnsi="Arial"/>
          <w:sz w:val="22"/>
          <w:szCs w:val="22"/>
          <w:color w:val="auto"/>
        </w:rPr>
        <w:t xml:space="preserve"> are brought </w:t>
      </w:r>
      <w:r>
        <w:rPr>
          <w:rFonts w:ascii="Arial" w:cs="Arial" w:eastAsia="Arial" w:hAnsi="Arial"/>
          <w:sz w:val="22"/>
          <w:szCs w:val="22"/>
          <w:color w:val="232323"/>
        </w:rPr>
        <w:t>for</w:t>
      </w:r>
      <w:r>
        <w:rPr>
          <w:rFonts w:ascii="Arial" w:cs="Arial" w:eastAsia="Arial" w:hAnsi="Arial"/>
          <w:sz w:val="22"/>
          <w:szCs w:val="22"/>
          <w:color w:val="auto"/>
        </w:rPr>
        <w:t xml:space="preserve"> </w:t>
      </w:r>
      <w:r>
        <w:rPr>
          <w:rFonts w:ascii="Arial" w:cs="Arial" w:eastAsia="Arial" w:hAnsi="Arial"/>
          <w:sz w:val="22"/>
          <w:szCs w:val="22"/>
          <w:color w:val="343434"/>
        </w:rPr>
        <w:t>foreclosure,</w:t>
      </w:r>
      <w:r>
        <w:rPr>
          <w:rFonts w:ascii="Arial" w:cs="Arial" w:eastAsia="Arial" w:hAnsi="Arial"/>
          <w:sz w:val="22"/>
          <w:szCs w:val="22"/>
          <w:color w:val="auto"/>
        </w:rPr>
        <w:t xml:space="preserve"> </w:t>
      </w:r>
      <w:r>
        <w:rPr>
          <w:rFonts w:ascii="Arial" w:cs="Arial" w:eastAsia="Arial" w:hAnsi="Arial"/>
          <w:sz w:val="22"/>
          <w:szCs w:val="22"/>
          <w:color w:val="232323"/>
        </w:rPr>
        <w:t>or</w:t>
      </w:r>
      <w:r>
        <w:rPr>
          <w:rFonts w:ascii="Arial" w:cs="Arial" w:eastAsia="Arial" w:hAnsi="Arial"/>
          <w:sz w:val="22"/>
          <w:szCs w:val="22"/>
          <w:color w:val="auto"/>
        </w:rPr>
        <w:t xml:space="preserve"> in the </w:t>
      </w:r>
      <w:r>
        <w:rPr>
          <w:rFonts w:ascii="Arial" w:cs="Arial" w:eastAsia="Arial" w:hAnsi="Arial"/>
          <w:sz w:val="22"/>
          <w:szCs w:val="22"/>
          <w:color w:val="232323"/>
        </w:rPr>
        <w:t>event of</w:t>
      </w:r>
      <w:r>
        <w:rPr>
          <w:rFonts w:ascii="Arial" w:cs="Arial" w:eastAsia="Arial" w:hAnsi="Arial"/>
          <w:sz w:val="22"/>
          <w:szCs w:val="22"/>
          <w:color w:val="auto"/>
        </w:rPr>
        <w:t xml:space="preserve"> the </w:t>
      </w:r>
      <w:r>
        <w:rPr>
          <w:rFonts w:ascii="Arial" w:cs="Arial" w:eastAsia="Arial" w:hAnsi="Arial"/>
          <w:sz w:val="22"/>
          <w:szCs w:val="22"/>
          <w:color w:val="343434"/>
        </w:rPr>
        <w:t>exercise</w:t>
      </w:r>
      <w:r>
        <w:rPr>
          <w:rFonts w:ascii="Arial" w:cs="Arial" w:eastAsia="Arial" w:hAnsi="Arial"/>
          <w:sz w:val="22"/>
          <w:szCs w:val="22"/>
          <w:color w:val="auto"/>
        </w:rPr>
        <w:t xml:space="preserve"> </w:t>
      </w:r>
      <w:r>
        <w:rPr>
          <w:rFonts w:ascii="Arial" w:cs="Arial" w:eastAsia="Arial" w:hAnsi="Arial"/>
          <w:sz w:val="22"/>
          <w:szCs w:val="22"/>
          <w:color w:val="232323"/>
        </w:rPr>
        <w:t>of</w:t>
      </w:r>
      <w:r>
        <w:rPr>
          <w:rFonts w:ascii="Arial" w:cs="Arial" w:eastAsia="Arial" w:hAnsi="Arial"/>
          <w:sz w:val="22"/>
          <w:szCs w:val="22"/>
          <w:color w:val="auto"/>
        </w:rPr>
        <w:t xml:space="preserve"> </w:t>
      </w:r>
      <w:r>
        <w:rPr>
          <w:rFonts w:ascii="Arial" w:cs="Arial" w:eastAsia="Arial" w:hAnsi="Arial"/>
          <w:sz w:val="22"/>
          <w:szCs w:val="22"/>
          <w:color w:val="343434"/>
        </w:rPr>
        <w:t>the</w:t>
      </w:r>
      <w:r>
        <w:rPr>
          <w:rFonts w:ascii="Arial" w:cs="Arial" w:eastAsia="Arial" w:hAnsi="Arial"/>
          <w:sz w:val="22"/>
          <w:szCs w:val="22"/>
          <w:color w:val="auto"/>
        </w:rPr>
        <w:t xml:space="preserve"> power </w:t>
      </w:r>
      <w:r>
        <w:rPr>
          <w:rFonts w:ascii="Arial" w:cs="Arial" w:eastAsia="Arial" w:hAnsi="Arial"/>
          <w:sz w:val="22"/>
          <w:szCs w:val="22"/>
          <w:color w:val="232323"/>
        </w:rPr>
        <w:t>of</w:t>
      </w:r>
      <w:r>
        <w:rPr>
          <w:rFonts w:ascii="Arial" w:cs="Arial" w:eastAsia="Arial" w:hAnsi="Arial"/>
          <w:sz w:val="22"/>
          <w:szCs w:val="22"/>
          <w:color w:val="auto"/>
        </w:rPr>
        <w:t xml:space="preserve"> </w:t>
      </w:r>
      <w:r>
        <w:rPr>
          <w:rFonts w:ascii="Arial" w:cs="Arial" w:eastAsia="Arial" w:hAnsi="Arial"/>
          <w:sz w:val="22"/>
          <w:szCs w:val="22"/>
          <w:color w:val="343434"/>
        </w:rPr>
        <w:t>sale</w:t>
      </w:r>
      <w:r>
        <w:rPr>
          <w:rFonts w:ascii="Arial" w:cs="Arial" w:eastAsia="Arial" w:hAnsi="Arial"/>
          <w:sz w:val="22"/>
          <w:szCs w:val="22"/>
          <w:color w:val="auto"/>
        </w:rPr>
        <w:t xml:space="preserve"> </w:t>
      </w:r>
      <w:r>
        <w:rPr>
          <w:rFonts w:ascii="Arial" w:cs="Arial" w:eastAsia="Arial" w:hAnsi="Arial"/>
          <w:sz w:val="22"/>
          <w:szCs w:val="22"/>
          <w:color w:val="232323"/>
        </w:rPr>
        <w:t>under</w:t>
      </w:r>
      <w:r>
        <w:rPr>
          <w:rFonts w:ascii="Arial" w:cs="Arial" w:eastAsia="Arial" w:hAnsi="Arial"/>
          <w:sz w:val="22"/>
          <w:szCs w:val="22"/>
          <w:color w:val="auto"/>
        </w:rPr>
        <w:t xml:space="preserve"> </w:t>
      </w:r>
      <w:r>
        <w:rPr>
          <w:rFonts w:ascii="Arial" w:cs="Arial" w:eastAsia="Arial" w:hAnsi="Arial"/>
          <w:sz w:val="22"/>
          <w:szCs w:val="22"/>
          <w:color w:val="232323"/>
        </w:rPr>
        <w:t xml:space="preserve">any </w:t>
      </w:r>
      <w:r>
        <w:rPr>
          <w:rFonts w:ascii="Arial" w:cs="Arial" w:eastAsia="Arial" w:hAnsi="Arial"/>
          <w:sz w:val="22"/>
          <w:szCs w:val="22"/>
          <w:color w:val="000000"/>
        </w:rPr>
        <w:t>mortgage or deed</w:t>
      </w:r>
      <w:r>
        <w:rPr>
          <w:rFonts w:ascii="Arial" w:cs="Arial" w:eastAsia="Arial" w:hAnsi="Arial"/>
          <w:sz w:val="22"/>
          <w:szCs w:val="22"/>
          <w:color w:val="232323"/>
        </w:rPr>
        <w:t xml:space="preserve"> of </w:t>
      </w:r>
      <w:r>
        <w:rPr>
          <w:rFonts w:ascii="Arial" w:cs="Arial" w:eastAsia="Arial" w:hAnsi="Arial"/>
          <w:sz w:val="22"/>
          <w:szCs w:val="22"/>
          <w:color w:val="000000"/>
        </w:rPr>
        <w:t>trust made by Landlord covering the Premises, Tenant</w:t>
      </w:r>
      <w:r>
        <w:rPr>
          <w:rFonts w:ascii="Arial" w:cs="Arial" w:eastAsia="Arial" w:hAnsi="Arial"/>
          <w:sz w:val="22"/>
          <w:szCs w:val="22"/>
          <w:color w:val="232323"/>
        </w:rPr>
        <w:t xml:space="preserve"> </w:t>
      </w:r>
      <w:r>
        <w:rPr>
          <w:rFonts w:ascii="Arial" w:cs="Arial" w:eastAsia="Arial" w:hAnsi="Arial"/>
          <w:sz w:val="22"/>
          <w:szCs w:val="22"/>
          <w:color w:val="343434"/>
        </w:rPr>
        <w:t>shall</w:t>
      </w:r>
      <w:r>
        <w:rPr>
          <w:rFonts w:ascii="Arial" w:cs="Arial" w:eastAsia="Arial" w:hAnsi="Arial"/>
          <w:sz w:val="22"/>
          <w:szCs w:val="22"/>
          <w:color w:val="232323"/>
        </w:rPr>
        <w:t xml:space="preserve"> at </w:t>
      </w:r>
      <w:r>
        <w:rPr>
          <w:rFonts w:ascii="Arial" w:cs="Arial" w:eastAsia="Arial" w:hAnsi="Arial"/>
          <w:sz w:val="22"/>
          <w:szCs w:val="22"/>
          <w:color w:val="000000"/>
        </w:rPr>
        <w:t>the election</w:t>
      </w:r>
      <w:r>
        <w:rPr>
          <w:rFonts w:ascii="Arial" w:cs="Arial" w:eastAsia="Arial" w:hAnsi="Arial"/>
          <w:sz w:val="22"/>
          <w:szCs w:val="22"/>
          <w:color w:val="232323"/>
        </w:rPr>
        <w:t xml:space="preserve"> of the </w:t>
      </w:r>
      <w:r>
        <w:rPr>
          <w:rFonts w:ascii="Arial" w:cs="Arial" w:eastAsia="Arial" w:hAnsi="Arial"/>
          <w:sz w:val="22"/>
          <w:szCs w:val="22"/>
          <w:color w:val="000000"/>
        </w:rPr>
        <w:t xml:space="preserve">purchaser </w:t>
      </w:r>
      <w:r>
        <w:rPr>
          <w:rFonts w:ascii="Arial" w:cs="Arial" w:eastAsia="Arial" w:hAnsi="Arial"/>
          <w:sz w:val="22"/>
          <w:szCs w:val="22"/>
          <w:color w:val="343434"/>
        </w:rPr>
        <w:t>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01" w:right="339" w:bottom="1440" w:gutter="0" w:footer="0" w:header="0"/>
        </w:sectPr>
      </w:pPr>
    </w:p>
    <w:bookmarkStart w:id="357" w:name="page358"/>
    <w:bookmarkEnd w:id="357"/>
    <w:p>
      <w:pPr>
        <w:ind w:left="1300"/>
        <w:spacing w:after="0" w:line="232" w:lineRule="auto"/>
        <w:rPr>
          <w:sz w:val="20"/>
          <w:szCs w:val="20"/>
          <w:color w:val="auto"/>
        </w:rPr>
      </w:pPr>
      <w:r>
        <w:rPr>
          <w:rFonts w:ascii="Arial" w:cs="Arial" w:eastAsia="Arial" w:hAnsi="Arial"/>
          <w:sz w:val="22"/>
          <w:szCs w:val="22"/>
          <w:color w:val="343434"/>
        </w:rPr>
        <w:t xml:space="preserve">such </w:t>
      </w:r>
      <w:r>
        <w:rPr>
          <w:rFonts w:ascii="Arial" w:cs="Arial" w:eastAsia="Arial" w:hAnsi="Arial"/>
          <w:sz w:val="22"/>
          <w:szCs w:val="22"/>
          <w:color w:val="000000"/>
        </w:rPr>
        <w:t>foreclosure</w:t>
      </w:r>
      <w:r>
        <w:rPr>
          <w:rFonts w:ascii="Arial" w:cs="Arial" w:eastAsia="Arial" w:hAnsi="Arial"/>
          <w:sz w:val="22"/>
          <w:szCs w:val="22"/>
          <w:color w:val="343434"/>
        </w:rPr>
        <w:t xml:space="preserve"> </w:t>
      </w:r>
      <w:r>
        <w:rPr>
          <w:rFonts w:ascii="Arial" w:cs="Arial" w:eastAsia="Arial" w:hAnsi="Arial"/>
          <w:sz w:val="22"/>
          <w:szCs w:val="22"/>
          <w:color w:val="232323"/>
        </w:rPr>
        <w:t>or sale</w:t>
      </w:r>
      <w:r>
        <w:rPr>
          <w:rFonts w:ascii="Arial" w:cs="Arial" w:eastAsia="Arial" w:hAnsi="Arial"/>
          <w:sz w:val="22"/>
          <w:szCs w:val="22"/>
          <w:color w:val="343434"/>
        </w:rPr>
        <w:t xml:space="preserve"> </w:t>
      </w:r>
      <w:r>
        <w:rPr>
          <w:rFonts w:ascii="Arial" w:cs="Arial" w:eastAsia="Arial" w:hAnsi="Arial"/>
          <w:sz w:val="22"/>
          <w:szCs w:val="22"/>
          <w:color w:val="000000"/>
        </w:rPr>
        <w:t>attorn</w:t>
      </w:r>
      <w:r>
        <w:rPr>
          <w:rFonts w:ascii="Arial" w:cs="Arial" w:eastAsia="Arial" w:hAnsi="Arial"/>
          <w:sz w:val="22"/>
          <w:szCs w:val="22"/>
          <w:color w:val="343434"/>
        </w:rPr>
        <w:t xml:space="preserve"> to </w:t>
      </w:r>
      <w:r>
        <w:rPr>
          <w:rFonts w:ascii="Arial" w:cs="Arial" w:eastAsia="Arial" w:hAnsi="Arial"/>
          <w:sz w:val="22"/>
          <w:szCs w:val="22"/>
          <w:color w:val="000000"/>
        </w:rPr>
        <w:t>the purchaser upon</w:t>
      </w:r>
      <w:r>
        <w:rPr>
          <w:rFonts w:ascii="Arial" w:cs="Arial" w:eastAsia="Arial" w:hAnsi="Arial"/>
          <w:sz w:val="22"/>
          <w:szCs w:val="22"/>
          <w:color w:val="343434"/>
        </w:rPr>
        <w:t xml:space="preserve"> </w:t>
      </w:r>
      <w:r>
        <w:rPr>
          <w:rFonts w:ascii="Arial" w:cs="Arial" w:eastAsia="Arial" w:hAnsi="Arial"/>
          <w:sz w:val="22"/>
          <w:szCs w:val="22"/>
          <w:color w:val="232323"/>
        </w:rPr>
        <w:t>any</w:t>
      </w:r>
      <w:r>
        <w:rPr>
          <w:rFonts w:ascii="Arial" w:cs="Arial" w:eastAsia="Arial" w:hAnsi="Arial"/>
          <w:sz w:val="22"/>
          <w:szCs w:val="22"/>
          <w:color w:val="343434"/>
        </w:rPr>
        <w:t xml:space="preserve"> </w:t>
      </w:r>
      <w:r>
        <w:rPr>
          <w:rFonts w:ascii="Arial" w:cs="Arial" w:eastAsia="Arial" w:hAnsi="Arial"/>
          <w:sz w:val="22"/>
          <w:szCs w:val="22"/>
          <w:color w:val="000000"/>
        </w:rPr>
        <w:t>such</w:t>
      </w:r>
      <w:r>
        <w:rPr>
          <w:rFonts w:ascii="Arial" w:cs="Arial" w:eastAsia="Arial" w:hAnsi="Arial"/>
          <w:sz w:val="22"/>
          <w:szCs w:val="22"/>
          <w:color w:val="343434"/>
        </w:rPr>
        <w:t xml:space="preserve"> foreclosure </w:t>
      </w:r>
      <w:r>
        <w:rPr>
          <w:rFonts w:ascii="Arial" w:cs="Arial" w:eastAsia="Arial" w:hAnsi="Arial"/>
          <w:sz w:val="22"/>
          <w:szCs w:val="22"/>
          <w:color w:val="232323"/>
        </w:rPr>
        <w:t>or sale</w:t>
      </w:r>
      <w:r>
        <w:rPr>
          <w:rFonts w:ascii="Arial" w:cs="Arial" w:eastAsia="Arial" w:hAnsi="Arial"/>
          <w:sz w:val="22"/>
          <w:szCs w:val="22"/>
          <w:color w:val="343434"/>
        </w:rPr>
        <w:t xml:space="preserve"> </w:t>
      </w:r>
      <w:r>
        <w:rPr>
          <w:rFonts w:ascii="Arial" w:cs="Arial" w:eastAsia="Arial" w:hAnsi="Arial"/>
          <w:sz w:val="22"/>
          <w:szCs w:val="22"/>
          <w:color w:val="000000"/>
        </w:rPr>
        <w:t>and recognize</w:t>
      </w:r>
      <w:r>
        <w:rPr>
          <w:rFonts w:ascii="Arial" w:cs="Arial" w:eastAsia="Arial" w:hAnsi="Arial"/>
          <w:sz w:val="22"/>
          <w:szCs w:val="22"/>
          <w:color w:val="343434"/>
        </w:rPr>
        <w:t xml:space="preserve"> such </w:t>
      </w:r>
      <w:r>
        <w:rPr>
          <w:rFonts w:ascii="Arial" w:cs="Arial" w:eastAsia="Arial" w:hAnsi="Arial"/>
          <w:sz w:val="22"/>
          <w:szCs w:val="22"/>
          <w:color w:val="232323"/>
        </w:rPr>
        <w:t>purchaser</w:t>
      </w:r>
      <w:r>
        <w:rPr>
          <w:rFonts w:ascii="Arial" w:cs="Arial" w:eastAsia="Arial" w:hAnsi="Arial"/>
          <w:sz w:val="22"/>
          <w:szCs w:val="22"/>
          <w:color w:val="343434"/>
        </w:rPr>
        <w:t xml:space="preserve"> </w:t>
      </w:r>
      <w:r>
        <w:rPr>
          <w:rFonts w:ascii="Arial" w:cs="Arial" w:eastAsia="Arial" w:hAnsi="Arial"/>
          <w:sz w:val="22"/>
          <w:szCs w:val="22"/>
          <w:color w:val="000000"/>
        </w:rPr>
        <w:t>as</w:t>
      </w:r>
      <w:r>
        <w:rPr>
          <w:rFonts w:ascii="Arial" w:cs="Arial" w:eastAsia="Arial" w:hAnsi="Arial"/>
          <w:sz w:val="22"/>
          <w:szCs w:val="22"/>
          <w:color w:val="343434"/>
        </w:rPr>
        <w:t xml:space="preserve"> </w:t>
      </w:r>
      <w:r>
        <w:rPr>
          <w:rFonts w:ascii="Arial" w:cs="Arial" w:eastAsia="Arial" w:hAnsi="Arial"/>
          <w:sz w:val="22"/>
          <w:szCs w:val="22"/>
          <w:color w:val="000000"/>
        </w:rPr>
        <w:t xml:space="preserve">Landlord under this </w:t>
      </w:r>
      <w:r>
        <w:rPr>
          <w:rFonts w:ascii="Arial" w:cs="Arial" w:eastAsia="Arial" w:hAnsi="Arial"/>
          <w:sz w:val="22"/>
          <w:szCs w:val="22"/>
          <w:color w:val="232323"/>
        </w:rPr>
        <w:t>Lease.</w:t>
      </w:r>
    </w:p>
    <w:p>
      <w:pPr>
        <w:spacing w:after="0" w:line="159"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22"/>
          <w:szCs w:val="22"/>
          <w:color w:val="auto"/>
        </w:rPr>
      </w:pPr>
      <w:r>
        <w:rPr>
          <w:rFonts w:ascii="Arial" w:cs="Arial" w:eastAsia="Arial" w:hAnsi="Arial"/>
          <w:sz w:val="22"/>
          <w:szCs w:val="22"/>
          <w:u w:val="single" w:color="auto"/>
          <w:color w:val="auto"/>
        </w:rPr>
        <w:t>Defaults and Remedies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42" w:lineRule="auto"/>
        <w:rPr>
          <w:rFonts w:ascii="Arial" w:cs="Arial" w:eastAsia="Arial" w:hAnsi="Arial"/>
          <w:sz w:val="22"/>
          <w:szCs w:val="22"/>
          <w:color w:val="auto"/>
        </w:rPr>
      </w:pPr>
      <w:r>
        <w:rPr>
          <w:rFonts w:ascii="Arial" w:cs="Arial" w:eastAsia="Arial" w:hAnsi="Arial"/>
          <w:sz w:val="19"/>
          <w:szCs w:val="19"/>
          <w:color w:val="auto"/>
        </w:rPr>
        <w:t xml:space="preserve">31.1 </w:t>
      </w:r>
      <w:r>
        <w:rPr>
          <w:rFonts w:ascii="Arial" w:cs="Arial" w:eastAsia="Arial" w:hAnsi="Arial"/>
          <w:sz w:val="19"/>
          <w:szCs w:val="19"/>
          <w:color w:val="232323"/>
        </w:rPr>
        <w:t>Late payment by</w:t>
      </w:r>
      <w:r>
        <w:rPr>
          <w:rFonts w:ascii="Arial" w:cs="Arial" w:eastAsia="Arial" w:hAnsi="Arial"/>
          <w:sz w:val="19"/>
          <w:szCs w:val="19"/>
          <w:color w:val="auto"/>
        </w:rPr>
        <w:t xml:space="preserve"> </w:t>
      </w:r>
      <w:r>
        <w:rPr>
          <w:rFonts w:ascii="Arial" w:cs="Arial" w:eastAsia="Arial" w:hAnsi="Arial"/>
          <w:sz w:val="19"/>
          <w:szCs w:val="19"/>
          <w:color w:val="131313"/>
        </w:rPr>
        <w:t>Tenant to Landlord</w:t>
      </w:r>
      <w:r>
        <w:rPr>
          <w:rFonts w:ascii="Arial" w:cs="Arial" w:eastAsia="Arial" w:hAnsi="Arial"/>
          <w:sz w:val="19"/>
          <w:szCs w:val="19"/>
          <w:color w:val="auto"/>
        </w:rPr>
        <w:t xml:space="preserve"> </w:t>
      </w:r>
      <w:r>
        <w:rPr>
          <w:rFonts w:ascii="Arial" w:cs="Arial" w:eastAsia="Arial" w:hAnsi="Arial"/>
          <w:sz w:val="19"/>
          <w:szCs w:val="19"/>
          <w:color w:val="343434"/>
        </w:rPr>
        <w:t>of</w:t>
      </w:r>
      <w:r>
        <w:rPr>
          <w:rFonts w:ascii="Arial" w:cs="Arial" w:eastAsia="Arial" w:hAnsi="Arial"/>
          <w:sz w:val="19"/>
          <w:szCs w:val="19"/>
          <w:color w:val="auto"/>
        </w:rPr>
        <w:t xml:space="preserve"> </w:t>
      </w:r>
      <w:r>
        <w:rPr>
          <w:rFonts w:ascii="Arial" w:cs="Arial" w:eastAsia="Arial" w:hAnsi="Arial"/>
          <w:sz w:val="19"/>
          <w:szCs w:val="19"/>
          <w:color w:val="131313"/>
        </w:rPr>
        <w:t>Rent</w:t>
      </w:r>
      <w:r>
        <w:rPr>
          <w:rFonts w:ascii="Arial" w:cs="Arial" w:eastAsia="Arial" w:hAnsi="Arial"/>
          <w:sz w:val="19"/>
          <w:szCs w:val="19"/>
          <w:color w:val="auto"/>
        </w:rPr>
        <w:t xml:space="preserve"> </w:t>
      </w:r>
      <w:r>
        <w:rPr>
          <w:rFonts w:ascii="Arial" w:cs="Arial" w:eastAsia="Arial" w:hAnsi="Arial"/>
          <w:sz w:val="19"/>
          <w:szCs w:val="19"/>
          <w:color w:val="232323"/>
        </w:rPr>
        <w:t>and other</w:t>
      </w:r>
      <w:r>
        <w:rPr>
          <w:rFonts w:ascii="Arial" w:cs="Arial" w:eastAsia="Arial" w:hAnsi="Arial"/>
          <w:sz w:val="19"/>
          <w:szCs w:val="19"/>
          <w:color w:val="auto"/>
        </w:rPr>
        <w:t xml:space="preserve"> </w:t>
      </w:r>
      <w:r>
        <w:rPr>
          <w:rFonts w:ascii="Arial" w:cs="Arial" w:eastAsia="Arial" w:hAnsi="Arial"/>
          <w:sz w:val="19"/>
          <w:szCs w:val="19"/>
          <w:color w:val="343434"/>
        </w:rPr>
        <w:t>sums</w:t>
      </w:r>
      <w:r>
        <w:rPr>
          <w:rFonts w:ascii="Arial" w:cs="Arial" w:eastAsia="Arial" w:hAnsi="Arial"/>
          <w:sz w:val="19"/>
          <w:szCs w:val="19"/>
          <w:color w:val="auto"/>
        </w:rPr>
        <w:t xml:space="preserve"> </w:t>
      </w:r>
      <w:r>
        <w:rPr>
          <w:rFonts w:ascii="Arial" w:cs="Arial" w:eastAsia="Arial" w:hAnsi="Arial"/>
          <w:sz w:val="19"/>
          <w:szCs w:val="19"/>
          <w:color w:val="131313"/>
        </w:rPr>
        <w:t>due</w:t>
      </w:r>
      <w:r>
        <w:rPr>
          <w:rFonts w:ascii="Arial" w:cs="Arial" w:eastAsia="Arial" w:hAnsi="Arial"/>
          <w:sz w:val="19"/>
          <w:szCs w:val="19"/>
          <w:color w:val="auto"/>
        </w:rPr>
        <w:t xml:space="preserve"> </w:t>
      </w:r>
      <w:r>
        <w:rPr>
          <w:rFonts w:ascii="Arial" w:cs="Arial" w:eastAsia="Arial" w:hAnsi="Arial"/>
          <w:sz w:val="19"/>
          <w:szCs w:val="19"/>
          <w:color w:val="343434"/>
        </w:rPr>
        <w:t>shall</w:t>
      </w:r>
      <w:r>
        <w:rPr>
          <w:rFonts w:ascii="Arial" w:cs="Arial" w:eastAsia="Arial" w:hAnsi="Arial"/>
          <w:sz w:val="19"/>
          <w:szCs w:val="19"/>
          <w:color w:val="auto"/>
        </w:rPr>
        <w:t xml:space="preserve"> </w:t>
      </w:r>
      <w:r>
        <w:rPr>
          <w:rFonts w:ascii="Arial" w:cs="Arial" w:eastAsia="Arial" w:hAnsi="Arial"/>
          <w:sz w:val="19"/>
          <w:szCs w:val="19"/>
          <w:color w:val="232323"/>
        </w:rPr>
        <w:t>cause</w:t>
      </w:r>
      <w:r>
        <w:rPr>
          <w:rFonts w:ascii="Arial" w:cs="Arial" w:eastAsia="Arial" w:hAnsi="Arial"/>
          <w:sz w:val="19"/>
          <w:szCs w:val="19"/>
          <w:color w:val="auto"/>
        </w:rPr>
        <w:t xml:space="preserve"> </w:t>
      </w:r>
      <w:r>
        <w:rPr>
          <w:rFonts w:ascii="Arial" w:cs="Arial" w:eastAsia="Arial" w:hAnsi="Arial"/>
          <w:sz w:val="19"/>
          <w:szCs w:val="19"/>
          <w:color w:val="131313"/>
        </w:rPr>
        <w:t>Landlord</w:t>
      </w:r>
      <w:r>
        <w:rPr>
          <w:rFonts w:ascii="Arial" w:cs="Arial" w:eastAsia="Arial" w:hAnsi="Arial"/>
          <w:sz w:val="19"/>
          <w:szCs w:val="19"/>
          <w:color w:val="auto"/>
        </w:rPr>
        <w:t xml:space="preserve"> </w:t>
      </w:r>
      <w:r>
        <w:rPr>
          <w:rFonts w:ascii="Arial" w:cs="Arial" w:eastAsia="Arial" w:hAnsi="Arial"/>
          <w:sz w:val="19"/>
          <w:szCs w:val="19"/>
          <w:color w:val="343434"/>
        </w:rPr>
        <w:t>to</w:t>
      </w:r>
      <w:r>
        <w:rPr>
          <w:rFonts w:ascii="Arial" w:cs="Arial" w:eastAsia="Arial" w:hAnsi="Arial"/>
          <w:sz w:val="19"/>
          <w:szCs w:val="19"/>
          <w:color w:val="auto"/>
        </w:rPr>
        <w:t xml:space="preserve"> </w:t>
      </w:r>
      <w:r>
        <w:rPr>
          <w:rFonts w:ascii="Arial" w:cs="Arial" w:eastAsia="Arial" w:hAnsi="Arial"/>
          <w:sz w:val="19"/>
          <w:szCs w:val="19"/>
          <w:color w:val="232323"/>
        </w:rPr>
        <w:t>incur costs</w:t>
      </w:r>
      <w:r>
        <w:rPr>
          <w:rFonts w:ascii="Arial" w:cs="Arial" w:eastAsia="Arial" w:hAnsi="Arial"/>
          <w:sz w:val="19"/>
          <w:szCs w:val="19"/>
          <w:color w:val="auto"/>
        </w:rPr>
        <w:t xml:space="preserve"> </w:t>
      </w:r>
      <w:r>
        <w:rPr>
          <w:rFonts w:ascii="Arial" w:cs="Arial" w:eastAsia="Arial" w:hAnsi="Arial"/>
          <w:sz w:val="19"/>
          <w:szCs w:val="19"/>
          <w:color w:val="131313"/>
        </w:rPr>
        <w:t>not</w:t>
      </w:r>
      <w:r>
        <w:rPr>
          <w:rFonts w:ascii="Arial" w:cs="Arial" w:eastAsia="Arial" w:hAnsi="Arial"/>
          <w:sz w:val="19"/>
          <w:szCs w:val="19"/>
          <w:color w:val="auto"/>
        </w:rPr>
        <w:t xml:space="preserve"> </w:t>
      </w:r>
      <w:r>
        <w:rPr>
          <w:rFonts w:ascii="Arial" w:cs="Arial" w:eastAsia="Arial" w:hAnsi="Arial"/>
          <w:sz w:val="19"/>
          <w:szCs w:val="19"/>
          <w:color w:val="232323"/>
        </w:rPr>
        <w:t xml:space="preserve">contemplated </w:t>
      </w:r>
      <w:r>
        <w:rPr>
          <w:rFonts w:ascii="Arial" w:cs="Arial" w:eastAsia="Arial" w:hAnsi="Arial"/>
          <w:sz w:val="19"/>
          <w:szCs w:val="19"/>
          <w:color w:val="131313"/>
        </w:rPr>
        <w:t>by this</w:t>
      </w:r>
      <w:r>
        <w:rPr>
          <w:rFonts w:ascii="Arial" w:cs="Arial" w:eastAsia="Arial" w:hAnsi="Arial"/>
          <w:sz w:val="19"/>
          <w:szCs w:val="19"/>
          <w:color w:val="232323"/>
        </w:rPr>
        <w:t xml:space="preserve"> Lease, </w:t>
      </w:r>
      <w:r>
        <w:rPr>
          <w:rFonts w:ascii="Arial" w:cs="Arial" w:eastAsia="Arial" w:hAnsi="Arial"/>
          <w:sz w:val="19"/>
          <w:szCs w:val="19"/>
          <w:color w:val="343434"/>
        </w:rPr>
        <w:t>the</w:t>
      </w:r>
      <w:r>
        <w:rPr>
          <w:rFonts w:ascii="Arial" w:cs="Arial" w:eastAsia="Arial" w:hAnsi="Arial"/>
          <w:sz w:val="19"/>
          <w:szCs w:val="19"/>
          <w:color w:val="232323"/>
        </w:rPr>
        <w:t xml:space="preserve"> </w:t>
      </w:r>
      <w:r>
        <w:rPr>
          <w:rFonts w:ascii="Arial" w:cs="Arial" w:eastAsia="Arial" w:hAnsi="Arial"/>
          <w:sz w:val="19"/>
          <w:szCs w:val="19"/>
          <w:color w:val="131313"/>
        </w:rPr>
        <w:t>exact</w:t>
      </w:r>
      <w:r>
        <w:rPr>
          <w:rFonts w:ascii="Arial" w:cs="Arial" w:eastAsia="Arial" w:hAnsi="Arial"/>
          <w:sz w:val="19"/>
          <w:szCs w:val="19"/>
          <w:color w:val="232323"/>
        </w:rPr>
        <w:t xml:space="preserve"> amount </w:t>
      </w:r>
      <w:r>
        <w:rPr>
          <w:rFonts w:ascii="Arial" w:cs="Arial" w:eastAsia="Arial" w:hAnsi="Arial"/>
          <w:sz w:val="19"/>
          <w:szCs w:val="19"/>
          <w:color w:val="343434"/>
        </w:rPr>
        <w:t>of</w:t>
      </w:r>
      <w:r>
        <w:rPr>
          <w:rFonts w:ascii="Arial" w:cs="Arial" w:eastAsia="Arial" w:hAnsi="Arial"/>
          <w:sz w:val="19"/>
          <w:szCs w:val="19"/>
          <w:color w:val="232323"/>
        </w:rPr>
        <w:t xml:space="preserve"> which </w:t>
      </w:r>
      <w:r>
        <w:rPr>
          <w:rFonts w:ascii="Arial" w:cs="Arial" w:eastAsia="Arial" w:hAnsi="Arial"/>
          <w:sz w:val="19"/>
          <w:szCs w:val="19"/>
          <w:color w:val="343434"/>
        </w:rPr>
        <w:t>shall</w:t>
      </w:r>
      <w:r>
        <w:rPr>
          <w:rFonts w:ascii="Arial" w:cs="Arial" w:eastAsia="Arial" w:hAnsi="Arial"/>
          <w:sz w:val="19"/>
          <w:szCs w:val="19"/>
          <w:color w:val="232323"/>
        </w:rPr>
        <w:t xml:space="preserve"> </w:t>
      </w:r>
      <w:r>
        <w:rPr>
          <w:rFonts w:ascii="Arial" w:cs="Arial" w:eastAsia="Arial" w:hAnsi="Arial"/>
          <w:sz w:val="19"/>
          <w:szCs w:val="19"/>
          <w:color w:val="000000"/>
        </w:rPr>
        <w:t>be ex</w:t>
      </w:r>
      <w:r>
        <w:rPr>
          <w:rFonts w:ascii="Arial" w:cs="Arial" w:eastAsia="Arial" w:hAnsi="Arial"/>
          <w:sz w:val="19"/>
          <w:szCs w:val="19"/>
          <w:color w:val="464646"/>
        </w:rPr>
        <w:t>t</w:t>
      </w:r>
      <w:r>
        <w:rPr>
          <w:rFonts w:ascii="Arial" w:cs="Arial" w:eastAsia="Arial" w:hAnsi="Arial"/>
          <w:sz w:val="19"/>
          <w:szCs w:val="19"/>
          <w:color w:val="000000"/>
        </w:rPr>
        <w:t>remely difficult and impracticable to</w:t>
      </w:r>
      <w:r>
        <w:rPr>
          <w:rFonts w:ascii="Arial" w:cs="Arial" w:eastAsia="Arial" w:hAnsi="Arial"/>
          <w:sz w:val="19"/>
          <w:szCs w:val="19"/>
          <w:color w:val="232323"/>
        </w:rPr>
        <w:t xml:space="preserve"> </w:t>
      </w:r>
      <w:r>
        <w:rPr>
          <w:rFonts w:ascii="Arial" w:cs="Arial" w:eastAsia="Arial" w:hAnsi="Arial"/>
          <w:sz w:val="19"/>
          <w:szCs w:val="19"/>
          <w:color w:val="333333"/>
        </w:rPr>
        <w:t>ascertain.</w:t>
      </w:r>
      <w:r>
        <w:rPr>
          <w:rFonts w:ascii="Arial" w:cs="Arial" w:eastAsia="Arial" w:hAnsi="Arial"/>
          <w:sz w:val="19"/>
          <w:szCs w:val="19"/>
          <w:color w:val="232323"/>
        </w:rPr>
        <w:t xml:space="preserve"> </w:t>
      </w:r>
      <w:r>
        <w:rPr>
          <w:rFonts w:ascii="Arial" w:cs="Arial" w:eastAsia="Arial" w:hAnsi="Arial"/>
          <w:sz w:val="19"/>
          <w:szCs w:val="19"/>
          <w:color w:val="000000"/>
        </w:rPr>
        <w:t xml:space="preserve">Such costs include processing and accounting charges and </w:t>
      </w:r>
      <w:r>
        <w:rPr>
          <w:rFonts w:ascii="Arial" w:cs="Arial" w:eastAsia="Arial" w:hAnsi="Arial"/>
          <w:sz w:val="19"/>
          <w:szCs w:val="19"/>
          <w:color w:val="0A0A0A"/>
        </w:rPr>
        <w:t>la</w:t>
      </w:r>
      <w:r>
        <w:rPr>
          <w:rFonts w:ascii="Arial" w:cs="Arial" w:eastAsia="Arial" w:hAnsi="Arial"/>
          <w:sz w:val="19"/>
          <w:szCs w:val="19"/>
          <w:color w:val="333333"/>
        </w:rPr>
        <w:t>te</w:t>
      </w:r>
      <w:r>
        <w:rPr>
          <w:rFonts w:ascii="Arial" w:cs="Arial" w:eastAsia="Arial" w:hAnsi="Arial"/>
          <w:sz w:val="19"/>
          <w:szCs w:val="19"/>
          <w:color w:val="000000"/>
        </w:rPr>
        <w:t xml:space="preserve"> charges </w:t>
      </w:r>
      <w:r>
        <w:rPr>
          <w:rFonts w:ascii="Arial" w:cs="Arial" w:eastAsia="Arial" w:hAnsi="Arial"/>
          <w:sz w:val="19"/>
          <w:szCs w:val="19"/>
          <w:color w:val="333333"/>
        </w:rPr>
        <w:t>that</w:t>
      </w:r>
      <w:r>
        <w:rPr>
          <w:rFonts w:ascii="Arial" w:cs="Arial" w:eastAsia="Arial" w:hAnsi="Arial"/>
          <w:sz w:val="19"/>
          <w:szCs w:val="19"/>
          <w:color w:val="000000"/>
        </w:rPr>
        <w:t xml:space="preserve"> may be imposed on Landlord by </w:t>
      </w:r>
      <w:r>
        <w:rPr>
          <w:rFonts w:ascii="Arial" w:cs="Arial" w:eastAsia="Arial" w:hAnsi="Arial"/>
          <w:sz w:val="19"/>
          <w:szCs w:val="19"/>
          <w:color w:val="333333"/>
        </w:rPr>
        <w:t>the</w:t>
      </w:r>
      <w:r>
        <w:rPr>
          <w:rFonts w:ascii="Arial" w:cs="Arial" w:eastAsia="Arial" w:hAnsi="Arial"/>
          <w:sz w:val="19"/>
          <w:szCs w:val="19"/>
          <w:color w:val="000000"/>
        </w:rPr>
        <w:t xml:space="preserve"> terms of any </w:t>
      </w:r>
      <w:r>
        <w:rPr>
          <w:rFonts w:ascii="Arial" w:cs="Arial" w:eastAsia="Arial" w:hAnsi="Arial"/>
          <w:sz w:val="19"/>
          <w:szCs w:val="19"/>
          <w:color w:val="0A0A0A"/>
        </w:rPr>
        <w:t>mortgage</w:t>
      </w:r>
      <w:r>
        <w:rPr>
          <w:rFonts w:ascii="Arial" w:cs="Arial" w:eastAsia="Arial" w:hAnsi="Arial"/>
          <w:sz w:val="19"/>
          <w:szCs w:val="19"/>
          <w:color w:val="000000"/>
        </w:rPr>
        <w:t xml:space="preserve"> or trust deed covering </w:t>
      </w:r>
      <w:r>
        <w:rPr>
          <w:rFonts w:ascii="Arial" w:cs="Arial" w:eastAsia="Arial" w:hAnsi="Arial"/>
          <w:sz w:val="19"/>
          <w:szCs w:val="19"/>
          <w:color w:val="0A0A0A"/>
        </w:rPr>
        <w:t>the</w:t>
      </w:r>
      <w:r>
        <w:rPr>
          <w:rFonts w:ascii="Arial" w:cs="Arial" w:eastAsia="Arial" w:hAnsi="Arial"/>
          <w:sz w:val="19"/>
          <w:szCs w:val="19"/>
          <w:color w:val="000000"/>
        </w:rPr>
        <w:t xml:space="preserve"> Premises. </w:t>
      </w:r>
      <w:r>
        <w:rPr>
          <w:rFonts w:ascii="Arial" w:cs="Arial" w:eastAsia="Arial" w:hAnsi="Arial"/>
          <w:sz w:val="19"/>
          <w:szCs w:val="19"/>
          <w:color w:val="333333"/>
        </w:rPr>
        <w:t>T</w:t>
      </w:r>
      <w:r>
        <w:rPr>
          <w:rFonts w:ascii="Arial" w:cs="Arial" w:eastAsia="Arial" w:hAnsi="Arial"/>
          <w:sz w:val="19"/>
          <w:szCs w:val="19"/>
          <w:color w:val="0A0A0A"/>
        </w:rPr>
        <w:t>herefore</w:t>
      </w:r>
      <w:r>
        <w:rPr>
          <w:rFonts w:ascii="Arial" w:cs="Arial" w:eastAsia="Arial" w:hAnsi="Arial"/>
          <w:sz w:val="19"/>
          <w:szCs w:val="19"/>
          <w:color w:val="333333"/>
        </w:rPr>
        <w:t>,</w:t>
      </w:r>
      <w:r>
        <w:rPr>
          <w:rFonts w:ascii="Arial" w:cs="Arial" w:eastAsia="Arial" w:hAnsi="Arial"/>
          <w:sz w:val="19"/>
          <w:szCs w:val="19"/>
          <w:color w:val="000000"/>
        </w:rPr>
        <w:t xml:space="preserve"> i</w:t>
      </w:r>
      <w:r>
        <w:rPr>
          <w:rFonts w:ascii="Arial" w:cs="Arial" w:eastAsia="Arial" w:hAnsi="Arial"/>
          <w:sz w:val="19"/>
          <w:szCs w:val="19"/>
          <w:color w:val="464646"/>
        </w:rPr>
        <w:t>f</w:t>
      </w:r>
      <w:r>
        <w:rPr>
          <w:rFonts w:ascii="Arial" w:cs="Arial" w:eastAsia="Arial" w:hAnsi="Arial"/>
          <w:sz w:val="19"/>
          <w:szCs w:val="19"/>
          <w:color w:val="000000"/>
        </w:rPr>
        <w:t xml:space="preserve"> any installment of Rent </w:t>
      </w:r>
      <w:r>
        <w:rPr>
          <w:rFonts w:ascii="Arial" w:cs="Arial" w:eastAsia="Arial" w:hAnsi="Arial"/>
          <w:sz w:val="19"/>
          <w:szCs w:val="19"/>
          <w:color w:val="0A0A0A"/>
        </w:rPr>
        <w:t>due</w:t>
      </w:r>
      <w:r>
        <w:rPr>
          <w:rFonts w:ascii="Arial" w:cs="Arial" w:eastAsia="Arial" w:hAnsi="Arial"/>
          <w:sz w:val="19"/>
          <w:szCs w:val="19"/>
          <w:color w:val="000000"/>
        </w:rPr>
        <w:t xml:space="preserve"> </w:t>
      </w:r>
      <w:r>
        <w:rPr>
          <w:rFonts w:ascii="Arial" w:cs="Arial" w:eastAsia="Arial" w:hAnsi="Arial"/>
          <w:sz w:val="19"/>
          <w:szCs w:val="19"/>
          <w:color w:val="333333"/>
        </w:rPr>
        <w:t>from</w:t>
      </w:r>
      <w:r>
        <w:rPr>
          <w:rFonts w:ascii="Arial" w:cs="Arial" w:eastAsia="Arial" w:hAnsi="Arial"/>
          <w:sz w:val="19"/>
          <w:szCs w:val="19"/>
          <w:color w:val="000000"/>
        </w:rPr>
        <w:t xml:space="preserve"> Tenant is </w:t>
      </w:r>
      <w:r>
        <w:rPr>
          <w:rFonts w:ascii="Arial" w:cs="Arial" w:eastAsia="Arial" w:hAnsi="Arial"/>
          <w:sz w:val="19"/>
          <w:szCs w:val="19"/>
          <w:color w:val="0A0A0A"/>
        </w:rPr>
        <w:t>not</w:t>
      </w:r>
      <w:r>
        <w:rPr>
          <w:rFonts w:ascii="Arial" w:cs="Arial" w:eastAsia="Arial" w:hAnsi="Arial"/>
          <w:sz w:val="19"/>
          <w:szCs w:val="19"/>
          <w:color w:val="000000"/>
        </w:rPr>
        <w:t xml:space="preserve"> received by Landlord 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w:t>
      </w:r>
      <w:r>
        <w:rPr>
          <w:rFonts w:ascii="Arial" w:cs="Arial" w:eastAsia="Arial" w:hAnsi="Arial"/>
          <w:sz w:val="19"/>
          <w:szCs w:val="19"/>
          <w:color w:val="333333"/>
        </w:rPr>
        <w:t>after</w:t>
      </w:r>
      <w:r>
        <w:rPr>
          <w:rFonts w:ascii="Arial" w:cs="Arial" w:eastAsia="Arial" w:hAnsi="Arial"/>
          <w:sz w:val="19"/>
          <w:szCs w:val="19"/>
          <w:color w:val="000000"/>
        </w:rPr>
        <w:t xml:space="preserve"> the date </w:t>
      </w:r>
      <w:r>
        <w:rPr>
          <w:rFonts w:ascii="Arial" w:cs="Arial" w:eastAsia="Arial" w:hAnsi="Arial"/>
          <w:sz w:val="19"/>
          <w:szCs w:val="19"/>
          <w:color w:val="333333"/>
        </w:rPr>
        <w:t>such</w:t>
      </w:r>
      <w:r>
        <w:rPr>
          <w:rFonts w:ascii="Arial" w:cs="Arial" w:eastAsia="Arial" w:hAnsi="Arial"/>
          <w:sz w:val="19"/>
          <w:szCs w:val="19"/>
          <w:color w:val="000000"/>
        </w:rPr>
        <w:t xml:space="preserve"> payment is due, Tenant </w:t>
      </w:r>
      <w:r>
        <w:rPr>
          <w:rFonts w:ascii="Arial" w:cs="Arial" w:eastAsia="Arial" w:hAnsi="Arial"/>
          <w:sz w:val="19"/>
          <w:szCs w:val="19"/>
          <w:color w:val="333333"/>
        </w:rPr>
        <w:t>s</w:t>
      </w:r>
      <w:r>
        <w:rPr>
          <w:rFonts w:ascii="Arial" w:cs="Arial" w:eastAsia="Arial" w:hAnsi="Arial"/>
          <w:sz w:val="19"/>
          <w:szCs w:val="19"/>
          <w:color w:val="0A0A0A"/>
        </w:rPr>
        <w:t>hall</w:t>
      </w:r>
      <w:r>
        <w:rPr>
          <w:rFonts w:ascii="Arial" w:cs="Arial" w:eastAsia="Arial" w:hAnsi="Arial"/>
          <w:sz w:val="19"/>
          <w:szCs w:val="19"/>
          <w:color w:val="000000"/>
        </w:rPr>
        <w:t xml:space="preserve"> pay </w:t>
      </w:r>
      <w:r>
        <w:rPr>
          <w:rFonts w:ascii="Arial" w:cs="Arial" w:eastAsia="Arial" w:hAnsi="Arial"/>
          <w:sz w:val="19"/>
          <w:szCs w:val="19"/>
          <w:color w:val="0A0A0A"/>
        </w:rPr>
        <w:t>to</w:t>
      </w:r>
      <w:r>
        <w:rPr>
          <w:rFonts w:ascii="Arial" w:cs="Arial" w:eastAsia="Arial" w:hAnsi="Arial"/>
          <w:sz w:val="19"/>
          <w:szCs w:val="19"/>
          <w:color w:val="000000"/>
        </w:rPr>
        <w:t xml:space="preserve"> </w:t>
      </w:r>
      <w:r>
        <w:rPr>
          <w:rFonts w:ascii="Arial" w:cs="Arial" w:eastAsia="Arial" w:hAnsi="Arial"/>
          <w:sz w:val="19"/>
          <w:szCs w:val="19"/>
          <w:color w:val="333333"/>
        </w:rPr>
        <w:t>Land</w:t>
      </w:r>
      <w:r>
        <w:rPr>
          <w:rFonts w:ascii="Arial" w:cs="Arial" w:eastAsia="Arial" w:hAnsi="Arial"/>
          <w:sz w:val="19"/>
          <w:szCs w:val="19"/>
          <w:color w:val="0A0A0A"/>
        </w:rPr>
        <w:t>lord</w:t>
      </w:r>
      <w:r>
        <w:rPr>
          <w:rFonts w:ascii="Arial" w:cs="Arial" w:eastAsia="Arial" w:hAnsi="Arial"/>
          <w:sz w:val="19"/>
          <w:szCs w:val="19"/>
          <w:color w:val="000000"/>
        </w:rPr>
        <w:t xml:space="preserve"> (a) an </w:t>
      </w:r>
      <w:r>
        <w:rPr>
          <w:rFonts w:ascii="Arial" w:cs="Arial" w:eastAsia="Arial" w:hAnsi="Arial"/>
          <w:sz w:val="19"/>
          <w:szCs w:val="19"/>
          <w:color w:val="333333"/>
        </w:rPr>
        <w:t>additional sum</w:t>
      </w:r>
      <w:r>
        <w:rPr>
          <w:rFonts w:ascii="Arial" w:cs="Arial" w:eastAsia="Arial" w:hAnsi="Arial"/>
          <w:sz w:val="19"/>
          <w:szCs w:val="19"/>
          <w:color w:val="000000"/>
        </w:rPr>
        <w:t xml:space="preserve"> of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0A0A0A"/>
        </w:rPr>
        <w:t>percen</w:t>
      </w:r>
      <w:r>
        <w:rPr>
          <w:rFonts w:ascii="Arial" w:cs="Arial" w:eastAsia="Arial" w:hAnsi="Arial"/>
          <w:sz w:val="19"/>
          <w:szCs w:val="19"/>
          <w:color w:val="464646"/>
        </w:rPr>
        <w:t>t</w:t>
      </w:r>
      <w:r>
        <w:rPr>
          <w:rFonts w:ascii="Arial" w:cs="Arial" w:eastAsia="Arial" w:hAnsi="Arial"/>
          <w:sz w:val="19"/>
          <w:szCs w:val="19"/>
          <w:color w:val="000000"/>
        </w:rPr>
        <w:t xml:space="preserve"> </w:t>
      </w:r>
      <w:r>
        <w:rPr>
          <w:rFonts w:ascii="Arial" w:cs="Arial" w:eastAsia="Arial" w:hAnsi="Arial"/>
          <w:sz w:val="19"/>
          <w:szCs w:val="19"/>
          <w:color w:val="0A0A0A"/>
        </w:rPr>
        <w:t>(</w:t>
      </w:r>
      <w:r>
        <w:rPr>
          <w:rFonts w:ascii="Arial" w:cs="Arial" w:eastAsia="Arial" w:hAnsi="Arial"/>
          <w:sz w:val="19"/>
          <w:szCs w:val="19"/>
          <w:u w:val="single" w:color="auto"/>
          <w:color w:val="000000"/>
        </w:rPr>
        <w:t>[***]</w:t>
      </w:r>
      <w:r>
        <w:rPr>
          <w:rFonts w:ascii="Arial" w:cs="Arial" w:eastAsia="Arial" w:hAnsi="Arial"/>
          <w:sz w:val="19"/>
          <w:szCs w:val="19"/>
          <w:color w:val="333333"/>
        </w:rPr>
        <w:t>%)</w:t>
      </w:r>
      <w:r>
        <w:rPr>
          <w:rFonts w:ascii="Arial" w:cs="Arial" w:eastAsia="Arial" w:hAnsi="Arial"/>
          <w:sz w:val="19"/>
          <w:szCs w:val="19"/>
          <w:color w:val="000000"/>
        </w:rPr>
        <w:t xml:space="preserve"> of the overdue Rent </w:t>
      </w:r>
      <w:r>
        <w:rPr>
          <w:rFonts w:ascii="Arial" w:cs="Arial" w:eastAsia="Arial" w:hAnsi="Arial"/>
          <w:sz w:val="19"/>
          <w:szCs w:val="19"/>
          <w:color w:val="333333"/>
        </w:rPr>
        <w:t>as</w:t>
      </w:r>
      <w:r>
        <w:rPr>
          <w:rFonts w:ascii="Arial" w:cs="Arial" w:eastAsia="Arial" w:hAnsi="Arial"/>
          <w:sz w:val="19"/>
          <w:szCs w:val="19"/>
          <w:color w:val="000000"/>
        </w:rPr>
        <w:t xml:space="preserve"> a </w:t>
      </w:r>
      <w:r>
        <w:rPr>
          <w:rFonts w:ascii="Arial" w:cs="Arial" w:eastAsia="Arial" w:hAnsi="Arial"/>
          <w:sz w:val="19"/>
          <w:szCs w:val="19"/>
          <w:color w:val="0A0A0A"/>
        </w:rPr>
        <w:t>late</w:t>
      </w:r>
      <w:r>
        <w:rPr>
          <w:rFonts w:ascii="Arial" w:cs="Arial" w:eastAsia="Arial" w:hAnsi="Arial"/>
          <w:sz w:val="19"/>
          <w:szCs w:val="19"/>
          <w:color w:val="000000"/>
        </w:rPr>
        <w:t xml:space="preserve"> charge plus (b) interest </w:t>
      </w:r>
      <w:r>
        <w:rPr>
          <w:rFonts w:ascii="Arial" w:cs="Arial" w:eastAsia="Arial" w:hAnsi="Arial"/>
          <w:sz w:val="19"/>
          <w:szCs w:val="19"/>
          <w:color w:val="333333"/>
        </w:rPr>
        <w:t>at</w:t>
      </w:r>
      <w:r>
        <w:rPr>
          <w:rFonts w:ascii="Arial" w:cs="Arial" w:eastAsia="Arial" w:hAnsi="Arial"/>
          <w:sz w:val="19"/>
          <w:szCs w:val="19"/>
          <w:color w:val="000000"/>
        </w:rPr>
        <w:t xml:space="preserve"> an </w:t>
      </w:r>
      <w:r>
        <w:rPr>
          <w:rFonts w:ascii="Arial" w:cs="Arial" w:eastAsia="Arial" w:hAnsi="Arial"/>
          <w:sz w:val="19"/>
          <w:szCs w:val="19"/>
          <w:color w:val="333333"/>
        </w:rPr>
        <w:t>ann</w:t>
      </w:r>
      <w:r>
        <w:rPr>
          <w:rFonts w:ascii="Arial" w:cs="Arial" w:eastAsia="Arial" w:hAnsi="Arial"/>
          <w:sz w:val="19"/>
          <w:szCs w:val="19"/>
          <w:color w:val="0A0A0A"/>
        </w:rPr>
        <w:t>ua</w:t>
      </w:r>
      <w:r>
        <w:rPr>
          <w:rFonts w:ascii="Arial" w:cs="Arial" w:eastAsia="Arial" w:hAnsi="Arial"/>
          <w:sz w:val="19"/>
          <w:szCs w:val="19"/>
          <w:color w:val="333333"/>
        </w:rPr>
        <w:t>l</w:t>
      </w:r>
      <w:r>
        <w:rPr>
          <w:rFonts w:ascii="Arial" w:cs="Arial" w:eastAsia="Arial" w:hAnsi="Arial"/>
          <w:sz w:val="19"/>
          <w:szCs w:val="19"/>
          <w:color w:val="000000"/>
        </w:rPr>
        <w:t xml:space="preserve"> rate </w:t>
      </w:r>
      <w:r>
        <w:rPr>
          <w:rFonts w:ascii="Arial" w:cs="Arial" w:eastAsia="Arial" w:hAnsi="Arial"/>
          <w:sz w:val="19"/>
          <w:szCs w:val="19"/>
          <w:color w:val="0A0A0A"/>
        </w:rPr>
        <w:t>(</w:t>
      </w:r>
      <w:r>
        <w:rPr>
          <w:rFonts w:ascii="Arial" w:cs="Arial" w:eastAsia="Arial" w:hAnsi="Arial"/>
          <w:sz w:val="19"/>
          <w:szCs w:val="19"/>
          <w:color w:val="333333"/>
        </w:rPr>
        <w:t>the</w:t>
      </w:r>
      <w:r>
        <w:rPr>
          <w:rFonts w:ascii="Arial" w:cs="Arial" w:eastAsia="Arial" w:hAnsi="Arial"/>
          <w:sz w:val="19"/>
          <w:szCs w:val="19"/>
          <w:color w:val="0A0A0A"/>
        </w:rPr>
        <w:t xml:space="preserve"> </w:t>
      </w:r>
      <w:r>
        <w:rPr>
          <w:rFonts w:ascii="Arial" w:cs="Arial" w:eastAsia="Arial" w:hAnsi="Arial"/>
          <w:sz w:val="19"/>
          <w:szCs w:val="19"/>
          <w:color w:val="000000"/>
        </w:rPr>
        <w:t>“</w:t>
      </w:r>
      <w:r>
        <w:rPr>
          <w:rFonts w:ascii="Arial" w:cs="Arial" w:eastAsia="Arial" w:hAnsi="Arial"/>
          <w:sz w:val="19"/>
          <w:szCs w:val="19"/>
          <w:u w:val="single" w:color="auto"/>
          <w:color w:val="000000"/>
        </w:rPr>
        <w:t>Default Rate</w:t>
      </w:r>
      <w:r>
        <w:rPr>
          <w:rFonts w:ascii="Arial" w:cs="Arial" w:eastAsia="Arial" w:hAnsi="Arial"/>
          <w:sz w:val="19"/>
          <w:szCs w:val="19"/>
          <w:color w:val="000000"/>
        </w:rPr>
        <w:t>”) equal</w:t>
      </w:r>
      <w:r>
        <w:rPr>
          <w:rFonts w:ascii="Arial" w:cs="Arial" w:eastAsia="Arial" w:hAnsi="Arial"/>
          <w:sz w:val="19"/>
          <w:szCs w:val="19"/>
          <w:color w:val="0A0A0A"/>
        </w:rPr>
        <w:t xml:space="preserve"> to </w:t>
      </w:r>
      <w:r>
        <w:rPr>
          <w:rFonts w:ascii="Arial" w:cs="Arial" w:eastAsia="Arial" w:hAnsi="Arial"/>
          <w:sz w:val="19"/>
          <w:szCs w:val="19"/>
          <w:color w:val="000000"/>
        </w:rPr>
        <w:t>the</w:t>
      </w:r>
      <w:r>
        <w:rPr>
          <w:rFonts w:ascii="Arial" w:cs="Arial" w:eastAsia="Arial" w:hAnsi="Arial"/>
          <w:sz w:val="19"/>
          <w:szCs w:val="19"/>
          <w:color w:val="0A0A0A"/>
        </w:rPr>
        <w:t xml:space="preserve"> le</w:t>
      </w:r>
      <w:r>
        <w:rPr>
          <w:rFonts w:ascii="Arial" w:cs="Arial" w:eastAsia="Arial" w:hAnsi="Arial"/>
          <w:sz w:val="19"/>
          <w:szCs w:val="19"/>
          <w:color w:val="333333"/>
        </w:rPr>
        <w:t>sser</w:t>
      </w:r>
      <w:r>
        <w:rPr>
          <w:rFonts w:ascii="Arial" w:cs="Arial" w:eastAsia="Arial" w:hAnsi="Arial"/>
          <w:sz w:val="19"/>
          <w:szCs w:val="19"/>
          <w:color w:val="0A0A0A"/>
        </w:rPr>
        <w:t xml:space="preserve"> </w:t>
      </w:r>
      <w:r>
        <w:rPr>
          <w:rFonts w:ascii="Arial" w:cs="Arial" w:eastAsia="Arial" w:hAnsi="Arial"/>
          <w:sz w:val="19"/>
          <w:szCs w:val="19"/>
          <w:color w:val="000000"/>
        </w:rPr>
        <w:t>of (a)</w:t>
      </w:r>
      <w:r>
        <w:rPr>
          <w:rFonts w:ascii="Arial" w:cs="Arial" w:eastAsia="Arial" w:hAnsi="Arial"/>
          <w:sz w:val="19"/>
          <w:szCs w:val="19"/>
          <w:color w:val="0A0A0A"/>
        </w:rPr>
        <w:t xml:space="preserve"> </w:t>
      </w:r>
      <w:r>
        <w:rPr>
          <w:rFonts w:ascii="Arial" w:cs="Arial" w:eastAsia="Arial" w:hAnsi="Arial"/>
          <w:sz w:val="19"/>
          <w:szCs w:val="19"/>
          <w:u w:val="single" w:color="auto"/>
          <w:color w:val="000000"/>
        </w:rPr>
        <w:t>[***]</w:t>
      </w:r>
      <w:r>
        <w:rPr>
          <w:rFonts w:ascii="Arial" w:cs="Arial" w:eastAsia="Arial" w:hAnsi="Arial"/>
          <w:sz w:val="19"/>
          <w:szCs w:val="19"/>
          <w:color w:val="000000"/>
        </w:rPr>
        <w:t>percent (</w:t>
      </w:r>
      <w:r>
        <w:rPr>
          <w:rFonts w:ascii="Arial" w:cs="Arial" w:eastAsia="Arial" w:hAnsi="Arial"/>
          <w:sz w:val="19"/>
          <w:szCs w:val="19"/>
          <w:u w:val="single" w:color="auto"/>
          <w:color w:val="000000"/>
        </w:rPr>
        <w:t>[***]</w:t>
      </w:r>
      <w:r>
        <w:rPr>
          <w:rFonts w:ascii="Arial" w:cs="Arial" w:eastAsia="Arial" w:hAnsi="Arial"/>
          <w:sz w:val="19"/>
          <w:szCs w:val="19"/>
          <w:color w:val="000000"/>
        </w:rPr>
        <w:t>%)</w:t>
      </w:r>
      <w:r>
        <w:rPr>
          <w:rFonts w:ascii="Arial" w:cs="Arial" w:eastAsia="Arial" w:hAnsi="Arial"/>
          <w:sz w:val="19"/>
          <w:szCs w:val="19"/>
          <w:color w:val="464646"/>
        </w:rPr>
        <w:t>,</w:t>
      </w:r>
      <w:r>
        <w:rPr>
          <w:rFonts w:ascii="Arial" w:cs="Arial" w:eastAsia="Arial" w:hAnsi="Arial"/>
          <w:sz w:val="19"/>
          <w:szCs w:val="19"/>
          <w:color w:val="0A0A0A"/>
        </w:rPr>
        <w:t xml:space="preserve"> </w:t>
      </w:r>
      <w:r>
        <w:rPr>
          <w:rFonts w:ascii="Arial" w:cs="Arial" w:eastAsia="Arial" w:hAnsi="Arial"/>
          <w:sz w:val="19"/>
          <w:szCs w:val="19"/>
          <w:color w:val="000000"/>
        </w:rPr>
        <w:t>and (b) the highest</w:t>
      </w:r>
      <w:r>
        <w:rPr>
          <w:rFonts w:ascii="Arial" w:cs="Arial" w:eastAsia="Arial" w:hAnsi="Arial"/>
          <w:sz w:val="19"/>
          <w:szCs w:val="19"/>
          <w:color w:val="0A0A0A"/>
        </w:rPr>
        <w:t xml:space="preserve"> rate </w:t>
      </w:r>
      <w:r>
        <w:rPr>
          <w:rFonts w:ascii="Arial" w:cs="Arial" w:eastAsia="Arial" w:hAnsi="Arial"/>
          <w:sz w:val="19"/>
          <w:szCs w:val="19"/>
          <w:color w:val="000000"/>
        </w:rPr>
        <w:t>permitted by</w:t>
      </w:r>
      <w:r>
        <w:rPr>
          <w:rFonts w:ascii="Arial" w:cs="Arial" w:eastAsia="Arial" w:hAnsi="Arial"/>
          <w:sz w:val="19"/>
          <w:szCs w:val="19"/>
          <w:color w:val="0A0A0A"/>
        </w:rPr>
        <w:t xml:space="preserve"> </w:t>
      </w:r>
      <w:r>
        <w:rPr>
          <w:rFonts w:ascii="Arial" w:cs="Arial" w:eastAsia="Arial" w:hAnsi="Arial"/>
          <w:sz w:val="19"/>
          <w:szCs w:val="19"/>
          <w:color w:val="000000"/>
        </w:rPr>
        <w:t xml:space="preserve">Applicable Laws. Tenant </w:t>
      </w:r>
      <w:r>
        <w:rPr>
          <w:rFonts w:ascii="Arial" w:cs="Arial" w:eastAsia="Arial" w:hAnsi="Arial"/>
          <w:sz w:val="19"/>
          <w:szCs w:val="19"/>
          <w:color w:val="333333"/>
        </w:rPr>
        <w:t>sha</w:t>
      </w:r>
      <w:r>
        <w:rPr>
          <w:rFonts w:ascii="Arial" w:cs="Arial" w:eastAsia="Arial" w:hAnsi="Arial"/>
          <w:sz w:val="19"/>
          <w:szCs w:val="19"/>
          <w:color w:val="0A0A0A"/>
        </w:rPr>
        <w:t>ll r</w:t>
      </w:r>
      <w:r>
        <w:rPr>
          <w:rFonts w:ascii="Arial" w:cs="Arial" w:eastAsia="Arial" w:hAnsi="Arial"/>
          <w:sz w:val="19"/>
          <w:szCs w:val="19"/>
          <w:color w:val="333333"/>
        </w:rPr>
        <w:t>eceive</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0A0A0A"/>
        </w:rPr>
        <w:t>notice</w:t>
      </w:r>
      <w:r>
        <w:rPr>
          <w:rFonts w:ascii="Arial" w:cs="Arial" w:eastAsia="Arial" w:hAnsi="Arial"/>
          <w:sz w:val="19"/>
          <w:szCs w:val="19"/>
          <w:color w:val="000000"/>
        </w:rPr>
        <w:t xml:space="preserve"> of any </w:t>
      </w:r>
      <w:r>
        <w:rPr>
          <w:rFonts w:ascii="Arial" w:cs="Arial" w:eastAsia="Arial" w:hAnsi="Arial"/>
          <w:sz w:val="19"/>
          <w:szCs w:val="19"/>
          <w:color w:val="0A0A0A"/>
        </w:rPr>
        <w:t>l</w:t>
      </w:r>
      <w:r>
        <w:rPr>
          <w:rFonts w:ascii="Arial" w:cs="Arial" w:eastAsia="Arial" w:hAnsi="Arial"/>
          <w:sz w:val="19"/>
          <w:szCs w:val="19"/>
          <w:color w:val="333333"/>
        </w:rPr>
        <w:t>ate</w:t>
      </w:r>
      <w:r>
        <w:rPr>
          <w:rFonts w:ascii="Arial" w:cs="Arial" w:eastAsia="Arial" w:hAnsi="Arial"/>
          <w:sz w:val="19"/>
          <w:szCs w:val="19"/>
          <w:color w:val="000000"/>
        </w:rPr>
        <w:t xml:space="preserve"> Rent </w:t>
      </w:r>
      <w:r>
        <w:rPr>
          <w:rFonts w:ascii="Arial" w:cs="Arial" w:eastAsia="Arial" w:hAnsi="Arial"/>
          <w:sz w:val="19"/>
          <w:szCs w:val="19"/>
          <w:color w:val="0A0A0A"/>
        </w:rPr>
        <w:t>in</w:t>
      </w:r>
      <w:r>
        <w:rPr>
          <w:rFonts w:ascii="Arial" w:cs="Arial" w:eastAsia="Arial" w:hAnsi="Arial"/>
          <w:sz w:val="19"/>
          <w:szCs w:val="19"/>
          <w:color w:val="000000"/>
        </w:rPr>
        <w:t xml:space="preserve"> every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month period </w:t>
      </w:r>
      <w:r>
        <w:rPr>
          <w:rFonts w:ascii="Arial" w:cs="Arial" w:eastAsia="Arial" w:hAnsi="Arial"/>
          <w:sz w:val="19"/>
          <w:szCs w:val="19"/>
          <w:color w:val="0A0A0A"/>
        </w:rPr>
        <w:t>prior</w:t>
      </w:r>
      <w:r>
        <w:rPr>
          <w:rFonts w:ascii="Arial" w:cs="Arial" w:eastAsia="Arial" w:hAnsi="Arial"/>
          <w:sz w:val="19"/>
          <w:szCs w:val="19"/>
          <w:color w:val="000000"/>
        </w:rPr>
        <w:t xml:space="preserve"> to </w:t>
      </w:r>
      <w:r>
        <w:rPr>
          <w:rFonts w:ascii="Arial" w:cs="Arial" w:eastAsia="Arial" w:hAnsi="Arial"/>
          <w:sz w:val="19"/>
          <w:szCs w:val="19"/>
          <w:color w:val="464646"/>
        </w:rPr>
        <w:t>t</w:t>
      </w:r>
      <w:r>
        <w:rPr>
          <w:rFonts w:ascii="Arial" w:cs="Arial" w:eastAsia="Arial" w:hAnsi="Arial"/>
          <w:sz w:val="19"/>
          <w:szCs w:val="19"/>
          <w:color w:val="000000"/>
        </w:rPr>
        <w:t>he foregoing applies</w:t>
      </w:r>
      <w:r>
        <w:rPr>
          <w:rFonts w:ascii="Arial" w:cs="Arial" w:eastAsia="Arial" w:hAnsi="Arial"/>
          <w:sz w:val="19"/>
          <w:szCs w:val="19"/>
          <w:color w:val="464646"/>
        </w:rPr>
        <w:t>. T</w:t>
      </w:r>
      <w:r>
        <w:rPr>
          <w:rFonts w:ascii="Arial" w:cs="Arial" w:eastAsia="Arial" w:hAnsi="Arial"/>
          <w:sz w:val="19"/>
          <w:szCs w:val="19"/>
          <w:color w:val="000000"/>
        </w:rPr>
        <w:t xml:space="preserve">he parties agree that this late charge represents a </w:t>
      </w:r>
      <w:r>
        <w:rPr>
          <w:rFonts w:ascii="Arial" w:cs="Arial" w:eastAsia="Arial" w:hAnsi="Arial"/>
          <w:sz w:val="19"/>
          <w:szCs w:val="19"/>
          <w:color w:val="333333"/>
        </w:rPr>
        <w:t>fair</w:t>
      </w:r>
      <w:r>
        <w:rPr>
          <w:rFonts w:ascii="Arial" w:cs="Arial" w:eastAsia="Arial" w:hAnsi="Arial"/>
          <w:sz w:val="19"/>
          <w:szCs w:val="19"/>
          <w:color w:val="000000"/>
        </w:rPr>
        <w:t xml:space="preserve"> and </w:t>
      </w:r>
      <w:r>
        <w:rPr>
          <w:rFonts w:ascii="Arial" w:cs="Arial" w:eastAsia="Arial" w:hAnsi="Arial"/>
          <w:sz w:val="19"/>
          <w:szCs w:val="19"/>
          <w:color w:val="0A0A0A"/>
        </w:rPr>
        <w:t>re</w:t>
      </w:r>
      <w:r>
        <w:rPr>
          <w:rFonts w:ascii="Arial" w:cs="Arial" w:eastAsia="Arial" w:hAnsi="Arial"/>
          <w:sz w:val="19"/>
          <w:szCs w:val="19"/>
          <w:color w:val="333333"/>
        </w:rPr>
        <w:t>asonable</w:t>
      </w:r>
      <w:r>
        <w:rPr>
          <w:rFonts w:ascii="Arial" w:cs="Arial" w:eastAsia="Arial" w:hAnsi="Arial"/>
          <w:sz w:val="19"/>
          <w:szCs w:val="19"/>
          <w:color w:val="000000"/>
        </w:rPr>
        <w:t xml:space="preserve"> estimate of </w:t>
      </w:r>
      <w:r>
        <w:rPr>
          <w:rFonts w:ascii="Arial" w:cs="Arial" w:eastAsia="Arial" w:hAnsi="Arial"/>
          <w:sz w:val="19"/>
          <w:szCs w:val="19"/>
          <w:color w:val="0A0A0A"/>
        </w:rPr>
        <w:t>the</w:t>
      </w:r>
      <w:r>
        <w:rPr>
          <w:rFonts w:ascii="Arial" w:cs="Arial" w:eastAsia="Arial" w:hAnsi="Arial"/>
          <w:sz w:val="19"/>
          <w:szCs w:val="19"/>
          <w:color w:val="000000"/>
        </w:rPr>
        <w:t xml:space="preserve"> costs that </w:t>
      </w:r>
      <w:r>
        <w:rPr>
          <w:rFonts w:ascii="Arial" w:cs="Arial" w:eastAsia="Arial" w:hAnsi="Arial"/>
          <w:sz w:val="19"/>
          <w:szCs w:val="19"/>
          <w:color w:val="333333"/>
        </w:rPr>
        <w:t>Land</w:t>
      </w:r>
      <w:r>
        <w:rPr>
          <w:rFonts w:ascii="Arial" w:cs="Arial" w:eastAsia="Arial" w:hAnsi="Arial"/>
          <w:sz w:val="19"/>
          <w:szCs w:val="19"/>
          <w:color w:val="0A0A0A"/>
        </w:rPr>
        <w:t>lo</w:t>
      </w:r>
      <w:r>
        <w:rPr>
          <w:rFonts w:ascii="Arial" w:cs="Arial" w:eastAsia="Arial" w:hAnsi="Arial"/>
          <w:sz w:val="19"/>
          <w:szCs w:val="19"/>
          <w:color w:val="333333"/>
        </w:rPr>
        <w:t xml:space="preserve">rd shall </w:t>
      </w:r>
      <w:r>
        <w:rPr>
          <w:rFonts w:ascii="Arial" w:cs="Arial" w:eastAsia="Arial" w:hAnsi="Arial"/>
          <w:sz w:val="19"/>
          <w:szCs w:val="19"/>
          <w:color w:val="000000"/>
        </w:rPr>
        <w:t>incur by reason of</w:t>
      </w:r>
      <w:r>
        <w:rPr>
          <w:rFonts w:ascii="Arial" w:cs="Arial" w:eastAsia="Arial" w:hAnsi="Arial"/>
          <w:sz w:val="19"/>
          <w:szCs w:val="19"/>
          <w:color w:val="333333"/>
        </w:rPr>
        <w:t xml:space="preserve"> </w:t>
      </w:r>
      <w:r>
        <w:rPr>
          <w:rFonts w:ascii="Arial" w:cs="Arial" w:eastAsia="Arial" w:hAnsi="Arial"/>
          <w:sz w:val="19"/>
          <w:szCs w:val="19"/>
          <w:color w:val="0A0A0A"/>
        </w:rPr>
        <w:t>late</w:t>
      </w:r>
      <w:r>
        <w:rPr>
          <w:rFonts w:ascii="Arial" w:cs="Arial" w:eastAsia="Arial" w:hAnsi="Arial"/>
          <w:sz w:val="19"/>
          <w:szCs w:val="19"/>
          <w:color w:val="333333"/>
        </w:rPr>
        <w:t xml:space="preserve"> </w:t>
      </w:r>
      <w:r>
        <w:rPr>
          <w:rFonts w:ascii="Arial" w:cs="Arial" w:eastAsia="Arial" w:hAnsi="Arial"/>
          <w:sz w:val="19"/>
          <w:szCs w:val="19"/>
          <w:color w:val="000000"/>
        </w:rPr>
        <w:t>payment</w:t>
      </w:r>
      <w:r>
        <w:rPr>
          <w:rFonts w:ascii="Arial" w:cs="Arial" w:eastAsia="Arial" w:hAnsi="Arial"/>
          <w:sz w:val="19"/>
          <w:szCs w:val="19"/>
          <w:color w:val="333333"/>
        </w:rPr>
        <w:t xml:space="preserve"> </w:t>
      </w:r>
      <w:r>
        <w:rPr>
          <w:rFonts w:ascii="Arial" w:cs="Arial" w:eastAsia="Arial" w:hAnsi="Arial"/>
          <w:sz w:val="19"/>
          <w:szCs w:val="19"/>
          <w:color w:val="0A0A0A"/>
        </w:rPr>
        <w:t>b</w:t>
      </w:r>
      <w:r>
        <w:rPr>
          <w:rFonts w:ascii="Arial" w:cs="Arial" w:eastAsia="Arial" w:hAnsi="Arial"/>
          <w:sz w:val="19"/>
          <w:szCs w:val="19"/>
          <w:color w:val="333333"/>
        </w:rPr>
        <w:t xml:space="preserve">y Tenant </w:t>
      </w:r>
      <w:r>
        <w:rPr>
          <w:rFonts w:ascii="Arial" w:cs="Arial" w:eastAsia="Arial" w:hAnsi="Arial"/>
          <w:sz w:val="19"/>
          <w:szCs w:val="19"/>
          <w:color w:val="000000"/>
        </w:rPr>
        <w:t>and</w:t>
      </w:r>
      <w:r>
        <w:rPr>
          <w:rFonts w:ascii="Arial" w:cs="Arial" w:eastAsia="Arial" w:hAnsi="Arial"/>
          <w:sz w:val="19"/>
          <w:szCs w:val="19"/>
          <w:color w:val="333333"/>
        </w:rPr>
        <w:t xml:space="preserve"> shall </w:t>
      </w:r>
      <w:r>
        <w:rPr>
          <w:rFonts w:ascii="Arial" w:cs="Arial" w:eastAsia="Arial" w:hAnsi="Arial"/>
          <w:sz w:val="19"/>
          <w:szCs w:val="19"/>
          <w:color w:val="000000"/>
        </w:rPr>
        <w:t>be payable as Additional Rent to Landlord due</w:t>
      </w:r>
      <w:r>
        <w:rPr>
          <w:rFonts w:ascii="Arial" w:cs="Arial" w:eastAsia="Arial" w:hAnsi="Arial"/>
          <w:sz w:val="19"/>
          <w:szCs w:val="19"/>
          <w:color w:val="333333"/>
        </w:rPr>
        <w:t xml:space="preserve"> </w:t>
      </w:r>
      <w:r>
        <w:rPr>
          <w:rFonts w:ascii="Arial" w:cs="Arial" w:eastAsia="Arial" w:hAnsi="Arial"/>
          <w:sz w:val="19"/>
          <w:szCs w:val="19"/>
          <w:color w:val="000000"/>
        </w:rPr>
        <w:t xml:space="preserve">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business days after Landlord’s demand. </w:t>
      </w:r>
      <w:r>
        <w:rPr>
          <w:rFonts w:ascii="Arial" w:cs="Arial" w:eastAsia="Arial" w:hAnsi="Arial"/>
          <w:sz w:val="19"/>
          <w:szCs w:val="19"/>
          <w:color w:val="333333"/>
        </w:rPr>
        <w:t>Landlo</w:t>
      </w:r>
      <w:r>
        <w:rPr>
          <w:rFonts w:ascii="Arial" w:cs="Arial" w:eastAsia="Arial" w:hAnsi="Arial"/>
          <w:sz w:val="19"/>
          <w:szCs w:val="19"/>
          <w:color w:val="0A0A0A"/>
        </w:rPr>
        <w:t>rd</w:t>
      </w:r>
      <w:r>
        <w:rPr>
          <w:rFonts w:ascii="Arial" w:cs="Arial" w:eastAsia="Arial" w:hAnsi="Arial"/>
          <w:sz w:val="19"/>
          <w:szCs w:val="19"/>
          <w:color w:val="333333"/>
        </w:rPr>
        <w:t>’s</w:t>
      </w:r>
      <w:r>
        <w:rPr>
          <w:rFonts w:ascii="Arial" w:cs="Arial" w:eastAsia="Arial" w:hAnsi="Arial"/>
          <w:sz w:val="19"/>
          <w:szCs w:val="19"/>
          <w:color w:val="000000"/>
        </w:rPr>
        <w:t xml:space="preserve"> acceptance of any Additional Rent (including a </w:t>
      </w:r>
      <w:r>
        <w:rPr>
          <w:rFonts w:ascii="Arial" w:cs="Arial" w:eastAsia="Arial" w:hAnsi="Arial"/>
          <w:sz w:val="19"/>
          <w:szCs w:val="19"/>
          <w:color w:val="0A0A0A"/>
        </w:rPr>
        <w:t>la</w:t>
      </w:r>
      <w:r>
        <w:rPr>
          <w:rFonts w:ascii="Arial" w:cs="Arial" w:eastAsia="Arial" w:hAnsi="Arial"/>
          <w:sz w:val="19"/>
          <w:szCs w:val="19"/>
          <w:color w:val="333333"/>
        </w:rPr>
        <w:t>te</w:t>
      </w:r>
      <w:r>
        <w:rPr>
          <w:rFonts w:ascii="Arial" w:cs="Arial" w:eastAsia="Arial" w:hAnsi="Arial"/>
          <w:sz w:val="19"/>
          <w:szCs w:val="19"/>
          <w:color w:val="0A0A0A"/>
        </w:rPr>
        <w:t xml:space="preserve"> </w:t>
      </w:r>
      <w:r>
        <w:rPr>
          <w:rFonts w:ascii="Arial" w:cs="Arial" w:eastAsia="Arial" w:hAnsi="Arial"/>
          <w:sz w:val="19"/>
          <w:szCs w:val="19"/>
          <w:color w:val="000000"/>
        </w:rPr>
        <w:t>charge or any other amount hereunder)</w:t>
      </w:r>
      <w:r>
        <w:rPr>
          <w:rFonts w:ascii="Arial" w:cs="Arial" w:eastAsia="Arial" w:hAnsi="Arial"/>
          <w:sz w:val="19"/>
          <w:szCs w:val="19"/>
          <w:color w:val="0A0A0A"/>
        </w:rPr>
        <w:t xml:space="preserve"> </w:t>
      </w:r>
      <w:r>
        <w:rPr>
          <w:rFonts w:ascii="Arial" w:cs="Arial" w:eastAsia="Arial" w:hAnsi="Arial"/>
          <w:sz w:val="19"/>
          <w:szCs w:val="19"/>
          <w:color w:val="333333"/>
        </w:rPr>
        <w:t>shall</w:t>
      </w:r>
      <w:r>
        <w:rPr>
          <w:rFonts w:ascii="Arial" w:cs="Arial" w:eastAsia="Arial" w:hAnsi="Arial"/>
          <w:sz w:val="19"/>
          <w:szCs w:val="19"/>
          <w:color w:val="0A0A0A"/>
        </w:rPr>
        <w:t xml:space="preserve"> </w:t>
      </w:r>
      <w:r>
        <w:rPr>
          <w:rFonts w:ascii="Arial" w:cs="Arial" w:eastAsia="Arial" w:hAnsi="Arial"/>
          <w:sz w:val="19"/>
          <w:szCs w:val="19"/>
          <w:color w:val="000000"/>
        </w:rPr>
        <w:t>not be deemed an extension of the date that Rent is due or</w:t>
      </w:r>
      <w:r>
        <w:rPr>
          <w:rFonts w:ascii="Arial" w:cs="Arial" w:eastAsia="Arial" w:hAnsi="Arial"/>
          <w:sz w:val="19"/>
          <w:szCs w:val="19"/>
          <w:color w:val="0A0A0A"/>
        </w:rPr>
        <w:t xml:space="preserve"> </w:t>
      </w:r>
      <w:r>
        <w:rPr>
          <w:rFonts w:ascii="Arial" w:cs="Arial" w:eastAsia="Arial" w:hAnsi="Arial"/>
          <w:sz w:val="19"/>
          <w:szCs w:val="19"/>
          <w:color w:val="000000"/>
        </w:rPr>
        <w:t xml:space="preserve">prevent Landlord from </w:t>
      </w:r>
      <w:r>
        <w:rPr>
          <w:rFonts w:ascii="Arial" w:cs="Arial" w:eastAsia="Arial" w:hAnsi="Arial"/>
          <w:sz w:val="19"/>
          <w:szCs w:val="19"/>
          <w:color w:val="0A0A0A"/>
        </w:rPr>
        <w:t>pur</w:t>
      </w:r>
      <w:r>
        <w:rPr>
          <w:rFonts w:ascii="Arial" w:cs="Arial" w:eastAsia="Arial" w:hAnsi="Arial"/>
          <w:sz w:val="19"/>
          <w:szCs w:val="19"/>
          <w:color w:val="333333"/>
        </w:rPr>
        <w:t>su</w:t>
      </w:r>
      <w:r>
        <w:rPr>
          <w:rFonts w:ascii="Arial" w:cs="Arial" w:eastAsia="Arial" w:hAnsi="Arial"/>
          <w:sz w:val="19"/>
          <w:szCs w:val="19"/>
          <w:color w:val="0A0A0A"/>
        </w:rPr>
        <w:t>ing</w:t>
      </w:r>
      <w:r>
        <w:rPr>
          <w:rFonts w:ascii="Arial" w:cs="Arial" w:eastAsia="Arial" w:hAnsi="Arial"/>
          <w:sz w:val="19"/>
          <w:szCs w:val="19"/>
          <w:color w:val="000000"/>
        </w:rPr>
        <w:t xml:space="preserve"> any other </w:t>
      </w:r>
      <w:r>
        <w:rPr>
          <w:rFonts w:ascii="Arial" w:cs="Arial" w:eastAsia="Arial" w:hAnsi="Arial"/>
          <w:sz w:val="19"/>
          <w:szCs w:val="19"/>
          <w:color w:val="333333"/>
        </w:rPr>
        <w:t>rights</w:t>
      </w:r>
      <w:r>
        <w:rPr>
          <w:rFonts w:ascii="Arial" w:cs="Arial" w:eastAsia="Arial" w:hAnsi="Arial"/>
          <w:sz w:val="19"/>
          <w:szCs w:val="19"/>
          <w:color w:val="000000"/>
        </w:rPr>
        <w:t xml:space="preserve"> or remedies under this </w:t>
      </w:r>
      <w:r>
        <w:rPr>
          <w:rFonts w:ascii="Arial" w:cs="Arial" w:eastAsia="Arial" w:hAnsi="Arial"/>
          <w:sz w:val="19"/>
          <w:szCs w:val="19"/>
          <w:color w:val="333333"/>
        </w:rPr>
        <w:t>Lease,</w:t>
      </w:r>
      <w:r>
        <w:rPr>
          <w:rFonts w:ascii="Arial" w:cs="Arial" w:eastAsia="Arial" w:hAnsi="Arial"/>
          <w:sz w:val="19"/>
          <w:szCs w:val="19"/>
          <w:color w:val="000000"/>
        </w:rPr>
        <w:t xml:space="preserve"> at </w:t>
      </w:r>
      <w:r>
        <w:rPr>
          <w:rFonts w:ascii="Arial" w:cs="Arial" w:eastAsia="Arial" w:hAnsi="Arial"/>
          <w:sz w:val="19"/>
          <w:szCs w:val="19"/>
          <w:color w:val="0A0A0A"/>
        </w:rPr>
        <w:t>law</w:t>
      </w:r>
      <w:r>
        <w:rPr>
          <w:rFonts w:ascii="Arial" w:cs="Arial" w:eastAsia="Arial" w:hAnsi="Arial"/>
          <w:sz w:val="19"/>
          <w:szCs w:val="19"/>
          <w:color w:val="000000"/>
        </w:rPr>
        <w:t xml:space="preserve"> or </w:t>
      </w:r>
      <w:r>
        <w:rPr>
          <w:rFonts w:ascii="Arial" w:cs="Arial" w:eastAsia="Arial" w:hAnsi="Arial"/>
          <w:sz w:val="19"/>
          <w:szCs w:val="19"/>
          <w:color w:val="0A0A0A"/>
        </w:rPr>
        <w:t>in</w:t>
      </w:r>
      <w:r>
        <w:rPr>
          <w:rFonts w:ascii="Arial" w:cs="Arial" w:eastAsia="Arial" w:hAnsi="Arial"/>
          <w:sz w:val="19"/>
          <w:szCs w:val="19"/>
          <w:color w:val="000000"/>
        </w:rPr>
        <w:t xml:space="preserve"> equity.</w:t>
      </w:r>
    </w:p>
    <w:p>
      <w:pPr>
        <w:spacing w:after="0" w:line="160" w:lineRule="exact"/>
        <w:rPr>
          <w:rFonts w:ascii="Arial" w:cs="Arial" w:eastAsia="Arial" w:hAnsi="Arial"/>
          <w:sz w:val="22"/>
          <w:szCs w:val="22"/>
          <w:color w:val="auto"/>
        </w:rPr>
      </w:pPr>
    </w:p>
    <w:p>
      <w:pPr>
        <w:ind w:left="1300" w:hanging="648"/>
        <w:spacing w:after="0" w:line="246" w:lineRule="auto"/>
        <w:rPr>
          <w:rFonts w:ascii="Arial" w:cs="Arial" w:eastAsia="Arial" w:hAnsi="Arial"/>
          <w:sz w:val="22"/>
          <w:szCs w:val="22"/>
          <w:color w:val="auto"/>
        </w:rPr>
      </w:pPr>
      <w:r>
        <w:rPr>
          <w:rFonts w:ascii="Arial" w:cs="Arial" w:eastAsia="Arial" w:hAnsi="Arial"/>
          <w:sz w:val="19"/>
          <w:szCs w:val="19"/>
          <w:color w:val="auto"/>
        </w:rPr>
        <w:t xml:space="preserve">31.2 </w:t>
      </w:r>
      <w:r>
        <w:rPr>
          <w:rFonts w:ascii="Arial" w:cs="Arial" w:eastAsia="Arial" w:hAnsi="Arial"/>
          <w:sz w:val="19"/>
          <w:szCs w:val="19"/>
          <w:color w:val="333333"/>
        </w:rPr>
        <w:t>No</w:t>
      </w:r>
      <w:r>
        <w:rPr>
          <w:rFonts w:ascii="Arial" w:cs="Arial" w:eastAsia="Arial" w:hAnsi="Arial"/>
          <w:sz w:val="19"/>
          <w:szCs w:val="19"/>
          <w:color w:val="auto"/>
        </w:rPr>
        <w:t xml:space="preserve"> payment by </w:t>
      </w:r>
      <w:r>
        <w:rPr>
          <w:rFonts w:ascii="Arial" w:cs="Arial" w:eastAsia="Arial" w:hAnsi="Arial"/>
          <w:sz w:val="19"/>
          <w:szCs w:val="19"/>
          <w:color w:val="464646"/>
        </w:rPr>
        <w:t>T</w:t>
      </w:r>
      <w:r>
        <w:rPr>
          <w:rFonts w:ascii="Arial" w:cs="Arial" w:eastAsia="Arial" w:hAnsi="Arial"/>
          <w:sz w:val="19"/>
          <w:szCs w:val="19"/>
          <w:color w:val="auto"/>
        </w:rPr>
        <w:t xml:space="preserve">enant or receipt by Landlord of </w:t>
      </w:r>
      <w:r>
        <w:rPr>
          <w:rFonts w:ascii="Arial" w:cs="Arial" w:eastAsia="Arial" w:hAnsi="Arial"/>
          <w:sz w:val="19"/>
          <w:szCs w:val="19"/>
          <w:color w:val="333333"/>
        </w:rPr>
        <w:t>a</w:t>
      </w:r>
      <w:r>
        <w:rPr>
          <w:rFonts w:ascii="Arial" w:cs="Arial" w:eastAsia="Arial" w:hAnsi="Arial"/>
          <w:sz w:val="19"/>
          <w:szCs w:val="19"/>
          <w:color w:val="auto"/>
        </w:rPr>
        <w:t xml:space="preserve"> </w:t>
      </w:r>
      <w:r>
        <w:rPr>
          <w:rFonts w:ascii="Arial" w:cs="Arial" w:eastAsia="Arial" w:hAnsi="Arial"/>
          <w:sz w:val="19"/>
          <w:szCs w:val="19"/>
          <w:color w:val="0A0A0A"/>
        </w:rPr>
        <w:t>le</w:t>
      </w:r>
      <w:r>
        <w:rPr>
          <w:rFonts w:ascii="Arial" w:cs="Arial" w:eastAsia="Arial" w:hAnsi="Arial"/>
          <w:sz w:val="19"/>
          <w:szCs w:val="19"/>
          <w:color w:val="333333"/>
        </w:rPr>
        <w:t>sser</w:t>
      </w:r>
      <w:r>
        <w:rPr>
          <w:rFonts w:ascii="Arial" w:cs="Arial" w:eastAsia="Arial" w:hAnsi="Arial"/>
          <w:sz w:val="19"/>
          <w:szCs w:val="19"/>
          <w:color w:val="auto"/>
        </w:rPr>
        <w:t xml:space="preserve"> amount </w:t>
      </w:r>
      <w:r>
        <w:rPr>
          <w:rFonts w:ascii="Arial" w:cs="Arial" w:eastAsia="Arial" w:hAnsi="Arial"/>
          <w:sz w:val="19"/>
          <w:szCs w:val="19"/>
          <w:color w:val="333333"/>
        </w:rPr>
        <w:t>than</w:t>
      </w:r>
      <w:r>
        <w:rPr>
          <w:rFonts w:ascii="Arial" w:cs="Arial" w:eastAsia="Arial" w:hAnsi="Arial"/>
          <w:sz w:val="19"/>
          <w:szCs w:val="19"/>
          <w:color w:val="auto"/>
        </w:rPr>
        <w:t xml:space="preserve"> the Rent payment </w:t>
      </w:r>
      <w:r>
        <w:rPr>
          <w:rFonts w:ascii="Arial" w:cs="Arial" w:eastAsia="Arial" w:hAnsi="Arial"/>
          <w:sz w:val="19"/>
          <w:szCs w:val="19"/>
          <w:color w:val="0A0A0A"/>
        </w:rPr>
        <w:t>herein</w:t>
      </w:r>
      <w:r>
        <w:rPr>
          <w:rFonts w:ascii="Arial" w:cs="Arial" w:eastAsia="Arial" w:hAnsi="Arial"/>
          <w:sz w:val="19"/>
          <w:szCs w:val="19"/>
          <w:color w:val="auto"/>
        </w:rPr>
        <w:t xml:space="preserve"> </w:t>
      </w:r>
      <w:r>
        <w:rPr>
          <w:rFonts w:ascii="Arial" w:cs="Arial" w:eastAsia="Arial" w:hAnsi="Arial"/>
          <w:sz w:val="19"/>
          <w:szCs w:val="19"/>
          <w:color w:val="333333"/>
        </w:rPr>
        <w:t>st</w:t>
      </w:r>
      <w:r>
        <w:rPr>
          <w:rFonts w:ascii="Arial" w:cs="Arial" w:eastAsia="Arial" w:hAnsi="Arial"/>
          <w:sz w:val="19"/>
          <w:szCs w:val="19"/>
          <w:color w:val="0A0A0A"/>
        </w:rPr>
        <w:t>ipul</w:t>
      </w:r>
      <w:r>
        <w:rPr>
          <w:rFonts w:ascii="Arial" w:cs="Arial" w:eastAsia="Arial" w:hAnsi="Arial"/>
          <w:sz w:val="19"/>
          <w:szCs w:val="19"/>
          <w:color w:val="333333"/>
        </w:rPr>
        <w:t>ate</w:t>
      </w:r>
      <w:r>
        <w:rPr>
          <w:rFonts w:ascii="Arial" w:cs="Arial" w:eastAsia="Arial" w:hAnsi="Arial"/>
          <w:sz w:val="19"/>
          <w:szCs w:val="19"/>
          <w:color w:val="0A0A0A"/>
        </w:rPr>
        <w:t>d</w:t>
      </w:r>
      <w:r>
        <w:rPr>
          <w:rFonts w:ascii="Arial" w:cs="Arial" w:eastAsia="Arial" w:hAnsi="Arial"/>
          <w:sz w:val="19"/>
          <w:szCs w:val="19"/>
          <w:color w:val="auto"/>
        </w:rPr>
        <w:t xml:space="preserve"> </w:t>
      </w:r>
      <w:r>
        <w:rPr>
          <w:rFonts w:ascii="Arial" w:cs="Arial" w:eastAsia="Arial" w:hAnsi="Arial"/>
          <w:sz w:val="19"/>
          <w:szCs w:val="19"/>
          <w:color w:val="333333"/>
        </w:rPr>
        <w:t>s</w:t>
      </w:r>
      <w:r>
        <w:rPr>
          <w:rFonts w:ascii="Arial" w:cs="Arial" w:eastAsia="Arial" w:hAnsi="Arial"/>
          <w:sz w:val="19"/>
          <w:szCs w:val="19"/>
          <w:color w:val="0A0A0A"/>
        </w:rPr>
        <w:t>hall</w:t>
      </w:r>
      <w:r>
        <w:rPr>
          <w:rFonts w:ascii="Arial" w:cs="Arial" w:eastAsia="Arial" w:hAnsi="Arial"/>
          <w:sz w:val="19"/>
          <w:szCs w:val="19"/>
          <w:color w:val="auto"/>
        </w:rPr>
        <w:t xml:space="preserve"> be deemed to be other than on account of the Rent, nor </w:t>
      </w:r>
      <w:r>
        <w:rPr>
          <w:rFonts w:ascii="Arial" w:cs="Arial" w:eastAsia="Arial" w:hAnsi="Arial"/>
          <w:sz w:val="19"/>
          <w:szCs w:val="19"/>
          <w:color w:val="333333"/>
        </w:rPr>
        <w:t>s</w:t>
      </w:r>
      <w:r>
        <w:rPr>
          <w:rFonts w:ascii="Arial" w:cs="Arial" w:eastAsia="Arial" w:hAnsi="Arial"/>
          <w:sz w:val="19"/>
          <w:szCs w:val="19"/>
          <w:color w:val="0A0A0A"/>
        </w:rPr>
        <w:t>h</w:t>
      </w:r>
      <w:r>
        <w:rPr>
          <w:rFonts w:ascii="Arial" w:cs="Arial" w:eastAsia="Arial" w:hAnsi="Arial"/>
          <w:sz w:val="19"/>
          <w:szCs w:val="19"/>
          <w:color w:val="333333"/>
        </w:rPr>
        <w:t>all</w:t>
      </w:r>
      <w:r>
        <w:rPr>
          <w:rFonts w:ascii="Arial" w:cs="Arial" w:eastAsia="Arial" w:hAnsi="Arial"/>
          <w:sz w:val="19"/>
          <w:szCs w:val="19"/>
          <w:color w:val="auto"/>
        </w:rPr>
        <w:t xml:space="preserve"> any endorsement or </w:t>
      </w:r>
      <w:r>
        <w:rPr>
          <w:rFonts w:ascii="Arial" w:cs="Arial" w:eastAsia="Arial" w:hAnsi="Arial"/>
          <w:sz w:val="19"/>
          <w:szCs w:val="19"/>
          <w:color w:val="333333"/>
        </w:rPr>
        <w:t>statement</w:t>
      </w:r>
      <w:r>
        <w:rPr>
          <w:rFonts w:ascii="Arial" w:cs="Arial" w:eastAsia="Arial" w:hAnsi="Arial"/>
          <w:sz w:val="19"/>
          <w:szCs w:val="19"/>
          <w:color w:val="auto"/>
        </w:rPr>
        <w:t xml:space="preserve"> on any check or any letter accompanying any check or payment as Rent be deemed an </w:t>
      </w:r>
      <w:r>
        <w:rPr>
          <w:rFonts w:ascii="Arial" w:cs="Arial" w:eastAsia="Arial" w:hAnsi="Arial"/>
          <w:sz w:val="19"/>
          <w:szCs w:val="19"/>
          <w:color w:val="333333"/>
        </w:rPr>
        <w:t>accord</w:t>
      </w:r>
      <w:r>
        <w:rPr>
          <w:rFonts w:ascii="Arial" w:cs="Arial" w:eastAsia="Arial" w:hAnsi="Arial"/>
          <w:sz w:val="19"/>
          <w:szCs w:val="19"/>
          <w:color w:val="auto"/>
        </w:rPr>
        <w:t xml:space="preserve"> and </w:t>
      </w:r>
      <w:r>
        <w:rPr>
          <w:rFonts w:ascii="Arial" w:cs="Arial" w:eastAsia="Arial" w:hAnsi="Arial"/>
          <w:sz w:val="19"/>
          <w:szCs w:val="19"/>
          <w:color w:val="333333"/>
        </w:rPr>
        <w:t>satisfactio</w:t>
      </w:r>
      <w:r>
        <w:rPr>
          <w:rFonts w:ascii="Arial" w:cs="Arial" w:eastAsia="Arial" w:hAnsi="Arial"/>
          <w:sz w:val="19"/>
          <w:szCs w:val="19"/>
          <w:color w:val="0A0A0A"/>
        </w:rPr>
        <w:t>n</w:t>
      </w:r>
      <w:r>
        <w:rPr>
          <w:rFonts w:ascii="Arial" w:cs="Arial" w:eastAsia="Arial" w:hAnsi="Arial"/>
          <w:sz w:val="19"/>
          <w:szCs w:val="19"/>
          <w:color w:val="464646"/>
        </w:rPr>
        <w:t>,</w:t>
      </w:r>
      <w:r>
        <w:rPr>
          <w:rFonts w:ascii="Arial" w:cs="Arial" w:eastAsia="Arial" w:hAnsi="Arial"/>
          <w:sz w:val="19"/>
          <w:szCs w:val="19"/>
          <w:color w:val="auto"/>
        </w:rPr>
        <w:t xml:space="preserve"> and Landlord may accept such check or payment without prejudice to Landlord’s right to recover </w:t>
      </w:r>
      <w:r>
        <w:rPr>
          <w:rFonts w:ascii="Arial" w:cs="Arial" w:eastAsia="Arial" w:hAnsi="Arial"/>
          <w:sz w:val="19"/>
          <w:szCs w:val="19"/>
          <w:color w:val="0A0A0A"/>
        </w:rPr>
        <w:t>the balance</w:t>
      </w:r>
      <w:r>
        <w:rPr>
          <w:rFonts w:ascii="Arial" w:cs="Arial" w:eastAsia="Arial" w:hAnsi="Arial"/>
          <w:sz w:val="19"/>
          <w:szCs w:val="19"/>
          <w:color w:val="auto"/>
        </w:rPr>
        <w:t xml:space="preserve"> of </w:t>
      </w:r>
      <w:r>
        <w:rPr>
          <w:rFonts w:ascii="Arial" w:cs="Arial" w:eastAsia="Arial" w:hAnsi="Arial"/>
          <w:sz w:val="19"/>
          <w:szCs w:val="19"/>
          <w:color w:val="464646"/>
        </w:rPr>
        <w:t>s</w:t>
      </w:r>
      <w:r>
        <w:rPr>
          <w:rFonts w:ascii="Arial" w:cs="Arial" w:eastAsia="Arial" w:hAnsi="Arial"/>
          <w:sz w:val="19"/>
          <w:szCs w:val="19"/>
          <w:color w:val="auto"/>
        </w:rPr>
        <w:t xml:space="preserve">uch Rent or pursue any other remedy provided </w:t>
      </w:r>
      <w:r>
        <w:rPr>
          <w:rFonts w:ascii="Arial" w:cs="Arial" w:eastAsia="Arial" w:hAnsi="Arial"/>
          <w:sz w:val="19"/>
          <w:szCs w:val="19"/>
          <w:color w:val="0A0A0A"/>
        </w:rPr>
        <w:t>in</w:t>
      </w:r>
      <w:r>
        <w:rPr>
          <w:rFonts w:ascii="Arial" w:cs="Arial" w:eastAsia="Arial" w:hAnsi="Arial"/>
          <w:sz w:val="19"/>
          <w:szCs w:val="19"/>
          <w:color w:val="auto"/>
        </w:rPr>
        <w:t xml:space="preserve"> this Lease or in equity or at </w:t>
      </w:r>
      <w:r>
        <w:rPr>
          <w:rFonts w:ascii="Arial" w:cs="Arial" w:eastAsia="Arial" w:hAnsi="Arial"/>
          <w:sz w:val="19"/>
          <w:szCs w:val="19"/>
          <w:color w:val="0A0A0A"/>
        </w:rPr>
        <w:t>law</w:t>
      </w:r>
      <w:r>
        <w:rPr>
          <w:rFonts w:ascii="Arial" w:cs="Arial" w:eastAsia="Arial" w:hAnsi="Arial"/>
          <w:sz w:val="19"/>
          <w:szCs w:val="19"/>
          <w:color w:val="333333"/>
        </w:rPr>
        <w:t>.</w:t>
      </w:r>
      <w:r>
        <w:rPr>
          <w:rFonts w:ascii="Arial" w:cs="Arial" w:eastAsia="Arial" w:hAnsi="Arial"/>
          <w:sz w:val="19"/>
          <w:szCs w:val="19"/>
          <w:color w:val="auto"/>
        </w:rPr>
        <w:t xml:space="preserve"> If a dispute shall </w:t>
      </w:r>
      <w:r>
        <w:rPr>
          <w:rFonts w:ascii="Arial" w:cs="Arial" w:eastAsia="Arial" w:hAnsi="Arial"/>
          <w:sz w:val="19"/>
          <w:szCs w:val="19"/>
          <w:color w:val="333333"/>
        </w:rPr>
        <w:t>arise</w:t>
      </w:r>
      <w:r>
        <w:rPr>
          <w:rFonts w:ascii="Arial" w:cs="Arial" w:eastAsia="Arial" w:hAnsi="Arial"/>
          <w:sz w:val="19"/>
          <w:szCs w:val="19"/>
          <w:color w:val="auto"/>
        </w:rPr>
        <w:t xml:space="preserve"> as to </w:t>
      </w:r>
      <w:r>
        <w:rPr>
          <w:rFonts w:ascii="Arial" w:cs="Arial" w:eastAsia="Arial" w:hAnsi="Arial"/>
          <w:sz w:val="19"/>
          <w:szCs w:val="19"/>
          <w:color w:val="333333"/>
        </w:rPr>
        <w:t>any</w:t>
      </w:r>
      <w:r>
        <w:rPr>
          <w:rFonts w:ascii="Arial" w:cs="Arial" w:eastAsia="Arial" w:hAnsi="Arial"/>
          <w:sz w:val="19"/>
          <w:szCs w:val="19"/>
          <w:color w:val="auto"/>
        </w:rPr>
        <w:t xml:space="preserve"> amount or </w:t>
      </w:r>
      <w:r>
        <w:rPr>
          <w:rFonts w:ascii="Arial" w:cs="Arial" w:eastAsia="Arial" w:hAnsi="Arial"/>
          <w:sz w:val="19"/>
          <w:szCs w:val="19"/>
          <w:color w:val="333333"/>
        </w:rPr>
        <w:t>sum</w:t>
      </w:r>
      <w:r>
        <w:rPr>
          <w:rFonts w:ascii="Arial" w:cs="Arial" w:eastAsia="Arial" w:hAnsi="Arial"/>
          <w:sz w:val="19"/>
          <w:szCs w:val="19"/>
          <w:color w:val="auto"/>
        </w:rPr>
        <w:t xml:space="preserve"> of </w:t>
      </w:r>
      <w:r>
        <w:rPr>
          <w:rFonts w:ascii="Arial" w:cs="Arial" w:eastAsia="Arial" w:hAnsi="Arial"/>
          <w:sz w:val="19"/>
          <w:szCs w:val="19"/>
          <w:color w:val="0A0A0A"/>
        </w:rPr>
        <w:t>mone</w:t>
      </w:r>
      <w:r>
        <w:rPr>
          <w:rFonts w:ascii="Arial" w:cs="Arial" w:eastAsia="Arial" w:hAnsi="Arial"/>
          <w:sz w:val="19"/>
          <w:szCs w:val="19"/>
          <w:color w:val="333333"/>
        </w:rPr>
        <w:t>y</w:t>
      </w:r>
      <w:r>
        <w:rPr>
          <w:rFonts w:ascii="Arial" w:cs="Arial" w:eastAsia="Arial" w:hAnsi="Arial"/>
          <w:sz w:val="19"/>
          <w:szCs w:val="19"/>
          <w:color w:val="auto"/>
        </w:rPr>
        <w:t xml:space="preserve"> to be paid by </w:t>
      </w:r>
      <w:r>
        <w:rPr>
          <w:rFonts w:ascii="Arial" w:cs="Arial" w:eastAsia="Arial" w:hAnsi="Arial"/>
          <w:sz w:val="19"/>
          <w:szCs w:val="19"/>
          <w:color w:val="333333"/>
        </w:rPr>
        <w:t>Tenant</w:t>
      </w:r>
      <w:r>
        <w:rPr>
          <w:rFonts w:ascii="Arial" w:cs="Arial" w:eastAsia="Arial" w:hAnsi="Arial"/>
          <w:sz w:val="19"/>
          <w:szCs w:val="19"/>
          <w:color w:val="auto"/>
        </w:rPr>
        <w:t xml:space="preserve"> to Landlord hereunder, Tenant shall </w:t>
      </w:r>
      <w:r>
        <w:rPr>
          <w:rFonts w:ascii="Arial" w:cs="Arial" w:eastAsia="Arial" w:hAnsi="Arial"/>
          <w:sz w:val="19"/>
          <w:szCs w:val="19"/>
          <w:color w:val="0A0A0A"/>
        </w:rPr>
        <w:t>ha</w:t>
      </w:r>
      <w:r>
        <w:rPr>
          <w:rFonts w:ascii="Arial" w:cs="Arial" w:eastAsia="Arial" w:hAnsi="Arial"/>
          <w:sz w:val="19"/>
          <w:szCs w:val="19"/>
          <w:color w:val="333333"/>
        </w:rPr>
        <w:t>ve</w:t>
      </w:r>
      <w:r>
        <w:rPr>
          <w:rFonts w:ascii="Arial" w:cs="Arial" w:eastAsia="Arial" w:hAnsi="Arial"/>
          <w:sz w:val="19"/>
          <w:szCs w:val="19"/>
          <w:color w:val="auto"/>
        </w:rPr>
        <w:t xml:space="preserve"> the right </w:t>
      </w:r>
      <w:r>
        <w:rPr>
          <w:rFonts w:ascii="Arial" w:cs="Arial" w:eastAsia="Arial" w:hAnsi="Arial"/>
          <w:sz w:val="19"/>
          <w:szCs w:val="19"/>
          <w:color w:val="0A0A0A"/>
        </w:rPr>
        <w:t>to</w:t>
      </w:r>
      <w:r>
        <w:rPr>
          <w:rFonts w:ascii="Arial" w:cs="Arial" w:eastAsia="Arial" w:hAnsi="Arial"/>
          <w:sz w:val="19"/>
          <w:szCs w:val="19"/>
          <w:color w:val="auto"/>
        </w:rPr>
        <w:t xml:space="preserve"> make payment </w:t>
      </w:r>
      <w:r>
        <w:rPr>
          <w:rFonts w:ascii="Arial" w:cs="Arial" w:eastAsia="Arial" w:hAnsi="Arial"/>
          <w:sz w:val="19"/>
          <w:szCs w:val="19"/>
          <w:color w:val="333333"/>
        </w:rPr>
        <w:t>‘‘unde</w:t>
      </w:r>
      <w:r>
        <w:rPr>
          <w:rFonts w:ascii="Arial" w:cs="Arial" w:eastAsia="Arial" w:hAnsi="Arial"/>
          <w:sz w:val="19"/>
          <w:szCs w:val="19"/>
          <w:color w:val="0A0A0A"/>
        </w:rPr>
        <w:t>r prote</w:t>
      </w:r>
      <w:r>
        <w:rPr>
          <w:rFonts w:ascii="Arial" w:cs="Arial" w:eastAsia="Arial" w:hAnsi="Arial"/>
          <w:sz w:val="19"/>
          <w:szCs w:val="19"/>
          <w:color w:val="333333"/>
        </w:rPr>
        <w:t>s</w:t>
      </w:r>
      <w:r>
        <w:rPr>
          <w:rFonts w:ascii="Arial" w:cs="Arial" w:eastAsia="Arial" w:hAnsi="Arial"/>
          <w:sz w:val="19"/>
          <w:szCs w:val="19"/>
          <w:color w:val="0A0A0A"/>
        </w:rPr>
        <w:t>t,”</w:t>
      </w:r>
      <w:r>
        <w:rPr>
          <w:rFonts w:ascii="Arial" w:cs="Arial" w:eastAsia="Arial" w:hAnsi="Arial"/>
          <w:sz w:val="19"/>
          <w:szCs w:val="19"/>
          <w:color w:val="auto"/>
        </w:rPr>
        <w:t xml:space="preserve"> </w:t>
      </w:r>
      <w:r>
        <w:rPr>
          <w:rFonts w:ascii="Arial" w:cs="Arial" w:eastAsia="Arial" w:hAnsi="Arial"/>
          <w:sz w:val="19"/>
          <w:szCs w:val="19"/>
          <w:color w:val="333333"/>
        </w:rPr>
        <w:t>s</w:t>
      </w:r>
      <w:r>
        <w:rPr>
          <w:rFonts w:ascii="Arial" w:cs="Arial" w:eastAsia="Arial" w:hAnsi="Arial"/>
          <w:sz w:val="19"/>
          <w:szCs w:val="19"/>
          <w:color w:val="0A0A0A"/>
        </w:rPr>
        <w:t>uch</w:t>
      </w:r>
      <w:r>
        <w:rPr>
          <w:rFonts w:ascii="Arial" w:cs="Arial" w:eastAsia="Arial" w:hAnsi="Arial"/>
          <w:sz w:val="19"/>
          <w:szCs w:val="19"/>
          <w:color w:val="auto"/>
        </w:rPr>
        <w:t xml:space="preserve"> payment </w:t>
      </w:r>
      <w:r>
        <w:rPr>
          <w:rFonts w:ascii="Arial" w:cs="Arial" w:eastAsia="Arial" w:hAnsi="Arial"/>
          <w:sz w:val="19"/>
          <w:szCs w:val="19"/>
          <w:color w:val="333333"/>
        </w:rPr>
        <w:t>s</w:t>
      </w:r>
      <w:r>
        <w:rPr>
          <w:rFonts w:ascii="Arial" w:cs="Arial" w:eastAsia="Arial" w:hAnsi="Arial"/>
          <w:sz w:val="19"/>
          <w:szCs w:val="19"/>
          <w:color w:val="0A0A0A"/>
        </w:rPr>
        <w:t>hall</w:t>
      </w:r>
      <w:r>
        <w:rPr>
          <w:rFonts w:ascii="Arial" w:cs="Arial" w:eastAsia="Arial" w:hAnsi="Arial"/>
          <w:sz w:val="19"/>
          <w:szCs w:val="19"/>
          <w:color w:val="auto"/>
        </w:rPr>
        <w:t xml:space="preserve"> not be regarded </w:t>
      </w:r>
      <w:r>
        <w:rPr>
          <w:rFonts w:ascii="Arial" w:cs="Arial" w:eastAsia="Arial" w:hAnsi="Arial"/>
          <w:sz w:val="19"/>
          <w:szCs w:val="19"/>
          <w:color w:val="333333"/>
        </w:rPr>
        <w:t>as a vo</w:t>
      </w:r>
      <w:r>
        <w:rPr>
          <w:rFonts w:ascii="Arial" w:cs="Arial" w:eastAsia="Arial" w:hAnsi="Arial"/>
          <w:sz w:val="19"/>
          <w:szCs w:val="19"/>
          <w:color w:val="0A0A0A"/>
        </w:rPr>
        <w:t>luntary</w:t>
      </w:r>
      <w:r>
        <w:rPr>
          <w:rFonts w:ascii="Arial" w:cs="Arial" w:eastAsia="Arial" w:hAnsi="Arial"/>
          <w:sz w:val="19"/>
          <w:szCs w:val="19"/>
          <w:color w:val="auto"/>
        </w:rPr>
        <w:t xml:space="preserve"> payment, and </w:t>
      </w:r>
      <w:r>
        <w:rPr>
          <w:rFonts w:ascii="Arial" w:cs="Arial" w:eastAsia="Arial" w:hAnsi="Arial"/>
          <w:sz w:val="19"/>
          <w:szCs w:val="19"/>
          <w:color w:val="0A0A0A"/>
        </w:rPr>
        <w:t>there</w:t>
      </w:r>
      <w:r>
        <w:rPr>
          <w:rFonts w:ascii="Arial" w:cs="Arial" w:eastAsia="Arial" w:hAnsi="Arial"/>
          <w:sz w:val="19"/>
          <w:szCs w:val="19"/>
          <w:color w:val="auto"/>
        </w:rPr>
        <w:t xml:space="preserve"> </w:t>
      </w:r>
      <w:r>
        <w:rPr>
          <w:rFonts w:ascii="Arial" w:cs="Arial" w:eastAsia="Arial" w:hAnsi="Arial"/>
          <w:sz w:val="19"/>
          <w:szCs w:val="19"/>
          <w:color w:val="333333"/>
        </w:rPr>
        <w:t>sha</w:t>
      </w:r>
      <w:r>
        <w:rPr>
          <w:rFonts w:ascii="Arial" w:cs="Arial" w:eastAsia="Arial" w:hAnsi="Arial"/>
          <w:sz w:val="19"/>
          <w:szCs w:val="19"/>
          <w:color w:val="0A0A0A"/>
        </w:rPr>
        <w:t>ll</w:t>
      </w:r>
      <w:r>
        <w:rPr>
          <w:rFonts w:ascii="Arial" w:cs="Arial" w:eastAsia="Arial" w:hAnsi="Arial"/>
          <w:sz w:val="19"/>
          <w:szCs w:val="19"/>
          <w:color w:val="auto"/>
        </w:rPr>
        <w:t xml:space="preserve"> survive the right on </w:t>
      </w:r>
      <w:r>
        <w:rPr>
          <w:rFonts w:ascii="Arial" w:cs="Arial" w:eastAsia="Arial" w:hAnsi="Arial"/>
          <w:sz w:val="19"/>
          <w:szCs w:val="19"/>
          <w:color w:val="0A0A0A"/>
        </w:rPr>
        <w:t>the</w:t>
      </w:r>
      <w:r>
        <w:rPr>
          <w:rFonts w:ascii="Arial" w:cs="Arial" w:eastAsia="Arial" w:hAnsi="Arial"/>
          <w:sz w:val="19"/>
          <w:szCs w:val="19"/>
          <w:color w:val="auto"/>
        </w:rPr>
        <w:t xml:space="preserve"> part o</w:t>
      </w:r>
      <w:r>
        <w:rPr>
          <w:rFonts w:ascii="Arial" w:cs="Arial" w:eastAsia="Arial" w:hAnsi="Arial"/>
          <w:sz w:val="19"/>
          <w:szCs w:val="19"/>
          <w:color w:val="464646"/>
        </w:rPr>
        <w:t>f</w:t>
      </w:r>
      <w:r>
        <w:rPr>
          <w:rFonts w:ascii="Arial" w:cs="Arial" w:eastAsia="Arial" w:hAnsi="Arial"/>
          <w:sz w:val="19"/>
          <w:szCs w:val="19"/>
          <w:color w:val="auto"/>
        </w:rPr>
        <w:t xml:space="preserve"> </w:t>
      </w:r>
      <w:r>
        <w:rPr>
          <w:rFonts w:ascii="Arial" w:cs="Arial" w:eastAsia="Arial" w:hAnsi="Arial"/>
          <w:sz w:val="19"/>
          <w:szCs w:val="19"/>
          <w:color w:val="333333"/>
        </w:rPr>
        <w:t>Tenant to</w:t>
      </w:r>
      <w:r>
        <w:rPr>
          <w:rFonts w:ascii="Arial" w:cs="Arial" w:eastAsia="Arial" w:hAnsi="Arial"/>
          <w:sz w:val="19"/>
          <w:szCs w:val="19"/>
          <w:color w:val="auto"/>
        </w:rPr>
        <w:t xml:space="preserve"> institute </w:t>
      </w:r>
      <w:r>
        <w:rPr>
          <w:rFonts w:ascii="Arial" w:cs="Arial" w:eastAsia="Arial" w:hAnsi="Arial"/>
          <w:sz w:val="19"/>
          <w:szCs w:val="19"/>
          <w:color w:val="333333"/>
        </w:rPr>
        <w:t>suit</w:t>
      </w:r>
      <w:r>
        <w:rPr>
          <w:rFonts w:ascii="Arial" w:cs="Arial" w:eastAsia="Arial" w:hAnsi="Arial"/>
          <w:sz w:val="19"/>
          <w:szCs w:val="19"/>
          <w:color w:val="auto"/>
        </w:rPr>
        <w:t xml:space="preserve"> for recovery of the </w:t>
      </w:r>
      <w:r>
        <w:rPr>
          <w:rFonts w:ascii="Arial" w:cs="Arial" w:eastAsia="Arial" w:hAnsi="Arial"/>
          <w:sz w:val="19"/>
          <w:szCs w:val="19"/>
          <w:color w:val="0A0A0A"/>
        </w:rPr>
        <w:t>paym</w:t>
      </w:r>
      <w:r>
        <w:rPr>
          <w:rFonts w:ascii="Arial" w:cs="Arial" w:eastAsia="Arial" w:hAnsi="Arial"/>
          <w:sz w:val="19"/>
          <w:szCs w:val="19"/>
          <w:color w:val="333333"/>
        </w:rPr>
        <w:t>ent</w:t>
      </w:r>
      <w:r>
        <w:rPr>
          <w:rFonts w:ascii="Arial" w:cs="Arial" w:eastAsia="Arial" w:hAnsi="Arial"/>
          <w:sz w:val="19"/>
          <w:szCs w:val="19"/>
          <w:color w:val="auto"/>
        </w:rPr>
        <w:t xml:space="preserve"> </w:t>
      </w:r>
      <w:r>
        <w:rPr>
          <w:rFonts w:ascii="Arial" w:cs="Arial" w:eastAsia="Arial" w:hAnsi="Arial"/>
          <w:sz w:val="19"/>
          <w:szCs w:val="19"/>
          <w:color w:val="0A0A0A"/>
        </w:rPr>
        <w:t>paid</w:t>
      </w:r>
      <w:r>
        <w:rPr>
          <w:rFonts w:ascii="Arial" w:cs="Arial" w:eastAsia="Arial" w:hAnsi="Arial"/>
          <w:sz w:val="19"/>
          <w:szCs w:val="19"/>
          <w:color w:val="auto"/>
        </w:rPr>
        <w:t xml:space="preserve"> under protest.</w:t>
      </w:r>
    </w:p>
    <w:p>
      <w:pPr>
        <w:spacing w:after="0" w:line="152" w:lineRule="exact"/>
        <w:rPr>
          <w:rFonts w:ascii="Arial" w:cs="Arial" w:eastAsia="Arial" w:hAnsi="Arial"/>
          <w:sz w:val="22"/>
          <w:szCs w:val="22"/>
          <w:color w:val="auto"/>
        </w:rPr>
      </w:pPr>
    </w:p>
    <w:p>
      <w:pPr>
        <w:ind w:left="1300" w:hanging="648"/>
        <w:spacing w:after="0" w:line="243" w:lineRule="auto"/>
        <w:rPr>
          <w:rFonts w:ascii="Arial" w:cs="Arial" w:eastAsia="Arial" w:hAnsi="Arial"/>
          <w:sz w:val="22"/>
          <w:szCs w:val="22"/>
          <w:color w:val="auto"/>
        </w:rPr>
      </w:pPr>
      <w:r>
        <w:rPr>
          <w:rFonts w:ascii="Arial" w:cs="Arial" w:eastAsia="Arial" w:hAnsi="Arial"/>
          <w:sz w:val="19"/>
          <w:szCs w:val="19"/>
          <w:color w:val="auto"/>
        </w:rPr>
        <w:t xml:space="preserve">31.3 If Tenant fails </w:t>
      </w:r>
      <w:r>
        <w:rPr>
          <w:rFonts w:ascii="Arial" w:cs="Arial" w:eastAsia="Arial" w:hAnsi="Arial"/>
          <w:sz w:val="19"/>
          <w:szCs w:val="19"/>
          <w:color w:val="0A0A0A"/>
        </w:rPr>
        <w:t>to</w:t>
      </w:r>
      <w:r>
        <w:rPr>
          <w:rFonts w:ascii="Arial" w:cs="Arial" w:eastAsia="Arial" w:hAnsi="Arial"/>
          <w:sz w:val="19"/>
          <w:szCs w:val="19"/>
          <w:color w:val="auto"/>
        </w:rPr>
        <w:t xml:space="preserve"> pay </w:t>
      </w:r>
      <w:r>
        <w:rPr>
          <w:rFonts w:ascii="Arial" w:cs="Arial" w:eastAsia="Arial" w:hAnsi="Arial"/>
          <w:sz w:val="19"/>
          <w:szCs w:val="19"/>
          <w:color w:val="333333"/>
        </w:rPr>
        <w:t>any sum</w:t>
      </w:r>
      <w:r>
        <w:rPr>
          <w:rFonts w:ascii="Arial" w:cs="Arial" w:eastAsia="Arial" w:hAnsi="Arial"/>
          <w:sz w:val="19"/>
          <w:szCs w:val="19"/>
          <w:color w:val="auto"/>
        </w:rPr>
        <w:t xml:space="preserve"> of money </w:t>
      </w:r>
      <w:r>
        <w:rPr>
          <w:rFonts w:ascii="Arial" w:cs="Arial" w:eastAsia="Arial" w:hAnsi="Arial"/>
          <w:sz w:val="19"/>
          <w:szCs w:val="19"/>
          <w:color w:val="0A0A0A"/>
        </w:rPr>
        <w:t>required</w:t>
      </w:r>
      <w:r>
        <w:rPr>
          <w:rFonts w:ascii="Arial" w:cs="Arial" w:eastAsia="Arial" w:hAnsi="Arial"/>
          <w:sz w:val="19"/>
          <w:szCs w:val="19"/>
          <w:color w:val="auto"/>
        </w:rPr>
        <w:t xml:space="preserve"> </w:t>
      </w:r>
      <w:r>
        <w:rPr>
          <w:rFonts w:ascii="Arial" w:cs="Arial" w:eastAsia="Arial" w:hAnsi="Arial"/>
          <w:sz w:val="19"/>
          <w:szCs w:val="19"/>
          <w:color w:val="333333"/>
        </w:rPr>
        <w:t>to</w:t>
      </w:r>
      <w:r>
        <w:rPr>
          <w:rFonts w:ascii="Arial" w:cs="Arial" w:eastAsia="Arial" w:hAnsi="Arial"/>
          <w:sz w:val="19"/>
          <w:szCs w:val="19"/>
          <w:color w:val="auto"/>
        </w:rPr>
        <w:t xml:space="preserve"> be </w:t>
      </w:r>
      <w:r>
        <w:rPr>
          <w:rFonts w:ascii="Arial" w:cs="Arial" w:eastAsia="Arial" w:hAnsi="Arial"/>
          <w:sz w:val="19"/>
          <w:szCs w:val="19"/>
          <w:color w:val="0A0A0A"/>
        </w:rPr>
        <w:t>paid</w:t>
      </w:r>
      <w:r>
        <w:rPr>
          <w:rFonts w:ascii="Arial" w:cs="Arial" w:eastAsia="Arial" w:hAnsi="Arial"/>
          <w:sz w:val="19"/>
          <w:szCs w:val="19"/>
          <w:color w:val="auto"/>
        </w:rPr>
        <w:t xml:space="preserve"> by it hereunder, or </w:t>
      </w:r>
      <w:r>
        <w:rPr>
          <w:rFonts w:ascii="Arial" w:cs="Arial" w:eastAsia="Arial" w:hAnsi="Arial"/>
          <w:sz w:val="19"/>
          <w:szCs w:val="19"/>
          <w:color w:val="333333"/>
        </w:rPr>
        <w:t>sha</w:t>
      </w:r>
      <w:r>
        <w:rPr>
          <w:rFonts w:ascii="Arial" w:cs="Arial" w:eastAsia="Arial" w:hAnsi="Arial"/>
          <w:sz w:val="19"/>
          <w:szCs w:val="19"/>
          <w:color w:val="0A0A0A"/>
        </w:rPr>
        <w:t>ll</w:t>
      </w:r>
      <w:r>
        <w:rPr>
          <w:rFonts w:ascii="Arial" w:cs="Arial" w:eastAsia="Arial" w:hAnsi="Arial"/>
          <w:sz w:val="19"/>
          <w:szCs w:val="19"/>
          <w:color w:val="auto"/>
        </w:rPr>
        <w:t xml:space="preserve"> </w:t>
      </w:r>
      <w:r>
        <w:rPr>
          <w:rFonts w:ascii="Arial" w:cs="Arial" w:eastAsia="Arial" w:hAnsi="Arial"/>
          <w:sz w:val="19"/>
          <w:szCs w:val="19"/>
          <w:color w:val="333333"/>
        </w:rPr>
        <w:t>fai</w:t>
      </w:r>
      <w:r>
        <w:rPr>
          <w:rFonts w:ascii="Arial" w:cs="Arial" w:eastAsia="Arial" w:hAnsi="Arial"/>
          <w:sz w:val="19"/>
          <w:szCs w:val="19"/>
          <w:color w:val="0A0A0A"/>
        </w:rPr>
        <w:t>l</w:t>
      </w:r>
      <w:r>
        <w:rPr>
          <w:rFonts w:ascii="Arial" w:cs="Arial" w:eastAsia="Arial" w:hAnsi="Arial"/>
          <w:sz w:val="19"/>
          <w:szCs w:val="19"/>
          <w:color w:val="auto"/>
        </w:rPr>
        <w:t xml:space="preserve"> to </w:t>
      </w:r>
      <w:r>
        <w:rPr>
          <w:rFonts w:ascii="Arial" w:cs="Arial" w:eastAsia="Arial" w:hAnsi="Arial"/>
          <w:sz w:val="19"/>
          <w:szCs w:val="19"/>
          <w:color w:val="0A0A0A"/>
        </w:rPr>
        <w:t>perform</w:t>
      </w:r>
      <w:r>
        <w:rPr>
          <w:rFonts w:ascii="Arial" w:cs="Arial" w:eastAsia="Arial" w:hAnsi="Arial"/>
          <w:sz w:val="19"/>
          <w:szCs w:val="19"/>
          <w:color w:val="auto"/>
        </w:rPr>
        <w:t xml:space="preserve"> any other act on </w:t>
      </w:r>
      <w:r>
        <w:rPr>
          <w:rFonts w:ascii="Arial" w:cs="Arial" w:eastAsia="Arial" w:hAnsi="Arial"/>
          <w:sz w:val="19"/>
          <w:szCs w:val="19"/>
          <w:color w:val="0A0A0A"/>
        </w:rPr>
        <w:t>its</w:t>
      </w:r>
      <w:r>
        <w:rPr>
          <w:rFonts w:ascii="Arial" w:cs="Arial" w:eastAsia="Arial" w:hAnsi="Arial"/>
          <w:sz w:val="19"/>
          <w:szCs w:val="19"/>
          <w:color w:val="auto"/>
        </w:rPr>
        <w:t xml:space="preserve"> part </w:t>
      </w:r>
      <w:r>
        <w:rPr>
          <w:rFonts w:ascii="Arial" w:cs="Arial" w:eastAsia="Arial" w:hAnsi="Arial"/>
          <w:sz w:val="19"/>
          <w:szCs w:val="19"/>
          <w:color w:val="0A0A0A"/>
        </w:rPr>
        <w:t>to</w:t>
      </w:r>
      <w:r>
        <w:rPr>
          <w:rFonts w:ascii="Arial" w:cs="Arial" w:eastAsia="Arial" w:hAnsi="Arial"/>
          <w:sz w:val="19"/>
          <w:szCs w:val="19"/>
          <w:color w:val="auto"/>
        </w:rPr>
        <w:t xml:space="preserve"> be performed hereunder</w:t>
      </w:r>
      <w:r>
        <w:rPr>
          <w:rFonts w:ascii="Arial" w:cs="Arial" w:eastAsia="Arial" w:hAnsi="Arial"/>
          <w:sz w:val="19"/>
          <w:szCs w:val="19"/>
          <w:color w:val="464646"/>
        </w:rPr>
        <w:t>,</w:t>
      </w:r>
      <w:r>
        <w:rPr>
          <w:rFonts w:ascii="Arial" w:cs="Arial" w:eastAsia="Arial" w:hAnsi="Arial"/>
          <w:sz w:val="19"/>
          <w:szCs w:val="19"/>
          <w:color w:val="auto"/>
        </w:rPr>
        <w:t xml:space="preserve"> Landlord may, without waiving or </w:t>
      </w:r>
      <w:r>
        <w:rPr>
          <w:rFonts w:ascii="Arial" w:cs="Arial" w:eastAsia="Arial" w:hAnsi="Arial"/>
          <w:sz w:val="19"/>
          <w:szCs w:val="19"/>
          <w:color w:val="0A0A0A"/>
        </w:rPr>
        <w:t>relea</w:t>
      </w:r>
      <w:r>
        <w:rPr>
          <w:rFonts w:ascii="Arial" w:cs="Arial" w:eastAsia="Arial" w:hAnsi="Arial"/>
          <w:sz w:val="19"/>
          <w:szCs w:val="19"/>
          <w:color w:val="333333"/>
        </w:rPr>
        <w:t>s</w:t>
      </w:r>
      <w:r>
        <w:rPr>
          <w:rFonts w:ascii="Arial" w:cs="Arial" w:eastAsia="Arial" w:hAnsi="Arial"/>
          <w:sz w:val="19"/>
          <w:szCs w:val="19"/>
          <w:color w:val="0A0A0A"/>
        </w:rPr>
        <w:t>ing</w:t>
      </w:r>
      <w:r>
        <w:rPr>
          <w:rFonts w:ascii="Arial" w:cs="Arial" w:eastAsia="Arial" w:hAnsi="Arial"/>
          <w:sz w:val="19"/>
          <w:szCs w:val="19"/>
          <w:color w:val="auto"/>
        </w:rPr>
        <w:t xml:space="preserve"> Tenant from any obligations o</w:t>
      </w:r>
      <w:r>
        <w:rPr>
          <w:rFonts w:ascii="Arial" w:cs="Arial" w:eastAsia="Arial" w:hAnsi="Arial"/>
          <w:sz w:val="19"/>
          <w:szCs w:val="19"/>
          <w:color w:val="464646"/>
        </w:rPr>
        <w:t>f</w:t>
      </w:r>
      <w:r>
        <w:rPr>
          <w:rFonts w:ascii="Arial" w:cs="Arial" w:eastAsia="Arial" w:hAnsi="Arial"/>
          <w:sz w:val="19"/>
          <w:szCs w:val="19"/>
          <w:color w:val="auto"/>
        </w:rPr>
        <w:t xml:space="preserve"> Tenant, but </w:t>
      </w:r>
      <w:r>
        <w:rPr>
          <w:rFonts w:ascii="Arial" w:cs="Arial" w:eastAsia="Arial" w:hAnsi="Arial"/>
          <w:sz w:val="19"/>
          <w:szCs w:val="19"/>
          <w:color w:val="333333"/>
        </w:rPr>
        <w:t>s</w:t>
      </w:r>
      <w:r>
        <w:rPr>
          <w:rFonts w:ascii="Arial" w:cs="Arial" w:eastAsia="Arial" w:hAnsi="Arial"/>
          <w:sz w:val="19"/>
          <w:szCs w:val="19"/>
          <w:color w:val="0A0A0A"/>
        </w:rPr>
        <w:t>hall</w:t>
      </w:r>
      <w:r>
        <w:rPr>
          <w:rFonts w:ascii="Arial" w:cs="Arial" w:eastAsia="Arial" w:hAnsi="Arial"/>
          <w:sz w:val="19"/>
          <w:szCs w:val="19"/>
          <w:color w:val="auto"/>
        </w:rPr>
        <w:t xml:space="preserve"> not be obligated to, make </w:t>
      </w:r>
      <w:r>
        <w:rPr>
          <w:rFonts w:ascii="Arial" w:cs="Arial" w:eastAsia="Arial" w:hAnsi="Arial"/>
          <w:sz w:val="19"/>
          <w:szCs w:val="19"/>
          <w:color w:val="333333"/>
        </w:rPr>
        <w:t>such</w:t>
      </w:r>
      <w:r>
        <w:rPr>
          <w:rFonts w:ascii="Arial" w:cs="Arial" w:eastAsia="Arial" w:hAnsi="Arial"/>
          <w:sz w:val="19"/>
          <w:szCs w:val="19"/>
          <w:color w:val="auto"/>
        </w:rPr>
        <w:t xml:space="preserve"> payment or perform such </w:t>
      </w:r>
      <w:r>
        <w:rPr>
          <w:rFonts w:ascii="Arial" w:cs="Arial" w:eastAsia="Arial" w:hAnsi="Arial"/>
          <w:sz w:val="19"/>
          <w:szCs w:val="19"/>
          <w:color w:val="333333"/>
        </w:rPr>
        <w:t>act;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color w:val="0A0A0A"/>
        </w:rPr>
        <w:t>that</w:t>
      </w:r>
      <w:r>
        <w:rPr>
          <w:rFonts w:ascii="Arial" w:cs="Arial" w:eastAsia="Arial" w:hAnsi="Arial"/>
          <w:sz w:val="19"/>
          <w:szCs w:val="19"/>
          <w:color w:val="auto"/>
        </w:rPr>
        <w:t xml:space="preserve"> </w:t>
      </w:r>
      <w:r>
        <w:rPr>
          <w:rFonts w:ascii="Arial" w:cs="Arial" w:eastAsia="Arial" w:hAnsi="Arial"/>
          <w:sz w:val="19"/>
          <w:szCs w:val="19"/>
          <w:color w:val="333333"/>
        </w:rPr>
        <w:t>such</w:t>
      </w:r>
      <w:r>
        <w:rPr>
          <w:rFonts w:ascii="Arial" w:cs="Arial" w:eastAsia="Arial" w:hAnsi="Arial"/>
          <w:sz w:val="19"/>
          <w:szCs w:val="19"/>
          <w:color w:val="auto"/>
        </w:rPr>
        <w:t xml:space="preserve"> failure </w:t>
      </w:r>
      <w:r>
        <w:rPr>
          <w:rFonts w:ascii="Arial" w:cs="Arial" w:eastAsia="Arial" w:hAnsi="Arial"/>
          <w:sz w:val="19"/>
          <w:szCs w:val="19"/>
          <w:color w:val="0A0A0A"/>
        </w:rPr>
        <w:t>by</w:t>
      </w:r>
      <w:r>
        <w:rPr>
          <w:rFonts w:ascii="Arial" w:cs="Arial" w:eastAsia="Arial" w:hAnsi="Arial"/>
          <w:sz w:val="19"/>
          <w:szCs w:val="19"/>
          <w:color w:val="auto"/>
        </w:rPr>
        <w:t xml:space="preserve"> Tenant continues for </w:t>
      </w:r>
      <w:r>
        <w:rPr>
          <w:rFonts w:ascii="Arial" w:cs="Arial" w:eastAsia="Arial" w:hAnsi="Arial"/>
          <w:sz w:val="19"/>
          <w:szCs w:val="19"/>
          <w:u w:val="single" w:color="auto"/>
          <w:color w:val="auto"/>
        </w:rPr>
        <w:t>[***]</w:t>
      </w:r>
      <w:r>
        <w:rPr>
          <w:rFonts w:ascii="Arial" w:cs="Arial" w:eastAsia="Arial" w:hAnsi="Arial"/>
          <w:sz w:val="19"/>
          <w:szCs w:val="19"/>
          <w:color w:val="auto"/>
        </w:rPr>
        <w:t xml:space="preserve"> days after Landlord delivers notice </w:t>
      </w:r>
      <w:r>
        <w:rPr>
          <w:rFonts w:ascii="Arial" w:cs="Arial" w:eastAsia="Arial" w:hAnsi="Arial"/>
          <w:sz w:val="19"/>
          <w:szCs w:val="19"/>
          <w:color w:val="333333"/>
        </w:rPr>
        <w:t>to</w:t>
      </w:r>
      <w:r>
        <w:rPr>
          <w:rFonts w:ascii="Arial" w:cs="Arial" w:eastAsia="Arial" w:hAnsi="Arial"/>
          <w:sz w:val="19"/>
          <w:szCs w:val="19"/>
          <w:color w:val="auto"/>
        </w:rPr>
        <w:t xml:space="preserve"> Tenant demanding performance </w:t>
      </w:r>
      <w:r>
        <w:rPr>
          <w:rFonts w:ascii="Arial" w:cs="Arial" w:eastAsia="Arial" w:hAnsi="Arial"/>
          <w:sz w:val="19"/>
          <w:szCs w:val="19"/>
          <w:color w:val="0A0A0A"/>
        </w:rPr>
        <w:t>by</w:t>
      </w:r>
      <w:r>
        <w:rPr>
          <w:rFonts w:ascii="Arial" w:cs="Arial" w:eastAsia="Arial" w:hAnsi="Arial"/>
          <w:sz w:val="19"/>
          <w:szCs w:val="19"/>
          <w:color w:val="auto"/>
        </w:rPr>
        <w:t xml:space="preserve"> Tenant; or </w:t>
      </w:r>
      <w:r>
        <w:rPr>
          <w:rFonts w:ascii="Arial" w:cs="Arial" w:eastAsia="Arial" w:hAnsi="Arial"/>
          <w:sz w:val="19"/>
          <w:szCs w:val="19"/>
          <w:u w:val="single" w:color="auto"/>
          <w:color w:val="auto"/>
        </w:rPr>
        <w:t>prov</w:t>
      </w:r>
      <w:r>
        <w:rPr>
          <w:rFonts w:ascii="Arial" w:cs="Arial" w:eastAsia="Arial" w:hAnsi="Arial"/>
          <w:sz w:val="19"/>
          <w:szCs w:val="19"/>
          <w:u w:val="single" w:color="auto"/>
          <w:color w:val="464646"/>
        </w:rPr>
        <w:t>ided</w:t>
      </w:r>
      <w:r>
        <w:rPr>
          <w:rFonts w:ascii="Arial" w:cs="Arial" w:eastAsia="Arial" w:hAnsi="Arial"/>
          <w:sz w:val="19"/>
          <w:szCs w:val="19"/>
          <w:color w:val="auto"/>
        </w:rPr>
        <w:t xml:space="preserve"> </w:t>
      </w:r>
      <w:r>
        <w:rPr>
          <w:rFonts w:ascii="Arial" w:cs="Arial" w:eastAsia="Arial" w:hAnsi="Arial"/>
          <w:sz w:val="19"/>
          <w:szCs w:val="19"/>
          <w:color w:val="464646"/>
        </w:rPr>
        <w:t>t</w:t>
      </w:r>
      <w:r>
        <w:rPr>
          <w:rFonts w:ascii="Arial" w:cs="Arial" w:eastAsia="Arial" w:hAnsi="Arial"/>
          <w:sz w:val="19"/>
          <w:szCs w:val="19"/>
          <w:color w:val="000000"/>
        </w:rPr>
        <w:t>hat</w:t>
      </w:r>
      <w:r>
        <w:rPr>
          <w:rFonts w:ascii="Arial" w:cs="Arial" w:eastAsia="Arial" w:hAnsi="Arial"/>
          <w:sz w:val="19"/>
          <w:szCs w:val="19"/>
          <w:color w:val="464646"/>
        </w:rPr>
        <w:t xml:space="preserve"> </w:t>
      </w:r>
      <w:r>
        <w:rPr>
          <w:rFonts w:ascii="Arial" w:cs="Arial" w:eastAsia="Arial" w:hAnsi="Arial"/>
          <w:sz w:val="19"/>
          <w:szCs w:val="19"/>
          <w:color w:val="333333"/>
        </w:rPr>
        <w:t>suc</w:t>
      </w:r>
      <w:r>
        <w:rPr>
          <w:rFonts w:ascii="Arial" w:cs="Arial" w:eastAsia="Arial" w:hAnsi="Arial"/>
          <w:sz w:val="19"/>
          <w:szCs w:val="19"/>
          <w:color w:val="0A0A0A"/>
        </w:rPr>
        <w:t>h</w:t>
      </w:r>
      <w:r>
        <w:rPr>
          <w:rFonts w:ascii="Arial" w:cs="Arial" w:eastAsia="Arial" w:hAnsi="Arial"/>
          <w:sz w:val="19"/>
          <w:szCs w:val="19"/>
          <w:color w:val="464646"/>
        </w:rPr>
        <w:t xml:space="preserve"> </w:t>
      </w:r>
      <w:r>
        <w:rPr>
          <w:rFonts w:ascii="Arial" w:cs="Arial" w:eastAsia="Arial" w:hAnsi="Arial"/>
          <w:sz w:val="19"/>
          <w:szCs w:val="19"/>
          <w:color w:val="000000"/>
        </w:rPr>
        <w:t>failure by</w:t>
      </w:r>
      <w:r>
        <w:rPr>
          <w:rFonts w:ascii="Arial" w:cs="Arial" w:eastAsia="Arial" w:hAnsi="Arial"/>
          <w:sz w:val="19"/>
          <w:szCs w:val="19"/>
          <w:color w:val="464646"/>
        </w:rPr>
        <w:t xml:space="preserve"> T</w:t>
      </w:r>
      <w:r>
        <w:rPr>
          <w:rFonts w:ascii="Arial" w:cs="Arial" w:eastAsia="Arial" w:hAnsi="Arial"/>
          <w:sz w:val="19"/>
          <w:szCs w:val="19"/>
          <w:color w:val="000000"/>
        </w:rPr>
        <w:t>enant unreasonably interfered</w:t>
      </w:r>
      <w:r>
        <w:rPr>
          <w:rFonts w:ascii="Arial" w:cs="Arial" w:eastAsia="Arial" w:hAnsi="Arial"/>
          <w:sz w:val="19"/>
          <w:szCs w:val="19"/>
          <w:color w:val="464646"/>
        </w:rPr>
        <w:t xml:space="preserve"> </w:t>
      </w:r>
      <w:r>
        <w:rPr>
          <w:rFonts w:ascii="Arial" w:cs="Arial" w:eastAsia="Arial" w:hAnsi="Arial"/>
          <w:sz w:val="19"/>
          <w:szCs w:val="19"/>
          <w:color w:val="333333"/>
        </w:rPr>
        <w:t>with</w:t>
      </w:r>
      <w:r>
        <w:rPr>
          <w:rFonts w:ascii="Arial" w:cs="Arial" w:eastAsia="Arial" w:hAnsi="Arial"/>
          <w:sz w:val="19"/>
          <w:szCs w:val="19"/>
          <w:color w:val="464646"/>
        </w:rPr>
        <w:t xml:space="preserve"> </w:t>
      </w:r>
      <w:r>
        <w:rPr>
          <w:rFonts w:ascii="Arial" w:cs="Arial" w:eastAsia="Arial" w:hAnsi="Arial"/>
          <w:sz w:val="19"/>
          <w:szCs w:val="19"/>
          <w:color w:val="000000"/>
        </w:rPr>
        <w:t>the</w:t>
      </w:r>
      <w:r>
        <w:rPr>
          <w:rFonts w:ascii="Arial" w:cs="Arial" w:eastAsia="Arial" w:hAnsi="Arial"/>
          <w:sz w:val="19"/>
          <w:szCs w:val="19"/>
          <w:color w:val="464646"/>
        </w:rPr>
        <w:t xml:space="preserve"> </w:t>
      </w:r>
      <w:r>
        <w:rPr>
          <w:rFonts w:ascii="Arial" w:cs="Arial" w:eastAsia="Arial" w:hAnsi="Arial"/>
          <w:sz w:val="19"/>
          <w:szCs w:val="19"/>
          <w:color w:val="0A0A0A"/>
        </w:rPr>
        <w:t>u</w:t>
      </w:r>
      <w:r>
        <w:rPr>
          <w:rFonts w:ascii="Arial" w:cs="Arial" w:eastAsia="Arial" w:hAnsi="Arial"/>
          <w:sz w:val="19"/>
          <w:szCs w:val="19"/>
          <w:color w:val="333333"/>
        </w:rPr>
        <w:t>se</w:t>
      </w:r>
      <w:r>
        <w:rPr>
          <w:rFonts w:ascii="Arial" w:cs="Arial" w:eastAsia="Arial" w:hAnsi="Arial"/>
          <w:sz w:val="19"/>
          <w:szCs w:val="19"/>
          <w:color w:val="464646"/>
        </w:rPr>
        <w:t xml:space="preserve"> </w:t>
      </w:r>
      <w:r>
        <w:rPr>
          <w:rFonts w:ascii="Arial" w:cs="Arial" w:eastAsia="Arial" w:hAnsi="Arial"/>
          <w:sz w:val="19"/>
          <w:szCs w:val="19"/>
          <w:color w:val="000000"/>
        </w:rPr>
        <w:t>of the Building or the Project</w:t>
      </w:r>
      <w:r>
        <w:rPr>
          <w:rFonts w:ascii="Arial" w:cs="Arial" w:eastAsia="Arial" w:hAnsi="Arial"/>
          <w:sz w:val="19"/>
          <w:szCs w:val="19"/>
          <w:color w:val="464646"/>
        </w:rPr>
        <w:t xml:space="preserve"> </w:t>
      </w:r>
      <w:r>
        <w:rPr>
          <w:rFonts w:ascii="Arial" w:cs="Arial" w:eastAsia="Arial" w:hAnsi="Arial"/>
          <w:sz w:val="19"/>
          <w:szCs w:val="19"/>
          <w:color w:val="0A0A0A"/>
        </w:rPr>
        <w:t>by</w:t>
      </w:r>
      <w:r>
        <w:rPr>
          <w:rFonts w:ascii="Arial" w:cs="Arial" w:eastAsia="Arial" w:hAnsi="Arial"/>
          <w:sz w:val="19"/>
          <w:szCs w:val="19"/>
          <w:color w:val="464646"/>
        </w:rPr>
        <w:t xml:space="preserve"> </w:t>
      </w:r>
      <w:r>
        <w:rPr>
          <w:rFonts w:ascii="Arial" w:cs="Arial" w:eastAsia="Arial" w:hAnsi="Arial"/>
          <w:sz w:val="19"/>
          <w:szCs w:val="19"/>
          <w:color w:val="333333"/>
        </w:rPr>
        <w:t>any</w:t>
      </w:r>
      <w:r>
        <w:rPr>
          <w:rFonts w:ascii="Arial" w:cs="Arial" w:eastAsia="Arial" w:hAnsi="Arial"/>
          <w:sz w:val="19"/>
          <w:szCs w:val="19"/>
          <w:color w:val="464646"/>
        </w:rPr>
        <w:t xml:space="preserve"> </w:t>
      </w:r>
      <w:r>
        <w:rPr>
          <w:rFonts w:ascii="Arial" w:cs="Arial" w:eastAsia="Arial" w:hAnsi="Arial"/>
          <w:sz w:val="19"/>
          <w:szCs w:val="19"/>
          <w:color w:val="000000"/>
        </w:rPr>
        <w:t>other tenant</w:t>
      </w:r>
      <w:r>
        <w:rPr>
          <w:rFonts w:ascii="Arial" w:cs="Arial" w:eastAsia="Arial" w:hAnsi="Arial"/>
          <w:sz w:val="19"/>
          <w:szCs w:val="19"/>
          <w:color w:val="464646"/>
        </w:rPr>
        <w:t xml:space="preserve"> </w:t>
      </w:r>
      <w:r>
        <w:rPr>
          <w:rFonts w:ascii="Arial" w:cs="Arial" w:eastAsia="Arial" w:hAnsi="Arial"/>
          <w:sz w:val="19"/>
          <w:szCs w:val="19"/>
          <w:color w:val="000000"/>
        </w:rPr>
        <w:t xml:space="preserve">or with the efficient operation of the Building or the Project, or resulted or could have </w:t>
      </w:r>
      <w:r>
        <w:rPr>
          <w:rFonts w:ascii="Arial" w:cs="Arial" w:eastAsia="Arial" w:hAnsi="Arial"/>
          <w:sz w:val="19"/>
          <w:szCs w:val="19"/>
          <w:color w:val="0A0A0A"/>
        </w:rPr>
        <w:t>resulted</w:t>
      </w:r>
      <w:r>
        <w:rPr>
          <w:rFonts w:ascii="Arial" w:cs="Arial" w:eastAsia="Arial" w:hAnsi="Arial"/>
          <w:sz w:val="19"/>
          <w:szCs w:val="19"/>
          <w:color w:val="000000"/>
        </w:rPr>
        <w:t xml:space="preserve"> in </w:t>
      </w:r>
      <w:r>
        <w:rPr>
          <w:rFonts w:ascii="Arial" w:cs="Arial" w:eastAsia="Arial" w:hAnsi="Arial"/>
          <w:sz w:val="19"/>
          <w:szCs w:val="19"/>
          <w:color w:val="333333"/>
        </w:rPr>
        <w:t>a v</w:t>
      </w:r>
      <w:r>
        <w:rPr>
          <w:rFonts w:ascii="Arial" w:cs="Arial" w:eastAsia="Arial" w:hAnsi="Arial"/>
          <w:sz w:val="19"/>
          <w:szCs w:val="19"/>
          <w:color w:val="0A0A0A"/>
        </w:rPr>
        <w:t>iolation</w:t>
      </w:r>
      <w:r>
        <w:rPr>
          <w:rFonts w:ascii="Arial" w:cs="Arial" w:eastAsia="Arial" w:hAnsi="Arial"/>
          <w:sz w:val="19"/>
          <w:szCs w:val="19"/>
          <w:color w:val="000000"/>
        </w:rPr>
        <w:t xml:space="preserve"> of Applicable Laws or the cancellation of an </w:t>
      </w:r>
      <w:r>
        <w:rPr>
          <w:rFonts w:ascii="Arial" w:cs="Arial" w:eastAsia="Arial" w:hAnsi="Arial"/>
          <w:sz w:val="19"/>
          <w:szCs w:val="19"/>
          <w:color w:val="0A0A0A"/>
        </w:rPr>
        <w:t>in</w:t>
      </w:r>
      <w:r>
        <w:rPr>
          <w:rFonts w:ascii="Arial" w:cs="Arial" w:eastAsia="Arial" w:hAnsi="Arial"/>
          <w:sz w:val="19"/>
          <w:szCs w:val="19"/>
          <w:color w:val="333333"/>
        </w:rPr>
        <w:t>s</w:t>
      </w:r>
      <w:r>
        <w:rPr>
          <w:rFonts w:ascii="Arial" w:cs="Arial" w:eastAsia="Arial" w:hAnsi="Arial"/>
          <w:sz w:val="19"/>
          <w:szCs w:val="19"/>
          <w:color w:val="0A0A0A"/>
        </w:rPr>
        <w:t>uranc</w:t>
      </w:r>
      <w:r>
        <w:rPr>
          <w:rFonts w:ascii="Arial" w:cs="Arial" w:eastAsia="Arial" w:hAnsi="Arial"/>
          <w:sz w:val="19"/>
          <w:szCs w:val="19"/>
          <w:color w:val="333333"/>
        </w:rPr>
        <w:t>e</w:t>
      </w:r>
      <w:r>
        <w:rPr>
          <w:rFonts w:ascii="Arial" w:cs="Arial" w:eastAsia="Arial" w:hAnsi="Arial"/>
          <w:sz w:val="19"/>
          <w:szCs w:val="19"/>
          <w:color w:val="000000"/>
        </w:rPr>
        <w:t xml:space="preserve"> policy maintained by Landlord. </w:t>
      </w:r>
      <w:r>
        <w:rPr>
          <w:rFonts w:ascii="Arial" w:cs="Arial" w:eastAsia="Arial" w:hAnsi="Arial"/>
          <w:sz w:val="19"/>
          <w:szCs w:val="19"/>
          <w:color w:val="333333"/>
        </w:rPr>
        <w:t>Notwiths</w:t>
      </w:r>
      <w:r>
        <w:rPr>
          <w:rFonts w:ascii="Arial" w:cs="Arial" w:eastAsia="Arial" w:hAnsi="Arial"/>
          <w:sz w:val="19"/>
          <w:szCs w:val="19"/>
          <w:color w:val="0A0A0A"/>
        </w:rPr>
        <w:t>tanding</w:t>
      </w:r>
      <w:r>
        <w:rPr>
          <w:rFonts w:ascii="Arial" w:cs="Arial" w:eastAsia="Arial" w:hAnsi="Arial"/>
          <w:sz w:val="19"/>
          <w:szCs w:val="19"/>
          <w:color w:val="000000"/>
        </w:rPr>
        <w:t xml:space="preserve"> </w:t>
      </w:r>
      <w:r>
        <w:rPr>
          <w:rFonts w:ascii="Arial" w:cs="Arial" w:eastAsia="Arial" w:hAnsi="Arial"/>
          <w:sz w:val="19"/>
          <w:szCs w:val="19"/>
          <w:color w:val="333333"/>
        </w:rPr>
        <w:t>the</w:t>
      </w:r>
      <w:r>
        <w:rPr>
          <w:rFonts w:ascii="Arial" w:cs="Arial" w:eastAsia="Arial" w:hAnsi="Arial"/>
          <w:sz w:val="19"/>
          <w:szCs w:val="19"/>
          <w:color w:val="000000"/>
        </w:rPr>
        <w:t xml:space="preserve"> foregoing, in the event of an emergency, Landlord </w:t>
      </w:r>
      <w:r>
        <w:rPr>
          <w:rFonts w:ascii="Arial" w:cs="Arial" w:eastAsia="Arial" w:hAnsi="Arial"/>
          <w:sz w:val="19"/>
          <w:szCs w:val="19"/>
          <w:color w:val="333333"/>
        </w:rPr>
        <w:t>s</w:t>
      </w:r>
      <w:r>
        <w:rPr>
          <w:rFonts w:ascii="Arial" w:cs="Arial" w:eastAsia="Arial" w:hAnsi="Arial"/>
          <w:sz w:val="19"/>
          <w:szCs w:val="19"/>
          <w:color w:val="0A0A0A"/>
        </w:rPr>
        <w:t>hall</w:t>
      </w:r>
      <w:r>
        <w:rPr>
          <w:rFonts w:ascii="Arial" w:cs="Arial" w:eastAsia="Arial" w:hAnsi="Arial"/>
          <w:sz w:val="19"/>
          <w:szCs w:val="19"/>
          <w:color w:val="000000"/>
        </w:rPr>
        <w:t xml:space="preserve"> have </w:t>
      </w:r>
      <w:r>
        <w:rPr>
          <w:rFonts w:ascii="Arial" w:cs="Arial" w:eastAsia="Arial" w:hAnsi="Arial"/>
          <w:sz w:val="19"/>
          <w:szCs w:val="19"/>
          <w:color w:val="333333"/>
        </w:rPr>
        <w:t>the righ</w:t>
      </w:r>
      <w:r>
        <w:rPr>
          <w:rFonts w:ascii="Arial" w:cs="Arial" w:eastAsia="Arial" w:hAnsi="Arial"/>
          <w:sz w:val="19"/>
          <w:szCs w:val="19"/>
          <w:color w:val="0A0A0A"/>
        </w:rPr>
        <w:t>t</w:t>
      </w:r>
      <w:r>
        <w:rPr>
          <w:rFonts w:ascii="Arial" w:cs="Arial" w:eastAsia="Arial" w:hAnsi="Arial"/>
          <w:sz w:val="19"/>
          <w:szCs w:val="19"/>
          <w:color w:val="000000"/>
        </w:rPr>
        <w:t xml:space="preserve"> to enter </w:t>
      </w:r>
      <w:r>
        <w:rPr>
          <w:rFonts w:ascii="Arial" w:cs="Arial" w:eastAsia="Arial" w:hAnsi="Arial"/>
          <w:sz w:val="19"/>
          <w:szCs w:val="19"/>
          <w:color w:val="333333"/>
        </w:rPr>
        <w:t>the</w:t>
      </w:r>
      <w:r>
        <w:rPr>
          <w:rFonts w:ascii="Arial" w:cs="Arial" w:eastAsia="Arial" w:hAnsi="Arial"/>
          <w:sz w:val="19"/>
          <w:szCs w:val="19"/>
          <w:color w:val="000000"/>
        </w:rPr>
        <w:t xml:space="preserve"> Premises and act </w:t>
      </w:r>
      <w:r>
        <w:rPr>
          <w:rFonts w:ascii="Arial" w:cs="Arial" w:eastAsia="Arial" w:hAnsi="Arial"/>
          <w:sz w:val="19"/>
          <w:szCs w:val="19"/>
          <w:color w:val="0A0A0A"/>
        </w:rPr>
        <w:t>in</w:t>
      </w:r>
      <w:r>
        <w:rPr>
          <w:rFonts w:ascii="Arial" w:cs="Arial" w:eastAsia="Arial" w:hAnsi="Arial"/>
          <w:sz w:val="19"/>
          <w:szCs w:val="19"/>
          <w:color w:val="000000"/>
        </w:rPr>
        <w:t xml:space="preserve"> accordance with </w:t>
      </w:r>
      <w:r>
        <w:rPr>
          <w:rFonts w:ascii="Arial" w:cs="Arial" w:eastAsia="Arial" w:hAnsi="Arial"/>
          <w:sz w:val="19"/>
          <w:szCs w:val="19"/>
          <w:color w:val="0A0A0A"/>
        </w:rPr>
        <w:t>its</w:t>
      </w:r>
      <w:r>
        <w:rPr>
          <w:rFonts w:ascii="Arial" w:cs="Arial" w:eastAsia="Arial" w:hAnsi="Arial"/>
          <w:sz w:val="19"/>
          <w:szCs w:val="19"/>
          <w:color w:val="000000"/>
        </w:rPr>
        <w:t xml:space="preserve"> rights as provided elsewhere </w:t>
      </w:r>
      <w:r>
        <w:rPr>
          <w:rFonts w:ascii="Arial" w:cs="Arial" w:eastAsia="Arial" w:hAnsi="Arial"/>
          <w:sz w:val="19"/>
          <w:szCs w:val="19"/>
          <w:color w:val="0A0A0A"/>
        </w:rPr>
        <w:t>in</w:t>
      </w:r>
      <w:r>
        <w:rPr>
          <w:rFonts w:ascii="Arial" w:cs="Arial" w:eastAsia="Arial" w:hAnsi="Arial"/>
          <w:sz w:val="19"/>
          <w:szCs w:val="19"/>
          <w:color w:val="000000"/>
        </w:rPr>
        <w:t xml:space="preserve"> this Lease. In addition to </w:t>
      </w:r>
      <w:r>
        <w:rPr>
          <w:rFonts w:ascii="Arial" w:cs="Arial" w:eastAsia="Arial" w:hAnsi="Arial"/>
          <w:sz w:val="19"/>
          <w:szCs w:val="19"/>
          <w:color w:val="0A0A0A"/>
        </w:rPr>
        <w:t>the late</w:t>
      </w:r>
      <w:r>
        <w:rPr>
          <w:rFonts w:ascii="Arial" w:cs="Arial" w:eastAsia="Arial" w:hAnsi="Arial"/>
          <w:sz w:val="19"/>
          <w:szCs w:val="19"/>
          <w:color w:val="000000"/>
        </w:rPr>
        <w:t xml:space="preserve"> charge described in </w:t>
      </w:r>
      <w:r>
        <w:rPr>
          <w:rFonts w:ascii="Arial" w:cs="Arial" w:eastAsia="Arial" w:hAnsi="Arial"/>
          <w:sz w:val="19"/>
          <w:szCs w:val="19"/>
          <w:u w:val="single" w:color="auto"/>
          <w:color w:val="000000"/>
        </w:rPr>
        <w:t>Section 31.</w:t>
      </w:r>
      <w:r>
        <w:rPr>
          <w:rFonts w:ascii="Arial" w:cs="Arial" w:eastAsia="Arial" w:hAnsi="Arial"/>
          <w:sz w:val="19"/>
          <w:szCs w:val="19"/>
          <w:u w:val="single" w:color="auto"/>
          <w:color w:val="464646"/>
        </w:rPr>
        <w:t>1</w:t>
      </w:r>
      <w:r>
        <w:rPr>
          <w:rFonts w:ascii="Arial" w:cs="Arial" w:eastAsia="Arial" w:hAnsi="Arial"/>
          <w:sz w:val="19"/>
          <w:szCs w:val="19"/>
          <w:color w:val="000000"/>
        </w:rPr>
        <w:t xml:space="preserve">, </w:t>
      </w:r>
      <w:r>
        <w:rPr>
          <w:rFonts w:ascii="Arial" w:cs="Arial" w:eastAsia="Arial" w:hAnsi="Arial"/>
          <w:sz w:val="19"/>
          <w:szCs w:val="19"/>
          <w:color w:val="333333"/>
        </w:rPr>
        <w:t>Tenant</w:t>
      </w:r>
      <w:r>
        <w:rPr>
          <w:rFonts w:ascii="Arial" w:cs="Arial" w:eastAsia="Arial" w:hAnsi="Arial"/>
          <w:sz w:val="19"/>
          <w:szCs w:val="19"/>
          <w:color w:val="000000"/>
        </w:rPr>
        <w:t xml:space="preserve"> </w:t>
      </w:r>
      <w:r>
        <w:rPr>
          <w:rFonts w:ascii="Arial" w:cs="Arial" w:eastAsia="Arial" w:hAnsi="Arial"/>
          <w:sz w:val="19"/>
          <w:szCs w:val="19"/>
          <w:color w:val="333333"/>
        </w:rPr>
        <w:t>s</w:t>
      </w:r>
      <w:r>
        <w:rPr>
          <w:rFonts w:ascii="Arial" w:cs="Arial" w:eastAsia="Arial" w:hAnsi="Arial"/>
          <w:sz w:val="19"/>
          <w:szCs w:val="19"/>
          <w:color w:val="0A0A0A"/>
        </w:rPr>
        <w:t>h</w:t>
      </w:r>
      <w:r>
        <w:rPr>
          <w:rFonts w:ascii="Arial" w:cs="Arial" w:eastAsia="Arial" w:hAnsi="Arial"/>
          <w:sz w:val="19"/>
          <w:szCs w:val="19"/>
          <w:color w:val="333333"/>
        </w:rPr>
        <w:t xml:space="preserve">all </w:t>
      </w:r>
      <w:r>
        <w:rPr>
          <w:rFonts w:ascii="Arial" w:cs="Arial" w:eastAsia="Arial" w:hAnsi="Arial"/>
          <w:sz w:val="19"/>
          <w:szCs w:val="19"/>
          <w:color w:val="000000"/>
        </w:rPr>
        <w:t>pay to Landlord as Additional Rent</w:t>
      </w:r>
      <w:r>
        <w:rPr>
          <w:rFonts w:ascii="Arial" w:cs="Arial" w:eastAsia="Arial" w:hAnsi="Arial"/>
          <w:sz w:val="19"/>
          <w:szCs w:val="19"/>
          <w:color w:val="333333"/>
        </w:rPr>
        <w:t xml:space="preserve"> a</w:t>
      </w:r>
      <w:r>
        <w:rPr>
          <w:rFonts w:ascii="Arial" w:cs="Arial" w:eastAsia="Arial" w:hAnsi="Arial"/>
          <w:sz w:val="19"/>
          <w:szCs w:val="19"/>
          <w:color w:val="0A0A0A"/>
        </w:rPr>
        <w:t>ll</w:t>
      </w:r>
      <w:r>
        <w:rPr>
          <w:rFonts w:ascii="Arial" w:cs="Arial" w:eastAsia="Arial" w:hAnsi="Arial"/>
          <w:sz w:val="19"/>
          <w:szCs w:val="19"/>
          <w:color w:val="333333"/>
        </w:rPr>
        <w:t xml:space="preserve"> sums so </w:t>
      </w:r>
      <w:r>
        <w:rPr>
          <w:rFonts w:ascii="Arial" w:cs="Arial" w:eastAsia="Arial" w:hAnsi="Arial"/>
          <w:sz w:val="19"/>
          <w:szCs w:val="19"/>
          <w:color w:val="000000"/>
        </w:rPr>
        <w:t>paid or incurred</w:t>
      </w:r>
      <w:r>
        <w:rPr>
          <w:rFonts w:ascii="Arial" w:cs="Arial" w:eastAsia="Arial" w:hAnsi="Arial"/>
          <w:sz w:val="19"/>
          <w:szCs w:val="19"/>
          <w:color w:val="333333"/>
        </w:rPr>
        <w:t xml:space="preserve"> </w:t>
      </w:r>
      <w:r>
        <w:rPr>
          <w:rFonts w:ascii="Arial" w:cs="Arial" w:eastAsia="Arial" w:hAnsi="Arial"/>
          <w:sz w:val="19"/>
          <w:szCs w:val="19"/>
          <w:color w:val="0A0A0A"/>
        </w:rPr>
        <w:t>b</w:t>
      </w:r>
      <w:r>
        <w:rPr>
          <w:rFonts w:ascii="Arial" w:cs="Arial" w:eastAsia="Arial" w:hAnsi="Arial"/>
          <w:sz w:val="19"/>
          <w:szCs w:val="19"/>
          <w:color w:val="333333"/>
        </w:rPr>
        <w:t xml:space="preserve">y Landlord, </w:t>
      </w:r>
      <w:r>
        <w:rPr>
          <w:rFonts w:ascii="Arial" w:cs="Arial" w:eastAsia="Arial" w:hAnsi="Arial"/>
          <w:sz w:val="19"/>
          <w:szCs w:val="19"/>
          <w:color w:val="000000"/>
        </w:rPr>
        <w:t>together</w:t>
      </w:r>
      <w:r>
        <w:rPr>
          <w:rFonts w:ascii="Arial" w:cs="Arial" w:eastAsia="Arial" w:hAnsi="Arial"/>
          <w:sz w:val="19"/>
          <w:szCs w:val="19"/>
          <w:color w:val="333333"/>
        </w:rPr>
        <w:t xml:space="preserve"> with </w:t>
      </w:r>
      <w:r>
        <w:rPr>
          <w:rFonts w:ascii="Arial" w:cs="Arial" w:eastAsia="Arial" w:hAnsi="Arial"/>
          <w:sz w:val="19"/>
          <w:szCs w:val="19"/>
          <w:color w:val="000000"/>
        </w:rPr>
        <w:t>interest at the</w:t>
      </w:r>
      <w:r>
        <w:rPr>
          <w:rFonts w:ascii="Arial" w:cs="Arial" w:eastAsia="Arial" w:hAnsi="Arial"/>
          <w:sz w:val="19"/>
          <w:szCs w:val="19"/>
          <w:color w:val="333333"/>
        </w:rPr>
        <w:t xml:space="preserve"> </w:t>
      </w:r>
      <w:r>
        <w:rPr>
          <w:rFonts w:ascii="Arial" w:cs="Arial" w:eastAsia="Arial" w:hAnsi="Arial"/>
          <w:sz w:val="19"/>
          <w:szCs w:val="19"/>
          <w:color w:val="000000"/>
        </w:rPr>
        <w:t xml:space="preserve">Default Rate, computed from </w:t>
      </w:r>
      <w:r>
        <w:rPr>
          <w:rFonts w:ascii="Arial" w:cs="Arial" w:eastAsia="Arial" w:hAnsi="Arial"/>
          <w:sz w:val="19"/>
          <w:szCs w:val="19"/>
          <w:color w:val="333333"/>
        </w:rPr>
        <w:t>t</w:t>
      </w:r>
      <w:r>
        <w:rPr>
          <w:rFonts w:ascii="Arial" w:cs="Arial" w:eastAsia="Arial" w:hAnsi="Arial"/>
          <w:sz w:val="19"/>
          <w:szCs w:val="19"/>
          <w:color w:val="0A0A0A"/>
        </w:rPr>
        <w:t>he</w:t>
      </w:r>
      <w:r>
        <w:rPr>
          <w:rFonts w:ascii="Arial" w:cs="Arial" w:eastAsia="Arial" w:hAnsi="Arial"/>
          <w:sz w:val="19"/>
          <w:szCs w:val="19"/>
          <w:color w:val="000000"/>
        </w:rPr>
        <w:t xml:space="preserve"> date </w:t>
      </w:r>
      <w:r>
        <w:rPr>
          <w:rFonts w:ascii="Arial" w:cs="Arial" w:eastAsia="Arial" w:hAnsi="Arial"/>
          <w:sz w:val="19"/>
          <w:szCs w:val="19"/>
          <w:color w:val="333333"/>
        </w:rPr>
        <w:t>such</w:t>
      </w:r>
      <w:r>
        <w:rPr>
          <w:rFonts w:ascii="Arial" w:cs="Arial" w:eastAsia="Arial" w:hAnsi="Arial"/>
          <w:sz w:val="19"/>
          <w:szCs w:val="19"/>
          <w:color w:val="000000"/>
        </w:rPr>
        <w:t xml:space="preserve"> sums were paid or </w:t>
      </w:r>
      <w:r>
        <w:rPr>
          <w:rFonts w:ascii="Arial" w:cs="Arial" w:eastAsia="Arial" w:hAnsi="Arial"/>
          <w:sz w:val="19"/>
          <w:szCs w:val="19"/>
          <w:color w:val="0A0A0A"/>
        </w:rPr>
        <w:t>incurr</w:t>
      </w:r>
      <w:r>
        <w:rPr>
          <w:rFonts w:ascii="Arial" w:cs="Arial" w:eastAsia="Arial" w:hAnsi="Arial"/>
          <w:sz w:val="19"/>
          <w:szCs w:val="19"/>
          <w:color w:val="333333"/>
        </w:rPr>
        <w: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01" w:right="339" w:bottom="1440" w:gutter="0" w:footer="0" w:header="0"/>
        </w:sectPr>
      </w:pPr>
    </w:p>
    <w:bookmarkStart w:id="358" w:name="page359"/>
    <w:bookmarkEnd w:id="358"/>
    <w:p>
      <w:pPr>
        <w:ind w:left="660"/>
        <w:spacing w:after="0"/>
        <w:tabs>
          <w:tab w:leader="none" w:pos="128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color w:val="auto"/>
        </w:rPr>
        <w:t xml:space="preserve">The occurrence of any one or </w:t>
      </w:r>
      <w:r>
        <w:rPr>
          <w:rFonts w:ascii="Arial" w:cs="Arial" w:eastAsia="Arial" w:hAnsi="Arial"/>
          <w:sz w:val="19"/>
          <w:szCs w:val="19"/>
          <w:color w:val="0A0A0A"/>
        </w:rPr>
        <w:t>more</w:t>
      </w:r>
      <w:r>
        <w:rPr>
          <w:rFonts w:ascii="Arial" w:cs="Arial" w:eastAsia="Arial" w:hAnsi="Arial"/>
          <w:sz w:val="19"/>
          <w:szCs w:val="19"/>
          <w:color w:val="auto"/>
        </w:rPr>
        <w:t xml:space="preserve"> of the following events </w:t>
      </w:r>
      <w:r>
        <w:rPr>
          <w:rFonts w:ascii="Arial" w:cs="Arial" w:eastAsia="Arial" w:hAnsi="Arial"/>
          <w:sz w:val="19"/>
          <w:szCs w:val="19"/>
          <w:color w:val="333333"/>
        </w:rPr>
        <w:t>shall</w:t>
      </w:r>
      <w:r>
        <w:rPr>
          <w:rFonts w:ascii="Arial" w:cs="Arial" w:eastAsia="Arial" w:hAnsi="Arial"/>
          <w:sz w:val="19"/>
          <w:szCs w:val="19"/>
          <w:color w:val="auto"/>
        </w:rPr>
        <w:t xml:space="preserve"> constitute a “</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w:t>
      </w:r>
      <w:r>
        <w:rPr>
          <w:rFonts w:ascii="Arial" w:cs="Arial" w:eastAsia="Arial" w:hAnsi="Arial"/>
          <w:sz w:val="19"/>
          <w:szCs w:val="19"/>
          <w:color w:val="0A0A0A"/>
        </w:rPr>
        <w:t>he</w:t>
      </w:r>
      <w:r>
        <w:rPr>
          <w:rFonts w:ascii="Arial" w:cs="Arial" w:eastAsia="Arial" w:hAnsi="Arial"/>
          <w:sz w:val="19"/>
          <w:szCs w:val="19"/>
          <w:color w:val="333333"/>
        </w:rPr>
        <w:t>reunder</w:t>
      </w:r>
      <w:r>
        <w:rPr>
          <w:rFonts w:ascii="Arial" w:cs="Arial" w:eastAsia="Arial" w:hAnsi="Arial"/>
          <w:sz w:val="19"/>
          <w:szCs w:val="19"/>
          <w:color w:val="auto"/>
        </w:rPr>
        <w:t xml:space="preserve"> </w:t>
      </w:r>
      <w:r>
        <w:rPr>
          <w:rFonts w:ascii="Arial" w:cs="Arial" w:eastAsia="Arial" w:hAnsi="Arial"/>
          <w:sz w:val="19"/>
          <w:szCs w:val="19"/>
          <w:color w:val="0A0A0A"/>
        </w:rPr>
        <w:t>b</w:t>
      </w:r>
      <w:r>
        <w:rPr>
          <w:rFonts w:ascii="Arial" w:cs="Arial" w:eastAsia="Arial" w:hAnsi="Arial"/>
          <w:sz w:val="19"/>
          <w:szCs w:val="19"/>
          <w:color w:val="333333"/>
        </w:rPr>
        <w:t>y</w:t>
      </w:r>
      <w:r>
        <w:rPr>
          <w:rFonts w:ascii="Arial" w:cs="Arial" w:eastAsia="Arial" w:hAnsi="Arial"/>
          <w:sz w:val="19"/>
          <w:szCs w:val="19"/>
          <w:color w:val="auto"/>
        </w:rPr>
        <w:t xml:space="preserve"> Tenant:</w:t>
      </w:r>
    </w:p>
    <w:p>
      <w:pPr>
        <w:spacing w:after="0" w:line="179" w:lineRule="exact"/>
        <w:rPr>
          <w:sz w:val="20"/>
          <w:szCs w:val="20"/>
          <w:color w:val="auto"/>
        </w:rPr>
      </w:pPr>
    </w:p>
    <w:p>
      <w:pPr>
        <w:jc w:val="both"/>
        <w:ind w:left="1960" w:hanging="647"/>
        <w:spacing w:after="0" w:line="232" w:lineRule="auto"/>
        <w:rPr>
          <w:sz w:val="20"/>
          <w:szCs w:val="20"/>
          <w:color w:val="auto"/>
        </w:rPr>
      </w:pPr>
      <w:r>
        <w:rPr>
          <w:rFonts w:ascii="Arial" w:cs="Arial" w:eastAsia="Arial" w:hAnsi="Arial"/>
          <w:sz w:val="22"/>
          <w:szCs w:val="22"/>
          <w:color w:val="auto"/>
        </w:rPr>
        <w:t xml:space="preserve">31.4.1. Tenant abandons or vacates </w:t>
      </w:r>
      <w:r>
        <w:rPr>
          <w:rFonts w:ascii="Arial" w:cs="Arial" w:eastAsia="Arial" w:hAnsi="Arial"/>
          <w:sz w:val="22"/>
          <w:szCs w:val="22"/>
          <w:color w:val="131313"/>
        </w:rPr>
        <w:t>the Premises</w:t>
      </w:r>
      <w:r>
        <w:rPr>
          <w:rFonts w:ascii="Arial" w:cs="Arial" w:eastAsia="Arial" w:hAnsi="Arial"/>
          <w:sz w:val="22"/>
          <w:szCs w:val="22"/>
          <w:color w:val="auto"/>
        </w:rPr>
        <w:t xml:space="preserve"> and fails </w:t>
      </w:r>
      <w:r>
        <w:rPr>
          <w:rFonts w:ascii="Arial" w:cs="Arial" w:eastAsia="Arial" w:hAnsi="Arial"/>
          <w:sz w:val="22"/>
          <w:szCs w:val="22"/>
          <w:color w:val="131313"/>
        </w:rPr>
        <w:t>to</w:t>
      </w:r>
      <w:r>
        <w:rPr>
          <w:rFonts w:ascii="Arial" w:cs="Arial" w:eastAsia="Arial" w:hAnsi="Arial"/>
          <w:sz w:val="22"/>
          <w:szCs w:val="22"/>
          <w:color w:val="auto"/>
        </w:rPr>
        <w:t xml:space="preserve"> provide for </w:t>
      </w:r>
      <w:r>
        <w:rPr>
          <w:rFonts w:ascii="Arial" w:cs="Arial" w:eastAsia="Arial" w:hAnsi="Arial"/>
          <w:sz w:val="22"/>
          <w:szCs w:val="22"/>
          <w:color w:val="3A3A3A"/>
        </w:rPr>
        <w:t>the</w:t>
      </w:r>
      <w:r>
        <w:rPr>
          <w:rFonts w:ascii="Arial" w:cs="Arial" w:eastAsia="Arial" w:hAnsi="Arial"/>
          <w:sz w:val="22"/>
          <w:szCs w:val="22"/>
          <w:color w:val="auto"/>
        </w:rPr>
        <w:t xml:space="preserve"> </w:t>
      </w:r>
      <w:r>
        <w:rPr>
          <w:rFonts w:ascii="Arial" w:cs="Arial" w:eastAsia="Arial" w:hAnsi="Arial"/>
          <w:sz w:val="22"/>
          <w:szCs w:val="22"/>
          <w:color w:val="131313"/>
        </w:rPr>
        <w:t>on-going maintenance</w:t>
      </w:r>
      <w:r>
        <w:rPr>
          <w:rFonts w:ascii="Arial" w:cs="Arial" w:eastAsia="Arial" w:hAnsi="Arial"/>
          <w:sz w:val="22"/>
          <w:szCs w:val="22"/>
          <w:color w:val="auto"/>
        </w:rPr>
        <w:t xml:space="preserve"> and </w:t>
      </w:r>
      <w:r>
        <w:rPr>
          <w:rFonts w:ascii="Arial" w:cs="Arial" w:eastAsia="Arial" w:hAnsi="Arial"/>
          <w:sz w:val="22"/>
          <w:szCs w:val="22"/>
          <w:color w:val="131313"/>
        </w:rPr>
        <w:t>repair</w:t>
      </w:r>
      <w:r>
        <w:rPr>
          <w:rFonts w:ascii="Arial" w:cs="Arial" w:eastAsia="Arial" w:hAnsi="Arial"/>
          <w:sz w:val="22"/>
          <w:szCs w:val="22"/>
          <w:color w:val="auto"/>
        </w:rPr>
        <w:t xml:space="preserve"> of the Premises </w:t>
      </w:r>
      <w:r>
        <w:rPr>
          <w:rFonts w:ascii="Arial" w:cs="Arial" w:eastAsia="Arial" w:hAnsi="Arial"/>
          <w:sz w:val="22"/>
          <w:szCs w:val="22"/>
          <w:color w:val="3A3A3A"/>
        </w:rPr>
        <w:t>in</w:t>
      </w:r>
      <w:r>
        <w:rPr>
          <w:rFonts w:ascii="Arial" w:cs="Arial" w:eastAsia="Arial" w:hAnsi="Arial"/>
          <w:sz w:val="22"/>
          <w:szCs w:val="22"/>
          <w:color w:val="auto"/>
        </w:rPr>
        <w:t xml:space="preserve"> accordance with Tenant’s </w:t>
      </w:r>
      <w:r>
        <w:rPr>
          <w:rFonts w:ascii="Arial" w:cs="Arial" w:eastAsia="Arial" w:hAnsi="Arial"/>
          <w:sz w:val="22"/>
          <w:szCs w:val="22"/>
          <w:color w:val="131313"/>
        </w:rPr>
        <w:t>obligations pursuant</w:t>
      </w:r>
      <w:r>
        <w:rPr>
          <w:rFonts w:ascii="Arial" w:cs="Arial" w:eastAsia="Arial" w:hAnsi="Arial"/>
          <w:sz w:val="22"/>
          <w:szCs w:val="22"/>
          <w:color w:val="auto"/>
        </w:rPr>
        <w:t xml:space="preserve"> to this </w:t>
      </w:r>
      <w:r>
        <w:rPr>
          <w:rFonts w:ascii="Arial" w:cs="Arial" w:eastAsia="Arial" w:hAnsi="Arial"/>
          <w:sz w:val="22"/>
          <w:szCs w:val="22"/>
          <w:color w:val="131313"/>
        </w:rPr>
        <w:t>Lease;</w:t>
      </w:r>
    </w:p>
    <w:p>
      <w:pPr>
        <w:spacing w:after="0" w:line="159" w:lineRule="exact"/>
        <w:rPr>
          <w:sz w:val="20"/>
          <w:szCs w:val="20"/>
          <w:color w:val="auto"/>
        </w:rPr>
      </w:pPr>
    </w:p>
    <w:p>
      <w:pPr>
        <w:jc w:val="both"/>
        <w:ind w:left="1960" w:hanging="647"/>
        <w:spacing w:after="0" w:line="223" w:lineRule="auto"/>
        <w:rPr>
          <w:sz w:val="20"/>
          <w:szCs w:val="20"/>
          <w:color w:val="auto"/>
        </w:rPr>
      </w:pPr>
      <w:r>
        <w:rPr>
          <w:rFonts w:ascii="Arial" w:cs="Arial" w:eastAsia="Arial" w:hAnsi="Arial"/>
          <w:sz w:val="22"/>
          <w:szCs w:val="22"/>
          <w:color w:val="auto"/>
        </w:rPr>
        <w:t xml:space="preserve">31.4.2. </w:t>
      </w:r>
      <w:r>
        <w:rPr>
          <w:rFonts w:ascii="Arial" w:cs="Arial" w:eastAsia="Arial" w:hAnsi="Arial"/>
          <w:sz w:val="22"/>
          <w:szCs w:val="22"/>
          <w:color w:val="131313"/>
        </w:rPr>
        <w:t>The</w:t>
      </w:r>
      <w:r>
        <w:rPr>
          <w:rFonts w:ascii="Arial" w:cs="Arial" w:eastAsia="Arial" w:hAnsi="Arial"/>
          <w:sz w:val="22"/>
          <w:szCs w:val="22"/>
          <w:color w:val="auto"/>
        </w:rPr>
        <w:t xml:space="preserve"> </w:t>
      </w:r>
      <w:r>
        <w:rPr>
          <w:rFonts w:ascii="Arial" w:cs="Arial" w:eastAsia="Arial" w:hAnsi="Arial"/>
          <w:sz w:val="22"/>
          <w:szCs w:val="22"/>
          <w:color w:val="3A3A3A"/>
        </w:rPr>
        <w:t>failure</w:t>
      </w:r>
      <w:r>
        <w:rPr>
          <w:rFonts w:ascii="Arial" w:cs="Arial" w:eastAsia="Arial" w:hAnsi="Arial"/>
          <w:sz w:val="22"/>
          <w:szCs w:val="22"/>
          <w:color w:val="auto"/>
        </w:rPr>
        <w:t xml:space="preserve"> </w:t>
      </w:r>
      <w:r>
        <w:rPr>
          <w:rFonts w:ascii="Arial" w:cs="Arial" w:eastAsia="Arial" w:hAnsi="Arial"/>
          <w:sz w:val="22"/>
          <w:szCs w:val="22"/>
          <w:color w:val="131313"/>
        </w:rPr>
        <w:t>by Tenant to</w:t>
      </w:r>
      <w:r>
        <w:rPr>
          <w:rFonts w:ascii="Arial" w:cs="Arial" w:eastAsia="Arial" w:hAnsi="Arial"/>
          <w:sz w:val="22"/>
          <w:szCs w:val="22"/>
          <w:color w:val="auto"/>
        </w:rPr>
        <w:t xml:space="preserve"> make any </w:t>
      </w:r>
      <w:r>
        <w:rPr>
          <w:rFonts w:ascii="Arial" w:cs="Arial" w:eastAsia="Arial" w:hAnsi="Arial"/>
          <w:sz w:val="22"/>
          <w:szCs w:val="22"/>
          <w:color w:val="131313"/>
        </w:rPr>
        <w:t>payment</w:t>
      </w:r>
      <w:r>
        <w:rPr>
          <w:rFonts w:ascii="Arial" w:cs="Arial" w:eastAsia="Arial" w:hAnsi="Arial"/>
          <w:sz w:val="22"/>
          <w:szCs w:val="22"/>
          <w:color w:val="auto"/>
        </w:rPr>
        <w:t xml:space="preserve"> of Rent, as and when </w:t>
      </w:r>
      <w:r>
        <w:rPr>
          <w:rFonts w:ascii="Arial" w:cs="Arial" w:eastAsia="Arial" w:hAnsi="Arial"/>
          <w:sz w:val="22"/>
          <w:szCs w:val="22"/>
          <w:color w:val="131313"/>
        </w:rPr>
        <w:t>due,</w:t>
      </w:r>
      <w:r>
        <w:rPr>
          <w:rFonts w:ascii="Arial" w:cs="Arial" w:eastAsia="Arial" w:hAnsi="Arial"/>
          <w:sz w:val="22"/>
          <w:szCs w:val="22"/>
          <w:color w:val="auto"/>
        </w:rPr>
        <w:t xml:space="preserve"> or to satisfy its obligations under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131313"/>
        </w:rPr>
        <w:t>19</w:t>
      </w:r>
      <w:r>
        <w:rPr>
          <w:rFonts w:ascii="Arial" w:cs="Arial" w:eastAsia="Arial" w:hAnsi="Arial"/>
          <w:sz w:val="22"/>
          <w:szCs w:val="22"/>
          <w:color w:val="131313"/>
        </w:rPr>
        <w:t>,</w:t>
      </w:r>
      <w:r>
        <w:rPr>
          <w:rFonts w:ascii="Arial" w:cs="Arial" w:eastAsia="Arial" w:hAnsi="Arial"/>
          <w:sz w:val="22"/>
          <w:szCs w:val="22"/>
          <w:color w:val="auto"/>
        </w:rPr>
        <w:t xml:space="preserve"> where such failure shall continue for a </w:t>
      </w:r>
      <w:r>
        <w:rPr>
          <w:rFonts w:ascii="Arial" w:cs="Arial" w:eastAsia="Arial" w:hAnsi="Arial"/>
          <w:sz w:val="22"/>
          <w:szCs w:val="22"/>
          <w:color w:val="131313"/>
        </w:rPr>
        <w:t>period</w:t>
      </w:r>
      <w:r>
        <w:rPr>
          <w:rFonts w:ascii="Arial" w:cs="Arial" w:eastAsia="Arial" w:hAnsi="Arial"/>
          <w:sz w:val="22"/>
          <w:szCs w:val="22"/>
          <w:color w:val="auto"/>
        </w:rPr>
        <w:t xml:space="preserve"> of </w:t>
      </w:r>
      <w:r>
        <w:rPr>
          <w:rFonts w:ascii="Arial" w:cs="Arial" w:eastAsia="Arial" w:hAnsi="Arial"/>
          <w:sz w:val="22"/>
          <w:szCs w:val="22"/>
          <w:color w:val="131313"/>
        </w:rPr>
        <w:t>five</w:t>
      </w:r>
      <w:r>
        <w:rPr>
          <w:rFonts w:ascii="Arial" w:cs="Arial" w:eastAsia="Arial" w:hAnsi="Arial"/>
          <w:sz w:val="22"/>
          <w:szCs w:val="22"/>
          <w:color w:val="auto"/>
        </w:rPr>
        <w:t xml:space="preserve"> (5) days after written notice </w:t>
      </w:r>
      <w:r>
        <w:rPr>
          <w:rFonts w:ascii="Arial" w:cs="Arial" w:eastAsia="Arial" w:hAnsi="Arial"/>
          <w:sz w:val="22"/>
          <w:szCs w:val="22"/>
          <w:color w:val="131313"/>
        </w:rPr>
        <w:t>thereof</w:t>
      </w:r>
      <w:r>
        <w:rPr>
          <w:rFonts w:ascii="Arial" w:cs="Arial" w:eastAsia="Arial" w:hAnsi="Arial"/>
          <w:sz w:val="22"/>
          <w:szCs w:val="22"/>
          <w:color w:val="auto"/>
        </w:rPr>
        <w:t xml:space="preserve"> from Landlord </w:t>
      </w:r>
      <w:r>
        <w:rPr>
          <w:rFonts w:ascii="Arial" w:cs="Arial" w:eastAsia="Arial" w:hAnsi="Arial"/>
          <w:sz w:val="22"/>
          <w:szCs w:val="22"/>
          <w:color w:val="131313"/>
        </w:rPr>
        <w:t>to</w:t>
      </w:r>
      <w:r>
        <w:rPr>
          <w:rFonts w:ascii="Arial" w:cs="Arial" w:eastAsia="Arial" w:hAnsi="Arial"/>
          <w:sz w:val="22"/>
          <w:szCs w:val="22"/>
          <w:color w:val="auto"/>
        </w:rPr>
        <w:t xml:space="preserve"> Tenant;</w:t>
      </w:r>
    </w:p>
    <w:p>
      <w:pPr>
        <w:spacing w:after="0" w:line="159" w:lineRule="exact"/>
        <w:rPr>
          <w:sz w:val="20"/>
          <w:szCs w:val="20"/>
          <w:color w:val="auto"/>
        </w:rPr>
      </w:pPr>
    </w:p>
    <w:p>
      <w:pPr>
        <w:jc w:val="both"/>
        <w:ind w:left="1960" w:hanging="647"/>
        <w:spacing w:after="0" w:line="247" w:lineRule="auto"/>
        <w:rPr>
          <w:sz w:val="20"/>
          <w:szCs w:val="20"/>
          <w:color w:val="auto"/>
        </w:rPr>
      </w:pPr>
      <w:r>
        <w:rPr>
          <w:rFonts w:ascii="Arial" w:cs="Arial" w:eastAsia="Arial" w:hAnsi="Arial"/>
          <w:sz w:val="19"/>
          <w:szCs w:val="19"/>
          <w:color w:val="auto"/>
        </w:rPr>
        <w:t xml:space="preserve">31.4.3. </w:t>
      </w:r>
      <w:r>
        <w:rPr>
          <w:rFonts w:ascii="Arial" w:cs="Arial" w:eastAsia="Arial" w:hAnsi="Arial"/>
          <w:sz w:val="19"/>
          <w:szCs w:val="19"/>
          <w:color w:val="131313"/>
        </w:rPr>
        <w:t>The</w:t>
      </w:r>
      <w:r>
        <w:rPr>
          <w:rFonts w:ascii="Arial" w:cs="Arial" w:eastAsia="Arial" w:hAnsi="Arial"/>
          <w:sz w:val="19"/>
          <w:szCs w:val="19"/>
          <w:color w:val="auto"/>
        </w:rPr>
        <w:t xml:space="preserve"> failure by Tenant to observe </w:t>
      </w:r>
      <w:r>
        <w:rPr>
          <w:rFonts w:ascii="Arial" w:cs="Arial" w:eastAsia="Arial" w:hAnsi="Arial"/>
          <w:sz w:val="19"/>
          <w:szCs w:val="19"/>
          <w:color w:val="131313"/>
        </w:rPr>
        <w:t>or perform</w:t>
      </w:r>
      <w:r>
        <w:rPr>
          <w:rFonts w:ascii="Arial" w:cs="Arial" w:eastAsia="Arial" w:hAnsi="Arial"/>
          <w:sz w:val="19"/>
          <w:szCs w:val="19"/>
          <w:color w:val="auto"/>
        </w:rPr>
        <w:t xml:space="preserve"> any obligation </w:t>
      </w:r>
      <w:r>
        <w:rPr>
          <w:rFonts w:ascii="Arial" w:cs="Arial" w:eastAsia="Arial" w:hAnsi="Arial"/>
          <w:sz w:val="19"/>
          <w:szCs w:val="19"/>
          <w:color w:val="131313"/>
        </w:rPr>
        <w:t>or</w:t>
      </w:r>
      <w:r>
        <w:rPr>
          <w:rFonts w:ascii="Arial" w:cs="Arial" w:eastAsia="Arial" w:hAnsi="Arial"/>
          <w:sz w:val="19"/>
          <w:szCs w:val="19"/>
          <w:color w:val="auto"/>
        </w:rPr>
        <w:t xml:space="preserve"> covenant contained herein </w:t>
      </w:r>
      <w:r>
        <w:rPr>
          <w:rFonts w:ascii="Arial" w:cs="Arial" w:eastAsia="Arial" w:hAnsi="Arial"/>
          <w:sz w:val="19"/>
          <w:szCs w:val="19"/>
          <w:color w:val="131313"/>
        </w:rPr>
        <w:t>(</w:t>
      </w:r>
      <w:r>
        <w:rPr>
          <w:rFonts w:ascii="Arial" w:cs="Arial" w:eastAsia="Arial" w:hAnsi="Arial"/>
          <w:sz w:val="19"/>
          <w:szCs w:val="19"/>
          <w:color w:val="auto"/>
        </w:rPr>
        <w:t xml:space="preserve">other </w:t>
      </w:r>
      <w:r>
        <w:rPr>
          <w:rFonts w:ascii="Arial" w:cs="Arial" w:eastAsia="Arial" w:hAnsi="Arial"/>
          <w:sz w:val="19"/>
          <w:szCs w:val="19"/>
          <w:color w:val="131313"/>
        </w:rPr>
        <w:t>than</w:t>
      </w:r>
      <w:r>
        <w:rPr>
          <w:rFonts w:ascii="Arial" w:cs="Arial" w:eastAsia="Arial" w:hAnsi="Arial"/>
          <w:sz w:val="19"/>
          <w:szCs w:val="19"/>
          <w:color w:val="auto"/>
        </w:rPr>
        <w:t xml:space="preserve"> </w:t>
      </w:r>
      <w:r>
        <w:rPr>
          <w:rFonts w:ascii="Arial" w:cs="Arial" w:eastAsia="Arial" w:hAnsi="Arial"/>
          <w:sz w:val="19"/>
          <w:szCs w:val="19"/>
          <w:color w:val="131313"/>
        </w:rPr>
        <w:t xml:space="preserve">described </w:t>
      </w:r>
      <w:r>
        <w:rPr>
          <w:rFonts w:ascii="Arial" w:cs="Arial" w:eastAsia="Arial" w:hAnsi="Arial"/>
          <w:sz w:val="19"/>
          <w:szCs w:val="19"/>
          <w:color w:val="3A3A3A"/>
        </w:rPr>
        <w:t>in</w:t>
      </w:r>
      <w:r>
        <w:rPr>
          <w:rFonts w:ascii="Arial" w:cs="Arial" w:eastAsia="Arial" w:hAnsi="Arial"/>
          <w:sz w:val="19"/>
          <w:szCs w:val="19"/>
          <w:color w:val="131313"/>
        </w:rPr>
        <w:t xml:space="preserve"> </w:t>
      </w:r>
      <w:r>
        <w:rPr>
          <w:rFonts w:ascii="Arial" w:cs="Arial" w:eastAsia="Arial" w:hAnsi="Arial"/>
          <w:sz w:val="19"/>
          <w:szCs w:val="19"/>
          <w:u w:val="single" w:color="auto"/>
          <w:color w:val="000000"/>
        </w:rPr>
        <w:t>Subsections 3</w:t>
      </w:r>
      <w:r>
        <w:rPr>
          <w:rFonts w:ascii="Arial" w:cs="Arial" w:eastAsia="Arial" w:hAnsi="Arial"/>
          <w:sz w:val="19"/>
          <w:szCs w:val="19"/>
          <w:u w:val="single" w:color="auto"/>
          <w:color w:val="131313"/>
        </w:rPr>
        <w:t>1.4(a)</w:t>
      </w:r>
      <w:r>
        <w:rPr>
          <w:rFonts w:ascii="Arial" w:cs="Arial" w:eastAsia="Arial" w:hAnsi="Arial"/>
          <w:sz w:val="19"/>
          <w:szCs w:val="19"/>
          <w:color w:val="131313"/>
        </w:rPr>
        <w:t xml:space="preserve"> </w:t>
      </w:r>
      <w:r>
        <w:rPr>
          <w:rFonts w:ascii="Arial" w:cs="Arial" w:eastAsia="Arial" w:hAnsi="Arial"/>
          <w:sz w:val="19"/>
          <w:szCs w:val="19"/>
          <w:color w:val="3A3A3A"/>
        </w:rPr>
        <w:t>and</w:t>
      </w:r>
      <w:r>
        <w:rPr>
          <w:rFonts w:ascii="Arial" w:cs="Arial" w:eastAsia="Arial" w:hAnsi="Arial"/>
          <w:sz w:val="19"/>
          <w:szCs w:val="19"/>
          <w:color w:val="131313"/>
        </w:rPr>
        <w:t xml:space="preserve"> </w:t>
      </w:r>
      <w:r>
        <w:rPr>
          <w:rFonts w:ascii="Arial" w:cs="Arial" w:eastAsia="Arial" w:hAnsi="Arial"/>
          <w:sz w:val="19"/>
          <w:szCs w:val="19"/>
          <w:u w:val="single" w:color="auto"/>
          <w:color w:val="000000"/>
        </w:rPr>
        <w:t>31.4(b)</w:t>
      </w:r>
      <w:r>
        <w:rPr>
          <w:rFonts w:ascii="Arial" w:cs="Arial" w:eastAsia="Arial" w:hAnsi="Arial"/>
          <w:sz w:val="19"/>
          <w:szCs w:val="19"/>
          <w:color w:val="000000"/>
        </w:rPr>
        <w:t>) to</w:t>
      </w:r>
      <w:r>
        <w:rPr>
          <w:rFonts w:ascii="Arial" w:cs="Arial" w:eastAsia="Arial" w:hAnsi="Arial"/>
          <w:sz w:val="19"/>
          <w:szCs w:val="19"/>
          <w:color w:val="131313"/>
        </w:rPr>
        <w:t xml:space="preserve"> be performed </w:t>
      </w:r>
      <w:r>
        <w:rPr>
          <w:rFonts w:ascii="Arial" w:cs="Arial" w:eastAsia="Arial" w:hAnsi="Arial"/>
          <w:sz w:val="19"/>
          <w:szCs w:val="19"/>
          <w:color w:val="000000"/>
        </w:rPr>
        <w:t>by Tenant, where such</w:t>
      </w:r>
      <w:r>
        <w:rPr>
          <w:rFonts w:ascii="Arial" w:cs="Arial" w:eastAsia="Arial" w:hAnsi="Arial"/>
          <w:sz w:val="19"/>
          <w:szCs w:val="19"/>
          <w:color w:val="131313"/>
        </w:rPr>
        <w:t xml:space="preserve"> </w:t>
      </w:r>
      <w:r>
        <w:rPr>
          <w:rFonts w:ascii="Arial" w:cs="Arial" w:eastAsia="Arial" w:hAnsi="Arial"/>
          <w:sz w:val="19"/>
          <w:szCs w:val="19"/>
          <w:color w:val="3A3A3A"/>
        </w:rPr>
        <w:t>failure</w:t>
      </w:r>
      <w:r>
        <w:rPr>
          <w:rFonts w:ascii="Arial" w:cs="Arial" w:eastAsia="Arial" w:hAnsi="Arial"/>
          <w:sz w:val="19"/>
          <w:szCs w:val="19"/>
          <w:color w:val="131313"/>
        </w:rPr>
        <w:t xml:space="preserve"> </w:t>
      </w:r>
      <w:r>
        <w:rPr>
          <w:rFonts w:ascii="Arial" w:cs="Arial" w:eastAsia="Arial" w:hAnsi="Arial"/>
          <w:sz w:val="19"/>
          <w:szCs w:val="19"/>
          <w:color w:val="000000"/>
        </w:rPr>
        <w:t>shall continue</w:t>
      </w:r>
      <w:r>
        <w:rPr>
          <w:rFonts w:ascii="Arial" w:cs="Arial" w:eastAsia="Arial" w:hAnsi="Arial"/>
          <w:sz w:val="19"/>
          <w:szCs w:val="19"/>
          <w:color w:val="131313"/>
        </w:rPr>
        <w:t xml:space="preserve"> </w:t>
      </w:r>
      <w:r>
        <w:rPr>
          <w:rFonts w:ascii="Arial" w:cs="Arial" w:eastAsia="Arial" w:hAnsi="Arial"/>
          <w:sz w:val="19"/>
          <w:szCs w:val="19"/>
          <w:color w:val="000000"/>
        </w:rPr>
        <w:t xml:space="preserve">for a </w:t>
      </w:r>
      <w:r>
        <w:rPr>
          <w:rFonts w:ascii="Arial" w:cs="Arial" w:eastAsia="Arial" w:hAnsi="Arial"/>
          <w:sz w:val="19"/>
          <w:szCs w:val="19"/>
          <w:color w:val="131313"/>
        </w:rPr>
        <w:t>period</w:t>
      </w:r>
      <w:r>
        <w:rPr>
          <w:rFonts w:ascii="Arial" w:cs="Arial" w:eastAsia="Arial" w:hAnsi="Arial"/>
          <w:sz w:val="19"/>
          <w:szCs w:val="19"/>
          <w:color w:val="000000"/>
        </w:rPr>
        <w:t xml:space="preserve"> often </w:t>
      </w:r>
      <w:r>
        <w:rPr>
          <w:rFonts w:ascii="Arial" w:cs="Arial" w:eastAsia="Arial" w:hAnsi="Arial"/>
          <w:sz w:val="19"/>
          <w:szCs w:val="19"/>
          <w:color w:val="131313"/>
        </w:rPr>
        <w:t>(10) business days</w:t>
      </w:r>
      <w:r>
        <w:rPr>
          <w:rFonts w:ascii="Arial" w:cs="Arial" w:eastAsia="Arial" w:hAnsi="Arial"/>
          <w:sz w:val="19"/>
          <w:szCs w:val="19"/>
          <w:color w:val="000000"/>
        </w:rPr>
        <w:t xml:space="preserve"> after written notice </w:t>
      </w:r>
      <w:r>
        <w:rPr>
          <w:rFonts w:ascii="Arial" w:cs="Arial" w:eastAsia="Arial" w:hAnsi="Arial"/>
          <w:sz w:val="19"/>
          <w:szCs w:val="19"/>
          <w:color w:val="131313"/>
        </w:rPr>
        <w:t>thereof</w:t>
      </w:r>
      <w:r>
        <w:rPr>
          <w:rFonts w:ascii="Arial" w:cs="Arial" w:eastAsia="Arial" w:hAnsi="Arial"/>
          <w:sz w:val="19"/>
          <w:szCs w:val="19"/>
          <w:color w:val="000000"/>
        </w:rPr>
        <w:t xml:space="preserve"> from Landlord to Tenant;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color w:val="131313"/>
        </w:rPr>
        <w:t>that, if</w:t>
      </w:r>
      <w:r>
        <w:rPr>
          <w:rFonts w:ascii="Arial" w:cs="Arial" w:eastAsia="Arial" w:hAnsi="Arial"/>
          <w:sz w:val="19"/>
          <w:szCs w:val="19"/>
          <w:color w:val="000000"/>
        </w:rPr>
        <w:t xml:space="preserve"> </w:t>
      </w:r>
      <w:r>
        <w:rPr>
          <w:rFonts w:ascii="Arial" w:cs="Arial" w:eastAsia="Arial" w:hAnsi="Arial"/>
          <w:sz w:val="19"/>
          <w:szCs w:val="19"/>
          <w:color w:val="131313"/>
        </w:rPr>
        <w:t xml:space="preserve">the nature </w:t>
      </w:r>
      <w:r>
        <w:rPr>
          <w:rFonts w:ascii="Arial" w:cs="Arial" w:eastAsia="Arial" w:hAnsi="Arial"/>
          <w:sz w:val="19"/>
          <w:szCs w:val="19"/>
          <w:color w:val="000000"/>
        </w:rPr>
        <w:t>of</w:t>
      </w:r>
      <w:r>
        <w:rPr>
          <w:rFonts w:ascii="Arial" w:cs="Arial" w:eastAsia="Arial" w:hAnsi="Arial"/>
          <w:sz w:val="19"/>
          <w:szCs w:val="19"/>
          <w:color w:val="131313"/>
        </w:rPr>
        <w:t xml:space="preserve"> </w:t>
      </w:r>
      <w:r>
        <w:rPr>
          <w:rFonts w:ascii="Arial" w:cs="Arial" w:eastAsia="Arial" w:hAnsi="Arial"/>
          <w:sz w:val="19"/>
          <w:szCs w:val="19"/>
          <w:color w:val="3A3A3A"/>
        </w:rPr>
        <w:t>Tenant’s</w:t>
      </w:r>
      <w:r>
        <w:rPr>
          <w:rFonts w:ascii="Arial" w:cs="Arial" w:eastAsia="Arial" w:hAnsi="Arial"/>
          <w:sz w:val="19"/>
          <w:szCs w:val="19"/>
          <w:color w:val="131313"/>
        </w:rPr>
        <w:t xml:space="preserve"> default is </w:t>
      </w:r>
      <w:r>
        <w:rPr>
          <w:rFonts w:ascii="Arial" w:cs="Arial" w:eastAsia="Arial" w:hAnsi="Arial"/>
          <w:sz w:val="19"/>
          <w:szCs w:val="19"/>
          <w:color w:val="000000"/>
        </w:rPr>
        <w:t>such</w:t>
      </w:r>
      <w:r>
        <w:rPr>
          <w:rFonts w:ascii="Arial" w:cs="Arial" w:eastAsia="Arial" w:hAnsi="Arial"/>
          <w:sz w:val="19"/>
          <w:szCs w:val="19"/>
          <w:color w:val="131313"/>
        </w:rPr>
        <w:t xml:space="preserve"> that it </w:t>
      </w:r>
      <w:r>
        <w:rPr>
          <w:rFonts w:ascii="Arial" w:cs="Arial" w:eastAsia="Arial" w:hAnsi="Arial"/>
          <w:sz w:val="19"/>
          <w:szCs w:val="19"/>
          <w:color w:val="000000"/>
        </w:rPr>
        <w:t>reasonably requires more than</w:t>
      </w:r>
      <w:r>
        <w:rPr>
          <w:rFonts w:ascii="Arial" w:cs="Arial" w:eastAsia="Arial" w:hAnsi="Arial"/>
          <w:sz w:val="19"/>
          <w:szCs w:val="19"/>
          <w:color w:val="131313"/>
        </w:rPr>
        <w:t xml:space="preserve"> </w:t>
      </w:r>
      <w:r>
        <w:rPr>
          <w:rFonts w:ascii="Arial" w:cs="Arial" w:eastAsia="Arial" w:hAnsi="Arial"/>
          <w:sz w:val="19"/>
          <w:szCs w:val="19"/>
          <w:u w:val="single" w:color="auto"/>
          <w:color w:val="000000"/>
        </w:rPr>
        <w:t>[***]</w:t>
      </w:r>
      <w:r>
        <w:rPr>
          <w:rFonts w:ascii="Arial" w:cs="Arial" w:eastAsia="Arial" w:hAnsi="Arial"/>
          <w:sz w:val="19"/>
          <w:szCs w:val="19"/>
          <w:color w:val="131313"/>
        </w:rPr>
        <w:t xml:space="preserve"> </w:t>
      </w:r>
      <w:r>
        <w:rPr>
          <w:rFonts w:ascii="Arial" w:cs="Arial" w:eastAsia="Arial" w:hAnsi="Arial"/>
          <w:sz w:val="19"/>
          <w:szCs w:val="19"/>
          <w:color w:val="000000"/>
        </w:rPr>
        <w:t>business</w:t>
      </w:r>
      <w:r>
        <w:rPr>
          <w:rFonts w:ascii="Arial" w:cs="Arial" w:eastAsia="Arial" w:hAnsi="Arial"/>
          <w:sz w:val="19"/>
          <w:szCs w:val="19"/>
          <w:color w:val="131313"/>
        </w:rPr>
        <w:t xml:space="preserve"> days to </w:t>
      </w:r>
      <w:r>
        <w:rPr>
          <w:rFonts w:ascii="Arial" w:cs="Arial" w:eastAsia="Arial" w:hAnsi="Arial"/>
          <w:sz w:val="19"/>
          <w:szCs w:val="19"/>
          <w:color w:val="000000"/>
        </w:rPr>
        <w:t>cure,</w:t>
      </w:r>
      <w:r>
        <w:rPr>
          <w:rFonts w:ascii="Arial" w:cs="Arial" w:eastAsia="Arial" w:hAnsi="Arial"/>
          <w:sz w:val="19"/>
          <w:szCs w:val="19"/>
          <w:color w:val="131313"/>
        </w:rPr>
        <w:t xml:space="preserve"> </w:t>
      </w:r>
      <w:r>
        <w:rPr>
          <w:rFonts w:ascii="Arial" w:cs="Arial" w:eastAsia="Arial" w:hAnsi="Arial"/>
          <w:sz w:val="19"/>
          <w:szCs w:val="19"/>
          <w:color w:val="000000"/>
        </w:rPr>
        <w:t xml:space="preserve">Tenant </w:t>
      </w:r>
      <w:r>
        <w:rPr>
          <w:rFonts w:ascii="Arial" w:cs="Arial" w:eastAsia="Arial" w:hAnsi="Arial"/>
          <w:sz w:val="19"/>
          <w:szCs w:val="19"/>
          <w:color w:val="3A3A3A"/>
        </w:rPr>
        <w:t>shall</w:t>
      </w:r>
      <w:r>
        <w:rPr>
          <w:rFonts w:ascii="Arial" w:cs="Arial" w:eastAsia="Arial" w:hAnsi="Arial"/>
          <w:sz w:val="19"/>
          <w:szCs w:val="19"/>
          <w:color w:val="000000"/>
        </w:rPr>
        <w:t xml:space="preserve"> not be deemed </w:t>
      </w:r>
      <w:r>
        <w:rPr>
          <w:rFonts w:ascii="Arial" w:cs="Arial" w:eastAsia="Arial" w:hAnsi="Arial"/>
          <w:sz w:val="19"/>
          <w:szCs w:val="19"/>
          <w:color w:val="131313"/>
        </w:rPr>
        <w:t>to be in</w:t>
      </w:r>
      <w:r>
        <w:rPr>
          <w:rFonts w:ascii="Arial" w:cs="Arial" w:eastAsia="Arial" w:hAnsi="Arial"/>
          <w:sz w:val="19"/>
          <w:szCs w:val="19"/>
          <w:color w:val="000000"/>
        </w:rPr>
        <w:t xml:space="preserve"> Default </w:t>
      </w:r>
      <w:r>
        <w:rPr>
          <w:rFonts w:ascii="Arial" w:cs="Arial" w:eastAsia="Arial" w:hAnsi="Arial"/>
          <w:sz w:val="19"/>
          <w:szCs w:val="19"/>
          <w:color w:val="3A3A3A"/>
        </w:rPr>
        <w:t>if</w:t>
      </w:r>
      <w:r>
        <w:rPr>
          <w:rFonts w:ascii="Arial" w:cs="Arial" w:eastAsia="Arial" w:hAnsi="Arial"/>
          <w:sz w:val="19"/>
          <w:szCs w:val="19"/>
          <w:color w:val="000000"/>
        </w:rPr>
        <w:t xml:space="preserve"> Tenant </w:t>
      </w:r>
      <w:r>
        <w:rPr>
          <w:rFonts w:ascii="Arial" w:cs="Arial" w:eastAsia="Arial" w:hAnsi="Arial"/>
          <w:sz w:val="19"/>
          <w:szCs w:val="19"/>
          <w:color w:val="3A3A3A"/>
        </w:rPr>
        <w:t>shall</w:t>
      </w:r>
      <w:r>
        <w:rPr>
          <w:rFonts w:ascii="Arial" w:cs="Arial" w:eastAsia="Arial" w:hAnsi="Arial"/>
          <w:sz w:val="19"/>
          <w:szCs w:val="19"/>
          <w:color w:val="000000"/>
        </w:rPr>
        <w:t xml:space="preserve"> commence such cure within </w:t>
      </w:r>
      <w:r>
        <w:rPr>
          <w:rFonts w:ascii="Arial" w:cs="Arial" w:eastAsia="Arial" w:hAnsi="Arial"/>
          <w:sz w:val="19"/>
          <w:szCs w:val="19"/>
          <w:color w:val="3A3A3A"/>
        </w:rPr>
        <w:t>said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business day period and </w:t>
      </w:r>
      <w:r>
        <w:rPr>
          <w:rFonts w:ascii="Arial" w:cs="Arial" w:eastAsia="Arial" w:hAnsi="Arial"/>
          <w:sz w:val="19"/>
          <w:szCs w:val="19"/>
          <w:color w:val="131313"/>
        </w:rPr>
        <w:t>thereafter diligently prosecute</w:t>
      </w:r>
      <w:r>
        <w:rPr>
          <w:rFonts w:ascii="Arial" w:cs="Arial" w:eastAsia="Arial" w:hAnsi="Arial"/>
          <w:sz w:val="19"/>
          <w:szCs w:val="19"/>
          <w:color w:val="000000"/>
        </w:rPr>
        <w:t xml:space="preserve"> </w:t>
      </w:r>
      <w:r>
        <w:rPr>
          <w:rFonts w:ascii="Arial" w:cs="Arial" w:eastAsia="Arial" w:hAnsi="Arial"/>
          <w:sz w:val="19"/>
          <w:szCs w:val="19"/>
          <w:color w:val="3A3A3A"/>
        </w:rPr>
        <w:t>the same</w:t>
      </w:r>
      <w:r>
        <w:rPr>
          <w:rFonts w:ascii="Arial" w:cs="Arial" w:eastAsia="Arial" w:hAnsi="Arial"/>
          <w:sz w:val="19"/>
          <w:szCs w:val="19"/>
          <w:color w:val="000000"/>
        </w:rPr>
        <w:t xml:space="preserve"> </w:t>
      </w:r>
      <w:r>
        <w:rPr>
          <w:rFonts w:ascii="Arial" w:cs="Arial" w:eastAsia="Arial" w:hAnsi="Arial"/>
          <w:sz w:val="19"/>
          <w:szCs w:val="19"/>
          <w:color w:val="131313"/>
        </w:rPr>
        <w:t>to completion;</w:t>
      </w:r>
      <w:r>
        <w:rPr>
          <w:rFonts w:ascii="Arial" w:cs="Arial" w:eastAsia="Arial" w:hAnsi="Arial"/>
          <w:sz w:val="19"/>
          <w:szCs w:val="19"/>
          <w:color w:val="000000"/>
        </w:rPr>
        <w:t xml:space="preserve"> and </w:t>
      </w:r>
      <w:r>
        <w:rPr>
          <w:rFonts w:ascii="Arial" w:cs="Arial" w:eastAsia="Arial" w:hAnsi="Arial"/>
          <w:sz w:val="19"/>
          <w:szCs w:val="19"/>
          <w:color w:val="131313"/>
        </w:rPr>
        <w:t>provided,</w:t>
      </w:r>
      <w:r>
        <w:rPr>
          <w:rFonts w:ascii="Arial" w:cs="Arial" w:eastAsia="Arial" w:hAnsi="Arial"/>
          <w:sz w:val="19"/>
          <w:szCs w:val="19"/>
          <w:color w:val="000000"/>
        </w:rPr>
        <w:t xml:space="preserve"> </w:t>
      </w:r>
      <w:r>
        <w:rPr>
          <w:rFonts w:ascii="Arial" w:cs="Arial" w:eastAsia="Arial" w:hAnsi="Arial"/>
          <w:sz w:val="19"/>
          <w:szCs w:val="19"/>
          <w:color w:val="3A3A3A"/>
        </w:rPr>
        <w:t>further,</w:t>
      </w:r>
      <w:r>
        <w:rPr>
          <w:rFonts w:ascii="Arial" w:cs="Arial" w:eastAsia="Arial" w:hAnsi="Arial"/>
          <w:sz w:val="19"/>
          <w:szCs w:val="19"/>
          <w:color w:val="000000"/>
        </w:rPr>
        <w:t xml:space="preserve"> that such cure </w:t>
      </w:r>
      <w:r>
        <w:rPr>
          <w:rFonts w:ascii="Arial" w:cs="Arial" w:eastAsia="Arial" w:hAnsi="Arial"/>
          <w:sz w:val="19"/>
          <w:szCs w:val="19"/>
          <w:color w:val="131313"/>
        </w:rPr>
        <w:t xml:space="preserve">is </w:t>
      </w:r>
      <w:r>
        <w:rPr>
          <w:rFonts w:ascii="Arial" w:cs="Arial" w:eastAsia="Arial" w:hAnsi="Arial"/>
          <w:sz w:val="19"/>
          <w:szCs w:val="19"/>
          <w:color w:val="000000"/>
        </w:rPr>
        <w:t>completed</w:t>
      </w:r>
      <w:r>
        <w:rPr>
          <w:rFonts w:ascii="Arial" w:cs="Arial" w:eastAsia="Arial" w:hAnsi="Arial"/>
          <w:sz w:val="19"/>
          <w:szCs w:val="19"/>
          <w:color w:val="131313"/>
        </w:rPr>
        <w:t xml:space="preserve"> no </w:t>
      </w:r>
      <w:r>
        <w:rPr>
          <w:rFonts w:ascii="Arial" w:cs="Arial" w:eastAsia="Arial" w:hAnsi="Arial"/>
          <w:sz w:val="19"/>
          <w:szCs w:val="19"/>
          <w:color w:val="3A3A3A"/>
        </w:rPr>
        <w:t>later than</w:t>
      </w:r>
      <w:r>
        <w:rPr>
          <w:rFonts w:ascii="Arial" w:cs="Arial" w:eastAsia="Arial" w:hAnsi="Arial"/>
          <w:sz w:val="19"/>
          <w:szCs w:val="19"/>
          <w:color w:val="131313"/>
        </w:rPr>
        <w:t xml:space="preserve"> </w:t>
      </w:r>
      <w:r>
        <w:rPr>
          <w:rFonts w:ascii="Arial" w:cs="Arial" w:eastAsia="Arial" w:hAnsi="Arial"/>
          <w:sz w:val="19"/>
          <w:szCs w:val="19"/>
          <w:u w:val="single" w:color="auto"/>
          <w:color w:val="000000"/>
        </w:rPr>
        <w:t>[***]</w:t>
      </w:r>
      <w:r>
        <w:rPr>
          <w:rFonts w:ascii="Arial" w:cs="Arial" w:eastAsia="Arial" w:hAnsi="Arial"/>
          <w:sz w:val="19"/>
          <w:szCs w:val="19"/>
          <w:color w:val="131313"/>
        </w:rPr>
        <w:t xml:space="preserve"> days from the </w:t>
      </w:r>
      <w:r>
        <w:rPr>
          <w:rFonts w:ascii="Arial" w:cs="Arial" w:eastAsia="Arial" w:hAnsi="Arial"/>
          <w:sz w:val="19"/>
          <w:szCs w:val="19"/>
          <w:color w:val="000000"/>
        </w:rPr>
        <w:t>date</w:t>
      </w:r>
      <w:r>
        <w:rPr>
          <w:rFonts w:ascii="Arial" w:cs="Arial" w:eastAsia="Arial" w:hAnsi="Arial"/>
          <w:sz w:val="19"/>
          <w:szCs w:val="19"/>
          <w:color w:val="131313"/>
        </w:rPr>
        <w:t xml:space="preserve"> of </w:t>
      </w:r>
      <w:r>
        <w:rPr>
          <w:rFonts w:ascii="Arial" w:cs="Arial" w:eastAsia="Arial" w:hAnsi="Arial"/>
          <w:sz w:val="19"/>
          <w:szCs w:val="19"/>
          <w:color w:val="000000"/>
        </w:rPr>
        <w:t>Tenant’s receipt of written</w:t>
      </w:r>
      <w:r>
        <w:rPr>
          <w:rFonts w:ascii="Arial" w:cs="Arial" w:eastAsia="Arial" w:hAnsi="Arial"/>
          <w:sz w:val="19"/>
          <w:szCs w:val="19"/>
          <w:color w:val="131313"/>
        </w:rPr>
        <w:t xml:space="preserve"> notice from Landlord;</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31.4.4. Tenant makes an </w:t>
      </w:r>
      <w:r>
        <w:rPr>
          <w:rFonts w:ascii="Arial" w:cs="Arial" w:eastAsia="Arial" w:hAnsi="Arial"/>
          <w:sz w:val="22"/>
          <w:szCs w:val="22"/>
          <w:color w:val="3A3A3A"/>
        </w:rPr>
        <w:t>assignment for</w:t>
      </w:r>
      <w:r>
        <w:rPr>
          <w:rFonts w:ascii="Arial" w:cs="Arial" w:eastAsia="Arial" w:hAnsi="Arial"/>
          <w:sz w:val="22"/>
          <w:szCs w:val="22"/>
          <w:color w:val="auto"/>
        </w:rPr>
        <w:t xml:space="preserve"> </w:t>
      </w:r>
      <w:r>
        <w:rPr>
          <w:rFonts w:ascii="Arial" w:cs="Arial" w:eastAsia="Arial" w:hAnsi="Arial"/>
          <w:sz w:val="22"/>
          <w:szCs w:val="22"/>
          <w:color w:val="131313"/>
        </w:rPr>
        <w:t>the</w:t>
      </w:r>
      <w:r>
        <w:rPr>
          <w:rFonts w:ascii="Arial" w:cs="Arial" w:eastAsia="Arial" w:hAnsi="Arial"/>
          <w:sz w:val="22"/>
          <w:szCs w:val="22"/>
          <w:color w:val="auto"/>
        </w:rPr>
        <w:t xml:space="preserve"> benefit of creditors;</w:t>
      </w:r>
    </w:p>
    <w:p>
      <w:pPr>
        <w:spacing w:after="0" w:line="179" w:lineRule="exact"/>
        <w:rPr>
          <w:sz w:val="20"/>
          <w:szCs w:val="20"/>
          <w:color w:val="auto"/>
        </w:rPr>
      </w:pPr>
    </w:p>
    <w:p>
      <w:pPr>
        <w:jc w:val="both"/>
        <w:ind w:left="1960" w:hanging="647"/>
        <w:spacing w:after="0" w:line="232" w:lineRule="auto"/>
        <w:rPr>
          <w:sz w:val="20"/>
          <w:szCs w:val="20"/>
          <w:color w:val="auto"/>
        </w:rPr>
      </w:pPr>
      <w:r>
        <w:rPr>
          <w:rFonts w:ascii="Arial" w:cs="Arial" w:eastAsia="Arial" w:hAnsi="Arial"/>
          <w:sz w:val="22"/>
          <w:szCs w:val="22"/>
          <w:color w:val="auto"/>
        </w:rPr>
        <w:t xml:space="preserve">31.4.5. A </w:t>
      </w:r>
      <w:r>
        <w:rPr>
          <w:rFonts w:ascii="Arial" w:cs="Arial" w:eastAsia="Arial" w:hAnsi="Arial"/>
          <w:sz w:val="22"/>
          <w:szCs w:val="22"/>
          <w:color w:val="131313"/>
        </w:rPr>
        <w:t>receiver,</w:t>
      </w:r>
      <w:r>
        <w:rPr>
          <w:rFonts w:ascii="Arial" w:cs="Arial" w:eastAsia="Arial" w:hAnsi="Arial"/>
          <w:sz w:val="22"/>
          <w:szCs w:val="22"/>
          <w:color w:val="auto"/>
        </w:rPr>
        <w:t xml:space="preserve"> trustee or custodian </w:t>
      </w:r>
      <w:r>
        <w:rPr>
          <w:rFonts w:ascii="Arial" w:cs="Arial" w:eastAsia="Arial" w:hAnsi="Arial"/>
          <w:sz w:val="22"/>
          <w:szCs w:val="22"/>
          <w:color w:val="131313"/>
        </w:rPr>
        <w:t>is</w:t>
      </w:r>
      <w:r>
        <w:rPr>
          <w:rFonts w:ascii="Arial" w:cs="Arial" w:eastAsia="Arial" w:hAnsi="Arial"/>
          <w:sz w:val="22"/>
          <w:szCs w:val="22"/>
          <w:color w:val="auto"/>
        </w:rPr>
        <w:t xml:space="preserve"> appointed </w:t>
      </w:r>
      <w:r>
        <w:rPr>
          <w:rFonts w:ascii="Arial" w:cs="Arial" w:eastAsia="Arial" w:hAnsi="Arial"/>
          <w:sz w:val="22"/>
          <w:szCs w:val="22"/>
          <w:color w:val="131313"/>
        </w:rPr>
        <w:t>to</w:t>
      </w:r>
      <w:r>
        <w:rPr>
          <w:rFonts w:ascii="Arial" w:cs="Arial" w:eastAsia="Arial" w:hAnsi="Arial"/>
          <w:sz w:val="22"/>
          <w:szCs w:val="22"/>
          <w:color w:val="auto"/>
        </w:rPr>
        <w:t xml:space="preserve"> or does </w:t>
      </w:r>
      <w:r>
        <w:rPr>
          <w:rFonts w:ascii="Arial" w:cs="Arial" w:eastAsia="Arial" w:hAnsi="Arial"/>
          <w:sz w:val="22"/>
          <w:szCs w:val="22"/>
          <w:color w:val="131313"/>
        </w:rPr>
        <w:t>take</w:t>
      </w:r>
      <w:r>
        <w:rPr>
          <w:rFonts w:ascii="Arial" w:cs="Arial" w:eastAsia="Arial" w:hAnsi="Arial"/>
          <w:sz w:val="22"/>
          <w:szCs w:val="22"/>
          <w:color w:val="auto"/>
        </w:rPr>
        <w:t xml:space="preserve"> title, </w:t>
      </w:r>
      <w:r>
        <w:rPr>
          <w:rFonts w:ascii="Arial" w:cs="Arial" w:eastAsia="Arial" w:hAnsi="Arial"/>
          <w:sz w:val="22"/>
          <w:szCs w:val="22"/>
          <w:color w:val="131313"/>
        </w:rPr>
        <w:t>possession</w:t>
      </w:r>
      <w:r>
        <w:rPr>
          <w:rFonts w:ascii="Arial" w:cs="Arial" w:eastAsia="Arial" w:hAnsi="Arial"/>
          <w:sz w:val="22"/>
          <w:szCs w:val="22"/>
          <w:color w:val="auto"/>
        </w:rPr>
        <w:t xml:space="preserve"> or control </w:t>
      </w:r>
      <w:r>
        <w:rPr>
          <w:rFonts w:ascii="Arial" w:cs="Arial" w:eastAsia="Arial" w:hAnsi="Arial"/>
          <w:sz w:val="22"/>
          <w:szCs w:val="22"/>
          <w:color w:val="131313"/>
        </w:rPr>
        <w:t>of all</w:t>
      </w:r>
      <w:r>
        <w:rPr>
          <w:rFonts w:ascii="Arial" w:cs="Arial" w:eastAsia="Arial" w:hAnsi="Arial"/>
          <w:sz w:val="22"/>
          <w:szCs w:val="22"/>
          <w:color w:val="auto"/>
        </w:rPr>
        <w:t xml:space="preserve"> or </w:t>
      </w:r>
      <w:r>
        <w:rPr>
          <w:rFonts w:ascii="Arial" w:cs="Arial" w:eastAsia="Arial" w:hAnsi="Arial"/>
          <w:sz w:val="22"/>
          <w:szCs w:val="22"/>
          <w:color w:val="3A3A3A"/>
        </w:rPr>
        <w:t xml:space="preserve">substantially </w:t>
      </w:r>
      <w:r>
        <w:rPr>
          <w:rFonts w:ascii="Arial" w:cs="Arial" w:eastAsia="Arial" w:hAnsi="Arial"/>
          <w:sz w:val="22"/>
          <w:szCs w:val="22"/>
          <w:color w:val="131313"/>
        </w:rPr>
        <w:t>all of</w:t>
      </w:r>
      <w:r>
        <w:rPr>
          <w:rFonts w:ascii="Arial" w:cs="Arial" w:eastAsia="Arial" w:hAnsi="Arial"/>
          <w:sz w:val="22"/>
          <w:szCs w:val="22"/>
          <w:color w:val="3A3A3A"/>
        </w:rPr>
        <w:t xml:space="preserve"> </w:t>
      </w:r>
      <w:r>
        <w:rPr>
          <w:rFonts w:ascii="Arial" w:cs="Arial" w:eastAsia="Arial" w:hAnsi="Arial"/>
          <w:sz w:val="22"/>
          <w:szCs w:val="22"/>
          <w:color w:val="000000"/>
        </w:rPr>
        <w:t>Tenant’s assets;</w:t>
      </w:r>
    </w:p>
    <w:p>
      <w:pPr>
        <w:spacing w:after="0" w:line="159" w:lineRule="exact"/>
        <w:rPr>
          <w:sz w:val="20"/>
          <w:szCs w:val="20"/>
          <w:color w:val="auto"/>
        </w:rPr>
      </w:pPr>
    </w:p>
    <w:p>
      <w:pPr>
        <w:jc w:val="both"/>
        <w:ind w:left="1960" w:hanging="647"/>
        <w:spacing w:after="0" w:line="218" w:lineRule="auto"/>
        <w:rPr>
          <w:sz w:val="20"/>
          <w:szCs w:val="20"/>
          <w:color w:val="auto"/>
        </w:rPr>
      </w:pPr>
      <w:r>
        <w:rPr>
          <w:rFonts w:ascii="Arial" w:cs="Arial" w:eastAsia="Arial" w:hAnsi="Arial"/>
          <w:sz w:val="22"/>
          <w:szCs w:val="22"/>
          <w:color w:val="auto"/>
        </w:rPr>
        <w:t xml:space="preserve">31.4.6. </w:t>
      </w:r>
      <w:r>
        <w:rPr>
          <w:rFonts w:ascii="Arial" w:cs="Arial" w:eastAsia="Arial" w:hAnsi="Arial"/>
          <w:sz w:val="22"/>
          <w:szCs w:val="22"/>
          <w:color w:val="131313"/>
        </w:rPr>
        <w:t>Tenant files</w:t>
      </w:r>
      <w:r>
        <w:rPr>
          <w:rFonts w:ascii="Arial" w:cs="Arial" w:eastAsia="Arial" w:hAnsi="Arial"/>
          <w:sz w:val="22"/>
          <w:szCs w:val="22"/>
          <w:color w:val="auto"/>
        </w:rPr>
        <w:t xml:space="preserve"> a voluntary petition </w:t>
      </w:r>
      <w:r>
        <w:rPr>
          <w:rFonts w:ascii="Arial" w:cs="Arial" w:eastAsia="Arial" w:hAnsi="Arial"/>
          <w:sz w:val="22"/>
          <w:szCs w:val="22"/>
          <w:color w:val="131313"/>
        </w:rPr>
        <w:t>under the</w:t>
      </w:r>
      <w:r>
        <w:rPr>
          <w:rFonts w:ascii="Arial" w:cs="Arial" w:eastAsia="Arial" w:hAnsi="Arial"/>
          <w:sz w:val="22"/>
          <w:szCs w:val="22"/>
          <w:color w:val="auto"/>
        </w:rPr>
        <w:t xml:space="preserve"> United </w:t>
      </w:r>
      <w:r>
        <w:rPr>
          <w:rFonts w:ascii="Arial" w:cs="Arial" w:eastAsia="Arial" w:hAnsi="Arial"/>
          <w:sz w:val="22"/>
          <w:szCs w:val="22"/>
          <w:color w:val="3A3A3A"/>
        </w:rPr>
        <w:t>States</w:t>
      </w:r>
      <w:r>
        <w:rPr>
          <w:rFonts w:ascii="Arial" w:cs="Arial" w:eastAsia="Arial" w:hAnsi="Arial"/>
          <w:sz w:val="22"/>
          <w:szCs w:val="22"/>
          <w:color w:val="auto"/>
        </w:rPr>
        <w:t xml:space="preserve"> </w:t>
      </w:r>
      <w:r>
        <w:rPr>
          <w:rFonts w:ascii="Arial" w:cs="Arial" w:eastAsia="Arial" w:hAnsi="Arial"/>
          <w:sz w:val="22"/>
          <w:szCs w:val="22"/>
          <w:color w:val="131313"/>
        </w:rPr>
        <w:t>Bankruptcy</w:t>
      </w:r>
      <w:r>
        <w:rPr>
          <w:rFonts w:ascii="Arial" w:cs="Arial" w:eastAsia="Arial" w:hAnsi="Arial"/>
          <w:sz w:val="22"/>
          <w:szCs w:val="22"/>
          <w:color w:val="auto"/>
        </w:rPr>
        <w:t xml:space="preserve"> Code or </w:t>
      </w:r>
      <w:r>
        <w:rPr>
          <w:rFonts w:ascii="Arial" w:cs="Arial" w:eastAsia="Arial" w:hAnsi="Arial"/>
          <w:sz w:val="22"/>
          <w:szCs w:val="22"/>
          <w:color w:val="131313"/>
        </w:rPr>
        <w:t>any</w:t>
      </w:r>
      <w:r>
        <w:rPr>
          <w:rFonts w:ascii="Arial" w:cs="Arial" w:eastAsia="Arial" w:hAnsi="Arial"/>
          <w:sz w:val="22"/>
          <w:szCs w:val="22"/>
          <w:color w:val="auto"/>
        </w:rPr>
        <w:t xml:space="preserve"> </w:t>
      </w:r>
      <w:r>
        <w:rPr>
          <w:rFonts w:ascii="Arial" w:cs="Arial" w:eastAsia="Arial" w:hAnsi="Arial"/>
          <w:sz w:val="22"/>
          <w:szCs w:val="22"/>
          <w:color w:val="3A3A3A"/>
        </w:rPr>
        <w:t>successor</w:t>
      </w:r>
      <w:r>
        <w:rPr>
          <w:rFonts w:ascii="Arial" w:cs="Arial" w:eastAsia="Arial" w:hAnsi="Arial"/>
          <w:sz w:val="22"/>
          <w:szCs w:val="22"/>
          <w:color w:val="auto"/>
        </w:rPr>
        <w:t xml:space="preserve"> statute </w:t>
      </w:r>
      <w:r>
        <w:rPr>
          <w:rFonts w:ascii="Arial" w:cs="Arial" w:eastAsia="Arial" w:hAnsi="Arial"/>
          <w:sz w:val="22"/>
          <w:szCs w:val="22"/>
          <w:color w:val="131313"/>
        </w:rPr>
        <w:t>(</w:t>
      </w:r>
      <w:r>
        <w:rPr>
          <w:rFonts w:ascii="Arial" w:cs="Arial" w:eastAsia="Arial" w:hAnsi="Arial"/>
          <w:sz w:val="22"/>
          <w:szCs w:val="22"/>
          <w:color w:val="3A3A3A"/>
        </w:rPr>
        <w:t>as</w:t>
      </w:r>
      <w:r>
        <w:rPr>
          <w:rFonts w:ascii="Arial" w:cs="Arial" w:eastAsia="Arial" w:hAnsi="Arial"/>
          <w:sz w:val="22"/>
          <w:szCs w:val="22"/>
          <w:color w:val="auto"/>
        </w:rPr>
        <w:t xml:space="preserve"> </w:t>
      </w:r>
      <w:r>
        <w:rPr>
          <w:rFonts w:ascii="Arial" w:cs="Arial" w:eastAsia="Arial" w:hAnsi="Arial"/>
          <w:sz w:val="22"/>
          <w:szCs w:val="22"/>
          <w:color w:val="131313"/>
        </w:rPr>
        <w:t>the</w:t>
      </w:r>
      <w:r>
        <w:rPr>
          <w:rFonts w:ascii="Arial" w:cs="Arial" w:eastAsia="Arial" w:hAnsi="Arial"/>
          <w:sz w:val="22"/>
          <w:szCs w:val="22"/>
          <w:color w:val="auto"/>
        </w:rPr>
        <w:t xml:space="preserve"> same may </w:t>
      </w:r>
      <w:r>
        <w:rPr>
          <w:rFonts w:ascii="Arial" w:cs="Arial" w:eastAsia="Arial" w:hAnsi="Arial"/>
          <w:sz w:val="22"/>
          <w:szCs w:val="22"/>
          <w:color w:val="131313"/>
        </w:rPr>
        <w:t>be</w:t>
      </w:r>
      <w:r>
        <w:rPr>
          <w:rFonts w:ascii="Arial" w:cs="Arial" w:eastAsia="Arial" w:hAnsi="Arial"/>
          <w:sz w:val="22"/>
          <w:szCs w:val="22"/>
          <w:color w:val="auto"/>
        </w:rPr>
        <w:t xml:space="preserve"> amended </w:t>
      </w:r>
      <w:r>
        <w:rPr>
          <w:rFonts w:ascii="Arial" w:cs="Arial" w:eastAsia="Arial" w:hAnsi="Arial"/>
          <w:sz w:val="22"/>
          <w:szCs w:val="22"/>
          <w:color w:val="3A3A3A"/>
        </w:rPr>
        <w:t>from</w:t>
      </w:r>
      <w:r>
        <w:rPr>
          <w:rFonts w:ascii="Arial" w:cs="Arial" w:eastAsia="Arial" w:hAnsi="Arial"/>
          <w:sz w:val="22"/>
          <w:szCs w:val="22"/>
          <w:color w:val="auto"/>
        </w:rPr>
        <w:t xml:space="preserve"> time </w:t>
      </w:r>
      <w:r>
        <w:rPr>
          <w:rFonts w:ascii="Arial" w:cs="Arial" w:eastAsia="Arial" w:hAnsi="Arial"/>
          <w:sz w:val="22"/>
          <w:szCs w:val="22"/>
          <w:color w:val="131313"/>
        </w:rPr>
        <w:t>to time,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Bankruptcy Code</w:t>
      </w:r>
      <w:r>
        <w:rPr>
          <w:rFonts w:ascii="Arial" w:cs="Arial" w:eastAsia="Arial" w:hAnsi="Arial"/>
          <w:sz w:val="22"/>
          <w:szCs w:val="22"/>
          <w:color w:val="auto"/>
        </w:rPr>
        <w:t xml:space="preserve">”) or an order for </w:t>
      </w:r>
      <w:r>
        <w:rPr>
          <w:rFonts w:ascii="Arial" w:cs="Arial" w:eastAsia="Arial" w:hAnsi="Arial"/>
          <w:sz w:val="22"/>
          <w:szCs w:val="22"/>
          <w:color w:val="131313"/>
        </w:rPr>
        <w:t>relief is entered</w:t>
      </w:r>
      <w:r>
        <w:rPr>
          <w:rFonts w:ascii="Arial" w:cs="Arial" w:eastAsia="Arial" w:hAnsi="Arial"/>
          <w:sz w:val="22"/>
          <w:szCs w:val="22"/>
          <w:color w:val="auto"/>
        </w:rPr>
        <w:t xml:space="preserve"> against Tenant pursuant </w:t>
      </w:r>
      <w:r>
        <w:rPr>
          <w:rFonts w:ascii="Arial" w:cs="Arial" w:eastAsia="Arial" w:hAnsi="Arial"/>
          <w:sz w:val="22"/>
          <w:szCs w:val="22"/>
          <w:color w:val="131313"/>
        </w:rPr>
        <w:t>to a</w:t>
      </w:r>
      <w:r>
        <w:rPr>
          <w:rFonts w:ascii="Arial" w:cs="Arial" w:eastAsia="Arial" w:hAnsi="Arial"/>
          <w:sz w:val="22"/>
          <w:szCs w:val="22"/>
          <w:color w:val="auto"/>
        </w:rPr>
        <w:t xml:space="preserve"> </w:t>
      </w:r>
      <w:r>
        <w:rPr>
          <w:rFonts w:ascii="Arial" w:cs="Arial" w:eastAsia="Arial" w:hAnsi="Arial"/>
          <w:sz w:val="22"/>
          <w:szCs w:val="22"/>
          <w:color w:val="3A3A3A"/>
        </w:rPr>
        <w:t>voluntary</w:t>
      </w:r>
      <w:r>
        <w:rPr>
          <w:rFonts w:ascii="Arial" w:cs="Arial" w:eastAsia="Arial" w:hAnsi="Arial"/>
          <w:sz w:val="22"/>
          <w:szCs w:val="22"/>
          <w:color w:val="auto"/>
        </w:rPr>
        <w:t xml:space="preserve"> or </w:t>
      </w:r>
      <w:r>
        <w:rPr>
          <w:rFonts w:ascii="Arial" w:cs="Arial" w:eastAsia="Arial" w:hAnsi="Arial"/>
          <w:sz w:val="22"/>
          <w:szCs w:val="22"/>
          <w:color w:val="131313"/>
        </w:rPr>
        <w:t>involuntary proceeding commenced</w:t>
      </w:r>
      <w:r>
        <w:rPr>
          <w:rFonts w:ascii="Arial" w:cs="Arial" w:eastAsia="Arial" w:hAnsi="Arial"/>
          <w:sz w:val="22"/>
          <w:szCs w:val="22"/>
          <w:color w:val="auto"/>
        </w:rPr>
        <w:t xml:space="preserve"> under </w:t>
      </w:r>
      <w:r>
        <w:rPr>
          <w:rFonts w:ascii="Arial" w:cs="Arial" w:eastAsia="Arial" w:hAnsi="Arial"/>
          <w:sz w:val="22"/>
          <w:szCs w:val="22"/>
          <w:color w:val="131313"/>
        </w:rPr>
        <w:t>any chapter of the Bankruptcy</w:t>
      </w:r>
      <w:r>
        <w:rPr>
          <w:rFonts w:ascii="Arial" w:cs="Arial" w:eastAsia="Arial" w:hAnsi="Arial"/>
          <w:sz w:val="22"/>
          <w:szCs w:val="22"/>
          <w:color w:val="auto"/>
        </w:rPr>
        <w:t xml:space="preserve"> Code;</w:t>
      </w:r>
    </w:p>
    <w:p>
      <w:pPr>
        <w:spacing w:after="0" w:line="161" w:lineRule="exact"/>
        <w:rPr>
          <w:sz w:val="20"/>
          <w:szCs w:val="20"/>
          <w:color w:val="auto"/>
        </w:rPr>
      </w:pPr>
    </w:p>
    <w:p>
      <w:pPr>
        <w:jc w:val="both"/>
        <w:ind w:left="1960" w:hanging="647"/>
        <w:spacing w:after="0" w:line="232" w:lineRule="auto"/>
        <w:rPr>
          <w:sz w:val="20"/>
          <w:szCs w:val="20"/>
          <w:color w:val="auto"/>
        </w:rPr>
      </w:pPr>
      <w:r>
        <w:rPr>
          <w:rFonts w:ascii="Arial" w:cs="Arial" w:eastAsia="Arial" w:hAnsi="Arial"/>
          <w:sz w:val="22"/>
          <w:szCs w:val="22"/>
          <w:color w:val="auto"/>
        </w:rPr>
        <w:t xml:space="preserve">31.4.7. Any </w:t>
      </w:r>
      <w:r>
        <w:rPr>
          <w:rFonts w:ascii="Arial" w:cs="Arial" w:eastAsia="Arial" w:hAnsi="Arial"/>
          <w:sz w:val="22"/>
          <w:szCs w:val="22"/>
          <w:color w:val="3A3A3A"/>
        </w:rPr>
        <w:t>involuntary</w:t>
      </w:r>
      <w:r>
        <w:rPr>
          <w:rFonts w:ascii="Arial" w:cs="Arial" w:eastAsia="Arial" w:hAnsi="Arial"/>
          <w:sz w:val="22"/>
          <w:szCs w:val="22"/>
          <w:color w:val="auto"/>
        </w:rPr>
        <w:t xml:space="preserve"> petition is filed against </w:t>
      </w:r>
      <w:r>
        <w:rPr>
          <w:rFonts w:ascii="Arial" w:cs="Arial" w:eastAsia="Arial" w:hAnsi="Arial"/>
          <w:sz w:val="22"/>
          <w:szCs w:val="22"/>
          <w:color w:val="3A3A3A"/>
        </w:rPr>
        <w:t>Tenant</w:t>
      </w:r>
      <w:r>
        <w:rPr>
          <w:rFonts w:ascii="Arial" w:cs="Arial" w:eastAsia="Arial" w:hAnsi="Arial"/>
          <w:sz w:val="22"/>
          <w:szCs w:val="22"/>
          <w:color w:val="auto"/>
        </w:rPr>
        <w:t xml:space="preserve"> </w:t>
      </w:r>
      <w:r>
        <w:rPr>
          <w:rFonts w:ascii="Arial" w:cs="Arial" w:eastAsia="Arial" w:hAnsi="Arial"/>
          <w:sz w:val="22"/>
          <w:szCs w:val="22"/>
          <w:color w:val="131313"/>
        </w:rPr>
        <w:t>under any</w:t>
      </w:r>
      <w:r>
        <w:rPr>
          <w:rFonts w:ascii="Arial" w:cs="Arial" w:eastAsia="Arial" w:hAnsi="Arial"/>
          <w:sz w:val="22"/>
          <w:szCs w:val="22"/>
          <w:color w:val="auto"/>
        </w:rPr>
        <w:t xml:space="preserve"> chapter of </w:t>
      </w:r>
      <w:r>
        <w:rPr>
          <w:rFonts w:ascii="Arial" w:cs="Arial" w:eastAsia="Arial" w:hAnsi="Arial"/>
          <w:sz w:val="22"/>
          <w:szCs w:val="22"/>
          <w:color w:val="131313"/>
        </w:rPr>
        <w:t>the</w:t>
      </w:r>
      <w:r>
        <w:rPr>
          <w:rFonts w:ascii="Arial" w:cs="Arial" w:eastAsia="Arial" w:hAnsi="Arial"/>
          <w:sz w:val="22"/>
          <w:szCs w:val="22"/>
          <w:color w:val="auto"/>
        </w:rPr>
        <w:t xml:space="preserve"> Bankruptcy Code and is not dismissed within </w:t>
      </w:r>
      <w:r>
        <w:rPr>
          <w:rFonts w:ascii="Arial" w:cs="Arial" w:eastAsia="Arial" w:hAnsi="Arial"/>
          <w:sz w:val="22"/>
          <w:szCs w:val="22"/>
          <w:u w:val="single" w:color="auto"/>
          <w:color w:val="auto"/>
        </w:rPr>
        <w:t>[***]</w:t>
      </w:r>
      <w:r>
        <w:rPr>
          <w:rFonts w:ascii="Arial" w:cs="Arial" w:eastAsia="Arial" w:hAnsi="Arial"/>
          <w:sz w:val="22"/>
          <w:szCs w:val="22"/>
          <w:color w:val="auto"/>
        </w:rPr>
        <w:t xml:space="preserve"> days;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31.4.8. Tenant fails to </w:t>
      </w:r>
      <w:r>
        <w:rPr>
          <w:rFonts w:ascii="Arial" w:cs="Arial" w:eastAsia="Arial" w:hAnsi="Arial"/>
          <w:sz w:val="22"/>
          <w:szCs w:val="22"/>
          <w:color w:val="131313"/>
        </w:rPr>
        <w:t>deliver</w:t>
      </w:r>
      <w:r>
        <w:rPr>
          <w:rFonts w:ascii="Arial" w:cs="Arial" w:eastAsia="Arial" w:hAnsi="Arial"/>
          <w:sz w:val="22"/>
          <w:szCs w:val="22"/>
          <w:color w:val="auto"/>
        </w:rPr>
        <w:t xml:space="preserve"> an estoppel certificate </w:t>
      </w:r>
      <w:r>
        <w:rPr>
          <w:rFonts w:ascii="Arial" w:cs="Arial" w:eastAsia="Arial" w:hAnsi="Arial"/>
          <w:sz w:val="22"/>
          <w:szCs w:val="22"/>
          <w:color w:val="131313"/>
        </w:rPr>
        <w:t>in</w:t>
      </w:r>
      <w:r>
        <w:rPr>
          <w:rFonts w:ascii="Arial" w:cs="Arial" w:eastAsia="Arial" w:hAnsi="Arial"/>
          <w:sz w:val="22"/>
          <w:szCs w:val="22"/>
          <w:color w:val="auto"/>
        </w:rPr>
        <w:t xml:space="preserve"> accordance with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3A3A3A"/>
        </w:rPr>
        <w:t>20</w:t>
      </w:r>
      <w:r>
        <w:rPr>
          <w:rFonts w:ascii="Arial" w:cs="Arial" w:eastAsia="Arial" w:hAnsi="Arial"/>
          <w:sz w:val="22"/>
          <w:szCs w:val="22"/>
          <w:color w:val="3A3A3A"/>
        </w:rPr>
        <w:t>;</w:t>
      </w:r>
      <w:r>
        <w:rPr>
          <w:rFonts w:ascii="Arial" w:cs="Arial" w:eastAsia="Arial" w:hAnsi="Arial"/>
          <w:sz w:val="22"/>
          <w:szCs w:val="22"/>
          <w:color w:val="auto"/>
        </w:rPr>
        <w:t xml:space="preserve"> or</w:t>
      </w:r>
    </w:p>
    <w:p>
      <w:pPr>
        <w:spacing w:after="0" w:line="179" w:lineRule="exact"/>
        <w:rPr>
          <w:sz w:val="20"/>
          <w:szCs w:val="20"/>
          <w:color w:val="auto"/>
        </w:rPr>
      </w:pPr>
    </w:p>
    <w:p>
      <w:pPr>
        <w:jc w:val="both"/>
        <w:ind w:left="1960" w:hanging="647"/>
        <w:spacing w:after="0" w:line="232" w:lineRule="auto"/>
        <w:rPr>
          <w:sz w:val="20"/>
          <w:szCs w:val="20"/>
          <w:color w:val="auto"/>
        </w:rPr>
      </w:pPr>
      <w:r>
        <w:rPr>
          <w:rFonts w:ascii="Arial" w:cs="Arial" w:eastAsia="Arial" w:hAnsi="Arial"/>
          <w:sz w:val="22"/>
          <w:szCs w:val="22"/>
          <w:color w:val="auto"/>
        </w:rPr>
        <w:t xml:space="preserve">31.4.9. </w:t>
      </w:r>
      <w:r>
        <w:rPr>
          <w:rFonts w:ascii="Arial" w:cs="Arial" w:eastAsia="Arial" w:hAnsi="Arial"/>
          <w:sz w:val="22"/>
          <w:szCs w:val="22"/>
          <w:color w:val="131313"/>
        </w:rPr>
        <w:t>Tenant’s</w:t>
      </w:r>
      <w:r>
        <w:rPr>
          <w:rFonts w:ascii="Arial" w:cs="Arial" w:eastAsia="Arial" w:hAnsi="Arial"/>
          <w:sz w:val="22"/>
          <w:szCs w:val="22"/>
          <w:color w:val="auto"/>
        </w:rPr>
        <w:t xml:space="preserve"> interest in </w:t>
      </w:r>
      <w:r>
        <w:rPr>
          <w:rFonts w:ascii="Arial" w:cs="Arial" w:eastAsia="Arial" w:hAnsi="Arial"/>
          <w:sz w:val="22"/>
          <w:szCs w:val="22"/>
          <w:color w:val="131313"/>
        </w:rPr>
        <w:t>this</w:t>
      </w:r>
      <w:r>
        <w:rPr>
          <w:rFonts w:ascii="Arial" w:cs="Arial" w:eastAsia="Arial" w:hAnsi="Arial"/>
          <w:sz w:val="22"/>
          <w:szCs w:val="22"/>
          <w:color w:val="auto"/>
        </w:rPr>
        <w:t xml:space="preserve"> Lease </w:t>
      </w:r>
      <w:r>
        <w:rPr>
          <w:rFonts w:ascii="Arial" w:cs="Arial" w:eastAsia="Arial" w:hAnsi="Arial"/>
          <w:sz w:val="22"/>
          <w:szCs w:val="22"/>
          <w:color w:val="3A3A3A"/>
        </w:rPr>
        <w:t>is</w:t>
      </w:r>
      <w:r>
        <w:rPr>
          <w:rFonts w:ascii="Arial" w:cs="Arial" w:eastAsia="Arial" w:hAnsi="Arial"/>
          <w:sz w:val="22"/>
          <w:szCs w:val="22"/>
          <w:color w:val="auto"/>
        </w:rPr>
        <w:t xml:space="preserve"> attached, executed </w:t>
      </w:r>
      <w:r>
        <w:rPr>
          <w:rFonts w:ascii="Arial" w:cs="Arial" w:eastAsia="Arial" w:hAnsi="Arial"/>
          <w:sz w:val="22"/>
          <w:szCs w:val="22"/>
          <w:color w:val="131313"/>
        </w:rPr>
        <w:t>upon</w:t>
      </w:r>
      <w:r>
        <w:rPr>
          <w:rFonts w:ascii="Arial" w:cs="Arial" w:eastAsia="Arial" w:hAnsi="Arial"/>
          <w:sz w:val="22"/>
          <w:szCs w:val="22"/>
          <w:color w:val="auto"/>
        </w:rPr>
        <w:t xml:space="preserve"> or otherwise </w:t>
      </w:r>
      <w:r>
        <w:rPr>
          <w:rFonts w:ascii="Arial" w:cs="Arial" w:eastAsia="Arial" w:hAnsi="Arial"/>
          <w:sz w:val="22"/>
          <w:szCs w:val="22"/>
          <w:color w:val="131313"/>
        </w:rPr>
        <w:t>judicially</w:t>
      </w:r>
      <w:r>
        <w:rPr>
          <w:rFonts w:ascii="Arial" w:cs="Arial" w:eastAsia="Arial" w:hAnsi="Arial"/>
          <w:sz w:val="22"/>
          <w:szCs w:val="22"/>
          <w:color w:val="auto"/>
        </w:rPr>
        <w:t xml:space="preserve"> </w:t>
      </w:r>
      <w:r>
        <w:rPr>
          <w:rFonts w:ascii="Arial" w:cs="Arial" w:eastAsia="Arial" w:hAnsi="Arial"/>
          <w:sz w:val="22"/>
          <w:szCs w:val="22"/>
          <w:color w:val="3A3A3A"/>
        </w:rPr>
        <w:t>seized</w:t>
      </w:r>
      <w:r>
        <w:rPr>
          <w:rFonts w:ascii="Arial" w:cs="Arial" w:eastAsia="Arial" w:hAnsi="Arial"/>
          <w:sz w:val="22"/>
          <w:szCs w:val="22"/>
          <w:color w:val="auto"/>
        </w:rPr>
        <w:t xml:space="preserve"> and such action </w:t>
      </w:r>
      <w:r>
        <w:rPr>
          <w:rFonts w:ascii="Arial" w:cs="Arial" w:eastAsia="Arial" w:hAnsi="Arial"/>
          <w:sz w:val="22"/>
          <w:szCs w:val="22"/>
          <w:color w:val="3A3A3A"/>
        </w:rPr>
        <w:t>is</w:t>
      </w:r>
      <w:r>
        <w:rPr>
          <w:rFonts w:ascii="Arial" w:cs="Arial" w:eastAsia="Arial" w:hAnsi="Arial"/>
          <w:sz w:val="22"/>
          <w:szCs w:val="22"/>
          <w:color w:val="auto"/>
        </w:rPr>
        <w:t xml:space="preserve"> not </w:t>
      </w:r>
      <w:r>
        <w:rPr>
          <w:rFonts w:ascii="Arial" w:cs="Arial" w:eastAsia="Arial" w:hAnsi="Arial"/>
          <w:sz w:val="22"/>
          <w:szCs w:val="22"/>
          <w:color w:val="3A3A3A"/>
        </w:rPr>
        <w:t>released</w:t>
      </w:r>
      <w:r>
        <w:rPr>
          <w:rFonts w:ascii="Arial" w:cs="Arial" w:eastAsia="Arial" w:hAnsi="Arial"/>
          <w:sz w:val="22"/>
          <w:szCs w:val="22"/>
          <w:color w:val="auto"/>
        </w:rPr>
        <w:t xml:space="preserve"> within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color w:val="131313"/>
        </w:rPr>
        <w:t>days</w:t>
      </w:r>
      <w:r>
        <w:rPr>
          <w:rFonts w:ascii="Arial" w:cs="Arial" w:eastAsia="Arial" w:hAnsi="Arial"/>
          <w:sz w:val="22"/>
          <w:szCs w:val="22"/>
          <w:color w:val="auto"/>
        </w:rPr>
        <w:t xml:space="preserve"> of </w:t>
      </w:r>
      <w:r>
        <w:rPr>
          <w:rFonts w:ascii="Arial" w:cs="Arial" w:eastAsia="Arial" w:hAnsi="Arial"/>
          <w:sz w:val="22"/>
          <w:szCs w:val="22"/>
          <w:color w:val="131313"/>
        </w:rPr>
        <w:t>the</w:t>
      </w:r>
      <w:r>
        <w:rPr>
          <w:rFonts w:ascii="Arial" w:cs="Arial" w:eastAsia="Arial" w:hAnsi="Arial"/>
          <w:sz w:val="22"/>
          <w:szCs w:val="22"/>
          <w:color w:val="auto"/>
        </w:rPr>
        <w:t xml:space="preserve"> action.</w:t>
      </w:r>
    </w:p>
    <w:p>
      <w:pPr>
        <w:spacing w:after="0" w:line="159" w:lineRule="exact"/>
        <w:rPr>
          <w:sz w:val="20"/>
          <w:szCs w:val="20"/>
          <w:color w:val="auto"/>
        </w:rPr>
      </w:pPr>
    </w:p>
    <w:p>
      <w:pPr>
        <w:jc w:val="both"/>
        <w:ind w:firstLine="1944"/>
        <w:spacing w:after="0" w:line="218" w:lineRule="auto"/>
        <w:rPr>
          <w:sz w:val="20"/>
          <w:szCs w:val="20"/>
          <w:color w:val="auto"/>
        </w:rPr>
      </w:pPr>
      <w:r>
        <w:rPr>
          <w:rFonts w:ascii="Arial" w:cs="Arial" w:eastAsia="Arial" w:hAnsi="Arial"/>
          <w:sz w:val="22"/>
          <w:szCs w:val="22"/>
          <w:color w:val="auto"/>
        </w:rPr>
        <w:t xml:space="preserve">Notices given under this Section </w:t>
      </w:r>
      <w:r>
        <w:rPr>
          <w:rFonts w:ascii="Arial" w:cs="Arial" w:eastAsia="Arial" w:hAnsi="Arial"/>
          <w:sz w:val="22"/>
          <w:szCs w:val="22"/>
          <w:color w:val="3A3A3A"/>
        </w:rPr>
        <w:t>shall</w:t>
      </w:r>
      <w:r>
        <w:rPr>
          <w:rFonts w:ascii="Arial" w:cs="Arial" w:eastAsia="Arial" w:hAnsi="Arial"/>
          <w:sz w:val="22"/>
          <w:szCs w:val="22"/>
          <w:color w:val="auto"/>
        </w:rPr>
        <w:t xml:space="preserve"> specify the alleged default and </w:t>
      </w:r>
      <w:r>
        <w:rPr>
          <w:rFonts w:ascii="Arial" w:cs="Arial" w:eastAsia="Arial" w:hAnsi="Arial"/>
          <w:sz w:val="22"/>
          <w:szCs w:val="22"/>
          <w:color w:val="3A3A3A"/>
        </w:rPr>
        <w:t>shall</w:t>
      </w:r>
      <w:r>
        <w:rPr>
          <w:rFonts w:ascii="Arial" w:cs="Arial" w:eastAsia="Arial" w:hAnsi="Arial"/>
          <w:sz w:val="22"/>
          <w:szCs w:val="22"/>
          <w:color w:val="auto"/>
        </w:rPr>
        <w:t xml:space="preserve"> demand </w:t>
      </w:r>
      <w:r>
        <w:rPr>
          <w:rFonts w:ascii="Arial" w:cs="Arial" w:eastAsia="Arial" w:hAnsi="Arial"/>
          <w:sz w:val="22"/>
          <w:szCs w:val="22"/>
          <w:color w:val="131313"/>
        </w:rPr>
        <w:t>that Tenant</w:t>
      </w:r>
      <w:r>
        <w:rPr>
          <w:rFonts w:ascii="Arial" w:cs="Arial" w:eastAsia="Arial" w:hAnsi="Arial"/>
          <w:sz w:val="22"/>
          <w:szCs w:val="22"/>
          <w:color w:val="auto"/>
        </w:rPr>
        <w:t xml:space="preserve"> perform the </w:t>
      </w:r>
      <w:r>
        <w:rPr>
          <w:rFonts w:ascii="Arial" w:cs="Arial" w:eastAsia="Arial" w:hAnsi="Arial"/>
          <w:sz w:val="22"/>
          <w:szCs w:val="22"/>
          <w:color w:val="131313"/>
        </w:rPr>
        <w:t xml:space="preserve">provisions </w:t>
      </w:r>
      <w:r>
        <w:rPr>
          <w:rFonts w:ascii="Arial" w:cs="Arial" w:eastAsia="Arial" w:hAnsi="Arial"/>
          <w:sz w:val="22"/>
          <w:szCs w:val="22"/>
          <w:color w:val="000000"/>
        </w:rPr>
        <w:t>of</w:t>
      </w:r>
      <w:r>
        <w:rPr>
          <w:rFonts w:ascii="Arial" w:cs="Arial" w:eastAsia="Arial" w:hAnsi="Arial"/>
          <w:sz w:val="22"/>
          <w:szCs w:val="22"/>
          <w:color w:val="131313"/>
        </w:rPr>
        <w:t xml:space="preserve"> this </w:t>
      </w:r>
      <w:r>
        <w:rPr>
          <w:rFonts w:ascii="Arial" w:cs="Arial" w:eastAsia="Arial" w:hAnsi="Arial"/>
          <w:sz w:val="22"/>
          <w:szCs w:val="22"/>
          <w:color w:val="3A3A3A"/>
        </w:rPr>
        <w:t>Lease</w:t>
      </w:r>
      <w:r>
        <w:rPr>
          <w:rFonts w:ascii="Arial" w:cs="Arial" w:eastAsia="Arial" w:hAnsi="Arial"/>
          <w:sz w:val="22"/>
          <w:szCs w:val="22"/>
          <w:color w:val="131313"/>
        </w:rPr>
        <w:t xml:space="preserve"> </w:t>
      </w:r>
      <w:r>
        <w:rPr>
          <w:rFonts w:ascii="Arial" w:cs="Arial" w:eastAsia="Arial" w:hAnsi="Arial"/>
          <w:sz w:val="22"/>
          <w:szCs w:val="22"/>
          <w:color w:val="000000"/>
        </w:rPr>
        <w:t>or pay the</w:t>
      </w:r>
      <w:r>
        <w:rPr>
          <w:rFonts w:ascii="Arial" w:cs="Arial" w:eastAsia="Arial" w:hAnsi="Arial"/>
          <w:sz w:val="22"/>
          <w:szCs w:val="22"/>
          <w:color w:val="131313"/>
        </w:rPr>
        <w:t xml:space="preserve"> Rent </w:t>
      </w:r>
      <w:r>
        <w:rPr>
          <w:rFonts w:ascii="Arial" w:cs="Arial" w:eastAsia="Arial" w:hAnsi="Arial"/>
          <w:sz w:val="22"/>
          <w:szCs w:val="22"/>
          <w:color w:val="3A3A3A"/>
        </w:rPr>
        <w:t>that</w:t>
      </w:r>
      <w:r>
        <w:rPr>
          <w:rFonts w:ascii="Arial" w:cs="Arial" w:eastAsia="Arial" w:hAnsi="Arial"/>
          <w:sz w:val="22"/>
          <w:szCs w:val="22"/>
          <w:color w:val="131313"/>
        </w:rPr>
        <w:t xml:space="preserve"> is </w:t>
      </w:r>
      <w:r>
        <w:rPr>
          <w:rFonts w:ascii="Arial" w:cs="Arial" w:eastAsia="Arial" w:hAnsi="Arial"/>
          <w:sz w:val="22"/>
          <w:szCs w:val="22"/>
          <w:color w:val="000000"/>
        </w:rPr>
        <w:t>in arrears, as the case may be,</w:t>
      </w:r>
      <w:r>
        <w:rPr>
          <w:rFonts w:ascii="Arial" w:cs="Arial" w:eastAsia="Arial" w:hAnsi="Arial"/>
          <w:sz w:val="22"/>
          <w:szCs w:val="22"/>
          <w:color w:val="131313"/>
        </w:rPr>
        <w:t xml:space="preserve"> </w:t>
      </w:r>
      <w:r>
        <w:rPr>
          <w:rFonts w:ascii="Arial" w:cs="Arial" w:eastAsia="Arial" w:hAnsi="Arial"/>
          <w:sz w:val="22"/>
          <w:szCs w:val="22"/>
          <w:color w:val="3A3A3A"/>
        </w:rPr>
        <w:t>within</w:t>
      </w:r>
      <w:r>
        <w:rPr>
          <w:rFonts w:ascii="Arial" w:cs="Arial" w:eastAsia="Arial" w:hAnsi="Arial"/>
          <w:sz w:val="22"/>
          <w:szCs w:val="22"/>
          <w:color w:val="131313"/>
        </w:rPr>
        <w:t xml:space="preserve"> the applicable period </w:t>
      </w:r>
      <w:r>
        <w:rPr>
          <w:rFonts w:ascii="Arial" w:cs="Arial" w:eastAsia="Arial" w:hAnsi="Arial"/>
          <w:sz w:val="22"/>
          <w:szCs w:val="22"/>
          <w:color w:val="000000"/>
        </w:rPr>
        <w:t>of time, or quit</w:t>
      </w:r>
      <w:r>
        <w:rPr>
          <w:rFonts w:ascii="Arial" w:cs="Arial" w:eastAsia="Arial" w:hAnsi="Arial"/>
          <w:sz w:val="22"/>
          <w:szCs w:val="22"/>
          <w:color w:val="131313"/>
        </w:rPr>
        <w:t xml:space="preserve"> </w:t>
      </w:r>
      <w:r>
        <w:rPr>
          <w:rFonts w:ascii="Arial" w:cs="Arial" w:eastAsia="Arial" w:hAnsi="Arial"/>
          <w:sz w:val="22"/>
          <w:szCs w:val="22"/>
          <w:color w:val="3A3A3A"/>
        </w:rPr>
        <w:t>the</w:t>
      </w:r>
      <w:r>
        <w:rPr>
          <w:rFonts w:ascii="Arial" w:cs="Arial" w:eastAsia="Arial" w:hAnsi="Arial"/>
          <w:sz w:val="22"/>
          <w:szCs w:val="22"/>
          <w:color w:val="131313"/>
        </w:rPr>
        <w:t xml:space="preserve"> </w:t>
      </w:r>
      <w:r>
        <w:rPr>
          <w:rFonts w:ascii="Arial" w:cs="Arial" w:eastAsia="Arial" w:hAnsi="Arial"/>
          <w:sz w:val="22"/>
          <w:szCs w:val="22"/>
          <w:color w:val="000000"/>
        </w:rPr>
        <w:t xml:space="preserve">Premises. No such notice </w:t>
      </w:r>
      <w:r>
        <w:rPr>
          <w:rFonts w:ascii="Arial" w:cs="Arial" w:eastAsia="Arial" w:hAnsi="Arial"/>
          <w:sz w:val="22"/>
          <w:szCs w:val="22"/>
          <w:color w:val="3A3A3A"/>
        </w:rPr>
        <w:t>shall</w:t>
      </w:r>
      <w:r>
        <w:rPr>
          <w:rFonts w:ascii="Arial" w:cs="Arial" w:eastAsia="Arial" w:hAnsi="Arial"/>
          <w:sz w:val="22"/>
          <w:szCs w:val="22"/>
          <w:color w:val="000000"/>
        </w:rPr>
        <w:t xml:space="preserve"> </w:t>
      </w:r>
      <w:r>
        <w:rPr>
          <w:rFonts w:ascii="Arial" w:cs="Arial" w:eastAsia="Arial" w:hAnsi="Arial"/>
          <w:sz w:val="22"/>
          <w:szCs w:val="22"/>
          <w:color w:val="131313"/>
        </w:rPr>
        <w:t>be</w:t>
      </w:r>
      <w:r>
        <w:rPr>
          <w:rFonts w:ascii="Arial" w:cs="Arial" w:eastAsia="Arial" w:hAnsi="Arial"/>
          <w:sz w:val="22"/>
          <w:szCs w:val="22"/>
          <w:color w:val="000000"/>
        </w:rPr>
        <w:t xml:space="preserve"> </w:t>
      </w:r>
      <w:r>
        <w:rPr>
          <w:rFonts w:ascii="Arial" w:cs="Arial" w:eastAsia="Arial" w:hAnsi="Arial"/>
          <w:sz w:val="22"/>
          <w:szCs w:val="22"/>
          <w:color w:val="3A3A3A"/>
        </w:rPr>
        <w:t>deemed a</w:t>
      </w:r>
      <w:r>
        <w:rPr>
          <w:rFonts w:ascii="Arial" w:cs="Arial" w:eastAsia="Arial" w:hAnsi="Arial"/>
          <w:sz w:val="22"/>
          <w:szCs w:val="22"/>
          <w:color w:val="000000"/>
        </w:rPr>
        <w:t xml:space="preserve"> forfeiture or </w:t>
      </w:r>
      <w:r>
        <w:rPr>
          <w:rFonts w:ascii="Arial" w:cs="Arial" w:eastAsia="Arial" w:hAnsi="Arial"/>
          <w:sz w:val="22"/>
          <w:szCs w:val="22"/>
          <w:color w:val="3A3A3A"/>
        </w:rPr>
        <w:t>a</w:t>
      </w:r>
      <w:r>
        <w:rPr>
          <w:rFonts w:ascii="Arial" w:cs="Arial" w:eastAsia="Arial" w:hAnsi="Arial"/>
          <w:sz w:val="22"/>
          <w:szCs w:val="22"/>
          <w:color w:val="000000"/>
        </w:rPr>
        <w:t xml:space="preserve"> </w:t>
      </w:r>
      <w:r>
        <w:rPr>
          <w:rFonts w:ascii="Arial" w:cs="Arial" w:eastAsia="Arial" w:hAnsi="Arial"/>
          <w:sz w:val="22"/>
          <w:szCs w:val="22"/>
          <w:color w:val="131313"/>
        </w:rPr>
        <w:t>termination</w:t>
      </w:r>
      <w:r>
        <w:rPr>
          <w:rFonts w:ascii="Arial" w:cs="Arial" w:eastAsia="Arial" w:hAnsi="Arial"/>
          <w:sz w:val="22"/>
          <w:szCs w:val="22"/>
          <w:color w:val="000000"/>
        </w:rPr>
        <w:t xml:space="preserve"> of this </w:t>
      </w:r>
      <w:r>
        <w:rPr>
          <w:rFonts w:ascii="Arial" w:cs="Arial" w:eastAsia="Arial" w:hAnsi="Arial"/>
          <w:sz w:val="22"/>
          <w:szCs w:val="22"/>
          <w:color w:val="3A3A3A"/>
        </w:rPr>
        <w:t>Lease</w:t>
      </w:r>
      <w:r>
        <w:rPr>
          <w:rFonts w:ascii="Arial" w:cs="Arial" w:eastAsia="Arial" w:hAnsi="Arial"/>
          <w:sz w:val="22"/>
          <w:szCs w:val="22"/>
          <w:color w:val="000000"/>
        </w:rPr>
        <w:t xml:space="preserve"> unless </w:t>
      </w:r>
      <w:r>
        <w:rPr>
          <w:rFonts w:ascii="Arial" w:cs="Arial" w:eastAsia="Arial" w:hAnsi="Arial"/>
          <w:sz w:val="22"/>
          <w:szCs w:val="22"/>
          <w:color w:val="131313"/>
        </w:rPr>
        <w:t>Landlord</w:t>
      </w:r>
      <w:r>
        <w:rPr>
          <w:rFonts w:ascii="Arial" w:cs="Arial" w:eastAsia="Arial" w:hAnsi="Arial"/>
          <w:sz w:val="22"/>
          <w:szCs w:val="22"/>
          <w:color w:val="000000"/>
        </w:rPr>
        <w:t xml:space="preserve"> elects otherwise in </w:t>
      </w:r>
      <w:r>
        <w:rPr>
          <w:rFonts w:ascii="Arial" w:cs="Arial" w:eastAsia="Arial" w:hAnsi="Arial"/>
          <w:sz w:val="22"/>
          <w:szCs w:val="22"/>
          <w:color w:val="3A3A3A"/>
        </w:rPr>
        <w:t>such</w:t>
      </w:r>
      <w:r>
        <w:rPr>
          <w:rFonts w:ascii="Arial" w:cs="Arial" w:eastAsia="Arial" w:hAnsi="Arial"/>
          <w:sz w:val="22"/>
          <w:szCs w:val="22"/>
          <w:color w:val="000000"/>
        </w:rPr>
        <w:t xml:space="preserve"> </w:t>
      </w:r>
      <w:r>
        <w:rPr>
          <w:rFonts w:ascii="Arial" w:cs="Arial" w:eastAsia="Arial" w:hAnsi="Arial"/>
          <w:sz w:val="22"/>
          <w:szCs w:val="22"/>
          <w:color w:val="131313"/>
        </w:rPr>
        <w:t>notice.</w:t>
      </w:r>
    </w:p>
    <w:p>
      <w:pPr>
        <w:spacing w:after="0" w:line="161"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31.5</w:t>
      </w:r>
      <w:r>
        <w:rPr>
          <w:rFonts w:ascii="Arial" w:cs="Arial" w:eastAsia="Arial" w:hAnsi="Arial"/>
          <w:sz w:val="22"/>
          <w:szCs w:val="22"/>
          <w:color w:val="131313"/>
        </w:rPr>
        <w:tab/>
        <w:t xml:space="preserve">In the </w:t>
      </w:r>
      <w:r>
        <w:rPr>
          <w:rFonts w:ascii="Arial" w:cs="Arial" w:eastAsia="Arial" w:hAnsi="Arial"/>
          <w:sz w:val="22"/>
          <w:szCs w:val="22"/>
          <w:color w:val="3A3A3A"/>
        </w:rPr>
        <w:t>event</w:t>
      </w:r>
      <w:r>
        <w:rPr>
          <w:rFonts w:ascii="Arial" w:cs="Arial" w:eastAsia="Arial" w:hAnsi="Arial"/>
          <w:sz w:val="22"/>
          <w:szCs w:val="22"/>
          <w:color w:val="131313"/>
        </w:rPr>
        <w:t xml:space="preserve"> </w:t>
      </w:r>
      <w:r>
        <w:rPr>
          <w:rFonts w:ascii="Arial" w:cs="Arial" w:eastAsia="Arial" w:hAnsi="Arial"/>
          <w:sz w:val="22"/>
          <w:szCs w:val="22"/>
          <w:color w:val="000000"/>
        </w:rPr>
        <w:t>of</w:t>
      </w:r>
      <w:r>
        <w:rPr>
          <w:rFonts w:ascii="Arial" w:cs="Arial" w:eastAsia="Arial" w:hAnsi="Arial"/>
          <w:sz w:val="22"/>
          <w:szCs w:val="22"/>
          <w:color w:val="131313"/>
        </w:rPr>
        <w:t xml:space="preserve"> a Default </w:t>
      </w:r>
      <w:r>
        <w:rPr>
          <w:rFonts w:ascii="Arial" w:cs="Arial" w:eastAsia="Arial" w:hAnsi="Arial"/>
          <w:sz w:val="22"/>
          <w:szCs w:val="22"/>
          <w:color w:val="000000"/>
        </w:rPr>
        <w:t>by Tenant, and at</w:t>
      </w:r>
      <w:r>
        <w:rPr>
          <w:rFonts w:ascii="Arial" w:cs="Arial" w:eastAsia="Arial" w:hAnsi="Arial"/>
          <w:sz w:val="22"/>
          <w:szCs w:val="22"/>
          <w:color w:val="131313"/>
        </w:rPr>
        <w:t xml:space="preserve"> any </w:t>
      </w:r>
      <w:r>
        <w:rPr>
          <w:rFonts w:ascii="Arial" w:cs="Arial" w:eastAsia="Arial" w:hAnsi="Arial"/>
          <w:sz w:val="22"/>
          <w:szCs w:val="22"/>
          <w:color w:val="000000"/>
        </w:rPr>
        <w:t>time thereafter, with or without notice or</w:t>
      </w:r>
      <w:r>
        <w:rPr>
          <w:rFonts w:ascii="Arial" w:cs="Arial" w:eastAsia="Arial" w:hAnsi="Arial"/>
          <w:sz w:val="22"/>
          <w:szCs w:val="22"/>
          <w:color w:val="131313"/>
        </w:rPr>
        <w:t xml:space="preserve"> demand </w:t>
      </w:r>
      <w:r>
        <w:rPr>
          <w:rFonts w:ascii="Arial" w:cs="Arial" w:eastAsia="Arial" w:hAnsi="Arial"/>
          <w:sz w:val="22"/>
          <w:szCs w:val="22"/>
          <w:color w:val="000000"/>
        </w:rPr>
        <w:t>and without</w:t>
      </w:r>
      <w:r>
        <w:rPr>
          <w:rFonts w:ascii="Arial" w:cs="Arial" w:eastAsia="Arial" w:hAnsi="Arial"/>
          <w:sz w:val="22"/>
          <w:szCs w:val="22"/>
          <w:color w:val="131313"/>
        </w:rPr>
        <w:t xml:space="preserve"> limiting Landlord </w:t>
      </w:r>
      <w:r>
        <w:rPr>
          <w:rFonts w:ascii="Arial" w:cs="Arial" w:eastAsia="Arial" w:hAnsi="Arial"/>
          <w:sz w:val="22"/>
          <w:szCs w:val="22"/>
          <w:color w:val="000000"/>
        </w:rPr>
        <w:t>in the</w:t>
      </w:r>
      <w:r>
        <w:rPr>
          <w:rFonts w:ascii="Arial" w:cs="Arial" w:eastAsia="Arial" w:hAnsi="Arial"/>
          <w:sz w:val="22"/>
          <w:szCs w:val="22"/>
          <w:color w:val="131313"/>
        </w:rPr>
        <w:t xml:space="preserve"> </w:t>
      </w:r>
      <w:r>
        <w:rPr>
          <w:rFonts w:ascii="Arial" w:cs="Arial" w:eastAsia="Arial" w:hAnsi="Arial"/>
          <w:sz w:val="22"/>
          <w:szCs w:val="22"/>
          <w:color w:val="3A3A3A"/>
        </w:rPr>
        <w:t>exercise</w:t>
      </w:r>
      <w:r>
        <w:rPr>
          <w:rFonts w:ascii="Arial" w:cs="Arial" w:eastAsia="Arial" w:hAnsi="Arial"/>
          <w:sz w:val="22"/>
          <w:szCs w:val="22"/>
          <w:color w:val="131313"/>
        </w:rPr>
        <w:t xml:space="preserve"> </w:t>
      </w:r>
      <w:r>
        <w:rPr>
          <w:rFonts w:ascii="Arial" w:cs="Arial" w:eastAsia="Arial" w:hAnsi="Arial"/>
          <w:sz w:val="22"/>
          <w:szCs w:val="22"/>
          <w:color w:val="000000"/>
        </w:rPr>
        <w:t>of any right or remedy that</w:t>
      </w:r>
      <w:r>
        <w:rPr>
          <w:rFonts w:ascii="Arial" w:cs="Arial" w:eastAsia="Arial" w:hAnsi="Arial"/>
          <w:sz w:val="22"/>
          <w:szCs w:val="22"/>
          <w:color w:val="131313"/>
        </w:rPr>
        <w:t xml:space="preserve"> Landlord may have, Landlord </w:t>
      </w:r>
      <w:r>
        <w:rPr>
          <w:rFonts w:ascii="Arial" w:cs="Arial" w:eastAsia="Arial" w:hAnsi="Arial"/>
          <w:sz w:val="22"/>
          <w:szCs w:val="22"/>
          <w:color w:val="3A3A3A"/>
        </w:rPr>
        <w:t>shall</w:t>
      </w:r>
      <w:r>
        <w:rPr>
          <w:rFonts w:ascii="Arial" w:cs="Arial" w:eastAsia="Arial" w:hAnsi="Arial"/>
          <w:sz w:val="22"/>
          <w:szCs w:val="22"/>
          <w:color w:val="131313"/>
        </w:rPr>
        <w:t xml:space="preserve"> be </w:t>
      </w:r>
      <w:r>
        <w:rPr>
          <w:rFonts w:ascii="Arial" w:cs="Arial" w:eastAsia="Arial" w:hAnsi="Arial"/>
          <w:sz w:val="22"/>
          <w:szCs w:val="22"/>
          <w:color w:val="000000"/>
        </w:rPr>
        <w:t>entitled</w:t>
      </w:r>
      <w:r>
        <w:rPr>
          <w:rFonts w:ascii="Arial" w:cs="Arial" w:eastAsia="Arial" w:hAnsi="Arial"/>
          <w:sz w:val="22"/>
          <w:szCs w:val="22"/>
          <w:color w:val="131313"/>
        </w:rPr>
        <w:t xml:space="preserve"> </w:t>
      </w:r>
      <w:r>
        <w:rPr>
          <w:rFonts w:ascii="Arial" w:cs="Arial" w:eastAsia="Arial" w:hAnsi="Arial"/>
          <w:sz w:val="22"/>
          <w:szCs w:val="22"/>
          <w:color w:val="3A3A3A"/>
        </w:rPr>
        <w:t>to</w:t>
      </w:r>
      <w:r>
        <w:rPr>
          <w:rFonts w:ascii="Arial" w:cs="Arial" w:eastAsia="Arial" w:hAnsi="Arial"/>
          <w:sz w:val="22"/>
          <w:szCs w:val="22"/>
          <w:color w:val="131313"/>
        </w:rPr>
        <w:t xml:space="preserve"> </w:t>
      </w:r>
      <w:r>
        <w:rPr>
          <w:rFonts w:ascii="Arial" w:cs="Arial" w:eastAsia="Arial" w:hAnsi="Arial"/>
          <w:sz w:val="22"/>
          <w:szCs w:val="22"/>
          <w:color w:val="000000"/>
        </w:rPr>
        <w:t xml:space="preserve">terminate </w:t>
      </w:r>
      <w:r>
        <w:rPr>
          <w:rFonts w:ascii="Arial" w:cs="Arial" w:eastAsia="Arial" w:hAnsi="Arial"/>
          <w:sz w:val="22"/>
          <w:szCs w:val="22"/>
          <w:color w:val="131313"/>
        </w:rPr>
        <w:t>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01" w:right="339" w:bottom="1440" w:gutter="0" w:footer="0" w:header="0"/>
        </w:sectPr>
      </w:pPr>
    </w:p>
    <w:bookmarkStart w:id="359" w:name="page360"/>
    <w:bookmarkEnd w:id="359"/>
    <w:p>
      <w:pPr>
        <w:jc w:val="both"/>
        <w:ind w:left="1300"/>
        <w:spacing w:after="0" w:line="221" w:lineRule="auto"/>
        <w:rPr>
          <w:sz w:val="20"/>
          <w:szCs w:val="20"/>
          <w:color w:val="auto"/>
        </w:rPr>
      </w:pPr>
      <w:r>
        <w:rPr>
          <w:rFonts w:ascii="Arial" w:cs="Arial" w:eastAsia="Arial" w:hAnsi="Arial"/>
          <w:sz w:val="21"/>
          <w:szCs w:val="21"/>
          <w:color w:val="auto"/>
        </w:rPr>
        <w:t xml:space="preserve">right </w:t>
      </w:r>
      <w:r>
        <w:rPr>
          <w:rFonts w:ascii="Arial" w:cs="Arial" w:eastAsia="Arial" w:hAnsi="Arial"/>
          <w:sz w:val="21"/>
          <w:szCs w:val="21"/>
          <w:color w:val="131313"/>
        </w:rPr>
        <w:t>to</w:t>
      </w:r>
      <w:r>
        <w:rPr>
          <w:rFonts w:ascii="Arial" w:cs="Arial" w:eastAsia="Arial" w:hAnsi="Arial"/>
          <w:sz w:val="21"/>
          <w:szCs w:val="21"/>
          <w:color w:val="auto"/>
        </w:rPr>
        <w:t xml:space="preserve"> possession of the Premises by written notice to Tenant or by any lawful means, in which case this Lease shall terminate and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31.5.1. The worth at the time of award of any unpaid Rent that had accrued at the time of such termination; plus</w:t>
      </w:r>
    </w:p>
    <w:p>
      <w:pPr>
        <w:spacing w:after="0" w:line="214" w:lineRule="exact"/>
        <w:rPr>
          <w:sz w:val="20"/>
          <w:szCs w:val="20"/>
          <w:color w:val="auto"/>
        </w:rPr>
      </w:pPr>
    </w:p>
    <w:p>
      <w:pPr>
        <w:jc w:val="both"/>
        <w:ind w:left="1960" w:hanging="647"/>
        <w:spacing w:after="0" w:line="218" w:lineRule="auto"/>
        <w:rPr>
          <w:sz w:val="20"/>
          <w:szCs w:val="20"/>
          <w:color w:val="auto"/>
        </w:rPr>
      </w:pPr>
      <w:r>
        <w:rPr>
          <w:rFonts w:ascii="Arial" w:cs="Arial" w:eastAsia="Arial" w:hAnsi="Arial"/>
          <w:sz w:val="22"/>
          <w:szCs w:val="22"/>
          <w:color w:val="auto"/>
        </w:rPr>
        <w:t>31.5.2. The worth at the time of award of the amount by which the unpaid Rent that would have accrued during the period commencing with termination of the Lease and ending at the time of award exceeds that portion of the loss of Landlord’s rental income from the Premises that Tenant proves to Landlord’s reasonable satisfaction could have been reasonably avoided; plus</w:t>
      </w:r>
    </w:p>
    <w:p>
      <w:pPr>
        <w:spacing w:after="0" w:line="161" w:lineRule="exact"/>
        <w:rPr>
          <w:sz w:val="20"/>
          <w:szCs w:val="20"/>
          <w:color w:val="auto"/>
        </w:rPr>
      </w:pPr>
    </w:p>
    <w:p>
      <w:pPr>
        <w:jc w:val="both"/>
        <w:ind w:left="1960" w:hanging="647"/>
        <w:spacing w:after="0" w:line="268" w:lineRule="auto"/>
        <w:rPr>
          <w:sz w:val="20"/>
          <w:szCs w:val="20"/>
          <w:color w:val="auto"/>
        </w:rPr>
      </w:pPr>
      <w:r>
        <w:rPr>
          <w:rFonts w:ascii="Arial" w:cs="Arial" w:eastAsia="Arial" w:hAnsi="Arial"/>
          <w:sz w:val="19"/>
          <w:szCs w:val="19"/>
          <w:color w:val="auto"/>
        </w:rPr>
        <w:t>31.5.3. The worth at the time of award of the amount by which the unpaid Rent for the balance of the Term after the time of award exceeds that portion of the loss of Landlord’s rental income from the Premises that Tenant proves to Landlord’s reasonable satisfaction could have been reasonably avoided; plus</w:t>
      </w:r>
    </w:p>
    <w:p>
      <w:pPr>
        <w:spacing w:after="0" w:line="132" w:lineRule="exact"/>
        <w:rPr>
          <w:sz w:val="20"/>
          <w:szCs w:val="20"/>
          <w:color w:val="auto"/>
        </w:rPr>
      </w:pPr>
    </w:p>
    <w:p>
      <w:pPr>
        <w:jc w:val="both"/>
        <w:ind w:left="1960" w:hanging="647"/>
        <w:spacing w:after="0" w:line="218" w:lineRule="auto"/>
        <w:rPr>
          <w:sz w:val="20"/>
          <w:szCs w:val="20"/>
          <w:color w:val="auto"/>
        </w:rPr>
      </w:pPr>
      <w:r>
        <w:rPr>
          <w:rFonts w:ascii="Arial" w:cs="Arial" w:eastAsia="Arial" w:hAnsi="Arial"/>
          <w:sz w:val="22"/>
          <w:szCs w:val="22"/>
          <w:color w:val="auto"/>
        </w:rPr>
        <w:t>31.5.4. Any other amount necessary to compensate Landlord for all the detriment caused by Tenant’s failure to perform its obligations under this Lease or that in the ordinary course of things would be likely to result therefrom, including the cost of restoring the Premises to the condition required under the terms of this Lease; plus</w:t>
      </w:r>
    </w:p>
    <w:p>
      <w:pPr>
        <w:spacing w:after="0" w:line="161" w:lineRule="exact"/>
        <w:rPr>
          <w:sz w:val="20"/>
          <w:szCs w:val="20"/>
          <w:color w:val="auto"/>
        </w:rPr>
      </w:pPr>
    </w:p>
    <w:p>
      <w:pPr>
        <w:jc w:val="both"/>
        <w:ind w:left="1960" w:hanging="647"/>
        <w:spacing w:after="0" w:line="232" w:lineRule="auto"/>
        <w:rPr>
          <w:sz w:val="20"/>
          <w:szCs w:val="20"/>
          <w:color w:val="auto"/>
        </w:rPr>
      </w:pPr>
      <w:r>
        <w:rPr>
          <w:rFonts w:ascii="Arial" w:cs="Arial" w:eastAsia="Arial" w:hAnsi="Arial"/>
          <w:sz w:val="22"/>
          <w:szCs w:val="22"/>
          <w:color w:val="auto"/>
        </w:rPr>
        <w:t>31.5.5. At Landlord’s election, such other amounts in addition to or in lieu of the foregoing as may be permitted from time to time by Applicable Laws.</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As used in </w:t>
      </w:r>
      <w:r>
        <w:rPr>
          <w:rFonts w:ascii="Arial" w:cs="Arial" w:eastAsia="Arial" w:hAnsi="Arial"/>
          <w:sz w:val="22"/>
          <w:szCs w:val="22"/>
          <w:u w:val="single" w:color="auto"/>
          <w:color w:val="auto"/>
        </w:rPr>
        <w:t>Subsections 3l .5(a)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31.5(b)</w:t>
      </w:r>
      <w:r>
        <w:rPr>
          <w:rFonts w:ascii="Arial" w:cs="Arial" w:eastAsia="Arial" w:hAnsi="Arial"/>
          <w:sz w:val="22"/>
          <w:szCs w:val="22"/>
          <w:color w:val="auto"/>
        </w:rPr>
        <w:t>, “</w:t>
      </w:r>
      <w:r>
        <w:rPr>
          <w:rFonts w:ascii="Arial" w:cs="Arial" w:eastAsia="Arial" w:hAnsi="Arial"/>
          <w:sz w:val="22"/>
          <w:szCs w:val="22"/>
          <w:u w:val="single" w:color="auto"/>
          <w:color w:val="auto"/>
        </w:rPr>
        <w:t>worth at the time of award</w:t>
      </w:r>
      <w:r>
        <w:rPr>
          <w:rFonts w:ascii="Arial" w:cs="Arial" w:eastAsia="Arial" w:hAnsi="Arial"/>
          <w:sz w:val="22"/>
          <w:szCs w:val="22"/>
          <w:color w:val="auto"/>
        </w:rPr>
        <w:t xml:space="preserve">” shall be computed by allowing interest at the Default Rate. As used in </w:t>
      </w:r>
      <w:r>
        <w:rPr>
          <w:rFonts w:ascii="Arial" w:cs="Arial" w:eastAsia="Arial" w:hAnsi="Arial"/>
          <w:sz w:val="22"/>
          <w:szCs w:val="22"/>
          <w:u w:val="single" w:color="auto"/>
          <w:color w:val="auto"/>
        </w:rPr>
        <w:t>Subsection 31.5(c)</w:t>
      </w:r>
      <w:r>
        <w:rPr>
          <w:rFonts w:ascii="Arial" w:cs="Arial" w:eastAsia="Arial" w:hAnsi="Arial"/>
          <w:sz w:val="22"/>
          <w:szCs w:val="22"/>
          <w:color w:val="auto"/>
        </w:rPr>
        <w:t>, the “worth at the time of the award” shall be computed by taking the present value of such amount, using the discount rate of the Federal Reserve Bank of San Francisco at the time of the award plus one (1) percentage point.</w:t>
      </w:r>
    </w:p>
    <w:p>
      <w:pPr>
        <w:spacing w:after="0" w:line="161"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color w:val="auto"/>
        </w:rPr>
        <w:t>In addition to any other remedies available to Landlord at law or in equity and under this Lease, Landlord may continue this Lease in effect after Tenant’s Default and abandonment and recover Rent as it becomes due. Landlord shall use reasonable efforts to relet the Premises, but shall not be liable in any way whatsoever for its failure to relet the Premises notwithstanding the exercise of such reasonable efforts. For purposes of this Section, the following acts by Landlord will not constitute the termination of Tenant’s right to possession of the Premises:</w:t>
      </w:r>
    </w:p>
    <w:p>
      <w:pPr>
        <w:spacing w:after="0" w:line="149" w:lineRule="exact"/>
        <w:rPr>
          <w:sz w:val="20"/>
          <w:szCs w:val="20"/>
          <w:color w:val="auto"/>
        </w:rPr>
      </w:pPr>
    </w:p>
    <w:p>
      <w:pPr>
        <w:ind w:left="1960" w:hanging="647"/>
        <w:spacing w:after="0" w:line="232" w:lineRule="auto"/>
        <w:rPr>
          <w:sz w:val="20"/>
          <w:szCs w:val="20"/>
          <w:color w:val="auto"/>
        </w:rPr>
      </w:pPr>
      <w:r>
        <w:rPr>
          <w:rFonts w:ascii="Arial" w:cs="Arial" w:eastAsia="Arial" w:hAnsi="Arial"/>
          <w:sz w:val="22"/>
          <w:szCs w:val="22"/>
          <w:color w:val="auto"/>
        </w:rPr>
        <w:t>31.6.1. Acts of maintenance or preservation or efforts to relet the Premises, including alterations, remodeling, redecorating, repairs, replacements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01" w:right="339" w:bottom="1440" w:gutter="0" w:footer="0" w:header="0"/>
        </w:sectPr>
      </w:pPr>
    </w:p>
    <w:bookmarkStart w:id="360" w:name="page361"/>
    <w:bookmarkEnd w:id="360"/>
    <w:p>
      <w:pPr>
        <w:ind w:left="1960" w:right="20"/>
        <w:spacing w:after="0" w:line="232" w:lineRule="auto"/>
        <w:rPr>
          <w:sz w:val="20"/>
          <w:szCs w:val="20"/>
          <w:color w:val="auto"/>
        </w:rPr>
      </w:pPr>
      <w:r>
        <w:rPr>
          <w:rFonts w:ascii="Arial" w:cs="Arial" w:eastAsia="Arial" w:hAnsi="Arial"/>
          <w:sz w:val="22"/>
          <w:szCs w:val="22"/>
          <w:color w:val="auto"/>
        </w:rPr>
        <w:t>painting as Landlord shall consider advisable for the purpose of reletting the Premises or any part thereof; or</w:t>
      </w:r>
    </w:p>
    <w:p>
      <w:pPr>
        <w:spacing w:after="0" w:line="159" w:lineRule="exact"/>
        <w:rPr>
          <w:sz w:val="20"/>
          <w:szCs w:val="20"/>
          <w:color w:val="auto"/>
        </w:rPr>
      </w:pPr>
    </w:p>
    <w:p>
      <w:pPr>
        <w:ind w:left="1960" w:right="20" w:hanging="647"/>
        <w:spacing w:after="0" w:line="232" w:lineRule="auto"/>
        <w:rPr>
          <w:sz w:val="20"/>
          <w:szCs w:val="20"/>
          <w:color w:val="auto"/>
        </w:rPr>
      </w:pPr>
      <w:r>
        <w:rPr>
          <w:rFonts w:ascii="Arial" w:cs="Arial" w:eastAsia="Arial" w:hAnsi="Arial"/>
          <w:sz w:val="22"/>
          <w:szCs w:val="22"/>
          <w:color w:val="auto"/>
        </w:rPr>
        <w:t>31.6.2. The appointment of a receiver upon the initiative of Landlord to protect Landlord’s interest under this Lease or in the Premises.</w:t>
      </w:r>
    </w:p>
    <w:p>
      <w:pPr>
        <w:spacing w:after="0" w:line="159"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Notwithstanding the foregoing, in the event of a Default by Tenant, Landlord may elect at any time to terminate this Lease and to recover damages to which Landlord is entitled.</w:t>
      </w:r>
    </w:p>
    <w:p>
      <w:pPr>
        <w:spacing w:after="0" w:line="159"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31.7</w:t>
        <w:tab/>
        <w:t xml:space="preserve">If Landlord does not elect to terminate this Lease as provided in </w:t>
      </w:r>
      <w:r>
        <w:rPr>
          <w:rFonts w:ascii="Arial" w:cs="Arial" w:eastAsia="Arial" w:hAnsi="Arial"/>
          <w:sz w:val="22"/>
          <w:szCs w:val="22"/>
          <w:u w:val="single" w:color="auto"/>
          <w:color w:val="auto"/>
        </w:rPr>
        <w:t>Section 31.5</w:t>
      </w:r>
      <w:r>
        <w:rPr>
          <w:rFonts w:ascii="Arial" w:cs="Arial" w:eastAsia="Arial" w:hAnsi="Arial"/>
          <w:sz w:val="22"/>
          <w:szCs w:val="22"/>
          <w:color w:val="auto"/>
        </w:rPr>
        <w:t>, then Landlord may, from time to time, recover all Rent as it becomes due under this Lease. At any time thereafter, Landlord may elect to terminate this Lease and to recover damages to which Landlord is entitled.</w:t>
      </w:r>
    </w:p>
    <w:p>
      <w:pPr>
        <w:spacing w:after="0" w:line="159"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31.8</w:t>
        <w:tab/>
        <w:t>In the event Landlord elects to terminate this Lease and relet the Premises, Landlord may execute any new lease in its own name. Tenant hereunder shall have no right or authority whatsoever to collect any Rent from such tenant. The proceeds of any such reletting shall be applied as follows:</w:t>
      </w:r>
    </w:p>
    <w:p>
      <w:pPr>
        <w:spacing w:after="0" w:line="159" w:lineRule="exact"/>
        <w:rPr>
          <w:sz w:val="20"/>
          <w:szCs w:val="20"/>
          <w:color w:val="auto"/>
        </w:rPr>
      </w:pPr>
    </w:p>
    <w:p>
      <w:pPr>
        <w:jc w:val="both"/>
        <w:ind w:left="1960" w:hanging="647"/>
        <w:spacing w:after="0" w:line="223" w:lineRule="auto"/>
        <w:rPr>
          <w:sz w:val="20"/>
          <w:szCs w:val="20"/>
          <w:color w:val="auto"/>
        </w:rPr>
      </w:pPr>
      <w:r>
        <w:rPr>
          <w:rFonts w:ascii="Arial" w:cs="Arial" w:eastAsia="Arial" w:hAnsi="Arial"/>
          <w:sz w:val="22"/>
          <w:szCs w:val="22"/>
          <w:color w:val="auto"/>
        </w:rPr>
        <w:t>31.8.1. First, to the payment of any indebtedness other than Rent due hereunder from Tenant to Landlord, including storage charges or brokerage commissions owing from Tenant to Landlord as the result of such reletting;</w:t>
      </w:r>
    </w:p>
    <w:p>
      <w:pPr>
        <w:spacing w:after="0" w:line="159" w:lineRule="exact"/>
        <w:rPr>
          <w:sz w:val="20"/>
          <w:szCs w:val="20"/>
          <w:color w:val="auto"/>
        </w:rPr>
      </w:pPr>
    </w:p>
    <w:p>
      <w:pPr>
        <w:jc w:val="both"/>
        <w:ind w:left="1960" w:hanging="647"/>
        <w:spacing w:after="0" w:line="268" w:lineRule="auto"/>
        <w:rPr>
          <w:sz w:val="20"/>
          <w:szCs w:val="20"/>
          <w:color w:val="auto"/>
        </w:rPr>
      </w:pPr>
      <w:r>
        <w:rPr>
          <w:rFonts w:ascii="Arial" w:cs="Arial" w:eastAsia="Arial" w:hAnsi="Arial"/>
          <w:sz w:val="19"/>
          <w:szCs w:val="19"/>
          <w:color w:val="auto"/>
        </w:rPr>
        <w:t>31.8.2. 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31.8.3. Third, to the payment of Rent and other charges due and unpaid hereunder; and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31.8.4. Fourth, to the payment of future Rent and other damages payable by Tenant under this Lease.</w:t>
      </w:r>
    </w:p>
    <w:p>
      <w:pPr>
        <w:spacing w:after="0" w:line="179" w:lineRule="exact"/>
        <w:rPr>
          <w:sz w:val="20"/>
          <w:szCs w:val="20"/>
          <w:color w:val="auto"/>
        </w:rPr>
      </w:pPr>
    </w:p>
    <w:p>
      <w:pPr>
        <w:jc w:val="both"/>
        <w:ind w:left="1300" w:hanging="647"/>
        <w:spacing w:after="0" w:line="249" w:lineRule="auto"/>
        <w:tabs>
          <w:tab w:leader="none" w:pos="1280" w:val="left"/>
        </w:tabs>
        <w:rPr>
          <w:sz w:val="20"/>
          <w:szCs w:val="20"/>
          <w:color w:val="auto"/>
        </w:rPr>
      </w:pPr>
      <w:r>
        <w:rPr>
          <w:rFonts w:ascii="Arial" w:cs="Arial" w:eastAsia="Arial" w:hAnsi="Arial"/>
          <w:sz w:val="22"/>
          <w:szCs w:val="22"/>
          <w:color w:val="auto"/>
        </w:rPr>
        <w:t>31.9</w:t>
      </w:r>
      <w:r>
        <w:rPr>
          <w:sz w:val="20"/>
          <w:szCs w:val="20"/>
          <w:color w:val="auto"/>
        </w:rPr>
        <w:tab/>
      </w:r>
      <w:r>
        <w:rPr>
          <w:rFonts w:ascii="Arial" w:cs="Arial" w:eastAsia="Arial" w:hAnsi="Arial"/>
          <w:sz w:val="19"/>
          <w:szCs w:val="19"/>
          <w:color w:val="auto"/>
        </w:rPr>
        <w:t>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said waiver.</w:t>
      </w:r>
    </w:p>
    <w:p>
      <w:pPr>
        <w:spacing w:after="0" w:line="152" w:lineRule="exact"/>
        <w:rPr>
          <w:sz w:val="20"/>
          <w:szCs w:val="20"/>
          <w:color w:val="auto"/>
        </w:rPr>
      </w:pPr>
    </w:p>
    <w:p>
      <w:pPr>
        <w:jc w:val="both"/>
        <w:ind w:left="1300" w:hanging="647"/>
        <w:spacing w:after="0" w:line="268" w:lineRule="auto"/>
        <w:rPr>
          <w:sz w:val="20"/>
          <w:szCs w:val="20"/>
          <w:color w:val="auto"/>
        </w:rPr>
      </w:pPr>
      <w:r>
        <w:rPr>
          <w:rFonts w:ascii="Arial" w:cs="Arial" w:eastAsia="Arial" w:hAnsi="Arial"/>
          <w:sz w:val="19"/>
          <w:szCs w:val="19"/>
          <w:color w:val="auto"/>
        </w:rPr>
        <w:t xml:space="preserve">31.10 Landlord’s termination of (a) this Lease or (b) Tenant’s right to possession of the Premises shall not relieve Tenant of any liability to Landlord that has previously accrued </w:t>
      </w:r>
      <w:r>
        <w:rPr>
          <w:rFonts w:ascii="Arial" w:cs="Arial" w:eastAsia="Arial" w:hAnsi="Arial"/>
          <w:sz w:val="19"/>
          <w:szCs w:val="19"/>
          <w:color w:val="232323"/>
        </w:rPr>
        <w:t>or</w:t>
      </w:r>
      <w:r>
        <w:rPr>
          <w:rFonts w:ascii="Arial" w:cs="Arial" w:eastAsia="Arial" w:hAnsi="Arial"/>
          <w:sz w:val="19"/>
          <w:szCs w:val="19"/>
          <w:color w:val="auto"/>
        </w:rPr>
        <w:t xml:space="preserve"> </w:t>
      </w:r>
      <w:r>
        <w:rPr>
          <w:rFonts w:ascii="Arial" w:cs="Arial" w:eastAsia="Arial" w:hAnsi="Arial"/>
          <w:sz w:val="19"/>
          <w:szCs w:val="19"/>
          <w:color w:val="0F0F0F"/>
        </w:rPr>
        <w:t>that</w:t>
      </w:r>
      <w:r>
        <w:rPr>
          <w:rFonts w:ascii="Arial" w:cs="Arial" w:eastAsia="Arial" w:hAnsi="Arial"/>
          <w:sz w:val="19"/>
          <w:szCs w:val="19"/>
          <w:color w:val="auto"/>
        </w:rPr>
        <w:t xml:space="preserve"> </w:t>
      </w:r>
      <w:r>
        <w:rPr>
          <w:rFonts w:ascii="Arial" w:cs="Arial" w:eastAsia="Arial" w:hAnsi="Arial"/>
          <w:sz w:val="19"/>
          <w:szCs w:val="19"/>
          <w:color w:val="232323"/>
        </w:rPr>
        <w:t>shall arise</w:t>
      </w:r>
      <w:r>
        <w:rPr>
          <w:rFonts w:ascii="Arial" w:cs="Arial" w:eastAsia="Arial" w:hAnsi="Arial"/>
          <w:sz w:val="19"/>
          <w:szCs w:val="19"/>
          <w:color w:val="auto"/>
        </w:rPr>
        <w:t xml:space="preserve"> </w:t>
      </w:r>
      <w:r>
        <w:rPr>
          <w:rFonts w:ascii="Arial" w:cs="Arial" w:eastAsia="Arial" w:hAnsi="Arial"/>
          <w:sz w:val="19"/>
          <w:szCs w:val="19"/>
          <w:color w:val="0F0F0F"/>
        </w:rPr>
        <w:t>ba</w:t>
      </w:r>
      <w:r>
        <w:rPr>
          <w:rFonts w:ascii="Arial" w:cs="Arial" w:eastAsia="Arial" w:hAnsi="Arial"/>
          <w:sz w:val="19"/>
          <w:szCs w:val="19"/>
          <w:color w:val="3A3A3A"/>
        </w:rPr>
        <w:t>sed</w:t>
      </w:r>
      <w:r>
        <w:rPr>
          <w:rFonts w:ascii="Arial" w:cs="Arial" w:eastAsia="Arial" w:hAnsi="Arial"/>
          <w:sz w:val="19"/>
          <w:szCs w:val="19"/>
          <w:color w:val="auto"/>
        </w:rPr>
        <w:t xml:space="preserve"> </w:t>
      </w:r>
      <w:r>
        <w:rPr>
          <w:rFonts w:ascii="Arial" w:cs="Arial" w:eastAsia="Arial" w:hAnsi="Arial"/>
          <w:sz w:val="19"/>
          <w:szCs w:val="19"/>
          <w:color w:val="0F0F0F"/>
        </w:rPr>
        <w:t>upon</w:t>
      </w:r>
      <w:r>
        <w:rPr>
          <w:rFonts w:ascii="Arial" w:cs="Arial" w:eastAsia="Arial" w:hAnsi="Arial"/>
          <w:sz w:val="19"/>
          <w:szCs w:val="19"/>
          <w:color w:val="auto"/>
        </w:rPr>
        <w:t xml:space="preserve"> </w:t>
      </w:r>
      <w:r>
        <w:rPr>
          <w:rFonts w:ascii="Arial" w:cs="Arial" w:eastAsia="Arial" w:hAnsi="Arial"/>
          <w:sz w:val="19"/>
          <w:szCs w:val="19"/>
          <w:color w:val="232323"/>
        </w:rPr>
        <w:t>events</w:t>
      </w:r>
      <w:r>
        <w:rPr>
          <w:rFonts w:ascii="Arial" w:cs="Arial" w:eastAsia="Arial" w:hAnsi="Arial"/>
          <w:sz w:val="19"/>
          <w:szCs w:val="19"/>
          <w:color w:val="auto"/>
        </w:rPr>
        <w:t xml:space="preserve"> </w:t>
      </w:r>
      <w:r>
        <w:rPr>
          <w:rFonts w:ascii="Arial" w:cs="Arial" w:eastAsia="Arial" w:hAnsi="Arial"/>
          <w:sz w:val="19"/>
          <w:szCs w:val="19"/>
          <w:color w:val="0F0F0F"/>
        </w:rPr>
        <w:t>that</w:t>
      </w:r>
      <w:r>
        <w:rPr>
          <w:rFonts w:ascii="Arial" w:cs="Arial" w:eastAsia="Arial" w:hAnsi="Arial"/>
          <w:sz w:val="19"/>
          <w:szCs w:val="19"/>
          <w:color w:val="auto"/>
        </w:rPr>
        <w:t xml:space="preserve"> </w:t>
      </w:r>
      <w:r>
        <w:rPr>
          <w:rFonts w:ascii="Arial" w:cs="Arial" w:eastAsia="Arial" w:hAnsi="Arial"/>
          <w:sz w:val="19"/>
          <w:szCs w:val="19"/>
          <w:color w:val="232323"/>
        </w:rPr>
        <w:t>occurred</w:t>
      </w:r>
      <w:r>
        <w:rPr>
          <w:rFonts w:ascii="Arial" w:cs="Arial" w:eastAsia="Arial" w:hAnsi="Arial"/>
          <w:sz w:val="19"/>
          <w:szCs w:val="19"/>
          <w:color w:val="auto"/>
        </w:rPr>
        <w:t xml:space="preserve"> </w:t>
      </w:r>
      <w:r>
        <w:rPr>
          <w:rFonts w:ascii="Arial" w:cs="Arial" w:eastAsia="Arial" w:hAnsi="Arial"/>
          <w:sz w:val="19"/>
          <w:szCs w:val="19"/>
          <w:color w:val="0F0F0F"/>
        </w:rPr>
        <w:t>prior</w:t>
      </w:r>
      <w:r>
        <w:rPr>
          <w:rFonts w:ascii="Arial" w:cs="Arial" w:eastAsia="Arial" w:hAnsi="Arial"/>
          <w:sz w:val="19"/>
          <w:szCs w:val="19"/>
          <w:color w:val="auto"/>
        </w:rPr>
        <w:t xml:space="preserve"> </w:t>
      </w:r>
      <w:r>
        <w:rPr>
          <w:rFonts w:ascii="Arial" w:cs="Arial" w:eastAsia="Arial" w:hAnsi="Arial"/>
          <w:sz w:val="19"/>
          <w:szCs w:val="19"/>
          <w:color w:val="232323"/>
        </w:rPr>
        <w:t>to</w:t>
      </w:r>
      <w:r>
        <w:rPr>
          <w:rFonts w:ascii="Arial" w:cs="Arial" w:eastAsia="Arial" w:hAnsi="Arial"/>
          <w:sz w:val="19"/>
          <w:szCs w:val="19"/>
          <w:color w:val="auto"/>
        </w:rPr>
        <w:t xml:space="preserve"> </w:t>
      </w:r>
      <w:r>
        <w:rPr>
          <w:rFonts w:ascii="Arial" w:cs="Arial" w:eastAsia="Arial" w:hAnsi="Arial"/>
          <w:sz w:val="19"/>
          <w:szCs w:val="19"/>
          <w:color w:val="232323"/>
        </w:rPr>
        <w:t xml:space="preserve">the </w:t>
      </w:r>
      <w:r>
        <w:rPr>
          <w:rFonts w:ascii="Arial" w:cs="Arial" w:eastAsia="Arial" w:hAnsi="Arial"/>
          <w:sz w:val="19"/>
          <w:szCs w:val="19"/>
          <w:color w:val="0F0F0F"/>
        </w:rPr>
        <w:t>la</w:t>
      </w:r>
      <w:r>
        <w:rPr>
          <w:rFonts w:ascii="Arial" w:cs="Arial" w:eastAsia="Arial" w:hAnsi="Arial"/>
          <w:sz w:val="19"/>
          <w:szCs w:val="19"/>
          <w:color w:val="3A3A3A"/>
        </w:rPr>
        <w:t>ter to</w:t>
      </w:r>
      <w:r>
        <w:rPr>
          <w:rFonts w:ascii="Arial" w:cs="Arial" w:eastAsia="Arial" w:hAnsi="Arial"/>
          <w:sz w:val="19"/>
          <w:szCs w:val="19"/>
          <w:color w:val="232323"/>
        </w:rPr>
        <w:t xml:space="preserve"> occur of </w:t>
      </w:r>
      <w:r>
        <w:rPr>
          <w:rFonts w:ascii="Arial" w:cs="Arial" w:eastAsia="Arial" w:hAnsi="Arial"/>
          <w:sz w:val="19"/>
          <w:szCs w:val="19"/>
          <w:color w:val="0F0F0F"/>
        </w:rPr>
        <w:t>(i) the date</w:t>
      </w:r>
      <w:r>
        <w:rPr>
          <w:rFonts w:ascii="Arial" w:cs="Arial" w:eastAsia="Arial" w:hAnsi="Arial"/>
          <w:sz w:val="19"/>
          <w:szCs w:val="19"/>
          <w:color w:val="232323"/>
        </w:rPr>
        <w:t xml:space="preserve"> of Lease termination or (ii) </w:t>
      </w:r>
      <w:r>
        <w:rPr>
          <w:rFonts w:ascii="Arial" w:cs="Arial" w:eastAsia="Arial" w:hAnsi="Arial"/>
          <w:sz w:val="19"/>
          <w:szCs w:val="19"/>
          <w:color w:val="0F0F0F"/>
        </w:rPr>
        <w:t>the date Tenant</w:t>
      </w:r>
      <w:r>
        <w:rPr>
          <w:rFonts w:ascii="Arial" w:cs="Arial" w:eastAsia="Arial" w:hAnsi="Arial"/>
          <w:sz w:val="19"/>
          <w:szCs w:val="19"/>
          <w:color w:val="232323"/>
        </w:rPr>
        <w:t xml:space="preserve"> surrenders possession of the Premises.</w:t>
      </w:r>
    </w:p>
    <w:p>
      <w:pPr>
        <w:spacing w:after="0" w:line="132" w:lineRule="exact"/>
        <w:rPr>
          <w:sz w:val="20"/>
          <w:szCs w:val="20"/>
          <w:color w:val="auto"/>
        </w:rPr>
      </w:pPr>
    </w:p>
    <w:p>
      <w:pPr>
        <w:jc w:val="both"/>
        <w:ind w:left="1300" w:right="20" w:hanging="647"/>
        <w:spacing w:after="0" w:line="232" w:lineRule="auto"/>
        <w:rPr>
          <w:sz w:val="20"/>
          <w:szCs w:val="20"/>
          <w:color w:val="auto"/>
        </w:rPr>
      </w:pPr>
      <w:r>
        <w:rPr>
          <w:rFonts w:ascii="Arial" w:cs="Arial" w:eastAsia="Arial" w:hAnsi="Arial"/>
          <w:sz w:val="22"/>
          <w:szCs w:val="22"/>
          <w:color w:val="auto"/>
        </w:rPr>
        <w:t xml:space="preserve">31.11 To the extent permitted </w:t>
      </w:r>
      <w:r>
        <w:rPr>
          <w:rFonts w:ascii="Arial" w:cs="Arial" w:eastAsia="Arial" w:hAnsi="Arial"/>
          <w:sz w:val="22"/>
          <w:szCs w:val="22"/>
          <w:color w:val="0F0F0F"/>
        </w:rPr>
        <w:t>by</w:t>
      </w:r>
      <w:r>
        <w:rPr>
          <w:rFonts w:ascii="Arial" w:cs="Arial" w:eastAsia="Arial" w:hAnsi="Arial"/>
          <w:sz w:val="22"/>
          <w:szCs w:val="22"/>
          <w:color w:val="auto"/>
        </w:rPr>
        <w:t xml:space="preserve"> Applicable Laws, Tenant waives any and all rights of </w:t>
      </w:r>
      <w:r>
        <w:rPr>
          <w:rFonts w:ascii="Arial" w:cs="Arial" w:eastAsia="Arial" w:hAnsi="Arial"/>
          <w:sz w:val="22"/>
          <w:szCs w:val="22"/>
          <w:color w:val="0F0F0F"/>
        </w:rPr>
        <w:t>r</w:t>
      </w:r>
      <w:r>
        <w:rPr>
          <w:rFonts w:ascii="Arial" w:cs="Arial" w:eastAsia="Arial" w:hAnsi="Arial"/>
          <w:sz w:val="22"/>
          <w:szCs w:val="22"/>
          <w:color w:val="3A3A3A"/>
        </w:rPr>
        <w:t>edemp</w:t>
      </w:r>
      <w:r>
        <w:rPr>
          <w:rFonts w:ascii="Arial" w:cs="Arial" w:eastAsia="Arial" w:hAnsi="Arial"/>
          <w:sz w:val="22"/>
          <w:szCs w:val="22"/>
          <w:color w:val="0F0F0F"/>
        </w:rPr>
        <w:t>tion</w:t>
      </w:r>
      <w:r>
        <w:rPr>
          <w:rFonts w:ascii="Arial" w:cs="Arial" w:eastAsia="Arial" w:hAnsi="Arial"/>
          <w:sz w:val="22"/>
          <w:szCs w:val="22"/>
          <w:color w:val="auto"/>
        </w:rPr>
        <w:t xml:space="preserve"> granted </w:t>
      </w:r>
      <w:r>
        <w:rPr>
          <w:rFonts w:ascii="Arial" w:cs="Arial" w:eastAsia="Arial" w:hAnsi="Arial"/>
          <w:sz w:val="22"/>
          <w:szCs w:val="22"/>
          <w:color w:val="0F0F0F"/>
        </w:rPr>
        <w:t>by</w:t>
      </w:r>
      <w:r>
        <w:rPr>
          <w:rFonts w:ascii="Arial" w:cs="Arial" w:eastAsia="Arial" w:hAnsi="Arial"/>
          <w:sz w:val="22"/>
          <w:szCs w:val="22"/>
          <w:color w:val="auto"/>
        </w:rPr>
        <w:t xml:space="preserve"> or under any present </w:t>
      </w:r>
      <w:r>
        <w:rPr>
          <w:rFonts w:ascii="Arial" w:cs="Arial" w:eastAsia="Arial" w:hAnsi="Arial"/>
          <w:sz w:val="22"/>
          <w:szCs w:val="22"/>
          <w:color w:val="0F0F0F"/>
        </w:rPr>
        <w:t>or</w:t>
      </w:r>
      <w:r>
        <w:rPr>
          <w:rFonts w:ascii="Arial" w:cs="Arial" w:eastAsia="Arial" w:hAnsi="Arial"/>
          <w:sz w:val="22"/>
          <w:szCs w:val="22"/>
          <w:color w:val="auto"/>
        </w:rPr>
        <w:t xml:space="preserve"> future Applicable Laws </w:t>
      </w:r>
      <w:r>
        <w:rPr>
          <w:rFonts w:ascii="Arial" w:cs="Arial" w:eastAsia="Arial" w:hAnsi="Arial"/>
          <w:sz w:val="22"/>
          <w:szCs w:val="22"/>
          <w:color w:val="0F0F0F"/>
        </w:rPr>
        <w:t>if</w:t>
      </w:r>
      <w:r>
        <w:rPr>
          <w:rFonts w:ascii="Arial" w:cs="Arial" w:eastAsia="Arial" w:hAnsi="Arial"/>
          <w:sz w:val="22"/>
          <w:szCs w:val="22"/>
          <w:color w:val="auto"/>
        </w:rPr>
        <w:t xml:space="preserve">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01" w:right="339" w:bottom="1440" w:gutter="0" w:footer="0" w:header="0"/>
        </w:sectPr>
      </w:pPr>
    </w:p>
    <w:bookmarkStart w:id="361" w:name="page362"/>
    <w:bookmarkEnd w:id="361"/>
    <w:p>
      <w:pPr>
        <w:ind w:left="180"/>
        <w:spacing w:after="0" w:line="232" w:lineRule="auto"/>
        <w:rPr>
          <w:sz w:val="20"/>
          <w:szCs w:val="20"/>
          <w:color w:val="auto"/>
        </w:rPr>
      </w:pPr>
      <w:r>
        <w:rPr>
          <w:rFonts w:ascii="Arial" w:cs="Arial" w:eastAsia="Arial" w:hAnsi="Arial"/>
          <w:sz w:val="22"/>
          <w:szCs w:val="22"/>
          <w:color w:val="auto"/>
        </w:rPr>
        <w:t xml:space="preserve">is evicted or dispossessed for any cause, or </w:t>
      </w:r>
      <w:r>
        <w:rPr>
          <w:rFonts w:ascii="Arial" w:cs="Arial" w:eastAsia="Arial" w:hAnsi="Arial"/>
          <w:sz w:val="22"/>
          <w:szCs w:val="22"/>
          <w:color w:val="0F0F0F"/>
        </w:rPr>
        <w:t>if</w:t>
      </w:r>
      <w:r>
        <w:rPr>
          <w:rFonts w:ascii="Arial" w:cs="Arial" w:eastAsia="Arial" w:hAnsi="Arial"/>
          <w:sz w:val="22"/>
          <w:szCs w:val="22"/>
          <w:color w:val="auto"/>
        </w:rPr>
        <w:t xml:space="preserve"> Landlord obtains possession of </w:t>
      </w:r>
      <w:r>
        <w:rPr>
          <w:rFonts w:ascii="Arial" w:cs="Arial" w:eastAsia="Arial" w:hAnsi="Arial"/>
          <w:sz w:val="22"/>
          <w:szCs w:val="22"/>
          <w:color w:val="0F0F0F"/>
        </w:rPr>
        <w:t>the Premises</w:t>
      </w:r>
      <w:r>
        <w:rPr>
          <w:rFonts w:ascii="Arial" w:cs="Arial" w:eastAsia="Arial" w:hAnsi="Arial"/>
          <w:sz w:val="22"/>
          <w:szCs w:val="22"/>
          <w:color w:val="auto"/>
        </w:rPr>
        <w:t xml:space="preserve"> due </w:t>
      </w:r>
      <w:r>
        <w:rPr>
          <w:rFonts w:ascii="Arial" w:cs="Arial" w:eastAsia="Arial" w:hAnsi="Arial"/>
          <w:sz w:val="22"/>
          <w:szCs w:val="22"/>
          <w:color w:val="0F0F0F"/>
        </w:rPr>
        <w:t>to</w:t>
      </w:r>
      <w:r>
        <w:rPr>
          <w:rFonts w:ascii="Arial" w:cs="Arial" w:eastAsia="Arial" w:hAnsi="Arial"/>
          <w:sz w:val="22"/>
          <w:szCs w:val="22"/>
          <w:color w:val="auto"/>
        </w:rPr>
        <w:t xml:space="preserve"> Tenant’s default hereunder or otherwise.</w:t>
      </w:r>
    </w:p>
    <w:p>
      <w:pPr>
        <w:spacing w:after="0" w:line="159" w:lineRule="exact"/>
        <w:rPr>
          <w:sz w:val="20"/>
          <w:szCs w:val="20"/>
          <w:color w:val="auto"/>
        </w:rPr>
      </w:pPr>
    </w:p>
    <w:p>
      <w:pPr>
        <w:jc w:val="both"/>
        <w:ind w:left="180" w:hanging="647"/>
        <w:spacing w:after="0" w:line="221" w:lineRule="auto"/>
        <w:rPr>
          <w:sz w:val="20"/>
          <w:szCs w:val="20"/>
          <w:color w:val="auto"/>
        </w:rPr>
      </w:pPr>
      <w:r>
        <w:rPr>
          <w:rFonts w:ascii="Arial" w:cs="Arial" w:eastAsia="Arial" w:hAnsi="Arial"/>
          <w:sz w:val="21"/>
          <w:szCs w:val="21"/>
          <w:color w:val="auto"/>
        </w:rPr>
        <w:t xml:space="preserve">31.12 </w:t>
      </w:r>
      <w:r>
        <w:rPr>
          <w:rFonts w:ascii="Arial" w:cs="Arial" w:eastAsia="Arial" w:hAnsi="Arial"/>
          <w:sz w:val="21"/>
          <w:szCs w:val="21"/>
          <w:color w:val="3A3A3A"/>
        </w:rPr>
        <w:t>Landlo</w:t>
      </w:r>
      <w:r>
        <w:rPr>
          <w:rFonts w:ascii="Arial" w:cs="Arial" w:eastAsia="Arial" w:hAnsi="Arial"/>
          <w:sz w:val="21"/>
          <w:szCs w:val="21"/>
          <w:color w:val="0F0F0F"/>
        </w:rPr>
        <w:t>rd</w:t>
      </w:r>
      <w:r>
        <w:rPr>
          <w:rFonts w:ascii="Arial" w:cs="Arial" w:eastAsia="Arial" w:hAnsi="Arial"/>
          <w:sz w:val="21"/>
          <w:szCs w:val="21"/>
          <w:color w:val="auto"/>
        </w:rPr>
        <w:t xml:space="preserve"> shall not </w:t>
      </w:r>
      <w:r>
        <w:rPr>
          <w:rFonts w:ascii="Arial" w:cs="Arial" w:eastAsia="Arial" w:hAnsi="Arial"/>
          <w:sz w:val="21"/>
          <w:szCs w:val="21"/>
          <w:color w:val="0F0F0F"/>
        </w:rPr>
        <w:t>be in defaul</w:t>
      </w:r>
      <w:r>
        <w:rPr>
          <w:rFonts w:ascii="Arial" w:cs="Arial" w:eastAsia="Arial" w:hAnsi="Arial"/>
          <w:sz w:val="21"/>
          <w:szCs w:val="21"/>
          <w:color w:val="3A3A3A"/>
        </w:rPr>
        <w:t>t</w:t>
      </w:r>
      <w:r>
        <w:rPr>
          <w:rFonts w:ascii="Arial" w:cs="Arial" w:eastAsia="Arial" w:hAnsi="Arial"/>
          <w:sz w:val="21"/>
          <w:szCs w:val="21"/>
          <w:color w:val="auto"/>
        </w:rPr>
        <w:t xml:space="preserve"> </w:t>
      </w:r>
      <w:r>
        <w:rPr>
          <w:rFonts w:ascii="Arial" w:cs="Arial" w:eastAsia="Arial" w:hAnsi="Arial"/>
          <w:sz w:val="21"/>
          <w:szCs w:val="21"/>
          <w:color w:val="0F0F0F"/>
        </w:rPr>
        <w:t>under this Lease</w:t>
      </w:r>
      <w:r>
        <w:rPr>
          <w:rFonts w:ascii="Arial" w:cs="Arial" w:eastAsia="Arial" w:hAnsi="Arial"/>
          <w:sz w:val="21"/>
          <w:szCs w:val="21"/>
          <w:color w:val="auto"/>
        </w:rPr>
        <w:t xml:space="preserve"> un</w:t>
      </w:r>
      <w:r>
        <w:rPr>
          <w:rFonts w:ascii="Arial" w:cs="Arial" w:eastAsia="Arial" w:hAnsi="Arial"/>
          <w:sz w:val="21"/>
          <w:szCs w:val="21"/>
          <w:color w:val="5D5D5D"/>
        </w:rPr>
        <w:t>l</w:t>
      </w:r>
      <w:r>
        <w:rPr>
          <w:rFonts w:ascii="Arial" w:cs="Arial" w:eastAsia="Arial" w:hAnsi="Arial"/>
          <w:sz w:val="21"/>
          <w:szCs w:val="21"/>
          <w:color w:val="auto"/>
        </w:rPr>
        <w:t xml:space="preserve">ess Landlord fails to </w:t>
      </w:r>
      <w:r>
        <w:rPr>
          <w:rFonts w:ascii="Arial" w:cs="Arial" w:eastAsia="Arial" w:hAnsi="Arial"/>
          <w:sz w:val="21"/>
          <w:szCs w:val="21"/>
          <w:color w:val="0F0F0F"/>
        </w:rPr>
        <w:t>perform</w:t>
      </w:r>
      <w:r>
        <w:rPr>
          <w:rFonts w:ascii="Arial" w:cs="Arial" w:eastAsia="Arial" w:hAnsi="Arial"/>
          <w:sz w:val="21"/>
          <w:szCs w:val="21"/>
          <w:color w:val="auto"/>
        </w:rPr>
        <w:t xml:space="preserve"> obligations </w:t>
      </w:r>
      <w:r>
        <w:rPr>
          <w:rFonts w:ascii="Arial" w:cs="Arial" w:eastAsia="Arial" w:hAnsi="Arial"/>
          <w:sz w:val="21"/>
          <w:szCs w:val="21"/>
          <w:color w:val="0F0F0F"/>
        </w:rPr>
        <w:t>required</w:t>
      </w:r>
      <w:r>
        <w:rPr>
          <w:rFonts w:ascii="Arial" w:cs="Arial" w:eastAsia="Arial" w:hAnsi="Arial"/>
          <w:sz w:val="21"/>
          <w:szCs w:val="21"/>
          <w:color w:val="auto"/>
        </w:rPr>
        <w:t xml:space="preserve"> of Landlord within a reasonable </w:t>
      </w:r>
      <w:r>
        <w:rPr>
          <w:rFonts w:ascii="Arial" w:cs="Arial" w:eastAsia="Arial" w:hAnsi="Arial"/>
          <w:sz w:val="21"/>
          <w:szCs w:val="21"/>
          <w:color w:val="3A3A3A"/>
        </w:rPr>
        <w:t>time,</w:t>
      </w:r>
      <w:r>
        <w:rPr>
          <w:rFonts w:ascii="Arial" w:cs="Arial" w:eastAsia="Arial" w:hAnsi="Arial"/>
          <w:sz w:val="21"/>
          <w:szCs w:val="21"/>
          <w:color w:val="auto"/>
        </w:rPr>
        <w:t xml:space="preserve"> but in </w:t>
      </w:r>
      <w:r>
        <w:rPr>
          <w:rFonts w:ascii="Arial" w:cs="Arial" w:eastAsia="Arial" w:hAnsi="Arial"/>
          <w:sz w:val="21"/>
          <w:szCs w:val="21"/>
          <w:color w:val="0F0F0F"/>
        </w:rPr>
        <w:t>no</w:t>
      </w:r>
      <w:r>
        <w:rPr>
          <w:rFonts w:ascii="Arial" w:cs="Arial" w:eastAsia="Arial" w:hAnsi="Arial"/>
          <w:sz w:val="21"/>
          <w:szCs w:val="21"/>
          <w:color w:val="auto"/>
        </w:rPr>
        <w:t xml:space="preserve"> event shall </w:t>
      </w:r>
      <w:r>
        <w:rPr>
          <w:rFonts w:ascii="Arial" w:cs="Arial" w:eastAsia="Arial" w:hAnsi="Arial"/>
          <w:sz w:val="21"/>
          <w:szCs w:val="21"/>
          <w:color w:val="3A3A3A"/>
        </w:rPr>
        <w:t>suc</w:t>
      </w:r>
      <w:r>
        <w:rPr>
          <w:rFonts w:ascii="Arial" w:cs="Arial" w:eastAsia="Arial" w:hAnsi="Arial"/>
          <w:sz w:val="21"/>
          <w:szCs w:val="21"/>
          <w:color w:val="0F0F0F"/>
        </w:rPr>
        <w:t>h</w:t>
      </w:r>
      <w:r>
        <w:rPr>
          <w:rFonts w:ascii="Arial" w:cs="Arial" w:eastAsia="Arial" w:hAnsi="Arial"/>
          <w:sz w:val="21"/>
          <w:szCs w:val="21"/>
          <w:color w:val="auto"/>
        </w:rPr>
        <w:t xml:space="preserve"> failure continue </w:t>
      </w:r>
      <w:r>
        <w:rPr>
          <w:rFonts w:ascii="Arial" w:cs="Arial" w:eastAsia="Arial" w:hAnsi="Arial"/>
          <w:sz w:val="21"/>
          <w:szCs w:val="21"/>
          <w:color w:val="0F0F0F"/>
        </w:rPr>
        <w:t>for</w:t>
      </w:r>
      <w:r>
        <w:rPr>
          <w:rFonts w:ascii="Arial" w:cs="Arial" w:eastAsia="Arial" w:hAnsi="Arial"/>
          <w:sz w:val="21"/>
          <w:szCs w:val="21"/>
          <w:color w:val="auto"/>
        </w:rPr>
        <w:t xml:space="preserve"> more than </w:t>
      </w:r>
      <w:r>
        <w:rPr>
          <w:rFonts w:ascii="Arial" w:cs="Arial" w:eastAsia="Arial" w:hAnsi="Arial"/>
          <w:sz w:val="21"/>
          <w:szCs w:val="21"/>
          <w:u w:val="single" w:color="auto"/>
          <w:color w:val="auto"/>
        </w:rPr>
        <w:t>[***]</w:t>
      </w:r>
      <w:r>
        <w:rPr>
          <w:rFonts w:ascii="Arial" w:cs="Arial" w:eastAsia="Arial" w:hAnsi="Arial"/>
          <w:sz w:val="21"/>
          <w:szCs w:val="21"/>
          <w:color w:val="auto"/>
        </w:rPr>
        <w:t xml:space="preserve"> days </w:t>
      </w:r>
      <w:r>
        <w:rPr>
          <w:rFonts w:ascii="Arial" w:cs="Arial" w:eastAsia="Arial" w:hAnsi="Arial"/>
          <w:sz w:val="21"/>
          <w:szCs w:val="21"/>
          <w:color w:val="0F0F0F"/>
        </w:rPr>
        <w:t>after</w:t>
      </w:r>
      <w:r>
        <w:rPr>
          <w:rFonts w:ascii="Arial" w:cs="Arial" w:eastAsia="Arial" w:hAnsi="Arial"/>
          <w:sz w:val="21"/>
          <w:szCs w:val="21"/>
          <w:color w:val="auto"/>
        </w:rPr>
        <w:t xml:space="preserve"> written notice from </w:t>
      </w:r>
      <w:r>
        <w:rPr>
          <w:rFonts w:ascii="Arial" w:cs="Arial" w:eastAsia="Arial" w:hAnsi="Arial"/>
          <w:sz w:val="21"/>
          <w:szCs w:val="21"/>
          <w:color w:val="0F0F0F"/>
        </w:rPr>
        <w:t>Tenant</w:t>
      </w:r>
      <w:r>
        <w:rPr>
          <w:rFonts w:ascii="Arial" w:cs="Arial" w:eastAsia="Arial" w:hAnsi="Arial"/>
          <w:sz w:val="21"/>
          <w:szCs w:val="21"/>
          <w:color w:val="auto"/>
        </w:rPr>
        <w:t xml:space="preserve"> specifying </w:t>
      </w:r>
      <w:r>
        <w:rPr>
          <w:rFonts w:ascii="Arial" w:cs="Arial" w:eastAsia="Arial" w:hAnsi="Arial"/>
          <w:sz w:val="21"/>
          <w:szCs w:val="21"/>
          <w:color w:val="0F0F0F"/>
        </w:rPr>
        <w:t>th</w:t>
      </w:r>
      <w:r>
        <w:rPr>
          <w:rFonts w:ascii="Arial" w:cs="Arial" w:eastAsia="Arial" w:hAnsi="Arial"/>
          <w:sz w:val="21"/>
          <w:szCs w:val="21"/>
          <w:color w:val="3A3A3A"/>
        </w:rPr>
        <w:t>e</w:t>
      </w:r>
      <w:r>
        <w:rPr>
          <w:rFonts w:ascii="Arial" w:cs="Arial" w:eastAsia="Arial" w:hAnsi="Arial"/>
          <w:sz w:val="21"/>
          <w:szCs w:val="21"/>
          <w:color w:val="auto"/>
        </w:rPr>
        <w:t xml:space="preserve"> </w:t>
      </w:r>
      <w:r>
        <w:rPr>
          <w:rFonts w:ascii="Arial" w:cs="Arial" w:eastAsia="Arial" w:hAnsi="Arial"/>
          <w:sz w:val="21"/>
          <w:szCs w:val="21"/>
          <w:color w:val="0F0F0F"/>
        </w:rPr>
        <w:t>nature</w:t>
      </w:r>
      <w:r>
        <w:rPr>
          <w:rFonts w:ascii="Arial" w:cs="Arial" w:eastAsia="Arial" w:hAnsi="Arial"/>
          <w:sz w:val="21"/>
          <w:szCs w:val="21"/>
          <w:color w:val="auto"/>
        </w:rPr>
        <w:t xml:space="preserve"> of Landlord’s failure;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color w:val="0F0F0F"/>
        </w:rPr>
        <w:t>howe</w:t>
      </w:r>
      <w:r>
        <w:rPr>
          <w:rFonts w:ascii="Arial" w:cs="Arial" w:eastAsia="Arial" w:hAnsi="Arial"/>
          <w:sz w:val="21"/>
          <w:szCs w:val="21"/>
          <w:color w:val="3A3A3A"/>
        </w:rPr>
        <w:t>ver,</w:t>
      </w:r>
      <w:r>
        <w:rPr>
          <w:rFonts w:ascii="Arial" w:cs="Arial" w:eastAsia="Arial" w:hAnsi="Arial"/>
          <w:sz w:val="21"/>
          <w:szCs w:val="21"/>
          <w:color w:val="auto"/>
        </w:rPr>
        <w:t xml:space="preserve"> that </w:t>
      </w:r>
      <w:r>
        <w:rPr>
          <w:rFonts w:ascii="Arial" w:cs="Arial" w:eastAsia="Arial" w:hAnsi="Arial"/>
          <w:sz w:val="21"/>
          <w:szCs w:val="21"/>
          <w:color w:val="0F0F0F"/>
        </w:rPr>
        <w:t>if</w:t>
      </w:r>
      <w:r>
        <w:rPr>
          <w:rFonts w:ascii="Arial" w:cs="Arial" w:eastAsia="Arial" w:hAnsi="Arial"/>
          <w:sz w:val="21"/>
          <w:szCs w:val="21"/>
          <w:color w:val="auto"/>
        </w:rPr>
        <w:t xml:space="preserve"> the </w:t>
      </w:r>
      <w:r>
        <w:rPr>
          <w:rFonts w:ascii="Arial" w:cs="Arial" w:eastAsia="Arial" w:hAnsi="Arial"/>
          <w:sz w:val="21"/>
          <w:szCs w:val="21"/>
          <w:color w:val="0F0F0F"/>
        </w:rPr>
        <w:t>na</w:t>
      </w:r>
      <w:r>
        <w:rPr>
          <w:rFonts w:ascii="Arial" w:cs="Arial" w:eastAsia="Arial" w:hAnsi="Arial"/>
          <w:sz w:val="21"/>
          <w:szCs w:val="21"/>
          <w:color w:val="3A3A3A"/>
        </w:rPr>
        <w:t>t</w:t>
      </w:r>
      <w:r>
        <w:rPr>
          <w:rFonts w:ascii="Arial" w:cs="Arial" w:eastAsia="Arial" w:hAnsi="Arial"/>
          <w:sz w:val="21"/>
          <w:szCs w:val="21"/>
          <w:color w:val="0F0F0F"/>
        </w:rPr>
        <w:t>ur</w:t>
      </w:r>
      <w:r>
        <w:rPr>
          <w:rFonts w:ascii="Arial" w:cs="Arial" w:eastAsia="Arial" w:hAnsi="Arial"/>
          <w:sz w:val="21"/>
          <w:szCs w:val="21"/>
          <w:color w:val="3A3A3A"/>
        </w:rPr>
        <w:t>e</w:t>
      </w:r>
      <w:r>
        <w:rPr>
          <w:rFonts w:ascii="Arial" w:cs="Arial" w:eastAsia="Arial" w:hAnsi="Arial"/>
          <w:sz w:val="21"/>
          <w:szCs w:val="21"/>
          <w:color w:val="auto"/>
        </w:rPr>
        <w:t xml:space="preserve"> of Landlord’s obligation </w:t>
      </w:r>
      <w:r>
        <w:rPr>
          <w:rFonts w:ascii="Arial" w:cs="Arial" w:eastAsia="Arial" w:hAnsi="Arial"/>
          <w:sz w:val="21"/>
          <w:szCs w:val="21"/>
          <w:color w:val="0F0F0F"/>
        </w:rPr>
        <w:t>is</w:t>
      </w:r>
      <w:r>
        <w:rPr>
          <w:rFonts w:ascii="Arial" w:cs="Arial" w:eastAsia="Arial" w:hAnsi="Arial"/>
          <w:sz w:val="21"/>
          <w:szCs w:val="21"/>
          <w:color w:val="auto"/>
        </w:rPr>
        <w:t xml:space="preserve"> such </w:t>
      </w:r>
      <w:r>
        <w:rPr>
          <w:rFonts w:ascii="Arial" w:cs="Arial" w:eastAsia="Arial" w:hAnsi="Arial"/>
          <w:sz w:val="21"/>
          <w:szCs w:val="21"/>
          <w:color w:val="0F0F0F"/>
        </w:rPr>
        <w:t>that</w:t>
      </w:r>
      <w:r>
        <w:rPr>
          <w:rFonts w:ascii="Arial" w:cs="Arial" w:eastAsia="Arial" w:hAnsi="Arial"/>
          <w:sz w:val="21"/>
          <w:szCs w:val="21"/>
          <w:color w:val="auto"/>
        </w:rPr>
        <w:t xml:space="preserve"> </w:t>
      </w:r>
      <w:r>
        <w:rPr>
          <w:rFonts w:ascii="Arial" w:cs="Arial" w:eastAsia="Arial" w:hAnsi="Arial"/>
          <w:sz w:val="21"/>
          <w:szCs w:val="21"/>
          <w:color w:val="3A3A3A"/>
        </w:rPr>
        <w:t>more</w:t>
      </w:r>
      <w:r>
        <w:rPr>
          <w:rFonts w:ascii="Arial" w:cs="Arial" w:eastAsia="Arial" w:hAnsi="Arial"/>
          <w:sz w:val="21"/>
          <w:szCs w:val="21"/>
          <w:color w:val="auto"/>
        </w:rPr>
        <w:t xml:space="preserve"> </w:t>
      </w:r>
      <w:r>
        <w:rPr>
          <w:rFonts w:ascii="Arial" w:cs="Arial" w:eastAsia="Arial" w:hAnsi="Arial"/>
          <w:sz w:val="21"/>
          <w:szCs w:val="21"/>
          <w:color w:val="0F0F0F"/>
        </w:rPr>
        <w:t>than</w:t>
      </w:r>
      <w:r>
        <w:rPr>
          <w:rFonts w:ascii="Arial" w:cs="Arial" w:eastAsia="Arial" w:hAnsi="Arial"/>
          <w:sz w:val="21"/>
          <w:szCs w:val="21"/>
          <w:color w:val="auto"/>
        </w:rPr>
        <w:t xml:space="preserve"> </w:t>
      </w:r>
      <w:r>
        <w:rPr>
          <w:rFonts w:ascii="Arial" w:cs="Arial" w:eastAsia="Arial" w:hAnsi="Arial"/>
          <w:sz w:val="21"/>
          <w:szCs w:val="21"/>
          <w:u w:val="single" w:color="auto"/>
          <w:color w:val="auto"/>
        </w:rPr>
        <w:t>[***]</w:t>
      </w:r>
      <w:r>
        <w:rPr>
          <w:rFonts w:ascii="Arial" w:cs="Arial" w:eastAsia="Arial" w:hAnsi="Arial"/>
          <w:sz w:val="21"/>
          <w:szCs w:val="21"/>
          <w:color w:val="auto"/>
        </w:rPr>
        <w:t xml:space="preserve"> days are </w:t>
      </w:r>
      <w:r>
        <w:rPr>
          <w:rFonts w:ascii="Arial" w:cs="Arial" w:eastAsia="Arial" w:hAnsi="Arial"/>
          <w:sz w:val="21"/>
          <w:szCs w:val="21"/>
          <w:color w:val="0F0F0F"/>
        </w:rPr>
        <w:t>required</w:t>
      </w:r>
      <w:r>
        <w:rPr>
          <w:rFonts w:ascii="Arial" w:cs="Arial" w:eastAsia="Arial" w:hAnsi="Arial"/>
          <w:sz w:val="21"/>
          <w:szCs w:val="21"/>
          <w:color w:val="auto"/>
        </w:rPr>
        <w:t xml:space="preserve"> for </w:t>
      </w:r>
      <w:r>
        <w:rPr>
          <w:rFonts w:ascii="Arial" w:cs="Arial" w:eastAsia="Arial" w:hAnsi="Arial"/>
          <w:sz w:val="21"/>
          <w:szCs w:val="21"/>
          <w:color w:val="3A3A3A"/>
        </w:rPr>
        <w:t>its</w:t>
      </w:r>
      <w:r>
        <w:rPr>
          <w:rFonts w:ascii="Arial" w:cs="Arial" w:eastAsia="Arial" w:hAnsi="Arial"/>
          <w:sz w:val="21"/>
          <w:szCs w:val="21"/>
          <w:color w:val="auto"/>
        </w:rPr>
        <w:t xml:space="preserve"> </w:t>
      </w:r>
      <w:r>
        <w:rPr>
          <w:rFonts w:ascii="Arial" w:cs="Arial" w:eastAsia="Arial" w:hAnsi="Arial"/>
          <w:sz w:val="21"/>
          <w:szCs w:val="21"/>
          <w:color w:val="0F0F0F"/>
        </w:rPr>
        <w:t>performanc</w:t>
      </w:r>
      <w:r>
        <w:rPr>
          <w:rFonts w:ascii="Arial" w:cs="Arial" w:eastAsia="Arial" w:hAnsi="Arial"/>
          <w:sz w:val="21"/>
          <w:szCs w:val="21"/>
          <w:color w:val="3A3A3A"/>
        </w:rPr>
        <w:t>e,</w:t>
      </w:r>
      <w:r>
        <w:rPr>
          <w:rFonts w:ascii="Arial" w:cs="Arial" w:eastAsia="Arial" w:hAnsi="Arial"/>
          <w:sz w:val="21"/>
          <w:szCs w:val="21"/>
          <w:color w:val="auto"/>
        </w:rPr>
        <w:t xml:space="preserve"> then Landlord </w:t>
      </w:r>
      <w:r>
        <w:rPr>
          <w:rFonts w:ascii="Arial" w:cs="Arial" w:eastAsia="Arial" w:hAnsi="Arial"/>
          <w:sz w:val="21"/>
          <w:szCs w:val="21"/>
          <w:color w:val="3A3A3A"/>
        </w:rPr>
        <w:t>s</w:t>
      </w:r>
      <w:r>
        <w:rPr>
          <w:rFonts w:ascii="Arial" w:cs="Arial" w:eastAsia="Arial" w:hAnsi="Arial"/>
          <w:sz w:val="21"/>
          <w:szCs w:val="21"/>
          <w:color w:val="0F0F0F"/>
        </w:rPr>
        <w:t>hall</w:t>
      </w:r>
      <w:r>
        <w:rPr>
          <w:rFonts w:ascii="Arial" w:cs="Arial" w:eastAsia="Arial" w:hAnsi="Arial"/>
          <w:sz w:val="21"/>
          <w:szCs w:val="21"/>
          <w:color w:val="auto"/>
        </w:rPr>
        <w:t xml:space="preserve"> not </w:t>
      </w:r>
      <w:r>
        <w:rPr>
          <w:rFonts w:ascii="Arial" w:cs="Arial" w:eastAsia="Arial" w:hAnsi="Arial"/>
          <w:sz w:val="21"/>
          <w:szCs w:val="21"/>
          <w:color w:val="0F0F0F"/>
        </w:rPr>
        <w:t>be in</w:t>
      </w:r>
      <w:r>
        <w:rPr>
          <w:rFonts w:ascii="Arial" w:cs="Arial" w:eastAsia="Arial" w:hAnsi="Arial"/>
          <w:sz w:val="21"/>
          <w:szCs w:val="21"/>
          <w:color w:val="auto"/>
        </w:rPr>
        <w:t xml:space="preserve"> default </w:t>
      </w:r>
      <w:r>
        <w:rPr>
          <w:rFonts w:ascii="Arial" w:cs="Arial" w:eastAsia="Arial" w:hAnsi="Arial"/>
          <w:sz w:val="21"/>
          <w:szCs w:val="21"/>
          <w:color w:val="3A3A3A"/>
        </w:rPr>
        <w:t xml:space="preserve">if </w:t>
      </w:r>
      <w:r>
        <w:rPr>
          <w:rFonts w:ascii="Arial" w:cs="Arial" w:eastAsia="Arial" w:hAnsi="Arial"/>
          <w:sz w:val="21"/>
          <w:szCs w:val="21"/>
          <w:color w:val="000000"/>
        </w:rPr>
        <w:t>Landlord commences</w:t>
      </w:r>
      <w:r>
        <w:rPr>
          <w:rFonts w:ascii="Arial" w:cs="Arial" w:eastAsia="Arial" w:hAnsi="Arial"/>
          <w:sz w:val="21"/>
          <w:szCs w:val="21"/>
          <w:color w:val="3A3A3A"/>
        </w:rPr>
        <w:t xml:space="preserve"> </w:t>
      </w:r>
      <w:r>
        <w:rPr>
          <w:rFonts w:ascii="Arial" w:cs="Arial" w:eastAsia="Arial" w:hAnsi="Arial"/>
          <w:sz w:val="21"/>
          <w:szCs w:val="21"/>
          <w:color w:val="0F0F0F"/>
        </w:rPr>
        <w:t>performan</w:t>
      </w:r>
      <w:r>
        <w:rPr>
          <w:rFonts w:ascii="Arial" w:cs="Arial" w:eastAsia="Arial" w:hAnsi="Arial"/>
          <w:sz w:val="21"/>
          <w:szCs w:val="21"/>
          <w:color w:val="3A3A3A"/>
        </w:rPr>
        <w:t xml:space="preserve">ce </w:t>
      </w:r>
      <w:r>
        <w:rPr>
          <w:rFonts w:ascii="Arial" w:cs="Arial" w:eastAsia="Arial" w:hAnsi="Arial"/>
          <w:sz w:val="21"/>
          <w:szCs w:val="21"/>
          <w:color w:val="000000"/>
        </w:rPr>
        <w:t>within such</w:t>
      </w:r>
      <w:r>
        <w:rPr>
          <w:rFonts w:ascii="Arial" w:cs="Arial" w:eastAsia="Arial" w:hAnsi="Arial"/>
          <w:sz w:val="21"/>
          <w:szCs w:val="21"/>
          <w:color w:val="3A3A3A"/>
        </w:rPr>
        <w:t xml:space="preserve"> </w:t>
      </w:r>
      <w:r>
        <w:rPr>
          <w:rFonts w:ascii="Arial" w:cs="Arial" w:eastAsia="Arial" w:hAnsi="Arial"/>
          <w:sz w:val="21"/>
          <w:szCs w:val="21"/>
          <w:u w:val="single" w:color="auto"/>
          <w:color w:val="000000"/>
        </w:rPr>
        <w:t>[***]</w:t>
      </w:r>
      <w:r>
        <w:rPr>
          <w:rFonts w:ascii="Arial" w:cs="Arial" w:eastAsia="Arial" w:hAnsi="Arial"/>
          <w:sz w:val="21"/>
          <w:szCs w:val="21"/>
          <w:color w:val="3A3A3A"/>
        </w:rPr>
        <w:t xml:space="preserve"> </w:t>
      </w:r>
      <w:r>
        <w:rPr>
          <w:rFonts w:ascii="Arial" w:cs="Arial" w:eastAsia="Arial" w:hAnsi="Arial"/>
          <w:sz w:val="21"/>
          <w:szCs w:val="21"/>
          <w:color w:val="0F0F0F"/>
        </w:rPr>
        <w:t>day period</w:t>
      </w:r>
      <w:r>
        <w:rPr>
          <w:rFonts w:ascii="Arial" w:cs="Arial" w:eastAsia="Arial" w:hAnsi="Arial"/>
          <w:sz w:val="21"/>
          <w:szCs w:val="21"/>
          <w:color w:val="3A3A3A"/>
        </w:rPr>
        <w:t xml:space="preserve"> </w:t>
      </w:r>
      <w:r>
        <w:rPr>
          <w:rFonts w:ascii="Arial" w:cs="Arial" w:eastAsia="Arial" w:hAnsi="Arial"/>
          <w:sz w:val="21"/>
          <w:szCs w:val="21"/>
          <w:color w:val="000000"/>
        </w:rPr>
        <w:t>and</w:t>
      </w:r>
      <w:r>
        <w:rPr>
          <w:rFonts w:ascii="Arial" w:cs="Arial" w:eastAsia="Arial" w:hAnsi="Arial"/>
          <w:sz w:val="21"/>
          <w:szCs w:val="21"/>
          <w:color w:val="3A3A3A"/>
        </w:rPr>
        <w:t xml:space="preserve"> thereafter </w:t>
      </w:r>
      <w:r>
        <w:rPr>
          <w:rFonts w:ascii="Arial" w:cs="Arial" w:eastAsia="Arial" w:hAnsi="Arial"/>
          <w:sz w:val="21"/>
          <w:szCs w:val="21"/>
          <w:color w:val="000000"/>
        </w:rPr>
        <w:t>diligently prosecutes</w:t>
      </w:r>
      <w:r>
        <w:rPr>
          <w:rFonts w:ascii="Arial" w:cs="Arial" w:eastAsia="Arial" w:hAnsi="Arial"/>
          <w:sz w:val="21"/>
          <w:szCs w:val="21"/>
          <w:color w:val="3A3A3A"/>
        </w:rPr>
        <w:t xml:space="preserve"> </w:t>
      </w:r>
      <w:r>
        <w:rPr>
          <w:rFonts w:ascii="Arial" w:cs="Arial" w:eastAsia="Arial" w:hAnsi="Arial"/>
          <w:sz w:val="21"/>
          <w:szCs w:val="21"/>
          <w:color w:val="0F0F0F"/>
        </w:rPr>
        <w:t>th</w:t>
      </w:r>
      <w:r>
        <w:rPr>
          <w:rFonts w:ascii="Arial" w:cs="Arial" w:eastAsia="Arial" w:hAnsi="Arial"/>
          <w:sz w:val="21"/>
          <w:szCs w:val="21"/>
          <w:color w:val="3A3A3A"/>
        </w:rPr>
        <w:t xml:space="preserve">e </w:t>
      </w:r>
      <w:r>
        <w:rPr>
          <w:rFonts w:ascii="Arial" w:cs="Arial" w:eastAsia="Arial" w:hAnsi="Arial"/>
          <w:sz w:val="21"/>
          <w:szCs w:val="21"/>
          <w:color w:val="000000"/>
        </w:rPr>
        <w:t>same to</w:t>
      </w:r>
      <w:r>
        <w:rPr>
          <w:rFonts w:ascii="Arial" w:cs="Arial" w:eastAsia="Arial" w:hAnsi="Arial"/>
          <w:sz w:val="21"/>
          <w:szCs w:val="21"/>
          <w:color w:val="3A3A3A"/>
        </w:rPr>
        <w:t xml:space="preserve"> </w:t>
      </w:r>
      <w:r>
        <w:rPr>
          <w:rFonts w:ascii="Arial" w:cs="Arial" w:eastAsia="Arial" w:hAnsi="Arial"/>
          <w:sz w:val="21"/>
          <w:szCs w:val="21"/>
          <w:color w:val="000000"/>
        </w:rPr>
        <w:t xml:space="preserve">completion. In no event shall Tenant have </w:t>
      </w:r>
      <w:r>
        <w:rPr>
          <w:rFonts w:ascii="Arial" w:cs="Arial" w:eastAsia="Arial" w:hAnsi="Arial"/>
          <w:sz w:val="21"/>
          <w:szCs w:val="21"/>
          <w:color w:val="3A3A3A"/>
        </w:rPr>
        <w:t>t</w:t>
      </w:r>
      <w:r>
        <w:rPr>
          <w:rFonts w:ascii="Arial" w:cs="Arial" w:eastAsia="Arial" w:hAnsi="Arial"/>
          <w:sz w:val="21"/>
          <w:szCs w:val="21"/>
          <w:color w:val="0F0F0F"/>
        </w:rPr>
        <w:t>he</w:t>
      </w:r>
      <w:r>
        <w:rPr>
          <w:rFonts w:ascii="Arial" w:cs="Arial" w:eastAsia="Arial" w:hAnsi="Arial"/>
          <w:sz w:val="21"/>
          <w:szCs w:val="21"/>
          <w:color w:val="000000"/>
        </w:rPr>
        <w:t xml:space="preserve"> </w:t>
      </w:r>
      <w:r>
        <w:rPr>
          <w:rFonts w:ascii="Arial" w:cs="Arial" w:eastAsia="Arial" w:hAnsi="Arial"/>
          <w:sz w:val="21"/>
          <w:szCs w:val="21"/>
          <w:color w:val="4D4D4D"/>
        </w:rPr>
        <w:t>r</w:t>
      </w:r>
      <w:r>
        <w:rPr>
          <w:rFonts w:ascii="Arial" w:cs="Arial" w:eastAsia="Arial" w:hAnsi="Arial"/>
          <w:sz w:val="21"/>
          <w:szCs w:val="21"/>
          <w:color w:val="000000"/>
        </w:rPr>
        <w:t xml:space="preserve">ight </w:t>
      </w:r>
      <w:r>
        <w:rPr>
          <w:rFonts w:ascii="Arial" w:cs="Arial" w:eastAsia="Arial" w:hAnsi="Arial"/>
          <w:sz w:val="21"/>
          <w:szCs w:val="21"/>
          <w:color w:val="0F0F0F"/>
        </w:rPr>
        <w:t>to</w:t>
      </w:r>
      <w:r>
        <w:rPr>
          <w:rFonts w:ascii="Arial" w:cs="Arial" w:eastAsia="Arial" w:hAnsi="Arial"/>
          <w:sz w:val="21"/>
          <w:szCs w:val="21"/>
          <w:color w:val="000000"/>
        </w:rPr>
        <w:t xml:space="preserve"> terminate or cancel </w:t>
      </w:r>
      <w:r>
        <w:rPr>
          <w:rFonts w:ascii="Arial" w:cs="Arial" w:eastAsia="Arial" w:hAnsi="Arial"/>
          <w:sz w:val="21"/>
          <w:szCs w:val="21"/>
          <w:color w:val="0F0F0F"/>
        </w:rPr>
        <w:t>th</w:t>
      </w:r>
      <w:r>
        <w:rPr>
          <w:rFonts w:ascii="Arial" w:cs="Arial" w:eastAsia="Arial" w:hAnsi="Arial"/>
          <w:sz w:val="21"/>
          <w:szCs w:val="21"/>
          <w:color w:val="3A3A3A"/>
        </w:rPr>
        <w:t>is</w:t>
      </w:r>
      <w:r>
        <w:rPr>
          <w:rFonts w:ascii="Arial" w:cs="Arial" w:eastAsia="Arial" w:hAnsi="Arial"/>
          <w:sz w:val="21"/>
          <w:szCs w:val="21"/>
          <w:color w:val="000000"/>
        </w:rPr>
        <w:t xml:space="preserve"> Lease or to withhold or abate rent or to </w:t>
      </w:r>
      <w:r>
        <w:rPr>
          <w:rFonts w:ascii="Arial" w:cs="Arial" w:eastAsia="Arial" w:hAnsi="Arial"/>
          <w:sz w:val="21"/>
          <w:szCs w:val="21"/>
          <w:color w:val="3A3A3A"/>
        </w:rPr>
        <w:t>se</w:t>
      </w:r>
      <w:r>
        <w:rPr>
          <w:rFonts w:ascii="Arial" w:cs="Arial" w:eastAsia="Arial" w:hAnsi="Arial"/>
          <w:sz w:val="21"/>
          <w:szCs w:val="21"/>
          <w:color w:val="0F0F0F"/>
        </w:rPr>
        <w:t>t</w:t>
      </w:r>
      <w:r>
        <w:rPr>
          <w:rFonts w:ascii="Arial" w:cs="Arial" w:eastAsia="Arial" w:hAnsi="Arial"/>
          <w:sz w:val="21"/>
          <w:szCs w:val="21"/>
          <w:color w:val="000000"/>
        </w:rPr>
        <w:t xml:space="preserve"> off any Claims against </w:t>
      </w:r>
      <w:r>
        <w:rPr>
          <w:rFonts w:ascii="Arial" w:cs="Arial" w:eastAsia="Arial" w:hAnsi="Arial"/>
          <w:sz w:val="21"/>
          <w:szCs w:val="21"/>
          <w:color w:val="0F0F0F"/>
        </w:rPr>
        <w:t>Rent</w:t>
      </w:r>
      <w:r>
        <w:rPr>
          <w:rFonts w:ascii="Arial" w:cs="Arial" w:eastAsia="Arial" w:hAnsi="Arial"/>
          <w:sz w:val="21"/>
          <w:szCs w:val="21"/>
          <w:color w:val="000000"/>
        </w:rPr>
        <w:t xml:space="preserve"> as a </w:t>
      </w:r>
      <w:r>
        <w:rPr>
          <w:rFonts w:ascii="Arial" w:cs="Arial" w:eastAsia="Arial" w:hAnsi="Arial"/>
          <w:sz w:val="21"/>
          <w:szCs w:val="21"/>
          <w:color w:val="0F0F0F"/>
        </w:rPr>
        <w:t>resu</w:t>
      </w:r>
      <w:r>
        <w:rPr>
          <w:rFonts w:ascii="Arial" w:cs="Arial" w:eastAsia="Arial" w:hAnsi="Arial"/>
          <w:sz w:val="21"/>
          <w:szCs w:val="21"/>
          <w:color w:val="3A3A3A"/>
        </w:rPr>
        <w:t>l</w:t>
      </w:r>
      <w:r>
        <w:rPr>
          <w:rFonts w:ascii="Arial" w:cs="Arial" w:eastAsia="Arial" w:hAnsi="Arial"/>
          <w:sz w:val="21"/>
          <w:szCs w:val="21"/>
          <w:color w:val="0F0F0F"/>
        </w:rPr>
        <w:t>t</w:t>
      </w:r>
      <w:r>
        <w:rPr>
          <w:rFonts w:ascii="Arial" w:cs="Arial" w:eastAsia="Arial" w:hAnsi="Arial"/>
          <w:sz w:val="21"/>
          <w:szCs w:val="21"/>
          <w:color w:val="000000"/>
        </w:rPr>
        <w:t xml:space="preserve"> of any defau</w:t>
      </w:r>
      <w:r>
        <w:rPr>
          <w:rFonts w:ascii="Arial" w:cs="Arial" w:eastAsia="Arial" w:hAnsi="Arial"/>
          <w:sz w:val="21"/>
          <w:szCs w:val="21"/>
          <w:color w:val="4D4D4D"/>
        </w:rPr>
        <w:t>l</w:t>
      </w:r>
      <w:r>
        <w:rPr>
          <w:rFonts w:ascii="Arial" w:cs="Arial" w:eastAsia="Arial" w:hAnsi="Arial"/>
          <w:sz w:val="21"/>
          <w:szCs w:val="21"/>
          <w:color w:val="000000"/>
        </w:rPr>
        <w:t xml:space="preserve">t or </w:t>
      </w:r>
      <w:r>
        <w:rPr>
          <w:rFonts w:ascii="Arial" w:cs="Arial" w:eastAsia="Arial" w:hAnsi="Arial"/>
          <w:sz w:val="21"/>
          <w:szCs w:val="21"/>
          <w:color w:val="0F0F0F"/>
        </w:rPr>
        <w:t>breach by</w:t>
      </w:r>
      <w:r>
        <w:rPr>
          <w:rFonts w:ascii="Arial" w:cs="Arial" w:eastAsia="Arial" w:hAnsi="Arial"/>
          <w:sz w:val="21"/>
          <w:szCs w:val="21"/>
          <w:color w:val="000000"/>
        </w:rPr>
        <w:t xml:space="preserve"> Landlord of any of </w:t>
      </w:r>
      <w:r>
        <w:rPr>
          <w:rFonts w:ascii="Arial" w:cs="Arial" w:eastAsia="Arial" w:hAnsi="Arial"/>
          <w:sz w:val="21"/>
          <w:szCs w:val="21"/>
          <w:color w:val="0F0F0F"/>
        </w:rPr>
        <w:t>its</w:t>
      </w:r>
      <w:r>
        <w:rPr>
          <w:rFonts w:ascii="Arial" w:cs="Arial" w:eastAsia="Arial" w:hAnsi="Arial"/>
          <w:sz w:val="21"/>
          <w:szCs w:val="21"/>
          <w:color w:val="000000"/>
        </w:rPr>
        <w:t xml:space="preserve"> covenants, obligations, representations, warranties or promises herem1der, </w:t>
      </w:r>
      <w:r>
        <w:rPr>
          <w:rFonts w:ascii="Arial" w:cs="Arial" w:eastAsia="Arial" w:hAnsi="Arial"/>
          <w:sz w:val="21"/>
          <w:szCs w:val="21"/>
          <w:color w:val="3A3A3A"/>
        </w:rPr>
        <w:t>exce</w:t>
      </w:r>
      <w:r>
        <w:rPr>
          <w:rFonts w:ascii="Arial" w:cs="Arial" w:eastAsia="Arial" w:hAnsi="Arial"/>
          <w:sz w:val="21"/>
          <w:szCs w:val="21"/>
          <w:color w:val="0F0F0F"/>
        </w:rPr>
        <w:t>pt</w:t>
      </w:r>
      <w:r>
        <w:rPr>
          <w:rFonts w:ascii="Arial" w:cs="Arial" w:eastAsia="Arial" w:hAnsi="Arial"/>
          <w:sz w:val="21"/>
          <w:szCs w:val="21"/>
          <w:color w:val="000000"/>
        </w:rPr>
        <w:t xml:space="preserve"> as </w:t>
      </w:r>
      <w:r>
        <w:rPr>
          <w:rFonts w:ascii="Arial" w:cs="Arial" w:eastAsia="Arial" w:hAnsi="Arial"/>
          <w:sz w:val="21"/>
          <w:szCs w:val="21"/>
          <w:color w:val="3A3A3A"/>
        </w:rPr>
        <w:t>may</w:t>
      </w:r>
      <w:r>
        <w:rPr>
          <w:rFonts w:ascii="Arial" w:cs="Arial" w:eastAsia="Arial" w:hAnsi="Arial"/>
          <w:sz w:val="21"/>
          <w:szCs w:val="21"/>
          <w:color w:val="000000"/>
        </w:rPr>
        <w:t xml:space="preserve"> otherwise be expressly </w:t>
      </w:r>
      <w:r>
        <w:rPr>
          <w:rFonts w:ascii="Arial" w:cs="Arial" w:eastAsia="Arial" w:hAnsi="Arial"/>
          <w:sz w:val="21"/>
          <w:szCs w:val="21"/>
          <w:color w:val="3A3A3A"/>
        </w:rPr>
        <w:t>s</w:t>
      </w:r>
      <w:r>
        <w:rPr>
          <w:rFonts w:ascii="Arial" w:cs="Arial" w:eastAsia="Arial" w:hAnsi="Arial"/>
          <w:sz w:val="21"/>
          <w:szCs w:val="21"/>
          <w:color w:val="0F0F0F"/>
        </w:rPr>
        <w:t>et</w:t>
      </w:r>
      <w:r>
        <w:rPr>
          <w:rFonts w:ascii="Arial" w:cs="Arial" w:eastAsia="Arial" w:hAnsi="Arial"/>
          <w:sz w:val="21"/>
          <w:szCs w:val="21"/>
          <w:color w:val="000000"/>
        </w:rPr>
        <w:t xml:space="preserve"> forth </w:t>
      </w:r>
      <w:r>
        <w:rPr>
          <w:rFonts w:ascii="Arial" w:cs="Arial" w:eastAsia="Arial" w:hAnsi="Arial"/>
          <w:sz w:val="21"/>
          <w:szCs w:val="21"/>
          <w:color w:val="0F0F0F"/>
        </w:rPr>
        <w:t>in</w:t>
      </w:r>
      <w:r>
        <w:rPr>
          <w:rFonts w:ascii="Arial" w:cs="Arial" w:eastAsia="Arial" w:hAnsi="Arial"/>
          <w:sz w:val="21"/>
          <w:szCs w:val="21"/>
          <w:color w:val="000000"/>
        </w:rPr>
        <w:t xml:space="preserve"> </w:t>
      </w:r>
      <w:r>
        <w:rPr>
          <w:rFonts w:ascii="Arial" w:cs="Arial" w:eastAsia="Arial" w:hAnsi="Arial"/>
          <w:sz w:val="21"/>
          <w:szCs w:val="21"/>
          <w:color w:val="0F0F0F"/>
        </w:rPr>
        <w:t xml:space="preserve">this </w:t>
      </w:r>
      <w:r>
        <w:rPr>
          <w:rFonts w:ascii="Arial" w:cs="Arial" w:eastAsia="Arial" w:hAnsi="Arial"/>
          <w:sz w:val="21"/>
          <w:szCs w:val="21"/>
          <w:color w:val="000000"/>
        </w:rPr>
        <w:t>Lease.</w:t>
      </w:r>
    </w:p>
    <w:p>
      <w:pPr>
        <w:spacing w:after="0" w:line="159" w:lineRule="exact"/>
        <w:rPr>
          <w:sz w:val="20"/>
          <w:szCs w:val="20"/>
          <w:color w:val="auto"/>
        </w:rPr>
      </w:pPr>
    </w:p>
    <w:p>
      <w:pPr>
        <w:jc w:val="both"/>
        <w:ind w:left="180" w:hanging="647"/>
        <w:spacing w:after="0" w:line="247" w:lineRule="auto"/>
        <w:rPr>
          <w:sz w:val="20"/>
          <w:szCs w:val="20"/>
          <w:color w:val="auto"/>
        </w:rPr>
      </w:pPr>
      <w:r>
        <w:rPr>
          <w:rFonts w:ascii="Arial" w:cs="Arial" w:eastAsia="Arial" w:hAnsi="Arial"/>
          <w:sz w:val="19"/>
          <w:szCs w:val="19"/>
          <w:color w:val="auto"/>
        </w:rPr>
        <w:t xml:space="preserve">31.13 In </w:t>
      </w:r>
      <w:r>
        <w:rPr>
          <w:rFonts w:ascii="Arial" w:cs="Arial" w:eastAsia="Arial" w:hAnsi="Arial"/>
          <w:sz w:val="19"/>
          <w:szCs w:val="19"/>
          <w:color w:val="0F0F0F"/>
        </w:rPr>
        <w:t>the</w:t>
      </w:r>
      <w:r>
        <w:rPr>
          <w:rFonts w:ascii="Arial" w:cs="Arial" w:eastAsia="Arial" w:hAnsi="Arial"/>
          <w:sz w:val="19"/>
          <w:szCs w:val="19"/>
          <w:color w:val="auto"/>
        </w:rPr>
        <w:t xml:space="preserve"> event of any default </w:t>
      </w:r>
      <w:r>
        <w:rPr>
          <w:rFonts w:ascii="Arial" w:cs="Arial" w:eastAsia="Arial" w:hAnsi="Arial"/>
          <w:sz w:val="19"/>
          <w:szCs w:val="19"/>
          <w:color w:val="0F0F0F"/>
        </w:rPr>
        <w:t>by</w:t>
      </w:r>
      <w:r>
        <w:rPr>
          <w:rFonts w:ascii="Arial" w:cs="Arial" w:eastAsia="Arial" w:hAnsi="Arial"/>
          <w:sz w:val="19"/>
          <w:szCs w:val="19"/>
          <w:color w:val="auto"/>
        </w:rPr>
        <w:t xml:space="preserve"> </w:t>
      </w:r>
      <w:r>
        <w:rPr>
          <w:rFonts w:ascii="Arial" w:cs="Arial" w:eastAsia="Arial" w:hAnsi="Arial"/>
          <w:sz w:val="19"/>
          <w:szCs w:val="19"/>
          <w:color w:val="3A3A3A"/>
        </w:rPr>
        <w:t>Landlord,</w:t>
      </w:r>
      <w:r>
        <w:rPr>
          <w:rFonts w:ascii="Arial" w:cs="Arial" w:eastAsia="Arial" w:hAnsi="Arial"/>
          <w:sz w:val="19"/>
          <w:szCs w:val="19"/>
          <w:color w:val="auto"/>
        </w:rPr>
        <w:t xml:space="preserve"> </w:t>
      </w:r>
      <w:r>
        <w:rPr>
          <w:rFonts w:ascii="Arial" w:cs="Arial" w:eastAsia="Arial" w:hAnsi="Arial"/>
          <w:sz w:val="19"/>
          <w:szCs w:val="19"/>
          <w:color w:val="0F0F0F"/>
        </w:rPr>
        <w:t>Tenant</w:t>
      </w:r>
      <w:r>
        <w:rPr>
          <w:rFonts w:ascii="Arial" w:cs="Arial" w:eastAsia="Arial" w:hAnsi="Arial"/>
          <w:sz w:val="19"/>
          <w:szCs w:val="19"/>
          <w:color w:val="auto"/>
        </w:rPr>
        <w:t xml:space="preserve"> </w:t>
      </w:r>
      <w:r>
        <w:rPr>
          <w:rFonts w:ascii="Arial" w:cs="Arial" w:eastAsia="Arial" w:hAnsi="Arial"/>
          <w:sz w:val="19"/>
          <w:szCs w:val="19"/>
          <w:color w:val="3A3A3A"/>
        </w:rPr>
        <w:t>shall</w:t>
      </w:r>
      <w:r>
        <w:rPr>
          <w:rFonts w:ascii="Arial" w:cs="Arial" w:eastAsia="Arial" w:hAnsi="Arial"/>
          <w:sz w:val="19"/>
          <w:szCs w:val="19"/>
          <w:color w:val="auto"/>
        </w:rPr>
        <w:t xml:space="preserve"> give notice </w:t>
      </w:r>
      <w:r>
        <w:rPr>
          <w:rFonts w:ascii="Arial" w:cs="Arial" w:eastAsia="Arial" w:hAnsi="Arial"/>
          <w:sz w:val="19"/>
          <w:szCs w:val="19"/>
          <w:color w:val="0F0F0F"/>
        </w:rPr>
        <w:t>by r</w:t>
      </w:r>
      <w:r>
        <w:rPr>
          <w:rFonts w:ascii="Arial" w:cs="Arial" w:eastAsia="Arial" w:hAnsi="Arial"/>
          <w:sz w:val="19"/>
          <w:szCs w:val="19"/>
          <w:color w:val="3A3A3A"/>
        </w:rPr>
        <w:t>eg</w:t>
      </w:r>
      <w:r>
        <w:rPr>
          <w:rFonts w:ascii="Arial" w:cs="Arial" w:eastAsia="Arial" w:hAnsi="Arial"/>
          <w:sz w:val="19"/>
          <w:szCs w:val="19"/>
          <w:color w:val="0F0F0F"/>
        </w:rPr>
        <w:t>iste</w:t>
      </w:r>
      <w:r>
        <w:rPr>
          <w:rFonts w:ascii="Arial" w:cs="Arial" w:eastAsia="Arial" w:hAnsi="Arial"/>
          <w:sz w:val="19"/>
          <w:szCs w:val="19"/>
          <w:color w:val="3A3A3A"/>
        </w:rPr>
        <w:t>red</w:t>
      </w:r>
      <w:r>
        <w:rPr>
          <w:rFonts w:ascii="Arial" w:cs="Arial" w:eastAsia="Arial" w:hAnsi="Arial"/>
          <w:sz w:val="19"/>
          <w:szCs w:val="19"/>
          <w:color w:val="auto"/>
        </w:rPr>
        <w:t xml:space="preserve"> or certified mail </w:t>
      </w:r>
      <w:r>
        <w:rPr>
          <w:rFonts w:ascii="Arial" w:cs="Arial" w:eastAsia="Arial" w:hAnsi="Arial"/>
          <w:sz w:val="19"/>
          <w:szCs w:val="19"/>
          <w:color w:val="3A3A3A"/>
        </w:rPr>
        <w:t>to</w:t>
      </w:r>
      <w:r>
        <w:rPr>
          <w:rFonts w:ascii="Arial" w:cs="Arial" w:eastAsia="Arial" w:hAnsi="Arial"/>
          <w:sz w:val="19"/>
          <w:szCs w:val="19"/>
          <w:color w:val="auto"/>
        </w:rPr>
        <w:t xml:space="preserve"> any (a) beneficiary of a </w:t>
      </w:r>
      <w:r>
        <w:rPr>
          <w:rFonts w:ascii="Arial" w:cs="Arial" w:eastAsia="Arial" w:hAnsi="Arial"/>
          <w:sz w:val="19"/>
          <w:szCs w:val="19"/>
          <w:color w:val="0F0F0F"/>
        </w:rPr>
        <w:t>deed</w:t>
      </w:r>
      <w:r>
        <w:rPr>
          <w:rFonts w:ascii="Arial" w:cs="Arial" w:eastAsia="Arial" w:hAnsi="Arial"/>
          <w:sz w:val="19"/>
          <w:szCs w:val="19"/>
          <w:color w:val="auto"/>
        </w:rPr>
        <w:t xml:space="preserve"> of trust or </w:t>
      </w:r>
      <w:r>
        <w:rPr>
          <w:rFonts w:ascii="Arial" w:cs="Arial" w:eastAsia="Arial" w:hAnsi="Arial"/>
          <w:sz w:val="19"/>
          <w:szCs w:val="19"/>
          <w:color w:val="0F0F0F"/>
        </w:rPr>
        <w:t>(b)</w:t>
      </w:r>
      <w:r>
        <w:rPr>
          <w:rFonts w:ascii="Arial" w:cs="Arial" w:eastAsia="Arial" w:hAnsi="Arial"/>
          <w:sz w:val="19"/>
          <w:szCs w:val="19"/>
          <w:color w:val="auto"/>
        </w:rPr>
        <w:t xml:space="preserve"> mortgagee under a </w:t>
      </w:r>
      <w:r>
        <w:rPr>
          <w:rFonts w:ascii="Arial" w:cs="Arial" w:eastAsia="Arial" w:hAnsi="Arial"/>
          <w:sz w:val="19"/>
          <w:szCs w:val="19"/>
          <w:color w:val="0F0F0F"/>
        </w:rPr>
        <w:t>mortgage</w:t>
      </w:r>
      <w:r>
        <w:rPr>
          <w:rFonts w:ascii="Arial" w:cs="Arial" w:eastAsia="Arial" w:hAnsi="Arial"/>
          <w:sz w:val="19"/>
          <w:szCs w:val="19"/>
          <w:color w:val="auto"/>
        </w:rPr>
        <w:t xml:space="preserve"> covering </w:t>
      </w:r>
      <w:r>
        <w:rPr>
          <w:rFonts w:ascii="Arial" w:cs="Arial" w:eastAsia="Arial" w:hAnsi="Arial"/>
          <w:sz w:val="19"/>
          <w:szCs w:val="19"/>
          <w:color w:val="0F0F0F"/>
        </w:rPr>
        <w:t>the</w:t>
      </w:r>
      <w:r>
        <w:rPr>
          <w:rFonts w:ascii="Arial" w:cs="Arial" w:eastAsia="Arial" w:hAnsi="Arial"/>
          <w:sz w:val="19"/>
          <w:szCs w:val="19"/>
          <w:color w:val="auto"/>
        </w:rPr>
        <w:t xml:space="preserve"> Premises, the </w:t>
      </w:r>
      <w:r>
        <w:rPr>
          <w:rFonts w:ascii="Arial" w:cs="Arial" w:eastAsia="Arial" w:hAnsi="Arial"/>
          <w:sz w:val="19"/>
          <w:szCs w:val="19"/>
          <w:color w:val="0F0F0F"/>
        </w:rPr>
        <w:t>Building</w:t>
      </w:r>
      <w:r>
        <w:rPr>
          <w:rFonts w:ascii="Arial" w:cs="Arial" w:eastAsia="Arial" w:hAnsi="Arial"/>
          <w:sz w:val="19"/>
          <w:szCs w:val="19"/>
          <w:color w:val="auto"/>
        </w:rPr>
        <w:t xml:space="preserve"> or the </w:t>
      </w:r>
      <w:r>
        <w:rPr>
          <w:rFonts w:ascii="Arial" w:cs="Arial" w:eastAsia="Arial" w:hAnsi="Arial"/>
          <w:sz w:val="19"/>
          <w:szCs w:val="19"/>
          <w:color w:val="0F0F0F"/>
        </w:rPr>
        <w:t>Project</w:t>
      </w:r>
      <w:r>
        <w:rPr>
          <w:rFonts w:ascii="Arial" w:cs="Arial" w:eastAsia="Arial" w:hAnsi="Arial"/>
          <w:sz w:val="19"/>
          <w:szCs w:val="19"/>
          <w:color w:val="auto"/>
        </w:rPr>
        <w:t xml:space="preserve"> and </w:t>
      </w:r>
      <w:r>
        <w:rPr>
          <w:rFonts w:ascii="Arial" w:cs="Arial" w:eastAsia="Arial" w:hAnsi="Arial"/>
          <w:sz w:val="19"/>
          <w:szCs w:val="19"/>
          <w:color w:val="0F0F0F"/>
        </w:rPr>
        <w:t>to</w:t>
      </w:r>
      <w:r>
        <w:rPr>
          <w:rFonts w:ascii="Arial" w:cs="Arial" w:eastAsia="Arial" w:hAnsi="Arial"/>
          <w:sz w:val="19"/>
          <w:szCs w:val="19"/>
          <w:color w:val="auto"/>
        </w:rPr>
        <w:t xml:space="preserve"> any </w:t>
      </w:r>
      <w:r>
        <w:rPr>
          <w:rFonts w:ascii="Arial" w:cs="Arial" w:eastAsia="Arial" w:hAnsi="Arial"/>
          <w:sz w:val="19"/>
          <w:szCs w:val="19"/>
          <w:color w:val="0F0F0F"/>
        </w:rPr>
        <w:t>landlord</w:t>
      </w:r>
      <w:r>
        <w:rPr>
          <w:rFonts w:ascii="Arial" w:cs="Arial" w:eastAsia="Arial" w:hAnsi="Arial"/>
          <w:sz w:val="19"/>
          <w:szCs w:val="19"/>
          <w:color w:val="auto"/>
        </w:rPr>
        <w:t xml:space="preserve"> of </w:t>
      </w:r>
      <w:r>
        <w:rPr>
          <w:rFonts w:ascii="Arial" w:cs="Arial" w:eastAsia="Arial" w:hAnsi="Arial"/>
          <w:sz w:val="19"/>
          <w:szCs w:val="19"/>
          <w:color w:val="0F0F0F"/>
        </w:rPr>
        <w:t>any lease</w:t>
      </w:r>
      <w:r>
        <w:rPr>
          <w:rFonts w:ascii="Arial" w:cs="Arial" w:eastAsia="Arial" w:hAnsi="Arial"/>
          <w:sz w:val="19"/>
          <w:szCs w:val="19"/>
          <w:color w:val="auto"/>
        </w:rPr>
        <w:t xml:space="preserve"> of land upon </w:t>
      </w:r>
      <w:r>
        <w:rPr>
          <w:rFonts w:ascii="Arial" w:cs="Arial" w:eastAsia="Arial" w:hAnsi="Arial"/>
          <w:sz w:val="19"/>
          <w:szCs w:val="19"/>
          <w:color w:val="0F0F0F"/>
        </w:rPr>
        <w:t>or</w:t>
      </w:r>
      <w:r>
        <w:rPr>
          <w:rFonts w:ascii="Arial" w:cs="Arial" w:eastAsia="Arial" w:hAnsi="Arial"/>
          <w:sz w:val="19"/>
          <w:szCs w:val="19"/>
          <w:color w:val="auto"/>
        </w:rPr>
        <w:t xml:space="preserve"> within which </w:t>
      </w:r>
      <w:r>
        <w:rPr>
          <w:rFonts w:ascii="Arial" w:cs="Arial" w:eastAsia="Arial" w:hAnsi="Arial"/>
          <w:sz w:val="19"/>
          <w:szCs w:val="19"/>
          <w:color w:val="0F0F0F"/>
        </w:rPr>
        <w:t>the</w:t>
      </w:r>
      <w:r>
        <w:rPr>
          <w:rFonts w:ascii="Arial" w:cs="Arial" w:eastAsia="Arial" w:hAnsi="Arial"/>
          <w:sz w:val="19"/>
          <w:szCs w:val="19"/>
          <w:color w:val="auto"/>
        </w:rPr>
        <w:t xml:space="preserve"> Premises, the Building or the </w:t>
      </w:r>
      <w:r>
        <w:rPr>
          <w:rFonts w:ascii="Arial" w:cs="Arial" w:eastAsia="Arial" w:hAnsi="Arial"/>
          <w:sz w:val="19"/>
          <w:szCs w:val="19"/>
          <w:color w:val="0F0F0F"/>
        </w:rPr>
        <w:t>Proj</w:t>
      </w:r>
      <w:r>
        <w:rPr>
          <w:rFonts w:ascii="Arial" w:cs="Arial" w:eastAsia="Arial" w:hAnsi="Arial"/>
          <w:sz w:val="19"/>
          <w:szCs w:val="19"/>
          <w:color w:val="3A3A3A"/>
        </w:rPr>
        <w:t>ec</w:t>
      </w:r>
      <w:r>
        <w:rPr>
          <w:rFonts w:ascii="Arial" w:cs="Arial" w:eastAsia="Arial" w:hAnsi="Arial"/>
          <w:sz w:val="19"/>
          <w:szCs w:val="19"/>
          <w:color w:val="0F0F0F"/>
        </w:rPr>
        <w:t>t i</w:t>
      </w:r>
      <w:r>
        <w:rPr>
          <w:rFonts w:ascii="Arial" w:cs="Arial" w:eastAsia="Arial" w:hAnsi="Arial"/>
          <w:sz w:val="19"/>
          <w:szCs w:val="19"/>
          <w:color w:val="3A3A3A"/>
        </w:rPr>
        <w:t>s loca</w:t>
      </w:r>
      <w:r>
        <w:rPr>
          <w:rFonts w:ascii="Arial" w:cs="Arial" w:eastAsia="Arial" w:hAnsi="Arial"/>
          <w:sz w:val="19"/>
          <w:szCs w:val="19"/>
          <w:color w:val="0F0F0F"/>
        </w:rPr>
        <w:t>ted,</w:t>
      </w:r>
      <w:r>
        <w:rPr>
          <w:rFonts w:ascii="Arial" w:cs="Arial" w:eastAsia="Arial" w:hAnsi="Arial"/>
          <w:sz w:val="19"/>
          <w:szCs w:val="19"/>
          <w:color w:val="auto"/>
        </w:rPr>
        <w:t xml:space="preserve"> and shall offer such </w:t>
      </w:r>
      <w:r>
        <w:rPr>
          <w:rFonts w:ascii="Arial" w:cs="Arial" w:eastAsia="Arial" w:hAnsi="Arial"/>
          <w:sz w:val="19"/>
          <w:szCs w:val="19"/>
          <w:color w:val="0F0F0F"/>
        </w:rPr>
        <w:t>beneficiary,</w:t>
      </w:r>
      <w:r>
        <w:rPr>
          <w:rFonts w:ascii="Arial" w:cs="Arial" w:eastAsia="Arial" w:hAnsi="Arial"/>
          <w:sz w:val="19"/>
          <w:szCs w:val="19"/>
          <w:color w:val="auto"/>
        </w:rPr>
        <w:t xml:space="preserve"> mortgagee or </w:t>
      </w:r>
      <w:r>
        <w:rPr>
          <w:rFonts w:ascii="Arial" w:cs="Arial" w:eastAsia="Arial" w:hAnsi="Arial"/>
          <w:sz w:val="19"/>
          <w:szCs w:val="19"/>
          <w:color w:val="3A3A3A"/>
        </w:rPr>
        <w:t>land</w:t>
      </w:r>
      <w:r>
        <w:rPr>
          <w:rFonts w:ascii="Arial" w:cs="Arial" w:eastAsia="Arial" w:hAnsi="Arial"/>
          <w:sz w:val="19"/>
          <w:szCs w:val="19"/>
          <w:color w:val="0F0F0F"/>
        </w:rPr>
        <w:t>lord</w:t>
      </w:r>
      <w:r>
        <w:rPr>
          <w:rFonts w:ascii="Arial" w:cs="Arial" w:eastAsia="Arial" w:hAnsi="Arial"/>
          <w:sz w:val="19"/>
          <w:szCs w:val="19"/>
          <w:color w:val="auto"/>
        </w:rPr>
        <w:t xml:space="preserve"> a </w:t>
      </w:r>
      <w:r>
        <w:rPr>
          <w:rFonts w:ascii="Arial" w:cs="Arial" w:eastAsia="Arial" w:hAnsi="Arial"/>
          <w:sz w:val="19"/>
          <w:szCs w:val="19"/>
          <w:color w:val="0F0F0F"/>
        </w:rPr>
        <w:t>reasonable</w:t>
      </w:r>
      <w:r>
        <w:rPr>
          <w:rFonts w:ascii="Arial" w:cs="Arial" w:eastAsia="Arial" w:hAnsi="Arial"/>
          <w:sz w:val="19"/>
          <w:szCs w:val="19"/>
          <w:color w:val="auto"/>
        </w:rPr>
        <w:t xml:space="preserve"> opportunity to cure </w:t>
      </w:r>
      <w:r>
        <w:rPr>
          <w:rFonts w:ascii="Arial" w:cs="Arial" w:eastAsia="Arial" w:hAnsi="Arial"/>
          <w:sz w:val="19"/>
          <w:szCs w:val="19"/>
          <w:color w:val="0F0F0F"/>
        </w:rPr>
        <w:t>the</w:t>
      </w:r>
      <w:r>
        <w:rPr>
          <w:rFonts w:ascii="Arial" w:cs="Arial" w:eastAsia="Arial" w:hAnsi="Arial"/>
          <w:sz w:val="19"/>
          <w:szCs w:val="19"/>
          <w:color w:val="auto"/>
        </w:rPr>
        <w:t xml:space="preserve"> default, </w:t>
      </w:r>
      <w:r>
        <w:rPr>
          <w:rFonts w:ascii="Arial" w:cs="Arial" w:eastAsia="Arial" w:hAnsi="Arial"/>
          <w:sz w:val="19"/>
          <w:szCs w:val="19"/>
          <w:color w:val="0F0F0F"/>
        </w:rPr>
        <w:t>including</w:t>
      </w:r>
      <w:r>
        <w:rPr>
          <w:rFonts w:ascii="Arial" w:cs="Arial" w:eastAsia="Arial" w:hAnsi="Arial"/>
          <w:sz w:val="19"/>
          <w:szCs w:val="19"/>
          <w:color w:val="auto"/>
        </w:rPr>
        <w:t xml:space="preserve"> time to obtain </w:t>
      </w:r>
      <w:r>
        <w:rPr>
          <w:rFonts w:ascii="Arial" w:cs="Arial" w:eastAsia="Arial" w:hAnsi="Arial"/>
          <w:sz w:val="19"/>
          <w:szCs w:val="19"/>
          <w:color w:val="0F0F0F"/>
        </w:rPr>
        <w:t>pos</w:t>
      </w:r>
      <w:r>
        <w:rPr>
          <w:rFonts w:ascii="Arial" w:cs="Arial" w:eastAsia="Arial" w:hAnsi="Arial"/>
          <w:sz w:val="19"/>
          <w:szCs w:val="19"/>
          <w:color w:val="3A3A3A"/>
        </w:rPr>
        <w:t>session</w:t>
      </w:r>
      <w:r>
        <w:rPr>
          <w:rFonts w:ascii="Arial" w:cs="Arial" w:eastAsia="Arial" w:hAnsi="Arial"/>
          <w:sz w:val="19"/>
          <w:szCs w:val="19"/>
          <w:color w:val="auto"/>
        </w:rPr>
        <w:t xml:space="preserve"> of the Building or the Project by </w:t>
      </w:r>
      <w:r>
        <w:rPr>
          <w:rFonts w:ascii="Arial" w:cs="Arial" w:eastAsia="Arial" w:hAnsi="Arial"/>
          <w:sz w:val="19"/>
          <w:szCs w:val="19"/>
          <w:color w:val="0F0F0F"/>
        </w:rPr>
        <w:t>power</w:t>
      </w:r>
      <w:r>
        <w:rPr>
          <w:rFonts w:ascii="Arial" w:cs="Arial" w:eastAsia="Arial" w:hAnsi="Arial"/>
          <w:sz w:val="19"/>
          <w:szCs w:val="19"/>
          <w:color w:val="auto"/>
        </w:rPr>
        <w:t xml:space="preserve"> of </w:t>
      </w:r>
      <w:r>
        <w:rPr>
          <w:rFonts w:ascii="Arial" w:cs="Arial" w:eastAsia="Arial" w:hAnsi="Arial"/>
          <w:sz w:val="19"/>
          <w:szCs w:val="19"/>
          <w:color w:val="3A3A3A"/>
        </w:rPr>
        <w:t>sa</w:t>
      </w:r>
      <w:r>
        <w:rPr>
          <w:rFonts w:ascii="Arial" w:cs="Arial" w:eastAsia="Arial" w:hAnsi="Arial"/>
          <w:sz w:val="19"/>
          <w:szCs w:val="19"/>
          <w:color w:val="0F0F0F"/>
        </w:rPr>
        <w:t>le</w:t>
      </w:r>
      <w:r>
        <w:rPr>
          <w:rFonts w:ascii="Arial" w:cs="Arial" w:eastAsia="Arial" w:hAnsi="Arial"/>
          <w:sz w:val="19"/>
          <w:szCs w:val="19"/>
          <w:color w:val="auto"/>
        </w:rPr>
        <w:t xml:space="preserve"> or a judicial </w:t>
      </w:r>
      <w:r>
        <w:rPr>
          <w:rFonts w:ascii="Arial" w:cs="Arial" w:eastAsia="Arial" w:hAnsi="Arial"/>
          <w:sz w:val="19"/>
          <w:szCs w:val="19"/>
          <w:color w:val="0F0F0F"/>
        </w:rPr>
        <w:t>ac</w:t>
      </w:r>
      <w:r>
        <w:rPr>
          <w:rFonts w:ascii="Arial" w:cs="Arial" w:eastAsia="Arial" w:hAnsi="Arial"/>
          <w:sz w:val="19"/>
          <w:szCs w:val="19"/>
          <w:color w:val="3A3A3A"/>
        </w:rPr>
        <w:t>t</w:t>
      </w:r>
      <w:r>
        <w:rPr>
          <w:rFonts w:ascii="Arial" w:cs="Arial" w:eastAsia="Arial" w:hAnsi="Arial"/>
          <w:sz w:val="19"/>
          <w:szCs w:val="19"/>
          <w:color w:val="0F0F0F"/>
        </w:rPr>
        <w:t>ion</w:t>
      </w:r>
      <w:r>
        <w:rPr>
          <w:rFonts w:ascii="Arial" w:cs="Arial" w:eastAsia="Arial" w:hAnsi="Arial"/>
          <w:sz w:val="19"/>
          <w:szCs w:val="19"/>
          <w:color w:val="auto"/>
        </w:rPr>
        <w:t xml:space="preserve"> if such </w:t>
      </w:r>
      <w:r>
        <w:rPr>
          <w:rFonts w:ascii="Arial" w:cs="Arial" w:eastAsia="Arial" w:hAnsi="Arial"/>
          <w:sz w:val="19"/>
          <w:szCs w:val="19"/>
          <w:color w:val="3A3A3A"/>
        </w:rPr>
        <w:t>shou</w:t>
      </w:r>
      <w:r>
        <w:rPr>
          <w:rFonts w:ascii="Arial" w:cs="Arial" w:eastAsia="Arial" w:hAnsi="Arial"/>
          <w:sz w:val="19"/>
          <w:szCs w:val="19"/>
          <w:color w:val="0F0F0F"/>
        </w:rPr>
        <w:t>ld prov</w:t>
      </w:r>
      <w:r>
        <w:rPr>
          <w:rFonts w:ascii="Arial" w:cs="Arial" w:eastAsia="Arial" w:hAnsi="Arial"/>
          <w:sz w:val="19"/>
          <w:szCs w:val="19"/>
          <w:color w:val="3A3A3A"/>
        </w:rPr>
        <w:t>e</w:t>
      </w:r>
      <w:r>
        <w:rPr>
          <w:rFonts w:ascii="Arial" w:cs="Arial" w:eastAsia="Arial" w:hAnsi="Arial"/>
          <w:sz w:val="19"/>
          <w:szCs w:val="19"/>
          <w:color w:val="auto"/>
        </w:rPr>
        <w:t xml:space="preserve"> </w:t>
      </w:r>
      <w:r>
        <w:rPr>
          <w:rFonts w:ascii="Arial" w:cs="Arial" w:eastAsia="Arial" w:hAnsi="Arial"/>
          <w:sz w:val="19"/>
          <w:szCs w:val="19"/>
          <w:color w:val="0F0F0F"/>
        </w:rPr>
        <w:t>nec</w:t>
      </w:r>
      <w:r>
        <w:rPr>
          <w:rFonts w:ascii="Arial" w:cs="Arial" w:eastAsia="Arial" w:hAnsi="Arial"/>
          <w:sz w:val="19"/>
          <w:szCs w:val="19"/>
          <w:color w:val="3A3A3A"/>
        </w:rPr>
        <w:t>essary to</w:t>
      </w:r>
      <w:r>
        <w:rPr>
          <w:rFonts w:ascii="Arial" w:cs="Arial" w:eastAsia="Arial" w:hAnsi="Arial"/>
          <w:sz w:val="19"/>
          <w:szCs w:val="19"/>
          <w:color w:val="0F0F0F"/>
        </w:rPr>
        <w:t xml:space="preserve"> </w:t>
      </w:r>
      <w:r>
        <w:rPr>
          <w:rFonts w:ascii="Arial" w:cs="Arial" w:eastAsia="Arial" w:hAnsi="Arial"/>
          <w:sz w:val="19"/>
          <w:szCs w:val="19"/>
          <w:color w:val="000000"/>
        </w:rPr>
        <w:t>effect a cure; provided that Landlord shall furnish to</w:t>
      </w:r>
      <w:r>
        <w:rPr>
          <w:rFonts w:ascii="Arial" w:cs="Arial" w:eastAsia="Arial" w:hAnsi="Arial"/>
          <w:sz w:val="19"/>
          <w:szCs w:val="19"/>
          <w:color w:val="0F0F0F"/>
        </w:rPr>
        <w:t xml:space="preserve"> </w:t>
      </w:r>
      <w:r>
        <w:rPr>
          <w:rFonts w:ascii="Arial" w:cs="Arial" w:eastAsia="Arial" w:hAnsi="Arial"/>
          <w:sz w:val="19"/>
          <w:szCs w:val="19"/>
          <w:color w:val="3A3A3A"/>
        </w:rPr>
        <w:t>Te</w:t>
      </w:r>
      <w:r>
        <w:rPr>
          <w:rFonts w:ascii="Arial" w:cs="Arial" w:eastAsia="Arial" w:hAnsi="Arial"/>
          <w:sz w:val="19"/>
          <w:szCs w:val="19"/>
          <w:color w:val="0F0F0F"/>
        </w:rPr>
        <w:t xml:space="preserve">nant in </w:t>
      </w:r>
      <w:r>
        <w:rPr>
          <w:rFonts w:ascii="Arial" w:cs="Arial" w:eastAsia="Arial" w:hAnsi="Arial"/>
          <w:sz w:val="19"/>
          <w:szCs w:val="19"/>
          <w:color w:val="000000"/>
        </w:rPr>
        <w:t>writing, upon written</w:t>
      </w:r>
      <w:r>
        <w:rPr>
          <w:rFonts w:ascii="Arial" w:cs="Arial" w:eastAsia="Arial" w:hAnsi="Arial"/>
          <w:sz w:val="19"/>
          <w:szCs w:val="19"/>
          <w:color w:val="0F0F0F"/>
        </w:rPr>
        <w:t xml:space="preserve"> </w:t>
      </w:r>
      <w:r>
        <w:rPr>
          <w:rFonts w:ascii="Arial" w:cs="Arial" w:eastAsia="Arial" w:hAnsi="Arial"/>
          <w:sz w:val="19"/>
          <w:szCs w:val="19"/>
          <w:color w:val="3A3A3A"/>
        </w:rPr>
        <w:t>reques</w:t>
      </w:r>
      <w:r>
        <w:rPr>
          <w:rFonts w:ascii="Arial" w:cs="Arial" w:eastAsia="Arial" w:hAnsi="Arial"/>
          <w:sz w:val="19"/>
          <w:szCs w:val="19"/>
          <w:color w:val="0F0F0F"/>
        </w:rPr>
        <w:t>t by T</w:t>
      </w:r>
      <w:r>
        <w:rPr>
          <w:rFonts w:ascii="Arial" w:cs="Arial" w:eastAsia="Arial" w:hAnsi="Arial"/>
          <w:sz w:val="19"/>
          <w:szCs w:val="19"/>
          <w:color w:val="3A3A3A"/>
        </w:rPr>
        <w:t>e</w:t>
      </w:r>
      <w:r>
        <w:rPr>
          <w:rFonts w:ascii="Arial" w:cs="Arial" w:eastAsia="Arial" w:hAnsi="Arial"/>
          <w:sz w:val="19"/>
          <w:szCs w:val="19"/>
          <w:color w:val="0F0F0F"/>
        </w:rPr>
        <w:t>nan</w:t>
      </w:r>
      <w:r>
        <w:rPr>
          <w:rFonts w:ascii="Arial" w:cs="Arial" w:eastAsia="Arial" w:hAnsi="Arial"/>
          <w:sz w:val="19"/>
          <w:szCs w:val="19"/>
          <w:color w:val="3A3A3A"/>
        </w:rPr>
        <w:t>t,</w:t>
      </w:r>
      <w:r>
        <w:rPr>
          <w:rFonts w:ascii="Arial" w:cs="Arial" w:eastAsia="Arial" w:hAnsi="Arial"/>
          <w:sz w:val="19"/>
          <w:szCs w:val="19"/>
          <w:color w:val="0F0F0F"/>
        </w:rPr>
        <w:t xml:space="preserve"> </w:t>
      </w:r>
      <w:r>
        <w:rPr>
          <w:rFonts w:ascii="Arial" w:cs="Arial" w:eastAsia="Arial" w:hAnsi="Arial"/>
          <w:sz w:val="19"/>
          <w:szCs w:val="19"/>
          <w:color w:val="000000"/>
        </w:rPr>
        <w:t>the</w:t>
      </w:r>
      <w:r>
        <w:rPr>
          <w:rFonts w:ascii="Arial" w:cs="Arial" w:eastAsia="Arial" w:hAnsi="Arial"/>
          <w:sz w:val="19"/>
          <w:szCs w:val="19"/>
          <w:color w:val="0F0F0F"/>
        </w:rPr>
        <w:t xml:space="preserve"> names </w:t>
      </w:r>
      <w:r>
        <w:rPr>
          <w:rFonts w:ascii="Arial" w:cs="Arial" w:eastAsia="Arial" w:hAnsi="Arial"/>
          <w:sz w:val="19"/>
          <w:szCs w:val="19"/>
          <w:color w:val="000000"/>
        </w:rPr>
        <w:t>and addresses of all</w:t>
      </w:r>
      <w:r>
        <w:rPr>
          <w:rFonts w:ascii="Arial" w:cs="Arial" w:eastAsia="Arial" w:hAnsi="Arial"/>
          <w:sz w:val="19"/>
          <w:szCs w:val="19"/>
          <w:color w:val="0F0F0F"/>
        </w:rPr>
        <w:t xml:space="preserve"> </w:t>
      </w:r>
      <w:r>
        <w:rPr>
          <w:rFonts w:ascii="Arial" w:cs="Arial" w:eastAsia="Arial" w:hAnsi="Arial"/>
          <w:sz w:val="19"/>
          <w:szCs w:val="19"/>
          <w:color w:val="3A3A3A"/>
        </w:rPr>
        <w:t>such</w:t>
      </w:r>
      <w:r>
        <w:rPr>
          <w:rFonts w:ascii="Arial" w:cs="Arial" w:eastAsia="Arial" w:hAnsi="Arial"/>
          <w:sz w:val="19"/>
          <w:szCs w:val="19"/>
          <w:color w:val="0F0F0F"/>
        </w:rPr>
        <w:t xml:space="preserve"> </w:t>
      </w:r>
      <w:r>
        <w:rPr>
          <w:rFonts w:ascii="Arial" w:cs="Arial" w:eastAsia="Arial" w:hAnsi="Arial"/>
          <w:sz w:val="19"/>
          <w:szCs w:val="19"/>
          <w:color w:val="000000"/>
        </w:rPr>
        <w:t>persons who are to</w:t>
      </w:r>
      <w:r>
        <w:rPr>
          <w:rFonts w:ascii="Arial" w:cs="Arial" w:eastAsia="Arial" w:hAnsi="Arial"/>
          <w:sz w:val="19"/>
          <w:szCs w:val="19"/>
          <w:color w:val="0F0F0F"/>
        </w:rPr>
        <w:t xml:space="preserve"> receive </w:t>
      </w:r>
      <w:r>
        <w:rPr>
          <w:rFonts w:ascii="Arial" w:cs="Arial" w:eastAsia="Arial" w:hAnsi="Arial"/>
          <w:sz w:val="19"/>
          <w:szCs w:val="19"/>
          <w:color w:val="000000"/>
        </w:rPr>
        <w:t>such</w:t>
      </w:r>
      <w:r>
        <w:rPr>
          <w:rFonts w:ascii="Arial" w:cs="Arial" w:eastAsia="Arial" w:hAnsi="Arial"/>
          <w:sz w:val="19"/>
          <w:szCs w:val="19"/>
          <w:color w:val="0F0F0F"/>
        </w:rPr>
        <w:t xml:space="preserve"> notice</w:t>
      </w:r>
      <w:r>
        <w:rPr>
          <w:rFonts w:ascii="Arial" w:cs="Arial" w:eastAsia="Arial" w:hAnsi="Arial"/>
          <w:sz w:val="19"/>
          <w:szCs w:val="19"/>
          <w:color w:val="3A3A3A"/>
        </w:rPr>
        <w:t>s.</w:t>
      </w:r>
    </w:p>
    <w:p>
      <w:pPr>
        <w:spacing w:after="0" w:line="154" w:lineRule="exact"/>
        <w:rPr>
          <w:sz w:val="20"/>
          <w:szCs w:val="20"/>
          <w:color w:val="auto"/>
        </w:rPr>
      </w:pPr>
    </w:p>
    <w:p>
      <w:pPr>
        <w:jc w:val="both"/>
        <w:ind w:left="180" w:hanging="647"/>
        <w:spacing w:after="0"/>
        <w:rPr>
          <w:sz w:val="20"/>
          <w:szCs w:val="20"/>
          <w:color w:val="auto"/>
        </w:rPr>
      </w:pPr>
      <w:r>
        <w:rPr>
          <w:rFonts w:ascii="Arial" w:cs="Arial" w:eastAsia="Arial" w:hAnsi="Arial"/>
          <w:sz w:val="19"/>
          <w:szCs w:val="19"/>
          <w:color w:val="auto"/>
        </w:rPr>
        <w:t xml:space="preserve">31.14 So </w:t>
      </w:r>
      <w:r>
        <w:rPr>
          <w:rFonts w:ascii="Arial" w:cs="Arial" w:eastAsia="Arial" w:hAnsi="Arial"/>
          <w:sz w:val="19"/>
          <w:szCs w:val="19"/>
          <w:color w:val="0F0F0F"/>
        </w:rPr>
        <w:t>long</w:t>
      </w:r>
      <w:r>
        <w:rPr>
          <w:rFonts w:ascii="Arial" w:cs="Arial" w:eastAsia="Arial" w:hAnsi="Arial"/>
          <w:sz w:val="19"/>
          <w:szCs w:val="19"/>
          <w:color w:val="auto"/>
        </w:rPr>
        <w:t xml:space="preserve"> as </w:t>
      </w:r>
      <w:r>
        <w:rPr>
          <w:rFonts w:ascii="Arial" w:cs="Arial" w:eastAsia="Arial" w:hAnsi="Arial"/>
          <w:sz w:val="19"/>
          <w:szCs w:val="19"/>
          <w:color w:val="0F0F0F"/>
        </w:rPr>
        <w:t>Tenan</w:t>
      </w:r>
      <w:r>
        <w:rPr>
          <w:rFonts w:ascii="Arial" w:cs="Arial" w:eastAsia="Arial" w:hAnsi="Arial"/>
          <w:sz w:val="19"/>
          <w:szCs w:val="19"/>
          <w:color w:val="3A3A3A"/>
        </w:rPr>
        <w:t>t</w:t>
      </w:r>
      <w:r>
        <w:rPr>
          <w:rFonts w:ascii="Arial" w:cs="Arial" w:eastAsia="Arial" w:hAnsi="Arial"/>
          <w:sz w:val="19"/>
          <w:szCs w:val="19"/>
          <w:color w:val="auto"/>
        </w:rPr>
        <w:t xml:space="preserve"> </w:t>
      </w:r>
      <w:r>
        <w:rPr>
          <w:rFonts w:ascii="Arial" w:cs="Arial" w:eastAsia="Arial" w:hAnsi="Arial"/>
          <w:sz w:val="19"/>
          <w:szCs w:val="19"/>
          <w:color w:val="0F0F0F"/>
        </w:rPr>
        <w:t>lea</w:t>
      </w:r>
      <w:r>
        <w:rPr>
          <w:rFonts w:ascii="Arial" w:cs="Arial" w:eastAsia="Arial" w:hAnsi="Arial"/>
          <w:sz w:val="19"/>
          <w:szCs w:val="19"/>
          <w:color w:val="3A3A3A"/>
        </w:rPr>
        <w:t>ses t</w:t>
      </w:r>
      <w:r>
        <w:rPr>
          <w:rFonts w:ascii="Arial" w:cs="Arial" w:eastAsia="Arial" w:hAnsi="Arial"/>
          <w:sz w:val="19"/>
          <w:szCs w:val="19"/>
          <w:color w:val="0F0F0F"/>
        </w:rPr>
        <w:t>he</w:t>
      </w:r>
      <w:r>
        <w:rPr>
          <w:rFonts w:ascii="Arial" w:cs="Arial" w:eastAsia="Arial" w:hAnsi="Arial"/>
          <w:sz w:val="19"/>
          <w:szCs w:val="19"/>
          <w:color w:val="auto"/>
        </w:rPr>
        <w:t xml:space="preserve"> entire Building, </w:t>
      </w:r>
      <w:r>
        <w:rPr>
          <w:rFonts w:ascii="Arial" w:cs="Arial" w:eastAsia="Arial" w:hAnsi="Arial"/>
          <w:sz w:val="19"/>
          <w:szCs w:val="19"/>
          <w:color w:val="0F0F0F"/>
        </w:rPr>
        <w:t>Tenan</w:t>
      </w:r>
      <w:r>
        <w:rPr>
          <w:rFonts w:ascii="Arial" w:cs="Arial" w:eastAsia="Arial" w:hAnsi="Arial"/>
          <w:sz w:val="19"/>
          <w:szCs w:val="19"/>
          <w:color w:val="3A3A3A"/>
        </w:rPr>
        <w:t>t</w:t>
      </w:r>
      <w:r>
        <w:rPr>
          <w:rFonts w:ascii="Arial" w:cs="Arial" w:eastAsia="Arial" w:hAnsi="Arial"/>
          <w:sz w:val="19"/>
          <w:szCs w:val="19"/>
          <w:color w:val="auto"/>
        </w:rPr>
        <w:t xml:space="preserve"> shall </w:t>
      </w:r>
      <w:r>
        <w:rPr>
          <w:rFonts w:ascii="Arial" w:cs="Arial" w:eastAsia="Arial" w:hAnsi="Arial"/>
          <w:sz w:val="19"/>
          <w:szCs w:val="19"/>
          <w:color w:val="0F0F0F"/>
        </w:rPr>
        <w:t>have</w:t>
      </w:r>
      <w:r>
        <w:rPr>
          <w:rFonts w:ascii="Arial" w:cs="Arial" w:eastAsia="Arial" w:hAnsi="Arial"/>
          <w:sz w:val="19"/>
          <w:szCs w:val="19"/>
          <w:color w:val="auto"/>
        </w:rPr>
        <w:t xml:space="preserve"> </w:t>
      </w:r>
      <w:r>
        <w:rPr>
          <w:rFonts w:ascii="Arial" w:cs="Arial" w:eastAsia="Arial" w:hAnsi="Arial"/>
          <w:sz w:val="19"/>
          <w:szCs w:val="19"/>
          <w:color w:val="3A3A3A"/>
        </w:rPr>
        <w:t>the</w:t>
      </w:r>
      <w:r>
        <w:rPr>
          <w:rFonts w:ascii="Arial" w:cs="Arial" w:eastAsia="Arial" w:hAnsi="Arial"/>
          <w:sz w:val="19"/>
          <w:szCs w:val="19"/>
          <w:color w:val="auto"/>
        </w:rPr>
        <w:t xml:space="preserve"> following </w:t>
      </w:r>
      <w:r>
        <w:rPr>
          <w:rFonts w:ascii="Arial" w:cs="Arial" w:eastAsia="Arial" w:hAnsi="Arial"/>
          <w:sz w:val="19"/>
          <w:szCs w:val="19"/>
          <w:color w:val="0F0F0F"/>
        </w:rPr>
        <w:t>remedi</w:t>
      </w:r>
      <w:r>
        <w:rPr>
          <w:rFonts w:ascii="Arial" w:cs="Arial" w:eastAsia="Arial" w:hAnsi="Arial"/>
          <w:sz w:val="19"/>
          <w:szCs w:val="19"/>
          <w:color w:val="3A3A3A"/>
        </w:rPr>
        <w:t>es</w:t>
      </w:r>
      <w:r>
        <w:rPr>
          <w:rFonts w:ascii="Arial" w:cs="Arial" w:eastAsia="Arial" w:hAnsi="Arial"/>
          <w:sz w:val="19"/>
          <w:szCs w:val="19"/>
          <w:color w:val="auto"/>
        </w:rPr>
        <w:t xml:space="preserve">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31.14</w:t>
      </w:r>
      <w:r>
        <w:rPr>
          <w:rFonts w:ascii="Arial" w:cs="Arial" w:eastAsia="Arial" w:hAnsi="Arial"/>
          <w:sz w:val="19"/>
          <w:szCs w:val="19"/>
          <w:color w:val="auto"/>
        </w:rPr>
        <w:t xml:space="preserve">. </w:t>
      </w:r>
      <w:r>
        <w:rPr>
          <w:rFonts w:ascii="Arial" w:cs="Arial" w:eastAsia="Arial" w:hAnsi="Arial"/>
          <w:sz w:val="19"/>
          <w:szCs w:val="19"/>
          <w:color w:val="0F0F0F"/>
        </w:rPr>
        <w:t>If Landlord</w:t>
      </w:r>
      <w:r>
        <w:rPr>
          <w:rFonts w:ascii="Arial" w:cs="Arial" w:eastAsia="Arial" w:hAnsi="Arial"/>
          <w:sz w:val="19"/>
          <w:szCs w:val="19"/>
          <w:color w:val="auto"/>
        </w:rPr>
        <w:t xml:space="preserve"> fails to meet </w:t>
      </w:r>
      <w:r>
        <w:rPr>
          <w:rFonts w:ascii="Arial" w:cs="Arial" w:eastAsia="Arial" w:hAnsi="Arial"/>
          <w:sz w:val="19"/>
          <w:szCs w:val="19"/>
          <w:color w:val="0F0F0F"/>
        </w:rPr>
        <w:t>a</w:t>
      </w:r>
      <w:r>
        <w:rPr>
          <w:rFonts w:ascii="Arial" w:cs="Arial" w:eastAsia="Arial" w:hAnsi="Arial"/>
          <w:sz w:val="19"/>
          <w:szCs w:val="19"/>
          <w:color w:val="auto"/>
        </w:rPr>
        <w:t xml:space="preserve"> material obligation of </w:t>
      </w:r>
      <w:r>
        <w:rPr>
          <w:rFonts w:ascii="Arial" w:cs="Arial" w:eastAsia="Arial" w:hAnsi="Arial"/>
          <w:sz w:val="19"/>
          <w:szCs w:val="19"/>
          <w:color w:val="0F0F0F"/>
        </w:rPr>
        <w:t>Landlord under</w:t>
      </w:r>
      <w:r>
        <w:rPr>
          <w:rFonts w:ascii="Arial" w:cs="Arial" w:eastAsia="Arial" w:hAnsi="Arial"/>
          <w:sz w:val="19"/>
          <w:szCs w:val="19"/>
          <w:color w:val="auto"/>
        </w:rPr>
        <w:t xml:space="preserve"> this Lease, and (a) </w:t>
      </w:r>
      <w:r>
        <w:rPr>
          <w:rFonts w:ascii="Arial" w:cs="Arial" w:eastAsia="Arial" w:hAnsi="Arial"/>
          <w:sz w:val="19"/>
          <w:szCs w:val="19"/>
          <w:color w:val="3A3A3A"/>
        </w:rPr>
        <w:t>s</w:t>
      </w:r>
      <w:r>
        <w:rPr>
          <w:rFonts w:ascii="Arial" w:cs="Arial" w:eastAsia="Arial" w:hAnsi="Arial"/>
          <w:sz w:val="19"/>
          <w:szCs w:val="19"/>
          <w:color w:val="0F0F0F"/>
        </w:rPr>
        <w:t>uch</w:t>
      </w:r>
      <w:r>
        <w:rPr>
          <w:rFonts w:ascii="Arial" w:cs="Arial" w:eastAsia="Arial" w:hAnsi="Arial"/>
          <w:sz w:val="19"/>
          <w:szCs w:val="19"/>
          <w:color w:val="auto"/>
        </w:rPr>
        <w:t xml:space="preserve"> failure </w:t>
      </w:r>
      <w:r>
        <w:rPr>
          <w:rFonts w:ascii="Arial" w:cs="Arial" w:eastAsia="Arial" w:hAnsi="Arial"/>
          <w:sz w:val="19"/>
          <w:szCs w:val="19"/>
          <w:color w:val="0F0F0F"/>
        </w:rPr>
        <w:t>rela</w:t>
      </w:r>
      <w:r>
        <w:rPr>
          <w:rFonts w:ascii="Arial" w:cs="Arial" w:eastAsia="Arial" w:hAnsi="Arial"/>
          <w:sz w:val="19"/>
          <w:szCs w:val="19"/>
          <w:color w:val="3A3A3A"/>
        </w:rPr>
        <w:t>tes to</w:t>
      </w:r>
      <w:r>
        <w:rPr>
          <w:rFonts w:ascii="Arial" w:cs="Arial" w:eastAsia="Arial" w:hAnsi="Arial"/>
          <w:sz w:val="19"/>
          <w:szCs w:val="19"/>
          <w:color w:val="auto"/>
        </w:rPr>
        <w:t xml:space="preserve"> </w:t>
      </w:r>
      <w:r>
        <w:rPr>
          <w:rFonts w:ascii="Arial" w:cs="Arial" w:eastAsia="Arial" w:hAnsi="Arial"/>
          <w:sz w:val="19"/>
          <w:szCs w:val="19"/>
          <w:color w:val="0F0F0F"/>
        </w:rPr>
        <w:t xml:space="preserve">the </w:t>
      </w:r>
      <w:r>
        <w:rPr>
          <w:rFonts w:ascii="Arial" w:cs="Arial" w:eastAsia="Arial" w:hAnsi="Arial"/>
          <w:sz w:val="19"/>
          <w:szCs w:val="19"/>
          <w:color w:val="000000"/>
        </w:rPr>
        <w:t>repair of the</w:t>
      </w:r>
      <w:r>
        <w:rPr>
          <w:rFonts w:ascii="Arial" w:cs="Arial" w:eastAsia="Arial" w:hAnsi="Arial"/>
          <w:sz w:val="19"/>
          <w:szCs w:val="19"/>
          <w:color w:val="0F0F0F"/>
        </w:rPr>
        <w:t xml:space="preserve"> Bu</w:t>
      </w:r>
      <w:r>
        <w:rPr>
          <w:rFonts w:ascii="Arial" w:cs="Arial" w:eastAsia="Arial" w:hAnsi="Arial"/>
          <w:sz w:val="19"/>
          <w:szCs w:val="19"/>
          <w:color w:val="3A3A3A"/>
        </w:rPr>
        <w:t>i</w:t>
      </w:r>
      <w:r>
        <w:rPr>
          <w:rFonts w:ascii="Arial" w:cs="Arial" w:eastAsia="Arial" w:hAnsi="Arial"/>
          <w:sz w:val="19"/>
          <w:szCs w:val="19"/>
          <w:color w:val="0F0F0F"/>
        </w:rPr>
        <w:t xml:space="preserve">lding </w:t>
      </w:r>
      <w:r>
        <w:rPr>
          <w:rFonts w:ascii="Arial" w:cs="Arial" w:eastAsia="Arial" w:hAnsi="Arial"/>
          <w:sz w:val="19"/>
          <w:szCs w:val="19"/>
          <w:color w:val="000000"/>
        </w:rPr>
        <w:t>or causes Tenant to be unable to use</w:t>
      </w:r>
      <w:r>
        <w:rPr>
          <w:rFonts w:ascii="Arial" w:cs="Arial" w:eastAsia="Arial" w:hAnsi="Arial"/>
          <w:sz w:val="19"/>
          <w:szCs w:val="19"/>
          <w:color w:val="0F0F0F"/>
        </w:rPr>
        <w:t xml:space="preserve"> the Pr</w:t>
      </w:r>
      <w:r>
        <w:rPr>
          <w:rFonts w:ascii="Arial" w:cs="Arial" w:eastAsia="Arial" w:hAnsi="Arial"/>
          <w:sz w:val="19"/>
          <w:szCs w:val="19"/>
          <w:color w:val="3A3A3A"/>
        </w:rPr>
        <w:t>emises</w:t>
      </w:r>
      <w:r>
        <w:rPr>
          <w:rFonts w:ascii="Arial" w:cs="Arial" w:eastAsia="Arial" w:hAnsi="Arial"/>
          <w:sz w:val="19"/>
          <w:szCs w:val="19"/>
          <w:color w:val="0F0F0F"/>
        </w:rPr>
        <w:t xml:space="preserve"> </w:t>
      </w:r>
      <w:r>
        <w:rPr>
          <w:rFonts w:ascii="Arial" w:cs="Arial" w:eastAsia="Arial" w:hAnsi="Arial"/>
          <w:sz w:val="19"/>
          <w:szCs w:val="19"/>
          <w:color w:val="000000"/>
        </w:rPr>
        <w:t>or a substantial</w:t>
      </w:r>
      <w:r>
        <w:rPr>
          <w:rFonts w:ascii="Arial" w:cs="Arial" w:eastAsia="Arial" w:hAnsi="Arial"/>
          <w:sz w:val="19"/>
          <w:szCs w:val="19"/>
          <w:color w:val="0F0F0F"/>
        </w:rPr>
        <w:t xml:space="preserve"> part </w:t>
      </w:r>
      <w:r>
        <w:rPr>
          <w:rFonts w:ascii="Arial" w:cs="Arial" w:eastAsia="Arial" w:hAnsi="Arial"/>
          <w:sz w:val="19"/>
          <w:szCs w:val="19"/>
          <w:color w:val="000000"/>
        </w:rPr>
        <w:t>thereof, and</w:t>
      </w:r>
      <w:r>
        <w:rPr>
          <w:rFonts w:ascii="Arial" w:cs="Arial" w:eastAsia="Arial" w:hAnsi="Arial"/>
          <w:sz w:val="19"/>
          <w:szCs w:val="19"/>
          <w:color w:val="0F0F0F"/>
        </w:rPr>
        <w:t xml:space="preserve"> (b) </w:t>
      </w:r>
      <w:r>
        <w:rPr>
          <w:rFonts w:ascii="Arial" w:cs="Arial" w:eastAsia="Arial" w:hAnsi="Arial"/>
          <w:sz w:val="19"/>
          <w:szCs w:val="19"/>
          <w:color w:val="000000"/>
        </w:rPr>
        <w:t xml:space="preserve">Landlord fails to commence a cure 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after </w:t>
      </w:r>
      <w:r>
        <w:rPr>
          <w:rFonts w:ascii="Arial" w:cs="Arial" w:eastAsia="Arial" w:hAnsi="Arial"/>
          <w:sz w:val="19"/>
          <w:szCs w:val="19"/>
          <w:color w:val="0F0F0F"/>
        </w:rPr>
        <w:t>receipt</w:t>
      </w:r>
      <w:r>
        <w:rPr>
          <w:rFonts w:ascii="Arial" w:cs="Arial" w:eastAsia="Arial" w:hAnsi="Arial"/>
          <w:sz w:val="19"/>
          <w:szCs w:val="19"/>
          <w:color w:val="000000"/>
        </w:rPr>
        <w:t xml:space="preserve"> of </w:t>
      </w:r>
      <w:r>
        <w:rPr>
          <w:rFonts w:ascii="Arial" w:cs="Arial" w:eastAsia="Arial" w:hAnsi="Arial"/>
          <w:sz w:val="19"/>
          <w:szCs w:val="19"/>
          <w:color w:val="0F0F0F"/>
        </w:rPr>
        <w:t>the</w:t>
      </w:r>
      <w:r>
        <w:rPr>
          <w:rFonts w:ascii="Arial" w:cs="Arial" w:eastAsia="Arial" w:hAnsi="Arial"/>
          <w:sz w:val="19"/>
          <w:szCs w:val="19"/>
          <w:color w:val="000000"/>
        </w:rPr>
        <w:t xml:space="preserve"> </w:t>
      </w:r>
      <w:r>
        <w:rPr>
          <w:rFonts w:ascii="Arial" w:cs="Arial" w:eastAsia="Arial" w:hAnsi="Arial"/>
          <w:sz w:val="19"/>
          <w:szCs w:val="19"/>
          <w:color w:val="3A3A3A"/>
        </w:rPr>
        <w:t>secon</w:t>
      </w:r>
      <w:r>
        <w:rPr>
          <w:rFonts w:ascii="Arial" w:cs="Arial" w:eastAsia="Arial" w:hAnsi="Arial"/>
          <w:sz w:val="19"/>
          <w:szCs w:val="19"/>
          <w:color w:val="0F0F0F"/>
        </w:rPr>
        <w:t>d</w:t>
      </w:r>
      <w:r>
        <w:rPr>
          <w:rFonts w:ascii="Arial" w:cs="Arial" w:eastAsia="Arial" w:hAnsi="Arial"/>
          <w:sz w:val="19"/>
          <w:szCs w:val="19"/>
          <w:color w:val="000000"/>
        </w:rPr>
        <w:t xml:space="preserve"> written </w:t>
      </w:r>
      <w:r>
        <w:rPr>
          <w:rFonts w:ascii="Arial" w:cs="Arial" w:eastAsia="Arial" w:hAnsi="Arial"/>
          <w:sz w:val="19"/>
          <w:szCs w:val="19"/>
          <w:color w:val="0F0F0F"/>
        </w:rPr>
        <w:t>no</w:t>
      </w:r>
      <w:r>
        <w:rPr>
          <w:rFonts w:ascii="Arial" w:cs="Arial" w:eastAsia="Arial" w:hAnsi="Arial"/>
          <w:sz w:val="19"/>
          <w:szCs w:val="19"/>
          <w:color w:val="3A3A3A"/>
        </w:rPr>
        <w:t>t</w:t>
      </w:r>
      <w:r>
        <w:rPr>
          <w:rFonts w:ascii="Arial" w:cs="Arial" w:eastAsia="Arial" w:hAnsi="Arial"/>
          <w:sz w:val="19"/>
          <w:szCs w:val="19"/>
          <w:color w:val="0F0F0F"/>
        </w:rPr>
        <w:t>ice (such</w:t>
      </w:r>
      <w:r>
        <w:rPr>
          <w:rFonts w:ascii="Arial" w:cs="Arial" w:eastAsia="Arial" w:hAnsi="Arial"/>
          <w:sz w:val="19"/>
          <w:szCs w:val="19"/>
          <w:color w:val="000000"/>
        </w:rPr>
        <w:t xml:space="preserve"> second notice </w:t>
      </w:r>
      <w:r>
        <w:rPr>
          <w:rFonts w:ascii="Arial" w:cs="Arial" w:eastAsia="Arial" w:hAnsi="Arial"/>
          <w:sz w:val="19"/>
          <w:szCs w:val="19"/>
          <w:color w:val="0F0F0F"/>
        </w:rPr>
        <w:t xml:space="preserve">to be </w:t>
      </w:r>
      <w:r>
        <w:rPr>
          <w:rFonts w:ascii="Arial" w:cs="Arial" w:eastAsia="Arial" w:hAnsi="Arial"/>
          <w:sz w:val="19"/>
          <w:szCs w:val="19"/>
          <w:color w:val="000000"/>
        </w:rPr>
        <w:t>given at</w:t>
      </w:r>
      <w:r>
        <w:rPr>
          <w:rFonts w:ascii="Arial" w:cs="Arial" w:eastAsia="Arial" w:hAnsi="Arial"/>
          <w:sz w:val="19"/>
          <w:szCs w:val="19"/>
          <w:color w:val="0F0F0F"/>
        </w:rPr>
        <w:t xml:space="preserve"> least </w:t>
      </w:r>
      <w:r>
        <w:rPr>
          <w:rFonts w:ascii="Arial" w:cs="Arial" w:eastAsia="Arial" w:hAnsi="Arial"/>
          <w:sz w:val="19"/>
          <w:szCs w:val="19"/>
          <w:u w:val="single" w:color="auto"/>
          <w:color w:val="000000"/>
        </w:rPr>
        <w:t>[***]</w:t>
      </w:r>
      <w:r>
        <w:rPr>
          <w:rFonts w:ascii="Arial" w:cs="Arial" w:eastAsia="Arial" w:hAnsi="Arial"/>
          <w:sz w:val="19"/>
          <w:szCs w:val="19"/>
          <w:color w:val="0F0F0F"/>
        </w:rPr>
        <w:t xml:space="preserve"> day</w:t>
      </w:r>
      <w:r>
        <w:rPr>
          <w:rFonts w:ascii="Arial" w:cs="Arial" w:eastAsia="Arial" w:hAnsi="Arial"/>
          <w:sz w:val="19"/>
          <w:szCs w:val="19"/>
          <w:color w:val="3A3A3A"/>
        </w:rPr>
        <w:t>s</w:t>
      </w:r>
      <w:r>
        <w:rPr>
          <w:rFonts w:ascii="Arial" w:cs="Arial" w:eastAsia="Arial" w:hAnsi="Arial"/>
          <w:sz w:val="19"/>
          <w:szCs w:val="19"/>
          <w:color w:val="0F0F0F"/>
        </w:rPr>
        <w:t xml:space="preserve"> </w:t>
      </w:r>
      <w:r>
        <w:rPr>
          <w:rFonts w:ascii="Arial" w:cs="Arial" w:eastAsia="Arial" w:hAnsi="Arial"/>
          <w:sz w:val="19"/>
          <w:szCs w:val="19"/>
          <w:color w:val="000000"/>
        </w:rPr>
        <w:t>after receipt of Tenant’s first</w:t>
      </w:r>
      <w:r>
        <w:rPr>
          <w:rFonts w:ascii="Arial" w:cs="Arial" w:eastAsia="Arial" w:hAnsi="Arial"/>
          <w:sz w:val="19"/>
          <w:szCs w:val="19"/>
          <w:color w:val="0F0F0F"/>
        </w:rPr>
        <w:t xml:space="preserve"> notice </w:t>
      </w:r>
      <w:r>
        <w:rPr>
          <w:rFonts w:ascii="Arial" w:cs="Arial" w:eastAsia="Arial" w:hAnsi="Arial"/>
          <w:sz w:val="19"/>
          <w:szCs w:val="19"/>
          <w:color w:val="000000"/>
        </w:rPr>
        <w:t>of</w:t>
      </w:r>
      <w:r>
        <w:rPr>
          <w:rFonts w:ascii="Arial" w:cs="Arial" w:eastAsia="Arial" w:hAnsi="Arial"/>
          <w:sz w:val="19"/>
          <w:szCs w:val="19"/>
          <w:color w:val="0F0F0F"/>
        </w:rPr>
        <w:t xml:space="preserve"> </w:t>
      </w:r>
      <w:r>
        <w:rPr>
          <w:rFonts w:ascii="Arial" w:cs="Arial" w:eastAsia="Arial" w:hAnsi="Arial"/>
          <w:sz w:val="19"/>
          <w:szCs w:val="19"/>
          <w:color w:val="3A3A3A"/>
        </w:rPr>
        <w:t>such</w:t>
      </w:r>
      <w:r>
        <w:rPr>
          <w:rFonts w:ascii="Arial" w:cs="Arial" w:eastAsia="Arial" w:hAnsi="Arial"/>
          <w:sz w:val="19"/>
          <w:szCs w:val="19"/>
          <w:color w:val="0F0F0F"/>
        </w:rPr>
        <w:t xml:space="preserve"> failure), </w:t>
      </w:r>
      <w:r>
        <w:rPr>
          <w:rFonts w:ascii="Arial" w:cs="Arial" w:eastAsia="Arial" w:hAnsi="Arial"/>
          <w:sz w:val="19"/>
          <w:szCs w:val="19"/>
          <w:color w:val="000000"/>
        </w:rPr>
        <w:t>then Tenant shall have the right</w:t>
      </w:r>
      <w:r>
        <w:rPr>
          <w:rFonts w:ascii="Arial" w:cs="Arial" w:eastAsia="Arial" w:hAnsi="Arial"/>
          <w:sz w:val="19"/>
          <w:szCs w:val="19"/>
          <w:color w:val="0F0F0F"/>
        </w:rPr>
        <w:t xml:space="preserve"> </w:t>
      </w:r>
      <w:r>
        <w:rPr>
          <w:rFonts w:ascii="Arial" w:cs="Arial" w:eastAsia="Arial" w:hAnsi="Arial"/>
          <w:sz w:val="19"/>
          <w:szCs w:val="19"/>
          <w:color w:val="000000"/>
        </w:rPr>
        <w:t xml:space="preserve">to fulfill </w:t>
      </w:r>
      <w:r>
        <w:rPr>
          <w:rFonts w:ascii="Arial" w:cs="Arial" w:eastAsia="Arial" w:hAnsi="Arial"/>
          <w:sz w:val="19"/>
          <w:szCs w:val="19"/>
          <w:color w:val="3A3A3A"/>
        </w:rPr>
        <w:t>such</w:t>
      </w:r>
      <w:r>
        <w:rPr>
          <w:rFonts w:ascii="Arial" w:cs="Arial" w:eastAsia="Arial" w:hAnsi="Arial"/>
          <w:sz w:val="19"/>
          <w:szCs w:val="19"/>
          <w:color w:val="000000"/>
        </w:rPr>
        <w:t xml:space="preserve"> obligation on behalf of Landlord, the cost of </w:t>
      </w:r>
      <w:r>
        <w:rPr>
          <w:rFonts w:ascii="Arial" w:cs="Arial" w:eastAsia="Arial" w:hAnsi="Arial"/>
          <w:sz w:val="19"/>
          <w:szCs w:val="19"/>
          <w:color w:val="0F0F0F"/>
        </w:rPr>
        <w:t>which</w:t>
      </w:r>
      <w:r>
        <w:rPr>
          <w:rFonts w:ascii="Arial" w:cs="Arial" w:eastAsia="Arial" w:hAnsi="Arial"/>
          <w:sz w:val="19"/>
          <w:szCs w:val="19"/>
          <w:color w:val="000000"/>
        </w:rPr>
        <w:t xml:space="preserve"> </w:t>
      </w:r>
      <w:r>
        <w:rPr>
          <w:rFonts w:ascii="Arial" w:cs="Arial" w:eastAsia="Arial" w:hAnsi="Arial"/>
          <w:sz w:val="19"/>
          <w:szCs w:val="19"/>
          <w:color w:val="3A3A3A"/>
        </w:rPr>
        <w:t>sha</w:t>
      </w:r>
      <w:r>
        <w:rPr>
          <w:rFonts w:ascii="Arial" w:cs="Arial" w:eastAsia="Arial" w:hAnsi="Arial"/>
          <w:sz w:val="19"/>
          <w:szCs w:val="19"/>
          <w:color w:val="0F0F0F"/>
        </w:rPr>
        <w:t>ll</w:t>
      </w:r>
      <w:r>
        <w:rPr>
          <w:rFonts w:ascii="Arial" w:cs="Arial" w:eastAsia="Arial" w:hAnsi="Arial"/>
          <w:sz w:val="19"/>
          <w:szCs w:val="19"/>
          <w:color w:val="000000"/>
        </w:rPr>
        <w:t xml:space="preserve"> </w:t>
      </w:r>
      <w:r>
        <w:rPr>
          <w:rFonts w:ascii="Arial" w:cs="Arial" w:eastAsia="Arial" w:hAnsi="Arial"/>
          <w:sz w:val="19"/>
          <w:szCs w:val="19"/>
          <w:color w:val="3A3A3A"/>
        </w:rPr>
        <w:t>be</w:t>
      </w:r>
      <w:r>
        <w:rPr>
          <w:rFonts w:ascii="Arial" w:cs="Arial" w:eastAsia="Arial" w:hAnsi="Arial"/>
          <w:sz w:val="19"/>
          <w:szCs w:val="19"/>
          <w:color w:val="000000"/>
        </w:rPr>
        <w:t xml:space="preserve"> paid </w:t>
      </w:r>
      <w:r>
        <w:rPr>
          <w:rFonts w:ascii="Arial" w:cs="Arial" w:eastAsia="Arial" w:hAnsi="Arial"/>
          <w:sz w:val="19"/>
          <w:szCs w:val="19"/>
          <w:color w:val="0F0F0F"/>
        </w:rPr>
        <w:t>by</w:t>
      </w:r>
      <w:r>
        <w:rPr>
          <w:rFonts w:ascii="Arial" w:cs="Arial" w:eastAsia="Arial" w:hAnsi="Arial"/>
          <w:sz w:val="19"/>
          <w:szCs w:val="19"/>
          <w:color w:val="000000"/>
        </w:rPr>
        <w:t xml:space="preserve"> Landlord </w:t>
      </w:r>
      <w:r>
        <w:rPr>
          <w:rFonts w:ascii="Arial" w:cs="Arial" w:eastAsia="Arial" w:hAnsi="Arial"/>
          <w:sz w:val="19"/>
          <w:szCs w:val="19"/>
          <w:color w:val="0F0F0F"/>
        </w:rPr>
        <w:t>pro</w:t>
      </w:r>
      <w:r>
        <w:rPr>
          <w:rFonts w:ascii="Arial" w:cs="Arial" w:eastAsia="Arial" w:hAnsi="Arial"/>
          <w:sz w:val="19"/>
          <w:szCs w:val="19"/>
          <w:color w:val="3A3A3A"/>
        </w:rPr>
        <w:t>mptly</w:t>
      </w:r>
      <w:r>
        <w:rPr>
          <w:rFonts w:ascii="Arial" w:cs="Arial" w:eastAsia="Arial" w:hAnsi="Arial"/>
          <w:sz w:val="19"/>
          <w:szCs w:val="19"/>
          <w:color w:val="000000"/>
        </w:rPr>
        <w:t xml:space="preserve"> following demand </w:t>
      </w:r>
      <w:r>
        <w:rPr>
          <w:rFonts w:ascii="Arial" w:cs="Arial" w:eastAsia="Arial" w:hAnsi="Arial"/>
          <w:sz w:val="19"/>
          <w:szCs w:val="19"/>
          <w:color w:val="0F0F0F"/>
        </w:rPr>
        <w:t>the</w:t>
      </w:r>
      <w:r>
        <w:rPr>
          <w:rFonts w:ascii="Arial" w:cs="Arial" w:eastAsia="Arial" w:hAnsi="Arial"/>
          <w:sz w:val="19"/>
          <w:szCs w:val="19"/>
          <w:color w:val="3A3A3A"/>
        </w:rPr>
        <w:t>re</w:t>
      </w:r>
      <w:r>
        <w:rPr>
          <w:rFonts w:ascii="Arial" w:cs="Arial" w:eastAsia="Arial" w:hAnsi="Arial"/>
          <w:sz w:val="19"/>
          <w:szCs w:val="19"/>
          <w:color w:val="0F0F0F"/>
        </w:rPr>
        <w:t>for</w:t>
      </w:r>
      <w:r>
        <w:rPr>
          <w:rFonts w:ascii="Arial" w:cs="Arial" w:eastAsia="Arial" w:hAnsi="Arial"/>
          <w:sz w:val="19"/>
          <w:szCs w:val="19"/>
          <w:color w:val="3A3A3A"/>
        </w:rPr>
        <w:t>;</w:t>
      </w:r>
      <w:r>
        <w:rPr>
          <w:rFonts w:ascii="Arial" w:cs="Arial" w:eastAsia="Arial" w:hAnsi="Arial"/>
          <w:sz w:val="19"/>
          <w:szCs w:val="19"/>
          <w:color w:val="000000"/>
        </w:rPr>
        <w:t xml:space="preserve"> </w:t>
      </w:r>
      <w:r>
        <w:rPr>
          <w:rFonts w:ascii="Arial" w:cs="Arial" w:eastAsia="Arial" w:hAnsi="Arial"/>
          <w:sz w:val="19"/>
          <w:szCs w:val="19"/>
          <w:u w:val="single" w:color="auto"/>
          <w:color w:val="0F0F0F"/>
        </w:rPr>
        <w:t>provided</w:t>
      </w:r>
      <w:r>
        <w:rPr>
          <w:rFonts w:ascii="Arial" w:cs="Arial" w:eastAsia="Arial" w:hAnsi="Arial"/>
          <w:sz w:val="19"/>
          <w:szCs w:val="19"/>
          <w:color w:val="3A3A3A"/>
        </w:rPr>
        <w: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w:t>
      </w:r>
      <w:r>
        <w:rPr>
          <w:rFonts w:ascii="Arial" w:cs="Arial" w:eastAsia="Arial" w:hAnsi="Arial"/>
          <w:sz w:val="19"/>
          <w:szCs w:val="19"/>
          <w:color w:val="0F0F0F"/>
        </w:rPr>
        <w:t>that</w:t>
      </w:r>
      <w:r>
        <w:rPr>
          <w:rFonts w:ascii="Arial" w:cs="Arial" w:eastAsia="Arial" w:hAnsi="Arial"/>
          <w:sz w:val="19"/>
          <w:szCs w:val="19"/>
          <w:color w:val="000000"/>
        </w:rPr>
        <w:t xml:space="preserve"> Landlord’s cure </w:t>
      </w:r>
      <w:r>
        <w:rPr>
          <w:rFonts w:ascii="Arial" w:cs="Arial" w:eastAsia="Arial" w:hAnsi="Arial"/>
          <w:sz w:val="19"/>
          <w:szCs w:val="19"/>
          <w:color w:val="0F0F0F"/>
        </w:rPr>
        <w:t>period</w:t>
      </w:r>
      <w:r>
        <w:rPr>
          <w:rFonts w:ascii="Arial" w:cs="Arial" w:eastAsia="Arial" w:hAnsi="Arial"/>
          <w:sz w:val="19"/>
          <w:szCs w:val="19"/>
          <w:color w:val="000000"/>
        </w:rPr>
        <w:t xml:space="preserve"> shall be extended where </w:t>
      </w:r>
      <w:r>
        <w:rPr>
          <w:rFonts w:ascii="Arial" w:cs="Arial" w:eastAsia="Arial" w:hAnsi="Arial"/>
          <w:sz w:val="19"/>
          <w:szCs w:val="19"/>
          <w:color w:val="0F0F0F"/>
        </w:rPr>
        <w:t>the</w:t>
      </w:r>
      <w:r>
        <w:rPr>
          <w:rFonts w:ascii="Arial" w:cs="Arial" w:eastAsia="Arial" w:hAnsi="Arial"/>
          <w:sz w:val="19"/>
          <w:szCs w:val="19"/>
          <w:color w:val="000000"/>
        </w:rPr>
        <w:t xml:space="preserve"> failure </w:t>
      </w:r>
      <w:r>
        <w:rPr>
          <w:rFonts w:ascii="Arial" w:cs="Arial" w:eastAsia="Arial" w:hAnsi="Arial"/>
          <w:sz w:val="19"/>
          <w:szCs w:val="19"/>
          <w:color w:val="0F0F0F"/>
        </w:rPr>
        <w:t>i</w:t>
      </w:r>
      <w:r>
        <w:rPr>
          <w:rFonts w:ascii="Arial" w:cs="Arial" w:eastAsia="Arial" w:hAnsi="Arial"/>
          <w:sz w:val="19"/>
          <w:szCs w:val="19"/>
          <w:color w:val="3A3A3A"/>
        </w:rPr>
        <w:t>s</w:t>
      </w:r>
      <w:r>
        <w:rPr>
          <w:rFonts w:ascii="Arial" w:cs="Arial" w:eastAsia="Arial" w:hAnsi="Arial"/>
          <w:sz w:val="19"/>
          <w:szCs w:val="19"/>
          <w:color w:val="000000"/>
        </w:rPr>
        <w:t xml:space="preserve"> not </w:t>
      </w:r>
      <w:r>
        <w:rPr>
          <w:rFonts w:ascii="Arial" w:cs="Arial" w:eastAsia="Arial" w:hAnsi="Arial"/>
          <w:sz w:val="19"/>
          <w:szCs w:val="19"/>
          <w:color w:val="0F0F0F"/>
        </w:rPr>
        <w:t xml:space="preserve">reasonably curable </w:t>
      </w:r>
      <w:r>
        <w:rPr>
          <w:rFonts w:ascii="Arial" w:cs="Arial" w:eastAsia="Arial" w:hAnsi="Arial"/>
          <w:sz w:val="19"/>
          <w:szCs w:val="19"/>
          <w:color w:val="000000"/>
        </w:rPr>
        <w:t>within</w:t>
      </w:r>
      <w:r>
        <w:rPr>
          <w:rFonts w:ascii="Arial" w:cs="Arial" w:eastAsia="Arial" w:hAnsi="Arial"/>
          <w:sz w:val="19"/>
          <w:szCs w:val="19"/>
          <w:color w:val="0F0F0F"/>
        </w:rPr>
        <w:t xml:space="preserve"> </w:t>
      </w:r>
      <w:r>
        <w:rPr>
          <w:rFonts w:ascii="Arial" w:cs="Arial" w:eastAsia="Arial" w:hAnsi="Arial"/>
          <w:sz w:val="19"/>
          <w:szCs w:val="19"/>
          <w:u w:val="single" w:color="auto"/>
          <w:color w:val="000000"/>
        </w:rPr>
        <w:t>[***]</w:t>
      </w:r>
      <w:r>
        <w:rPr>
          <w:rFonts w:ascii="Arial" w:cs="Arial" w:eastAsia="Arial" w:hAnsi="Arial"/>
          <w:sz w:val="19"/>
          <w:szCs w:val="19"/>
          <w:color w:val="0F0F0F"/>
        </w:rPr>
        <w:t xml:space="preserve"> day</w:t>
      </w:r>
      <w:r>
        <w:rPr>
          <w:rFonts w:ascii="Arial" w:cs="Arial" w:eastAsia="Arial" w:hAnsi="Arial"/>
          <w:sz w:val="19"/>
          <w:szCs w:val="19"/>
          <w:color w:val="3A3A3A"/>
        </w:rPr>
        <w:t>s</w:t>
      </w:r>
      <w:r>
        <w:rPr>
          <w:rFonts w:ascii="Arial" w:cs="Arial" w:eastAsia="Arial" w:hAnsi="Arial"/>
          <w:sz w:val="19"/>
          <w:szCs w:val="19"/>
          <w:color w:val="0F0F0F"/>
        </w:rPr>
        <w:t xml:space="preserve"> </w:t>
      </w:r>
      <w:r>
        <w:rPr>
          <w:rFonts w:ascii="Arial" w:cs="Arial" w:eastAsia="Arial" w:hAnsi="Arial"/>
          <w:sz w:val="19"/>
          <w:szCs w:val="19"/>
          <w:color w:val="000000"/>
        </w:rPr>
        <w:t>after the</w:t>
      </w:r>
      <w:r>
        <w:rPr>
          <w:rFonts w:ascii="Arial" w:cs="Arial" w:eastAsia="Arial" w:hAnsi="Arial"/>
          <w:sz w:val="19"/>
          <w:szCs w:val="19"/>
          <w:color w:val="0F0F0F"/>
        </w:rPr>
        <w:t xml:space="preserve"> </w:t>
      </w:r>
      <w:r>
        <w:rPr>
          <w:rFonts w:ascii="Arial" w:cs="Arial" w:eastAsia="Arial" w:hAnsi="Arial"/>
          <w:sz w:val="19"/>
          <w:szCs w:val="19"/>
          <w:color w:val="3A3A3A"/>
        </w:rPr>
        <w:t>seco</w:t>
      </w:r>
      <w:r>
        <w:rPr>
          <w:rFonts w:ascii="Arial" w:cs="Arial" w:eastAsia="Arial" w:hAnsi="Arial"/>
          <w:sz w:val="19"/>
          <w:szCs w:val="19"/>
          <w:color w:val="0F0F0F"/>
        </w:rPr>
        <w:t xml:space="preserve">nd </w:t>
      </w:r>
      <w:r>
        <w:rPr>
          <w:rFonts w:ascii="Arial" w:cs="Arial" w:eastAsia="Arial" w:hAnsi="Arial"/>
          <w:sz w:val="19"/>
          <w:szCs w:val="19"/>
          <w:color w:val="000000"/>
        </w:rPr>
        <w:t>written</w:t>
      </w:r>
      <w:r>
        <w:rPr>
          <w:rFonts w:ascii="Arial" w:cs="Arial" w:eastAsia="Arial" w:hAnsi="Arial"/>
          <w:sz w:val="19"/>
          <w:szCs w:val="19"/>
          <w:color w:val="0F0F0F"/>
        </w:rPr>
        <w:t xml:space="preserve"> notice </w:t>
      </w:r>
      <w:r>
        <w:rPr>
          <w:rFonts w:ascii="Arial" w:cs="Arial" w:eastAsia="Arial" w:hAnsi="Arial"/>
          <w:sz w:val="19"/>
          <w:szCs w:val="19"/>
          <w:color w:val="000000"/>
        </w:rPr>
        <w:t>and Landlord uses good faith efforts and</w:t>
      </w:r>
      <w:r>
        <w:rPr>
          <w:rFonts w:ascii="Arial" w:cs="Arial" w:eastAsia="Arial" w:hAnsi="Arial"/>
          <w:sz w:val="19"/>
          <w:szCs w:val="19"/>
          <w:color w:val="0F0F0F"/>
        </w:rPr>
        <w:t xml:space="preserve"> </w:t>
      </w:r>
      <w:r>
        <w:rPr>
          <w:rFonts w:ascii="Arial" w:cs="Arial" w:eastAsia="Arial" w:hAnsi="Arial"/>
          <w:sz w:val="19"/>
          <w:szCs w:val="19"/>
          <w:color w:val="000000"/>
        </w:rPr>
        <w:t xml:space="preserve">works diligently and </w:t>
      </w:r>
      <w:r>
        <w:rPr>
          <w:rFonts w:ascii="Arial" w:cs="Arial" w:eastAsia="Arial" w:hAnsi="Arial"/>
          <w:sz w:val="19"/>
          <w:szCs w:val="19"/>
          <w:color w:val="0F0F0F"/>
        </w:rPr>
        <w:t>continuou</w:t>
      </w:r>
      <w:r>
        <w:rPr>
          <w:rFonts w:ascii="Arial" w:cs="Arial" w:eastAsia="Arial" w:hAnsi="Arial"/>
          <w:sz w:val="19"/>
          <w:szCs w:val="19"/>
          <w:color w:val="3A3A3A"/>
        </w:rPr>
        <w:t>s</w:t>
      </w:r>
      <w:r>
        <w:rPr>
          <w:rFonts w:ascii="Arial" w:cs="Arial" w:eastAsia="Arial" w:hAnsi="Arial"/>
          <w:sz w:val="19"/>
          <w:szCs w:val="19"/>
          <w:color w:val="0F0F0F"/>
        </w:rPr>
        <w:t>ly to</w:t>
      </w:r>
      <w:r>
        <w:rPr>
          <w:rFonts w:ascii="Arial" w:cs="Arial" w:eastAsia="Arial" w:hAnsi="Arial"/>
          <w:sz w:val="19"/>
          <w:szCs w:val="19"/>
          <w:color w:val="000000"/>
        </w:rPr>
        <w:t xml:space="preserve"> fulfill its obligations. Notwithstanding anything </w:t>
      </w:r>
      <w:r>
        <w:rPr>
          <w:rFonts w:ascii="Arial" w:cs="Arial" w:eastAsia="Arial" w:hAnsi="Arial"/>
          <w:sz w:val="19"/>
          <w:szCs w:val="19"/>
          <w:color w:val="0F0F0F"/>
        </w:rPr>
        <w:t>to the</w:t>
      </w:r>
      <w:r>
        <w:rPr>
          <w:rFonts w:ascii="Arial" w:cs="Arial" w:eastAsia="Arial" w:hAnsi="Arial"/>
          <w:sz w:val="19"/>
          <w:szCs w:val="19"/>
          <w:color w:val="000000"/>
        </w:rPr>
        <w:t xml:space="preserve"> contrary </w:t>
      </w:r>
      <w:r>
        <w:rPr>
          <w:rFonts w:ascii="Arial" w:cs="Arial" w:eastAsia="Arial" w:hAnsi="Arial"/>
          <w:sz w:val="19"/>
          <w:szCs w:val="19"/>
          <w:color w:val="0F0F0F"/>
        </w:rPr>
        <w:t>in the</w:t>
      </w:r>
      <w:r>
        <w:rPr>
          <w:rFonts w:ascii="Arial" w:cs="Arial" w:eastAsia="Arial" w:hAnsi="Arial"/>
          <w:sz w:val="19"/>
          <w:szCs w:val="19"/>
          <w:color w:val="000000"/>
        </w:rPr>
        <w:t xml:space="preserve"> previous sentence, </w:t>
      </w:r>
      <w:r>
        <w:rPr>
          <w:rFonts w:ascii="Arial" w:cs="Arial" w:eastAsia="Arial" w:hAnsi="Arial"/>
          <w:sz w:val="19"/>
          <w:szCs w:val="19"/>
          <w:color w:val="0F0F0F"/>
        </w:rPr>
        <w:t>in</w:t>
      </w:r>
      <w:r>
        <w:rPr>
          <w:rFonts w:ascii="Arial" w:cs="Arial" w:eastAsia="Arial" w:hAnsi="Arial"/>
          <w:sz w:val="19"/>
          <w:szCs w:val="19"/>
          <w:color w:val="000000"/>
        </w:rPr>
        <w:t xml:space="preserve"> an emergency, Tenant </w:t>
      </w:r>
      <w:r>
        <w:rPr>
          <w:rFonts w:ascii="Arial" w:cs="Arial" w:eastAsia="Arial" w:hAnsi="Arial"/>
          <w:sz w:val="19"/>
          <w:szCs w:val="19"/>
          <w:color w:val="3A3A3A"/>
        </w:rPr>
        <w:t>shall</w:t>
      </w:r>
      <w:r>
        <w:rPr>
          <w:rFonts w:ascii="Arial" w:cs="Arial" w:eastAsia="Arial" w:hAnsi="Arial"/>
          <w:sz w:val="19"/>
          <w:szCs w:val="19"/>
          <w:color w:val="000000"/>
        </w:rPr>
        <w:t xml:space="preserve"> have the </w:t>
      </w:r>
      <w:r>
        <w:rPr>
          <w:rFonts w:ascii="Arial" w:cs="Arial" w:eastAsia="Arial" w:hAnsi="Arial"/>
          <w:sz w:val="19"/>
          <w:szCs w:val="19"/>
          <w:color w:val="0F0F0F"/>
        </w:rPr>
        <w:t>right</w:t>
      </w:r>
      <w:r>
        <w:rPr>
          <w:rFonts w:ascii="Arial" w:cs="Arial" w:eastAsia="Arial" w:hAnsi="Arial"/>
          <w:sz w:val="19"/>
          <w:szCs w:val="19"/>
          <w:color w:val="000000"/>
        </w:rPr>
        <w:t xml:space="preserve"> to fulfill Landlord’s obligation on </w:t>
      </w:r>
      <w:r>
        <w:rPr>
          <w:rFonts w:ascii="Arial" w:cs="Arial" w:eastAsia="Arial" w:hAnsi="Arial"/>
          <w:sz w:val="19"/>
          <w:szCs w:val="19"/>
          <w:color w:val="0F0F0F"/>
        </w:rPr>
        <w:t>be</w:t>
      </w:r>
      <w:r>
        <w:rPr>
          <w:rFonts w:ascii="Arial" w:cs="Arial" w:eastAsia="Arial" w:hAnsi="Arial"/>
          <w:sz w:val="19"/>
          <w:szCs w:val="19"/>
          <w:color w:val="3A3A3A"/>
        </w:rPr>
        <w:t>half</w:t>
      </w:r>
      <w:r>
        <w:rPr>
          <w:rFonts w:ascii="Arial" w:cs="Arial" w:eastAsia="Arial" w:hAnsi="Arial"/>
          <w:sz w:val="19"/>
          <w:szCs w:val="19"/>
          <w:color w:val="000000"/>
        </w:rPr>
        <w:t xml:space="preserve"> of Landlord, after </w:t>
      </w:r>
      <w:r>
        <w:rPr>
          <w:rFonts w:ascii="Arial" w:cs="Arial" w:eastAsia="Arial" w:hAnsi="Arial"/>
          <w:sz w:val="19"/>
          <w:szCs w:val="19"/>
          <w:color w:val="0F0F0F"/>
        </w:rPr>
        <w:t>reasonable</w:t>
      </w:r>
      <w:r>
        <w:rPr>
          <w:rFonts w:ascii="Arial" w:cs="Arial" w:eastAsia="Arial" w:hAnsi="Arial"/>
          <w:sz w:val="19"/>
          <w:szCs w:val="19"/>
          <w:color w:val="000000"/>
        </w:rPr>
        <w:t xml:space="preserve"> (in </w:t>
      </w:r>
      <w:r>
        <w:rPr>
          <w:rFonts w:ascii="Arial" w:cs="Arial" w:eastAsia="Arial" w:hAnsi="Arial"/>
          <w:sz w:val="19"/>
          <w:szCs w:val="19"/>
          <w:color w:val="0F0F0F"/>
        </w:rPr>
        <w:t>the</w:t>
      </w:r>
      <w:r>
        <w:rPr>
          <w:rFonts w:ascii="Arial" w:cs="Arial" w:eastAsia="Arial" w:hAnsi="Arial"/>
          <w:sz w:val="19"/>
          <w:szCs w:val="19"/>
          <w:color w:val="000000"/>
        </w:rPr>
        <w:t xml:space="preserve"> circumstances) oral notice to Landlord, </w:t>
      </w:r>
      <w:r>
        <w:rPr>
          <w:rFonts w:ascii="Arial" w:cs="Arial" w:eastAsia="Arial" w:hAnsi="Arial"/>
          <w:sz w:val="19"/>
          <w:szCs w:val="19"/>
          <w:color w:val="3A3A3A"/>
        </w:rPr>
        <w:t>a</w:t>
      </w:r>
      <w:r>
        <w:rPr>
          <w:rFonts w:ascii="Arial" w:cs="Arial" w:eastAsia="Arial" w:hAnsi="Arial"/>
          <w:sz w:val="19"/>
          <w:szCs w:val="19"/>
          <w:color w:val="0F0F0F"/>
        </w:rPr>
        <w:t>t</w:t>
      </w:r>
      <w:r>
        <w:rPr>
          <w:rFonts w:ascii="Arial" w:cs="Arial" w:eastAsia="Arial" w:hAnsi="Arial"/>
          <w:sz w:val="19"/>
          <w:szCs w:val="19"/>
          <w:color w:val="000000"/>
        </w:rPr>
        <w:t xml:space="preserve"> Landlord’s cost </w:t>
      </w:r>
      <w:r>
        <w:rPr>
          <w:rFonts w:ascii="Arial" w:cs="Arial" w:eastAsia="Arial" w:hAnsi="Arial"/>
          <w:sz w:val="19"/>
          <w:szCs w:val="19"/>
          <w:color w:val="0F0F0F"/>
        </w:rPr>
        <w:t>including interest</w:t>
      </w:r>
      <w:r>
        <w:rPr>
          <w:rFonts w:ascii="Arial" w:cs="Arial" w:eastAsia="Arial" w:hAnsi="Arial"/>
          <w:sz w:val="19"/>
          <w:szCs w:val="19"/>
          <w:color w:val="000000"/>
        </w:rPr>
        <w:t xml:space="preserve"> </w:t>
      </w:r>
      <w:r>
        <w:rPr>
          <w:rFonts w:ascii="Arial" w:cs="Arial" w:eastAsia="Arial" w:hAnsi="Arial"/>
          <w:sz w:val="19"/>
          <w:szCs w:val="19"/>
          <w:color w:val="0F0F0F"/>
        </w:rPr>
        <w:t>thereo</w:t>
      </w:r>
      <w:r>
        <w:rPr>
          <w:rFonts w:ascii="Arial" w:cs="Arial" w:eastAsia="Arial" w:hAnsi="Arial"/>
          <w:sz w:val="19"/>
          <w:szCs w:val="19"/>
          <w:color w:val="3A3A3A"/>
        </w:rPr>
        <w:t>n</w:t>
      </w:r>
      <w:r>
        <w:rPr>
          <w:rFonts w:ascii="Arial" w:cs="Arial" w:eastAsia="Arial" w:hAnsi="Arial"/>
          <w:sz w:val="19"/>
          <w:szCs w:val="19"/>
          <w:color w:val="0F0F0F"/>
        </w:rPr>
        <w:t xml:space="preserve"> </w:t>
      </w:r>
      <w:r>
        <w:rPr>
          <w:rFonts w:ascii="Arial" w:cs="Arial" w:eastAsia="Arial" w:hAnsi="Arial"/>
          <w:sz w:val="19"/>
          <w:szCs w:val="19"/>
          <w:color w:val="000000"/>
        </w:rPr>
        <w:t>at the</w:t>
      </w:r>
      <w:r>
        <w:rPr>
          <w:rFonts w:ascii="Arial" w:cs="Arial" w:eastAsia="Arial" w:hAnsi="Arial"/>
          <w:sz w:val="19"/>
          <w:szCs w:val="19"/>
          <w:color w:val="0F0F0F"/>
        </w:rPr>
        <w:t xml:space="preserve"> Default </w:t>
      </w:r>
      <w:r>
        <w:rPr>
          <w:rFonts w:ascii="Arial" w:cs="Arial" w:eastAsia="Arial" w:hAnsi="Arial"/>
          <w:sz w:val="19"/>
          <w:szCs w:val="19"/>
          <w:color w:val="000000"/>
        </w:rPr>
        <w:t>Rate</w:t>
      </w:r>
      <w:r>
        <w:rPr>
          <w:rFonts w:ascii="Arial" w:cs="Arial" w:eastAsia="Arial" w:hAnsi="Arial"/>
          <w:sz w:val="19"/>
          <w:szCs w:val="19"/>
          <w:color w:val="0F0F0F"/>
        </w:rPr>
        <w:t xml:space="preserve"> if </w:t>
      </w:r>
      <w:r>
        <w:rPr>
          <w:rFonts w:ascii="Arial" w:cs="Arial" w:eastAsia="Arial" w:hAnsi="Arial"/>
          <w:sz w:val="19"/>
          <w:szCs w:val="19"/>
          <w:color w:val="000000"/>
        </w:rPr>
        <w:t>not</w:t>
      </w:r>
      <w:r>
        <w:rPr>
          <w:rFonts w:ascii="Arial" w:cs="Arial" w:eastAsia="Arial" w:hAnsi="Arial"/>
          <w:sz w:val="19"/>
          <w:szCs w:val="19"/>
          <w:color w:val="0F0F0F"/>
        </w:rPr>
        <w:t xml:space="preserve"> reimbursed by Landlord </w:t>
      </w:r>
      <w:r>
        <w:rPr>
          <w:rFonts w:ascii="Arial" w:cs="Arial" w:eastAsia="Arial" w:hAnsi="Arial"/>
          <w:sz w:val="19"/>
          <w:szCs w:val="19"/>
          <w:color w:val="000000"/>
        </w:rPr>
        <w:t>within</w:t>
      </w:r>
      <w:r>
        <w:rPr>
          <w:rFonts w:ascii="Arial" w:cs="Arial" w:eastAsia="Arial" w:hAnsi="Arial"/>
          <w:sz w:val="19"/>
          <w:szCs w:val="19"/>
          <w:color w:val="0F0F0F"/>
        </w:rPr>
        <w:t xml:space="preserve"> </w:t>
      </w:r>
      <w:r>
        <w:rPr>
          <w:rFonts w:ascii="Arial" w:cs="Arial" w:eastAsia="Arial" w:hAnsi="Arial"/>
          <w:sz w:val="19"/>
          <w:szCs w:val="19"/>
          <w:u w:val="single" w:color="auto"/>
          <w:color w:val="000000"/>
        </w:rPr>
        <w:t>[***]</w:t>
      </w:r>
      <w:r>
        <w:rPr>
          <w:rFonts w:ascii="Arial" w:cs="Arial" w:eastAsia="Arial" w:hAnsi="Arial"/>
          <w:sz w:val="19"/>
          <w:szCs w:val="19"/>
          <w:color w:val="0F0F0F"/>
        </w:rPr>
        <w:t xml:space="preserve"> day</w:t>
      </w:r>
      <w:r>
        <w:rPr>
          <w:rFonts w:ascii="Arial" w:cs="Arial" w:eastAsia="Arial" w:hAnsi="Arial"/>
          <w:sz w:val="19"/>
          <w:szCs w:val="19"/>
          <w:color w:val="3A3A3A"/>
        </w:rPr>
        <w:t>s</w:t>
      </w:r>
      <w:r>
        <w:rPr>
          <w:rFonts w:ascii="Arial" w:cs="Arial" w:eastAsia="Arial" w:hAnsi="Arial"/>
          <w:sz w:val="19"/>
          <w:szCs w:val="19"/>
          <w:color w:val="0F0F0F"/>
        </w:rPr>
        <w:t xml:space="preserve"> </w:t>
      </w:r>
      <w:r>
        <w:rPr>
          <w:rFonts w:ascii="Arial" w:cs="Arial" w:eastAsia="Arial" w:hAnsi="Arial"/>
          <w:sz w:val="19"/>
          <w:szCs w:val="19"/>
          <w:color w:val="000000"/>
        </w:rPr>
        <w:t>after written</w:t>
      </w:r>
      <w:r>
        <w:rPr>
          <w:rFonts w:ascii="Arial" w:cs="Arial" w:eastAsia="Arial" w:hAnsi="Arial"/>
          <w:sz w:val="19"/>
          <w:szCs w:val="19"/>
          <w:color w:val="0F0F0F"/>
        </w:rPr>
        <w:t xml:space="preserve"> demand therefor </w:t>
      </w:r>
      <w:r>
        <w:rPr>
          <w:rFonts w:ascii="Arial" w:cs="Arial" w:eastAsia="Arial" w:hAnsi="Arial"/>
          <w:sz w:val="19"/>
          <w:szCs w:val="19"/>
          <w:color w:val="000000"/>
        </w:rPr>
        <w:t>by</w:t>
      </w:r>
      <w:r>
        <w:rPr>
          <w:rFonts w:ascii="Arial" w:cs="Arial" w:eastAsia="Arial" w:hAnsi="Arial"/>
          <w:sz w:val="19"/>
          <w:szCs w:val="19"/>
          <w:color w:val="0F0F0F"/>
        </w:rPr>
        <w:t xml:space="preserve"> Tenan</w:t>
      </w:r>
      <w:r>
        <w:rPr>
          <w:rFonts w:ascii="Arial" w:cs="Arial" w:eastAsia="Arial" w:hAnsi="Arial"/>
          <w:sz w:val="19"/>
          <w:szCs w:val="19"/>
          <w:color w:val="3A3A3A"/>
        </w:rPr>
        <w:t>t.</w:t>
      </w:r>
      <w:r>
        <w:rPr>
          <w:rFonts w:ascii="Arial" w:cs="Arial" w:eastAsia="Arial" w:hAnsi="Arial"/>
          <w:sz w:val="19"/>
          <w:szCs w:val="19"/>
          <w:color w:val="0F0F0F"/>
        </w:rPr>
        <w:t xml:space="preserve"> </w:t>
      </w:r>
      <w:r>
        <w:rPr>
          <w:rFonts w:ascii="Arial" w:cs="Arial" w:eastAsia="Arial" w:hAnsi="Arial"/>
          <w:sz w:val="19"/>
          <w:szCs w:val="19"/>
          <w:color w:val="181818"/>
        </w:rPr>
        <w:t>In</w:t>
      </w:r>
      <w:r>
        <w:rPr>
          <w:rFonts w:ascii="Arial" w:cs="Arial" w:eastAsia="Arial" w:hAnsi="Arial"/>
          <w:sz w:val="19"/>
          <w:szCs w:val="19"/>
          <w:color w:val="0F0F0F"/>
        </w:rPr>
        <w:t xml:space="preserve"> </w:t>
      </w:r>
      <w:r>
        <w:rPr>
          <w:rFonts w:ascii="Arial" w:cs="Arial" w:eastAsia="Arial" w:hAnsi="Arial"/>
          <w:sz w:val="19"/>
          <w:szCs w:val="19"/>
          <w:color w:val="2B2B2B"/>
        </w:rPr>
        <w:t>the</w:t>
      </w:r>
      <w:r>
        <w:rPr>
          <w:rFonts w:ascii="Arial" w:cs="Arial" w:eastAsia="Arial" w:hAnsi="Arial"/>
          <w:sz w:val="19"/>
          <w:szCs w:val="19"/>
          <w:color w:val="0F0F0F"/>
        </w:rPr>
        <w:t xml:space="preserve"> </w:t>
      </w:r>
      <w:r>
        <w:rPr>
          <w:rFonts w:ascii="Arial" w:cs="Arial" w:eastAsia="Arial" w:hAnsi="Arial"/>
          <w:sz w:val="19"/>
          <w:szCs w:val="19"/>
          <w:color w:val="181818"/>
        </w:rPr>
        <w:t>event of</w:t>
      </w:r>
      <w:r>
        <w:rPr>
          <w:rFonts w:ascii="Arial" w:cs="Arial" w:eastAsia="Arial" w:hAnsi="Arial"/>
          <w:sz w:val="19"/>
          <w:szCs w:val="19"/>
          <w:color w:val="0F0F0F"/>
        </w:rPr>
        <w:t xml:space="preserve"> </w:t>
      </w:r>
      <w:r>
        <w:rPr>
          <w:rFonts w:ascii="Arial" w:cs="Arial" w:eastAsia="Arial" w:hAnsi="Arial"/>
          <w:sz w:val="19"/>
          <w:szCs w:val="19"/>
          <w:color w:val="2B2B2B"/>
        </w:rPr>
        <w:t>an emergency</w:t>
      </w:r>
      <w:r>
        <w:rPr>
          <w:rFonts w:ascii="Arial" w:cs="Arial" w:eastAsia="Arial" w:hAnsi="Arial"/>
          <w:sz w:val="19"/>
          <w:szCs w:val="19"/>
          <w:color w:val="0F0F0F"/>
        </w:rPr>
        <w:t xml:space="preserve"> </w:t>
      </w:r>
      <w:r>
        <w:rPr>
          <w:rFonts w:ascii="Arial" w:cs="Arial" w:eastAsia="Arial" w:hAnsi="Arial"/>
          <w:sz w:val="19"/>
          <w:szCs w:val="19"/>
          <w:color w:val="181818"/>
        </w:rPr>
        <w:t>requiring Tenant to exercise</w:t>
      </w:r>
      <w:r>
        <w:rPr>
          <w:rFonts w:ascii="Arial" w:cs="Arial" w:eastAsia="Arial" w:hAnsi="Arial"/>
          <w:sz w:val="19"/>
          <w:szCs w:val="19"/>
          <w:color w:val="0F0F0F"/>
        </w:rPr>
        <w:t xml:space="preserve"> </w:t>
      </w:r>
      <w:r>
        <w:rPr>
          <w:rFonts w:ascii="Arial" w:cs="Arial" w:eastAsia="Arial" w:hAnsi="Arial"/>
          <w:sz w:val="19"/>
          <w:szCs w:val="19"/>
          <w:color w:val="2B2B2B"/>
        </w:rPr>
        <w:t>its self-help after oral notice,</w:t>
      </w:r>
      <w:r>
        <w:rPr>
          <w:rFonts w:ascii="Arial" w:cs="Arial" w:eastAsia="Arial" w:hAnsi="Arial"/>
          <w:sz w:val="19"/>
          <w:szCs w:val="19"/>
          <w:color w:val="0F0F0F"/>
        </w:rPr>
        <w:t xml:space="preserve"> </w:t>
      </w:r>
      <w:r>
        <w:rPr>
          <w:rFonts w:ascii="Arial" w:cs="Arial" w:eastAsia="Arial" w:hAnsi="Arial"/>
          <w:sz w:val="19"/>
          <w:szCs w:val="19"/>
          <w:color w:val="181818"/>
        </w:rPr>
        <w:t>then</w:t>
      </w:r>
      <w:r>
        <w:rPr>
          <w:rFonts w:ascii="Arial" w:cs="Arial" w:eastAsia="Arial" w:hAnsi="Arial"/>
          <w:sz w:val="19"/>
          <w:szCs w:val="19"/>
          <w:color w:val="0F0F0F"/>
        </w:rPr>
        <w:t xml:space="preserve"> </w:t>
      </w:r>
      <w:r>
        <w:rPr>
          <w:rFonts w:ascii="Arial" w:cs="Arial" w:eastAsia="Arial" w:hAnsi="Arial"/>
          <w:sz w:val="19"/>
          <w:szCs w:val="19"/>
          <w:color w:val="2B2B2B"/>
        </w:rPr>
        <w:t>Tenant shall</w:t>
      </w:r>
      <w:r>
        <w:rPr>
          <w:rFonts w:ascii="Arial" w:cs="Arial" w:eastAsia="Arial" w:hAnsi="Arial"/>
          <w:sz w:val="19"/>
          <w:szCs w:val="19"/>
          <w:color w:val="0F0F0F"/>
        </w:rPr>
        <w:t xml:space="preserve"> </w:t>
      </w:r>
      <w:r>
        <w:rPr>
          <w:rFonts w:ascii="Arial" w:cs="Arial" w:eastAsia="Arial" w:hAnsi="Arial"/>
          <w:sz w:val="19"/>
          <w:szCs w:val="19"/>
          <w:color w:val="181818"/>
        </w:rPr>
        <w:t xml:space="preserve">provide </w:t>
      </w:r>
      <w:r>
        <w:rPr>
          <w:rFonts w:ascii="Arial" w:cs="Arial" w:eastAsia="Arial" w:hAnsi="Arial"/>
          <w:sz w:val="19"/>
          <w:szCs w:val="19"/>
          <w:color w:val="2B2B2B"/>
        </w:rPr>
        <w:t>Landlord with a</w:t>
      </w:r>
      <w:r>
        <w:rPr>
          <w:rFonts w:ascii="Arial" w:cs="Arial" w:eastAsia="Arial" w:hAnsi="Arial"/>
          <w:sz w:val="19"/>
          <w:szCs w:val="19"/>
          <w:color w:val="181818"/>
        </w:rPr>
        <w:t xml:space="preserve"> follow-up </w:t>
      </w:r>
      <w:r>
        <w:rPr>
          <w:rFonts w:ascii="Arial" w:cs="Arial" w:eastAsia="Arial" w:hAnsi="Arial"/>
          <w:sz w:val="19"/>
          <w:szCs w:val="19"/>
          <w:color w:val="2B2B2B"/>
        </w:rPr>
        <w:t>written notice within</w:t>
      </w:r>
      <w:r>
        <w:rPr>
          <w:rFonts w:ascii="Arial" w:cs="Arial" w:eastAsia="Arial" w:hAnsi="Arial"/>
          <w:sz w:val="19"/>
          <w:szCs w:val="19"/>
          <w:color w:val="181818"/>
        </w:rPr>
        <w:t xml:space="preserve"> </w:t>
      </w:r>
      <w:r>
        <w:rPr>
          <w:rFonts w:ascii="Arial" w:cs="Arial" w:eastAsia="Arial" w:hAnsi="Arial"/>
          <w:sz w:val="19"/>
          <w:szCs w:val="19"/>
          <w:u w:val="single" w:color="auto"/>
          <w:color w:val="000000"/>
        </w:rPr>
        <w:t>[***]</w:t>
      </w:r>
      <w:r>
        <w:rPr>
          <w:rFonts w:ascii="Arial" w:cs="Arial" w:eastAsia="Arial" w:hAnsi="Arial"/>
          <w:sz w:val="19"/>
          <w:szCs w:val="19"/>
          <w:color w:val="181818"/>
        </w:rPr>
        <w:t xml:space="preserve"> days after </w:t>
      </w:r>
      <w:r>
        <w:rPr>
          <w:rFonts w:ascii="Arial" w:cs="Arial" w:eastAsia="Arial" w:hAnsi="Arial"/>
          <w:sz w:val="19"/>
          <w:szCs w:val="19"/>
          <w:color w:val="2B2B2B"/>
        </w:rPr>
        <w:t>such</w:t>
      </w:r>
      <w:r>
        <w:rPr>
          <w:rFonts w:ascii="Arial" w:cs="Arial" w:eastAsia="Arial" w:hAnsi="Arial"/>
          <w:sz w:val="19"/>
          <w:szCs w:val="19"/>
          <w:color w:val="181818"/>
        </w:rPr>
        <w:t xml:space="preserve"> emergency. </w:t>
      </w:r>
      <w:r>
        <w:rPr>
          <w:rFonts w:ascii="Arial" w:cs="Arial" w:eastAsia="Arial" w:hAnsi="Arial"/>
          <w:sz w:val="19"/>
          <w:szCs w:val="19"/>
          <w:color w:val="2B2B2B"/>
        </w:rPr>
        <w:t>As used</w:t>
      </w:r>
      <w:r>
        <w:rPr>
          <w:rFonts w:ascii="Arial" w:cs="Arial" w:eastAsia="Arial" w:hAnsi="Arial"/>
          <w:sz w:val="19"/>
          <w:szCs w:val="19"/>
          <w:color w:val="181818"/>
        </w:rPr>
        <w:t xml:space="preserve"> in this </w:t>
      </w:r>
      <w:r>
        <w:rPr>
          <w:rFonts w:ascii="Arial" w:cs="Arial" w:eastAsia="Arial" w:hAnsi="Arial"/>
          <w:sz w:val="19"/>
          <w:szCs w:val="19"/>
          <w:u w:val="single" w:color="auto"/>
          <w:color w:val="2B2B2B"/>
        </w:rPr>
        <w:t>Section</w:t>
      </w:r>
      <w:r>
        <w:rPr>
          <w:rFonts w:ascii="Arial" w:cs="Arial" w:eastAsia="Arial" w:hAnsi="Arial"/>
          <w:sz w:val="19"/>
          <w:szCs w:val="19"/>
          <w:color w:val="181818"/>
        </w:rPr>
        <w:t xml:space="preserve"> </w:t>
      </w:r>
      <w:r>
        <w:rPr>
          <w:rFonts w:ascii="Arial" w:cs="Arial" w:eastAsia="Arial" w:hAnsi="Arial"/>
          <w:sz w:val="19"/>
          <w:szCs w:val="19"/>
          <w:u w:val="single" w:color="auto"/>
          <w:color w:val="2B2B2B"/>
        </w:rPr>
        <w:t>31.14</w:t>
      </w:r>
      <w:r>
        <w:rPr>
          <w:rFonts w:ascii="Arial" w:cs="Arial" w:eastAsia="Arial" w:hAnsi="Arial"/>
          <w:sz w:val="19"/>
          <w:szCs w:val="19"/>
          <w:color w:val="2B2B2B"/>
        </w:rPr>
        <w:t xml:space="preserve">, an “emergency” </w:t>
      </w:r>
      <w:r>
        <w:rPr>
          <w:rFonts w:ascii="Arial" w:cs="Arial" w:eastAsia="Arial" w:hAnsi="Arial"/>
          <w:sz w:val="19"/>
          <w:szCs w:val="19"/>
          <w:color w:val="181818"/>
        </w:rPr>
        <w:t>means an imminent threat</w:t>
      </w:r>
      <w:r>
        <w:rPr>
          <w:rFonts w:ascii="Arial" w:cs="Arial" w:eastAsia="Arial" w:hAnsi="Arial"/>
          <w:sz w:val="19"/>
          <w:szCs w:val="19"/>
          <w:color w:val="2B2B2B"/>
        </w:rPr>
        <w:t xml:space="preserve"> of injury to person, </w:t>
      </w:r>
      <w:r>
        <w:rPr>
          <w:rFonts w:ascii="Arial" w:cs="Arial" w:eastAsia="Arial" w:hAnsi="Arial"/>
          <w:sz w:val="19"/>
          <w:szCs w:val="19"/>
          <w:color w:val="181818"/>
        </w:rPr>
        <w:t>damage to property or</w:t>
      </w:r>
      <w:r>
        <w:rPr>
          <w:rFonts w:ascii="Arial" w:cs="Arial" w:eastAsia="Arial" w:hAnsi="Arial"/>
          <w:sz w:val="19"/>
          <w:szCs w:val="19"/>
          <w:color w:val="2B2B2B"/>
        </w:rPr>
        <w:t xml:space="preserve"> material </w:t>
      </w:r>
      <w:r>
        <w:rPr>
          <w:rFonts w:ascii="Arial" w:cs="Arial" w:eastAsia="Arial" w:hAnsi="Arial"/>
          <w:sz w:val="19"/>
          <w:szCs w:val="19"/>
          <w:color w:val="181818"/>
        </w:rPr>
        <w:t>interruption</w:t>
      </w:r>
      <w:r>
        <w:rPr>
          <w:rFonts w:ascii="Arial" w:cs="Arial" w:eastAsia="Arial" w:hAnsi="Arial"/>
          <w:sz w:val="19"/>
          <w:szCs w:val="19"/>
          <w:color w:val="2B2B2B"/>
        </w:rPr>
        <w:t xml:space="preserve"> </w:t>
      </w:r>
      <w:r>
        <w:rPr>
          <w:rFonts w:ascii="Arial" w:cs="Arial" w:eastAsia="Arial" w:hAnsi="Arial"/>
          <w:sz w:val="19"/>
          <w:szCs w:val="19"/>
          <w:color w:val="181818"/>
        </w:rPr>
        <w:t xml:space="preserve">of Tenant’s business </w:t>
      </w:r>
      <w:r>
        <w:rPr>
          <w:rFonts w:ascii="Arial" w:cs="Arial" w:eastAsia="Arial" w:hAnsi="Arial"/>
          <w:sz w:val="19"/>
          <w:szCs w:val="19"/>
          <w:color w:val="2B2B2B"/>
        </w:rPr>
        <w:t>operations.</w:t>
      </w:r>
      <w:r>
        <w:rPr>
          <w:rFonts w:ascii="Arial" w:cs="Arial" w:eastAsia="Arial" w:hAnsi="Arial"/>
          <w:sz w:val="19"/>
          <w:szCs w:val="19"/>
          <w:color w:val="181818"/>
        </w:rPr>
        <w:t xml:space="preserve"> In the event Tenant exercises </w:t>
      </w:r>
      <w:r>
        <w:rPr>
          <w:rFonts w:ascii="Arial" w:cs="Arial" w:eastAsia="Arial" w:hAnsi="Arial"/>
          <w:sz w:val="19"/>
          <w:szCs w:val="19"/>
          <w:color w:val="2B2B2B"/>
        </w:rPr>
        <w:t>this</w:t>
      </w:r>
      <w:r>
        <w:rPr>
          <w:rFonts w:ascii="Arial" w:cs="Arial" w:eastAsia="Arial" w:hAnsi="Arial"/>
          <w:sz w:val="19"/>
          <w:szCs w:val="19"/>
          <w:color w:val="181818"/>
        </w:rPr>
        <w:t xml:space="preserve"> right, then Tenant </w:t>
      </w:r>
      <w:r>
        <w:rPr>
          <w:rFonts w:ascii="Arial" w:cs="Arial" w:eastAsia="Arial" w:hAnsi="Arial"/>
          <w:sz w:val="19"/>
          <w:szCs w:val="19"/>
          <w:color w:val="3F3F3F"/>
        </w:rPr>
        <w:t>may</w:t>
      </w:r>
      <w:r>
        <w:rPr>
          <w:rFonts w:ascii="Arial" w:cs="Arial" w:eastAsia="Arial" w:hAnsi="Arial"/>
          <w:sz w:val="19"/>
          <w:szCs w:val="19"/>
          <w:color w:val="181818"/>
        </w:rPr>
        <w:t xml:space="preserve"> </w:t>
      </w:r>
      <w:r>
        <w:rPr>
          <w:rFonts w:ascii="Arial" w:cs="Arial" w:eastAsia="Arial" w:hAnsi="Arial"/>
          <w:sz w:val="19"/>
          <w:szCs w:val="19"/>
          <w:color w:val="2B2B2B"/>
        </w:rPr>
        <w:t>set-off</w:t>
      </w:r>
      <w:r>
        <w:rPr>
          <w:rFonts w:ascii="Arial" w:cs="Arial" w:eastAsia="Arial" w:hAnsi="Arial"/>
          <w:sz w:val="19"/>
          <w:szCs w:val="19"/>
          <w:color w:val="181818"/>
        </w:rPr>
        <w:t xml:space="preserve"> or </w:t>
      </w:r>
      <w:r>
        <w:rPr>
          <w:rFonts w:ascii="Arial" w:cs="Arial" w:eastAsia="Arial" w:hAnsi="Arial"/>
          <w:sz w:val="19"/>
          <w:szCs w:val="19"/>
          <w:color w:val="2B2B2B"/>
        </w:rPr>
        <w:t>abate the</w:t>
      </w:r>
      <w:r>
        <w:rPr>
          <w:rFonts w:ascii="Arial" w:cs="Arial" w:eastAsia="Arial" w:hAnsi="Arial"/>
          <w:sz w:val="19"/>
          <w:szCs w:val="19"/>
          <w:color w:val="181818"/>
        </w:rPr>
        <w:t xml:space="preserve"> payment of Rent </w:t>
      </w:r>
      <w:r>
        <w:rPr>
          <w:rFonts w:ascii="Arial" w:cs="Arial" w:eastAsia="Arial" w:hAnsi="Arial"/>
          <w:sz w:val="19"/>
          <w:szCs w:val="19"/>
          <w:color w:val="2B2B2B"/>
        </w:rPr>
        <w:t>with any costs</w:t>
      </w:r>
      <w:r>
        <w:rPr>
          <w:rFonts w:ascii="Arial" w:cs="Arial" w:eastAsia="Arial" w:hAnsi="Arial"/>
          <w:sz w:val="19"/>
          <w:szCs w:val="19"/>
          <w:color w:val="181818"/>
        </w:rPr>
        <w:t xml:space="preserve"> incurred by </w:t>
      </w:r>
      <w:r>
        <w:rPr>
          <w:rFonts w:ascii="Arial" w:cs="Arial" w:eastAsia="Arial" w:hAnsi="Arial"/>
          <w:sz w:val="19"/>
          <w:szCs w:val="19"/>
          <w:color w:val="3F3F3F"/>
        </w:rPr>
        <w:t>Tenant</w:t>
      </w:r>
      <w:r>
        <w:rPr>
          <w:rFonts w:ascii="Arial" w:cs="Arial" w:eastAsia="Arial" w:hAnsi="Arial"/>
          <w:sz w:val="19"/>
          <w:szCs w:val="19"/>
          <w:color w:val="181818"/>
        </w:rPr>
        <w:t xml:space="preserve"> </w:t>
      </w:r>
      <w:r>
        <w:rPr>
          <w:rFonts w:ascii="Arial" w:cs="Arial" w:eastAsia="Arial" w:hAnsi="Arial"/>
          <w:sz w:val="19"/>
          <w:szCs w:val="19"/>
          <w:color w:val="2B2B2B"/>
        </w:rPr>
        <w:t>in connection</w:t>
      </w:r>
      <w:r>
        <w:rPr>
          <w:rFonts w:ascii="Arial" w:cs="Arial" w:eastAsia="Arial" w:hAnsi="Arial"/>
          <w:sz w:val="19"/>
          <w:szCs w:val="19"/>
          <w:color w:val="181818"/>
        </w:rPr>
        <w:t xml:space="preserve"> with </w:t>
      </w:r>
      <w:r>
        <w:rPr>
          <w:rFonts w:ascii="Arial" w:cs="Arial" w:eastAsia="Arial" w:hAnsi="Arial"/>
          <w:sz w:val="19"/>
          <w:szCs w:val="19"/>
          <w:color w:val="2B2B2B"/>
        </w:rPr>
        <w:t>its</w:t>
      </w:r>
      <w:r>
        <w:rPr>
          <w:rFonts w:ascii="Arial" w:cs="Arial" w:eastAsia="Arial" w:hAnsi="Arial"/>
          <w:sz w:val="19"/>
          <w:szCs w:val="19"/>
          <w:color w:val="181818"/>
        </w:rPr>
        <w:t xml:space="preserve"> exercise of this right, to the </w:t>
      </w:r>
      <w:r>
        <w:rPr>
          <w:rFonts w:ascii="Arial" w:cs="Arial" w:eastAsia="Arial" w:hAnsi="Arial"/>
          <w:sz w:val="19"/>
          <w:szCs w:val="19"/>
          <w:color w:val="2B2B2B"/>
        </w:rPr>
        <w:t>extent such</w:t>
      </w:r>
      <w:r>
        <w:rPr>
          <w:rFonts w:ascii="Arial" w:cs="Arial" w:eastAsia="Arial" w:hAnsi="Arial"/>
          <w:sz w:val="19"/>
          <w:szCs w:val="19"/>
          <w:color w:val="181818"/>
        </w:rPr>
        <w:t xml:space="preserve"> costs </w:t>
      </w:r>
      <w:r>
        <w:rPr>
          <w:rFonts w:ascii="Arial" w:cs="Arial" w:eastAsia="Arial" w:hAnsi="Arial"/>
          <w:sz w:val="19"/>
          <w:szCs w:val="19"/>
          <w:color w:val="2B2B2B"/>
        </w:rPr>
        <w:t>do</w:t>
      </w:r>
      <w:r>
        <w:rPr>
          <w:rFonts w:ascii="Arial" w:cs="Arial" w:eastAsia="Arial" w:hAnsi="Arial"/>
          <w:sz w:val="19"/>
          <w:szCs w:val="19"/>
          <w:color w:val="181818"/>
        </w:rPr>
        <w:t xml:space="preserve"> not </w:t>
      </w:r>
      <w:r>
        <w:rPr>
          <w:rFonts w:ascii="Arial" w:cs="Arial" w:eastAsia="Arial" w:hAnsi="Arial"/>
          <w:sz w:val="19"/>
          <w:szCs w:val="19"/>
          <w:color w:val="2B2B2B"/>
        </w:rPr>
        <w:t>constitute</w:t>
      </w:r>
      <w:r>
        <w:rPr>
          <w:rFonts w:ascii="Arial" w:cs="Arial" w:eastAsia="Arial" w:hAnsi="Arial"/>
          <w:sz w:val="19"/>
          <w:szCs w:val="19"/>
          <w:color w:val="181818"/>
        </w:rPr>
        <w:t xml:space="preserve"> Operating </w:t>
      </w:r>
      <w:r>
        <w:rPr>
          <w:rFonts w:ascii="Arial" w:cs="Arial" w:eastAsia="Arial" w:hAnsi="Arial"/>
          <w:sz w:val="19"/>
          <w:szCs w:val="19"/>
          <w:color w:val="2B2B2B"/>
        </w:rPr>
        <w:t>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120"/>
          </w:cols>
          <w:pgMar w:left="1440" w:top="1401" w:right="339" w:bottom="1440" w:gutter="0" w:footer="0" w:header="0"/>
        </w:sectPr>
      </w:pPr>
    </w:p>
    <w:bookmarkStart w:id="362" w:name="page363"/>
    <w:bookmarkEnd w:id="362"/>
    <w:p>
      <w:pPr>
        <w:jc w:val="both"/>
        <w:ind w:left="660" w:hanging="652"/>
        <w:spacing w:after="0" w:line="224" w:lineRule="auto"/>
        <w:tabs>
          <w:tab w:leader="none" w:pos="660" w:val="left"/>
        </w:tabs>
        <w:numPr>
          <w:ilvl w:val="0"/>
          <w:numId w:val="304"/>
        </w:numPr>
        <w:rPr>
          <w:rFonts w:ascii="Arial" w:cs="Arial" w:eastAsia="Arial" w:hAnsi="Arial"/>
          <w:sz w:val="21"/>
          <w:szCs w:val="21"/>
          <w:color w:val="auto"/>
        </w:rPr>
      </w:pPr>
      <w:r>
        <w:rPr>
          <w:rFonts w:ascii="Arial" w:cs="Arial" w:eastAsia="Arial" w:hAnsi="Arial"/>
          <w:sz w:val="21"/>
          <w:szCs w:val="21"/>
          <w:u w:val="single" w:color="auto"/>
          <w:color w:val="auto"/>
        </w:rPr>
        <w:t>Bankruptcy</w:t>
      </w:r>
      <w:r>
        <w:rPr>
          <w:rFonts w:ascii="Arial" w:cs="Arial" w:eastAsia="Arial" w:hAnsi="Arial"/>
          <w:sz w:val="21"/>
          <w:szCs w:val="21"/>
          <w:color w:val="auto"/>
        </w:rPr>
        <w:t xml:space="preserve">. In the </w:t>
      </w:r>
      <w:r>
        <w:rPr>
          <w:rFonts w:ascii="Arial" w:cs="Arial" w:eastAsia="Arial" w:hAnsi="Arial"/>
          <w:sz w:val="21"/>
          <w:szCs w:val="21"/>
          <w:color w:val="2B2B2B"/>
        </w:rPr>
        <w:t>event a debtor, trustee</w:t>
      </w:r>
      <w:r>
        <w:rPr>
          <w:rFonts w:ascii="Arial" w:cs="Arial" w:eastAsia="Arial" w:hAnsi="Arial"/>
          <w:sz w:val="21"/>
          <w:szCs w:val="21"/>
          <w:color w:val="auto"/>
        </w:rPr>
        <w:t xml:space="preserve"> or debtor </w:t>
      </w:r>
      <w:r>
        <w:rPr>
          <w:rFonts w:ascii="Arial" w:cs="Arial" w:eastAsia="Arial" w:hAnsi="Arial"/>
          <w:sz w:val="21"/>
          <w:szCs w:val="21"/>
          <w:color w:val="2B2B2B"/>
        </w:rPr>
        <w:t>in possession</w:t>
      </w:r>
      <w:r>
        <w:rPr>
          <w:rFonts w:ascii="Arial" w:cs="Arial" w:eastAsia="Arial" w:hAnsi="Arial"/>
          <w:sz w:val="21"/>
          <w:szCs w:val="21"/>
          <w:color w:val="auto"/>
        </w:rPr>
        <w:t xml:space="preserve"> under the Bankruptcy </w:t>
      </w:r>
      <w:r>
        <w:rPr>
          <w:rFonts w:ascii="Arial" w:cs="Arial" w:eastAsia="Arial" w:hAnsi="Arial"/>
          <w:sz w:val="21"/>
          <w:szCs w:val="21"/>
          <w:color w:val="2B2B2B"/>
        </w:rPr>
        <w:t>Code,</w:t>
      </w:r>
      <w:r>
        <w:rPr>
          <w:rFonts w:ascii="Arial" w:cs="Arial" w:eastAsia="Arial" w:hAnsi="Arial"/>
          <w:sz w:val="21"/>
          <w:szCs w:val="21"/>
          <w:color w:val="auto"/>
        </w:rPr>
        <w:t xml:space="preserve"> or </w:t>
      </w:r>
      <w:r>
        <w:rPr>
          <w:rFonts w:ascii="Arial" w:cs="Arial" w:eastAsia="Arial" w:hAnsi="Arial"/>
          <w:sz w:val="21"/>
          <w:szCs w:val="21"/>
          <w:color w:val="2B2B2B"/>
        </w:rPr>
        <w:t>another person with</w:t>
      </w:r>
      <w:r>
        <w:rPr>
          <w:rFonts w:ascii="Arial" w:cs="Arial" w:eastAsia="Arial" w:hAnsi="Arial"/>
          <w:sz w:val="21"/>
          <w:szCs w:val="21"/>
          <w:color w:val="auto"/>
        </w:rPr>
        <w:t xml:space="preserve"> </w:t>
      </w:r>
      <w:r>
        <w:rPr>
          <w:rFonts w:ascii="Arial" w:cs="Arial" w:eastAsia="Arial" w:hAnsi="Arial"/>
          <w:sz w:val="21"/>
          <w:szCs w:val="21"/>
          <w:color w:val="2B2B2B"/>
        </w:rPr>
        <w:t xml:space="preserve">similar </w:t>
      </w:r>
      <w:r>
        <w:rPr>
          <w:rFonts w:ascii="Arial" w:cs="Arial" w:eastAsia="Arial" w:hAnsi="Arial"/>
          <w:sz w:val="21"/>
          <w:szCs w:val="21"/>
          <w:color w:val="000000"/>
        </w:rPr>
        <w:t>rights, duties and powers under any other</w:t>
      </w:r>
      <w:r>
        <w:rPr>
          <w:rFonts w:ascii="Arial" w:cs="Arial" w:eastAsia="Arial" w:hAnsi="Arial"/>
          <w:sz w:val="21"/>
          <w:szCs w:val="21"/>
          <w:color w:val="2B2B2B"/>
        </w:rPr>
        <w:t xml:space="preserve"> Applicable Laws, </w:t>
      </w:r>
      <w:r>
        <w:rPr>
          <w:rFonts w:ascii="Arial" w:cs="Arial" w:eastAsia="Arial" w:hAnsi="Arial"/>
          <w:sz w:val="21"/>
          <w:szCs w:val="21"/>
          <w:color w:val="000000"/>
        </w:rPr>
        <w:t>proposes to</w:t>
      </w:r>
      <w:r>
        <w:rPr>
          <w:rFonts w:ascii="Arial" w:cs="Arial" w:eastAsia="Arial" w:hAnsi="Arial"/>
          <w:sz w:val="21"/>
          <w:szCs w:val="21"/>
          <w:color w:val="2B2B2B"/>
        </w:rPr>
        <w:t xml:space="preserve"> cure any </w:t>
      </w:r>
      <w:r>
        <w:rPr>
          <w:rFonts w:ascii="Arial" w:cs="Arial" w:eastAsia="Arial" w:hAnsi="Arial"/>
          <w:sz w:val="21"/>
          <w:szCs w:val="21"/>
          <w:color w:val="000000"/>
        </w:rPr>
        <w:t>default under this</w:t>
      </w:r>
      <w:r>
        <w:rPr>
          <w:rFonts w:ascii="Arial" w:cs="Arial" w:eastAsia="Arial" w:hAnsi="Arial"/>
          <w:sz w:val="21"/>
          <w:szCs w:val="21"/>
          <w:color w:val="2B2B2B"/>
        </w:rPr>
        <w:t xml:space="preserve"> </w:t>
      </w:r>
      <w:r>
        <w:rPr>
          <w:rFonts w:ascii="Arial" w:cs="Arial" w:eastAsia="Arial" w:hAnsi="Arial"/>
          <w:sz w:val="21"/>
          <w:szCs w:val="21"/>
          <w:color w:val="3F3F3F"/>
        </w:rPr>
        <w:t>Lease</w:t>
      </w:r>
      <w:r>
        <w:rPr>
          <w:rFonts w:ascii="Arial" w:cs="Arial" w:eastAsia="Arial" w:hAnsi="Arial"/>
          <w:sz w:val="21"/>
          <w:szCs w:val="21"/>
          <w:color w:val="2B2B2B"/>
        </w:rPr>
        <w:t xml:space="preserve"> </w:t>
      </w:r>
      <w:r>
        <w:rPr>
          <w:rFonts w:ascii="Arial" w:cs="Arial" w:eastAsia="Arial" w:hAnsi="Arial"/>
          <w:sz w:val="21"/>
          <w:szCs w:val="21"/>
          <w:color w:val="000000"/>
        </w:rPr>
        <w:t>or to</w:t>
      </w:r>
      <w:r>
        <w:rPr>
          <w:rFonts w:ascii="Arial" w:cs="Arial" w:eastAsia="Arial" w:hAnsi="Arial"/>
          <w:sz w:val="21"/>
          <w:szCs w:val="21"/>
          <w:color w:val="2B2B2B"/>
        </w:rPr>
        <w:t xml:space="preserve"> assume or </w:t>
      </w:r>
      <w:r>
        <w:rPr>
          <w:rFonts w:ascii="Arial" w:cs="Arial" w:eastAsia="Arial" w:hAnsi="Arial"/>
          <w:sz w:val="21"/>
          <w:szCs w:val="21"/>
          <w:color w:val="000000"/>
        </w:rPr>
        <w:t>assign this</w:t>
      </w:r>
      <w:r>
        <w:rPr>
          <w:rFonts w:ascii="Arial" w:cs="Arial" w:eastAsia="Arial" w:hAnsi="Arial"/>
          <w:sz w:val="21"/>
          <w:szCs w:val="21"/>
          <w:color w:val="2B2B2B"/>
        </w:rPr>
        <w:t xml:space="preserve"> Lease and is obliged </w:t>
      </w:r>
      <w:r>
        <w:rPr>
          <w:rFonts w:ascii="Arial" w:cs="Arial" w:eastAsia="Arial" w:hAnsi="Arial"/>
          <w:sz w:val="21"/>
          <w:szCs w:val="21"/>
          <w:color w:val="000000"/>
        </w:rPr>
        <w:t>to provide adequate</w:t>
      </w:r>
      <w:r>
        <w:rPr>
          <w:rFonts w:ascii="Arial" w:cs="Arial" w:eastAsia="Arial" w:hAnsi="Arial"/>
          <w:sz w:val="21"/>
          <w:szCs w:val="21"/>
          <w:color w:val="2B2B2B"/>
        </w:rPr>
        <w:t xml:space="preserve"> assurance </w:t>
      </w:r>
      <w:r>
        <w:rPr>
          <w:rFonts w:ascii="Arial" w:cs="Arial" w:eastAsia="Arial" w:hAnsi="Arial"/>
          <w:sz w:val="21"/>
          <w:szCs w:val="21"/>
          <w:color w:val="000000"/>
        </w:rPr>
        <w:t>to</w:t>
      </w:r>
      <w:r>
        <w:rPr>
          <w:rFonts w:ascii="Arial" w:cs="Arial" w:eastAsia="Arial" w:hAnsi="Arial"/>
          <w:sz w:val="21"/>
          <w:szCs w:val="21"/>
          <w:color w:val="2B2B2B"/>
        </w:rPr>
        <w:t xml:space="preserve"> Landlord </w:t>
      </w:r>
      <w:r>
        <w:rPr>
          <w:rFonts w:ascii="Arial" w:cs="Arial" w:eastAsia="Arial" w:hAnsi="Arial"/>
          <w:sz w:val="21"/>
          <w:szCs w:val="21"/>
          <w:color w:val="000000"/>
        </w:rPr>
        <w:t>that (a) a default</w:t>
      </w:r>
      <w:r>
        <w:rPr>
          <w:rFonts w:ascii="Arial" w:cs="Arial" w:eastAsia="Arial" w:hAnsi="Arial"/>
          <w:sz w:val="21"/>
          <w:szCs w:val="21"/>
          <w:color w:val="2B2B2B"/>
        </w:rPr>
        <w:t xml:space="preserve"> shall </w:t>
      </w:r>
      <w:r>
        <w:rPr>
          <w:rFonts w:ascii="Arial" w:cs="Arial" w:eastAsia="Arial" w:hAnsi="Arial"/>
          <w:sz w:val="21"/>
          <w:szCs w:val="21"/>
          <w:color w:val="000000"/>
        </w:rPr>
        <w:t>be</w:t>
      </w:r>
      <w:r>
        <w:rPr>
          <w:rFonts w:ascii="Arial" w:cs="Arial" w:eastAsia="Arial" w:hAnsi="Arial"/>
          <w:sz w:val="21"/>
          <w:szCs w:val="21"/>
          <w:color w:val="2B2B2B"/>
        </w:rPr>
        <w:t xml:space="preserve"> cured, </w:t>
      </w:r>
      <w:r>
        <w:rPr>
          <w:rFonts w:ascii="Arial" w:cs="Arial" w:eastAsia="Arial" w:hAnsi="Arial"/>
          <w:sz w:val="21"/>
          <w:szCs w:val="21"/>
          <w:color w:val="000000"/>
        </w:rPr>
        <w:t>(b)</w:t>
      </w:r>
      <w:r>
        <w:rPr>
          <w:rFonts w:ascii="Arial" w:cs="Arial" w:eastAsia="Arial" w:hAnsi="Arial"/>
          <w:sz w:val="21"/>
          <w:szCs w:val="21"/>
          <w:color w:val="2B2B2B"/>
        </w:rPr>
        <w:t xml:space="preserve"> </w:t>
      </w:r>
      <w:r>
        <w:rPr>
          <w:rFonts w:ascii="Arial" w:cs="Arial" w:eastAsia="Arial" w:hAnsi="Arial"/>
          <w:sz w:val="21"/>
          <w:szCs w:val="21"/>
          <w:color w:val="000000"/>
        </w:rPr>
        <w:t xml:space="preserve">Landlord shall be compensated </w:t>
      </w:r>
      <w:r>
        <w:rPr>
          <w:rFonts w:ascii="Arial" w:cs="Arial" w:eastAsia="Arial" w:hAnsi="Arial"/>
          <w:sz w:val="21"/>
          <w:szCs w:val="21"/>
          <w:color w:val="2B2B2B"/>
        </w:rPr>
        <w:t>for its damages arising</w:t>
      </w:r>
      <w:r>
        <w:rPr>
          <w:rFonts w:ascii="Arial" w:cs="Arial" w:eastAsia="Arial" w:hAnsi="Arial"/>
          <w:sz w:val="21"/>
          <w:szCs w:val="21"/>
          <w:color w:val="000000"/>
        </w:rPr>
        <w:t xml:space="preserve"> from </w:t>
      </w:r>
      <w:r>
        <w:rPr>
          <w:rFonts w:ascii="Arial" w:cs="Arial" w:eastAsia="Arial" w:hAnsi="Arial"/>
          <w:sz w:val="21"/>
          <w:szCs w:val="21"/>
          <w:color w:val="2B2B2B"/>
        </w:rPr>
        <w:t>any</w:t>
      </w:r>
      <w:r>
        <w:rPr>
          <w:rFonts w:ascii="Arial" w:cs="Arial" w:eastAsia="Arial" w:hAnsi="Arial"/>
          <w:sz w:val="21"/>
          <w:szCs w:val="21"/>
          <w:color w:val="000000"/>
        </w:rPr>
        <w:t xml:space="preserve"> breach of </w:t>
      </w:r>
      <w:r>
        <w:rPr>
          <w:rFonts w:ascii="Arial" w:cs="Arial" w:eastAsia="Arial" w:hAnsi="Arial"/>
          <w:sz w:val="21"/>
          <w:szCs w:val="21"/>
          <w:color w:val="2B2B2B"/>
        </w:rPr>
        <w:t>this</w:t>
      </w:r>
      <w:r>
        <w:rPr>
          <w:rFonts w:ascii="Arial" w:cs="Arial" w:eastAsia="Arial" w:hAnsi="Arial"/>
          <w:sz w:val="21"/>
          <w:szCs w:val="21"/>
          <w:color w:val="000000"/>
        </w:rPr>
        <w:t xml:space="preserve"> Lease and </w:t>
      </w:r>
      <w:r>
        <w:rPr>
          <w:rFonts w:ascii="Arial" w:cs="Arial" w:eastAsia="Arial" w:hAnsi="Arial"/>
          <w:sz w:val="21"/>
          <w:szCs w:val="21"/>
          <w:color w:val="2B2B2B"/>
        </w:rPr>
        <w:t>(</w:t>
      </w:r>
      <w:r>
        <w:rPr>
          <w:rFonts w:ascii="Arial" w:cs="Arial" w:eastAsia="Arial" w:hAnsi="Arial"/>
          <w:sz w:val="21"/>
          <w:szCs w:val="21"/>
          <w:color w:val="000000"/>
        </w:rPr>
        <w:t xml:space="preserve">c) future </w:t>
      </w:r>
      <w:r>
        <w:rPr>
          <w:rFonts w:ascii="Arial" w:cs="Arial" w:eastAsia="Arial" w:hAnsi="Arial"/>
          <w:sz w:val="21"/>
          <w:szCs w:val="21"/>
          <w:color w:val="2B2B2B"/>
        </w:rPr>
        <w:t>performance of</w:t>
      </w:r>
      <w:r>
        <w:rPr>
          <w:rFonts w:ascii="Arial" w:cs="Arial" w:eastAsia="Arial" w:hAnsi="Arial"/>
          <w:sz w:val="21"/>
          <w:szCs w:val="21"/>
          <w:color w:val="000000"/>
        </w:rPr>
        <w:t xml:space="preserve"> Tenant’s </w:t>
      </w:r>
      <w:r>
        <w:rPr>
          <w:rFonts w:ascii="Arial" w:cs="Arial" w:eastAsia="Arial" w:hAnsi="Arial"/>
          <w:sz w:val="21"/>
          <w:szCs w:val="21"/>
          <w:color w:val="2B2B2B"/>
        </w:rPr>
        <w:t>obligations wider</w:t>
      </w:r>
      <w:r>
        <w:rPr>
          <w:rFonts w:ascii="Arial" w:cs="Arial" w:eastAsia="Arial" w:hAnsi="Arial"/>
          <w:sz w:val="21"/>
          <w:szCs w:val="21"/>
          <w:color w:val="000000"/>
        </w:rPr>
        <w:t xml:space="preserve"> this Lease </w:t>
      </w:r>
      <w:r>
        <w:rPr>
          <w:rFonts w:ascii="Arial" w:cs="Arial" w:eastAsia="Arial" w:hAnsi="Arial"/>
          <w:sz w:val="21"/>
          <w:szCs w:val="21"/>
          <w:color w:val="2B2B2B"/>
        </w:rPr>
        <w:t>shall</w:t>
      </w:r>
      <w:r>
        <w:rPr>
          <w:rFonts w:ascii="Arial" w:cs="Arial" w:eastAsia="Arial" w:hAnsi="Arial"/>
          <w:sz w:val="21"/>
          <w:szCs w:val="21"/>
          <w:color w:val="000000"/>
        </w:rPr>
        <w:t xml:space="preserve"> occur, </w:t>
      </w:r>
      <w:r>
        <w:rPr>
          <w:rFonts w:ascii="Arial" w:cs="Arial" w:eastAsia="Arial" w:hAnsi="Arial"/>
          <w:sz w:val="21"/>
          <w:szCs w:val="21"/>
          <w:color w:val="3F3F3F"/>
        </w:rPr>
        <w:t>then</w:t>
      </w:r>
      <w:r>
        <w:rPr>
          <w:rFonts w:ascii="Arial" w:cs="Arial" w:eastAsia="Arial" w:hAnsi="Arial"/>
          <w:sz w:val="21"/>
          <w:szCs w:val="21"/>
          <w:color w:val="000000"/>
        </w:rPr>
        <w:t xml:space="preserve"> such </w:t>
      </w:r>
      <w:r>
        <w:rPr>
          <w:rFonts w:ascii="Arial" w:cs="Arial" w:eastAsia="Arial" w:hAnsi="Arial"/>
          <w:sz w:val="21"/>
          <w:szCs w:val="21"/>
          <w:color w:val="2B2B2B"/>
        </w:rPr>
        <w:t>adequate</w:t>
      </w:r>
      <w:r>
        <w:rPr>
          <w:rFonts w:ascii="Arial" w:cs="Arial" w:eastAsia="Arial" w:hAnsi="Arial"/>
          <w:sz w:val="21"/>
          <w:szCs w:val="21"/>
          <w:color w:val="000000"/>
        </w:rPr>
        <w:t xml:space="preserve"> assurances </w:t>
      </w:r>
      <w:r>
        <w:rPr>
          <w:rFonts w:ascii="Arial" w:cs="Arial" w:eastAsia="Arial" w:hAnsi="Arial"/>
          <w:sz w:val="21"/>
          <w:szCs w:val="21"/>
          <w:color w:val="2B2B2B"/>
        </w:rPr>
        <w:t>shall include</w:t>
      </w:r>
      <w:r>
        <w:rPr>
          <w:rFonts w:ascii="Arial" w:cs="Arial" w:eastAsia="Arial" w:hAnsi="Arial"/>
          <w:sz w:val="21"/>
          <w:szCs w:val="21"/>
          <w:color w:val="000000"/>
        </w:rPr>
        <w:t xml:space="preserve"> any or </w:t>
      </w:r>
      <w:r>
        <w:rPr>
          <w:rFonts w:ascii="Arial" w:cs="Arial" w:eastAsia="Arial" w:hAnsi="Arial"/>
          <w:sz w:val="21"/>
          <w:szCs w:val="21"/>
          <w:color w:val="2B2B2B"/>
        </w:rPr>
        <w:t>all</w:t>
      </w:r>
      <w:r>
        <w:rPr>
          <w:rFonts w:ascii="Arial" w:cs="Arial" w:eastAsia="Arial" w:hAnsi="Arial"/>
          <w:sz w:val="21"/>
          <w:szCs w:val="21"/>
          <w:color w:val="000000"/>
        </w:rPr>
        <w:t xml:space="preserve"> of the following, </w:t>
      </w:r>
      <w:r>
        <w:rPr>
          <w:rFonts w:ascii="Arial" w:cs="Arial" w:eastAsia="Arial" w:hAnsi="Arial"/>
          <w:sz w:val="21"/>
          <w:szCs w:val="21"/>
          <w:color w:val="2B2B2B"/>
        </w:rPr>
        <w:t xml:space="preserve">as </w:t>
      </w:r>
      <w:r>
        <w:rPr>
          <w:rFonts w:ascii="Arial" w:cs="Arial" w:eastAsia="Arial" w:hAnsi="Arial"/>
          <w:sz w:val="21"/>
          <w:szCs w:val="21"/>
          <w:color w:val="000000"/>
        </w:rPr>
        <w:t>designated by</w:t>
      </w:r>
      <w:r>
        <w:rPr>
          <w:rFonts w:ascii="Arial" w:cs="Arial" w:eastAsia="Arial" w:hAnsi="Arial"/>
          <w:sz w:val="21"/>
          <w:szCs w:val="21"/>
          <w:color w:val="2B2B2B"/>
        </w:rPr>
        <w:t xml:space="preserve"> Landlord </w:t>
      </w:r>
      <w:r>
        <w:rPr>
          <w:rFonts w:ascii="Arial" w:cs="Arial" w:eastAsia="Arial" w:hAnsi="Arial"/>
          <w:sz w:val="21"/>
          <w:szCs w:val="21"/>
          <w:color w:val="000000"/>
        </w:rPr>
        <w:t>in its</w:t>
      </w:r>
      <w:r>
        <w:rPr>
          <w:rFonts w:ascii="Arial" w:cs="Arial" w:eastAsia="Arial" w:hAnsi="Arial"/>
          <w:sz w:val="21"/>
          <w:szCs w:val="21"/>
          <w:color w:val="2B2B2B"/>
        </w:rPr>
        <w:t xml:space="preserve"> </w:t>
      </w:r>
      <w:r>
        <w:rPr>
          <w:rFonts w:ascii="Arial" w:cs="Arial" w:eastAsia="Arial" w:hAnsi="Arial"/>
          <w:sz w:val="21"/>
          <w:szCs w:val="21"/>
          <w:color w:val="3F3F3F"/>
        </w:rPr>
        <w:t>sole</w:t>
      </w:r>
      <w:r>
        <w:rPr>
          <w:rFonts w:ascii="Arial" w:cs="Arial" w:eastAsia="Arial" w:hAnsi="Arial"/>
          <w:sz w:val="21"/>
          <w:szCs w:val="21"/>
          <w:color w:val="2B2B2B"/>
        </w:rPr>
        <w:t xml:space="preserve"> </w:t>
      </w:r>
      <w:r>
        <w:rPr>
          <w:rFonts w:ascii="Arial" w:cs="Arial" w:eastAsia="Arial" w:hAnsi="Arial"/>
          <w:sz w:val="21"/>
          <w:szCs w:val="21"/>
          <w:color w:val="000000"/>
        </w:rPr>
        <w:t>and absolute</w:t>
      </w:r>
      <w:r>
        <w:rPr>
          <w:rFonts w:ascii="Arial" w:cs="Arial" w:eastAsia="Arial" w:hAnsi="Arial"/>
          <w:sz w:val="21"/>
          <w:szCs w:val="21"/>
          <w:color w:val="2B2B2B"/>
        </w:rPr>
        <w:t xml:space="preserve"> discretion:</w:t>
      </w:r>
    </w:p>
    <w:p>
      <w:pPr>
        <w:spacing w:after="0" w:line="159" w:lineRule="exact"/>
        <w:rPr>
          <w:rFonts w:ascii="Arial" w:cs="Arial" w:eastAsia="Arial" w:hAnsi="Arial"/>
          <w:sz w:val="21"/>
          <w:szCs w:val="21"/>
          <w:color w:val="auto"/>
        </w:rPr>
      </w:pPr>
    </w:p>
    <w:p>
      <w:pPr>
        <w:ind w:left="1300" w:hanging="648"/>
        <w:spacing w:after="0" w:line="223" w:lineRule="auto"/>
        <w:rPr>
          <w:rFonts w:ascii="Arial" w:cs="Arial" w:eastAsia="Arial" w:hAnsi="Arial"/>
          <w:sz w:val="21"/>
          <w:szCs w:val="21"/>
          <w:color w:val="auto"/>
        </w:rPr>
      </w:pPr>
      <w:r>
        <w:rPr>
          <w:rFonts w:ascii="Arial" w:cs="Arial" w:eastAsia="Arial" w:hAnsi="Arial"/>
          <w:sz w:val="22"/>
          <w:szCs w:val="22"/>
          <w:color w:val="auto"/>
        </w:rPr>
        <w:t xml:space="preserve">32.1 </w:t>
      </w:r>
      <w:r>
        <w:rPr>
          <w:rFonts w:ascii="Arial" w:cs="Arial" w:eastAsia="Arial" w:hAnsi="Arial"/>
          <w:sz w:val="22"/>
          <w:szCs w:val="22"/>
          <w:color w:val="181818"/>
        </w:rPr>
        <w:t>Those</w:t>
      </w:r>
      <w:r>
        <w:rPr>
          <w:rFonts w:ascii="Arial" w:cs="Arial" w:eastAsia="Arial" w:hAnsi="Arial"/>
          <w:sz w:val="22"/>
          <w:szCs w:val="22"/>
          <w:color w:val="auto"/>
        </w:rPr>
        <w:t xml:space="preserve"> acts specified in </w:t>
      </w:r>
      <w:r>
        <w:rPr>
          <w:rFonts w:ascii="Arial" w:cs="Arial" w:eastAsia="Arial" w:hAnsi="Arial"/>
          <w:sz w:val="22"/>
          <w:szCs w:val="22"/>
          <w:color w:val="181818"/>
        </w:rPr>
        <w:t>the Bankruptcy</w:t>
      </w:r>
      <w:r>
        <w:rPr>
          <w:rFonts w:ascii="Arial" w:cs="Arial" w:eastAsia="Arial" w:hAnsi="Arial"/>
          <w:sz w:val="22"/>
          <w:szCs w:val="22"/>
          <w:color w:val="auto"/>
        </w:rPr>
        <w:t xml:space="preserve"> Code </w:t>
      </w:r>
      <w:r>
        <w:rPr>
          <w:rFonts w:ascii="Arial" w:cs="Arial" w:eastAsia="Arial" w:hAnsi="Arial"/>
          <w:sz w:val="22"/>
          <w:szCs w:val="22"/>
          <w:color w:val="181818"/>
        </w:rPr>
        <w:t>or other</w:t>
      </w:r>
      <w:r>
        <w:rPr>
          <w:rFonts w:ascii="Arial" w:cs="Arial" w:eastAsia="Arial" w:hAnsi="Arial"/>
          <w:sz w:val="22"/>
          <w:szCs w:val="22"/>
          <w:color w:val="auto"/>
        </w:rPr>
        <w:t xml:space="preserve"> Applicable Laws as </w:t>
      </w:r>
      <w:r>
        <w:rPr>
          <w:rFonts w:ascii="Arial" w:cs="Arial" w:eastAsia="Arial" w:hAnsi="Arial"/>
          <w:sz w:val="22"/>
          <w:szCs w:val="22"/>
          <w:color w:val="181818"/>
        </w:rPr>
        <w:t>included within</w:t>
      </w:r>
      <w:r>
        <w:rPr>
          <w:rFonts w:ascii="Arial" w:cs="Arial" w:eastAsia="Arial" w:hAnsi="Arial"/>
          <w:sz w:val="22"/>
          <w:szCs w:val="22"/>
          <w:color w:val="auto"/>
        </w:rPr>
        <w:t xml:space="preserve"> the </w:t>
      </w:r>
      <w:r>
        <w:rPr>
          <w:rFonts w:ascii="Arial" w:cs="Arial" w:eastAsia="Arial" w:hAnsi="Arial"/>
          <w:sz w:val="22"/>
          <w:szCs w:val="22"/>
          <w:color w:val="181818"/>
        </w:rPr>
        <w:t>meaning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adequate assurance,</w:t>
      </w:r>
      <w:r>
        <w:rPr>
          <w:rFonts w:ascii="Arial" w:cs="Arial" w:eastAsia="Arial" w:hAnsi="Arial"/>
          <w:sz w:val="22"/>
          <w:szCs w:val="22"/>
          <w:color w:val="auto"/>
        </w:rPr>
        <w:t xml:space="preserve">” even </w:t>
      </w:r>
      <w:r>
        <w:rPr>
          <w:rFonts w:ascii="Arial" w:cs="Arial" w:eastAsia="Arial" w:hAnsi="Arial"/>
          <w:sz w:val="22"/>
          <w:szCs w:val="22"/>
          <w:color w:val="181818"/>
        </w:rPr>
        <w:t>if this Lease does not</w:t>
      </w:r>
      <w:r>
        <w:rPr>
          <w:rFonts w:ascii="Arial" w:cs="Arial" w:eastAsia="Arial" w:hAnsi="Arial"/>
          <w:sz w:val="22"/>
          <w:szCs w:val="22"/>
          <w:color w:val="auto"/>
        </w:rPr>
        <w:t xml:space="preserve"> concern </w:t>
      </w:r>
      <w:r>
        <w:rPr>
          <w:rFonts w:ascii="Arial" w:cs="Arial" w:eastAsia="Arial" w:hAnsi="Arial"/>
          <w:sz w:val="22"/>
          <w:szCs w:val="22"/>
          <w:color w:val="181818"/>
        </w:rPr>
        <w:t>a</w:t>
      </w:r>
      <w:r>
        <w:rPr>
          <w:rFonts w:ascii="Arial" w:cs="Arial" w:eastAsia="Arial" w:hAnsi="Arial"/>
          <w:sz w:val="22"/>
          <w:szCs w:val="22"/>
          <w:color w:val="auto"/>
        </w:rPr>
        <w:t xml:space="preserve"> shopping </w:t>
      </w:r>
      <w:r>
        <w:rPr>
          <w:rFonts w:ascii="Arial" w:cs="Arial" w:eastAsia="Arial" w:hAnsi="Arial"/>
          <w:sz w:val="22"/>
          <w:szCs w:val="22"/>
          <w:color w:val="181818"/>
        </w:rPr>
        <w:t>center</w:t>
      </w:r>
      <w:r>
        <w:rPr>
          <w:rFonts w:ascii="Arial" w:cs="Arial" w:eastAsia="Arial" w:hAnsi="Arial"/>
          <w:sz w:val="22"/>
          <w:szCs w:val="22"/>
          <w:color w:val="auto"/>
        </w:rPr>
        <w:t xml:space="preserve"> or </w:t>
      </w:r>
      <w:r>
        <w:rPr>
          <w:rFonts w:ascii="Arial" w:cs="Arial" w:eastAsia="Arial" w:hAnsi="Arial"/>
          <w:sz w:val="22"/>
          <w:szCs w:val="22"/>
          <w:color w:val="181818"/>
        </w:rPr>
        <w:t>other</w:t>
      </w:r>
      <w:r>
        <w:rPr>
          <w:rFonts w:ascii="Arial" w:cs="Arial" w:eastAsia="Arial" w:hAnsi="Arial"/>
          <w:sz w:val="22"/>
          <w:szCs w:val="22"/>
          <w:color w:val="auto"/>
        </w:rPr>
        <w:t xml:space="preserve"> facility </w:t>
      </w:r>
      <w:r>
        <w:rPr>
          <w:rFonts w:ascii="Arial" w:cs="Arial" w:eastAsia="Arial" w:hAnsi="Arial"/>
          <w:sz w:val="22"/>
          <w:szCs w:val="22"/>
          <w:color w:val="181818"/>
        </w:rPr>
        <w:t>described in</w:t>
      </w:r>
      <w:r>
        <w:rPr>
          <w:rFonts w:ascii="Arial" w:cs="Arial" w:eastAsia="Arial" w:hAnsi="Arial"/>
          <w:sz w:val="22"/>
          <w:szCs w:val="22"/>
          <w:color w:val="auto"/>
        </w:rPr>
        <w:t xml:space="preserve"> such Applicable </w:t>
      </w:r>
      <w:r>
        <w:rPr>
          <w:rFonts w:ascii="Arial" w:cs="Arial" w:eastAsia="Arial" w:hAnsi="Arial"/>
          <w:sz w:val="22"/>
          <w:szCs w:val="22"/>
          <w:color w:val="181818"/>
        </w:rPr>
        <w:t>Laws;</w:t>
      </w:r>
    </w:p>
    <w:p>
      <w:pPr>
        <w:spacing w:after="0" w:line="158" w:lineRule="exact"/>
        <w:rPr>
          <w:rFonts w:ascii="Arial" w:cs="Arial" w:eastAsia="Arial" w:hAnsi="Arial"/>
          <w:sz w:val="21"/>
          <w:szCs w:val="21"/>
          <w:color w:val="auto"/>
        </w:rPr>
      </w:pPr>
    </w:p>
    <w:p>
      <w:pPr>
        <w:ind w:left="1300" w:hanging="648"/>
        <w:spacing w:after="0" w:line="232" w:lineRule="auto"/>
        <w:rPr>
          <w:rFonts w:ascii="Arial" w:cs="Arial" w:eastAsia="Arial" w:hAnsi="Arial"/>
          <w:sz w:val="21"/>
          <w:szCs w:val="21"/>
          <w:color w:val="auto"/>
        </w:rPr>
      </w:pPr>
      <w:r>
        <w:rPr>
          <w:rFonts w:ascii="Arial" w:cs="Arial" w:eastAsia="Arial" w:hAnsi="Arial"/>
          <w:sz w:val="22"/>
          <w:szCs w:val="22"/>
          <w:color w:val="auto"/>
        </w:rPr>
        <w:t xml:space="preserve">32.2 A </w:t>
      </w:r>
      <w:r>
        <w:rPr>
          <w:rFonts w:ascii="Arial" w:cs="Arial" w:eastAsia="Arial" w:hAnsi="Arial"/>
          <w:sz w:val="22"/>
          <w:szCs w:val="22"/>
          <w:color w:val="181818"/>
        </w:rPr>
        <w:t>prompt cash payment to</w:t>
      </w:r>
      <w:r>
        <w:rPr>
          <w:rFonts w:ascii="Arial" w:cs="Arial" w:eastAsia="Arial" w:hAnsi="Arial"/>
          <w:sz w:val="22"/>
          <w:szCs w:val="22"/>
          <w:color w:val="auto"/>
        </w:rPr>
        <w:t xml:space="preserve"> compensate Landlord for any </w:t>
      </w:r>
      <w:r>
        <w:rPr>
          <w:rFonts w:ascii="Arial" w:cs="Arial" w:eastAsia="Arial" w:hAnsi="Arial"/>
          <w:sz w:val="22"/>
          <w:szCs w:val="22"/>
          <w:color w:val="181818"/>
        </w:rPr>
        <w:t>monetary</w:t>
      </w:r>
      <w:r>
        <w:rPr>
          <w:rFonts w:ascii="Arial" w:cs="Arial" w:eastAsia="Arial" w:hAnsi="Arial"/>
          <w:sz w:val="22"/>
          <w:szCs w:val="22"/>
          <w:color w:val="auto"/>
        </w:rPr>
        <w:t xml:space="preserve"> defaults </w:t>
      </w:r>
      <w:r>
        <w:rPr>
          <w:rFonts w:ascii="Arial" w:cs="Arial" w:eastAsia="Arial" w:hAnsi="Arial"/>
          <w:sz w:val="22"/>
          <w:szCs w:val="22"/>
          <w:color w:val="181818"/>
        </w:rPr>
        <w:t>or actual damages</w:t>
      </w:r>
      <w:r>
        <w:rPr>
          <w:rFonts w:ascii="Arial" w:cs="Arial" w:eastAsia="Arial" w:hAnsi="Arial"/>
          <w:sz w:val="22"/>
          <w:szCs w:val="22"/>
          <w:color w:val="auto"/>
        </w:rPr>
        <w:t xml:space="preserve"> arising directly </w:t>
      </w:r>
      <w:r>
        <w:rPr>
          <w:rFonts w:ascii="Arial" w:cs="Arial" w:eastAsia="Arial" w:hAnsi="Arial"/>
          <w:sz w:val="22"/>
          <w:szCs w:val="22"/>
          <w:color w:val="181818"/>
        </w:rPr>
        <w:t>from</w:t>
      </w:r>
      <w:r>
        <w:rPr>
          <w:rFonts w:ascii="Arial" w:cs="Arial" w:eastAsia="Arial" w:hAnsi="Arial"/>
          <w:sz w:val="22"/>
          <w:szCs w:val="22"/>
          <w:color w:val="auto"/>
        </w:rPr>
        <w:t xml:space="preserve"> a breach </w:t>
      </w:r>
      <w:r>
        <w:rPr>
          <w:rFonts w:ascii="Arial" w:cs="Arial" w:eastAsia="Arial" w:hAnsi="Arial"/>
          <w:sz w:val="22"/>
          <w:szCs w:val="22"/>
          <w:color w:val="181818"/>
        </w:rPr>
        <w:t>of</w:t>
      </w:r>
      <w:r>
        <w:rPr>
          <w:rFonts w:ascii="Arial" w:cs="Arial" w:eastAsia="Arial" w:hAnsi="Arial"/>
          <w:sz w:val="22"/>
          <w:szCs w:val="22"/>
          <w:color w:val="auto"/>
        </w:rPr>
        <w:t xml:space="preserve"> this </w:t>
      </w:r>
      <w:r>
        <w:rPr>
          <w:rFonts w:ascii="Arial" w:cs="Arial" w:eastAsia="Arial" w:hAnsi="Arial"/>
          <w:sz w:val="22"/>
          <w:szCs w:val="22"/>
          <w:color w:val="181818"/>
        </w:rPr>
        <w:t>Lease;</w:t>
      </w:r>
    </w:p>
    <w:p>
      <w:pPr>
        <w:spacing w:after="0" w:line="15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 xml:space="preserve">32.3   </w:t>
      </w:r>
      <w:r>
        <w:rPr>
          <w:rFonts w:ascii="Arial" w:cs="Arial" w:eastAsia="Arial" w:hAnsi="Arial"/>
          <w:sz w:val="22"/>
          <w:szCs w:val="22"/>
          <w:color w:val="2B2B2B"/>
        </w:rPr>
        <w:t>A cash</w:t>
      </w:r>
      <w:r>
        <w:rPr>
          <w:rFonts w:ascii="Arial" w:cs="Arial" w:eastAsia="Arial" w:hAnsi="Arial"/>
          <w:sz w:val="22"/>
          <w:szCs w:val="22"/>
          <w:color w:val="auto"/>
        </w:rPr>
        <w:t xml:space="preserve"> deposit </w:t>
      </w:r>
      <w:r>
        <w:rPr>
          <w:rFonts w:ascii="Arial" w:cs="Arial" w:eastAsia="Arial" w:hAnsi="Arial"/>
          <w:sz w:val="22"/>
          <w:szCs w:val="22"/>
          <w:color w:val="2B2B2B"/>
        </w:rPr>
        <w:t>in</w:t>
      </w:r>
      <w:r>
        <w:rPr>
          <w:rFonts w:ascii="Arial" w:cs="Arial" w:eastAsia="Arial" w:hAnsi="Arial"/>
          <w:sz w:val="22"/>
          <w:szCs w:val="22"/>
          <w:color w:val="auto"/>
        </w:rPr>
        <w:t xml:space="preserve"> an amount at least equal to the </w:t>
      </w:r>
      <w:r>
        <w:rPr>
          <w:rFonts w:ascii="Arial" w:cs="Arial" w:eastAsia="Arial" w:hAnsi="Arial"/>
          <w:sz w:val="22"/>
          <w:szCs w:val="22"/>
          <w:color w:val="2B2B2B"/>
        </w:rPr>
        <w:t>then-current amount</w:t>
      </w:r>
      <w:r>
        <w:rPr>
          <w:rFonts w:ascii="Arial" w:cs="Arial" w:eastAsia="Arial" w:hAnsi="Arial"/>
          <w:sz w:val="22"/>
          <w:szCs w:val="22"/>
          <w:color w:val="auto"/>
        </w:rPr>
        <w:t xml:space="preserve"> of the </w:t>
      </w:r>
      <w:r>
        <w:rPr>
          <w:rFonts w:ascii="Arial" w:cs="Arial" w:eastAsia="Arial" w:hAnsi="Arial"/>
          <w:sz w:val="22"/>
          <w:szCs w:val="22"/>
          <w:color w:val="2B2B2B"/>
        </w:rPr>
        <w:t>Security</w:t>
      </w:r>
      <w:r>
        <w:rPr>
          <w:rFonts w:ascii="Arial" w:cs="Arial" w:eastAsia="Arial" w:hAnsi="Arial"/>
          <w:sz w:val="22"/>
          <w:szCs w:val="22"/>
          <w:color w:val="auto"/>
        </w:rPr>
        <w:t xml:space="preserve"> Deposit; or</w:t>
      </w:r>
    </w:p>
    <w:p>
      <w:pPr>
        <w:spacing w:after="0" w:line="17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 xml:space="preserve">32.4   </w:t>
      </w:r>
      <w:r>
        <w:rPr>
          <w:rFonts w:ascii="Arial" w:cs="Arial" w:eastAsia="Arial" w:hAnsi="Arial"/>
          <w:sz w:val="22"/>
          <w:szCs w:val="22"/>
          <w:color w:val="181818"/>
        </w:rPr>
        <w:t>The assumption or</w:t>
      </w:r>
      <w:r>
        <w:rPr>
          <w:rFonts w:ascii="Arial" w:cs="Arial" w:eastAsia="Arial" w:hAnsi="Arial"/>
          <w:sz w:val="22"/>
          <w:szCs w:val="22"/>
          <w:color w:val="auto"/>
        </w:rPr>
        <w:t xml:space="preserve"> assignment </w:t>
      </w:r>
      <w:r>
        <w:rPr>
          <w:rFonts w:ascii="Arial" w:cs="Arial" w:eastAsia="Arial" w:hAnsi="Arial"/>
          <w:sz w:val="22"/>
          <w:szCs w:val="22"/>
          <w:color w:val="181818"/>
        </w:rPr>
        <w:t>of</w:t>
      </w:r>
      <w:r>
        <w:rPr>
          <w:rFonts w:ascii="Arial" w:cs="Arial" w:eastAsia="Arial" w:hAnsi="Arial"/>
          <w:sz w:val="22"/>
          <w:szCs w:val="22"/>
          <w:color w:val="auto"/>
        </w:rPr>
        <w:t xml:space="preserve"> all </w:t>
      </w:r>
      <w:r>
        <w:rPr>
          <w:rFonts w:ascii="Arial" w:cs="Arial" w:eastAsia="Arial" w:hAnsi="Arial"/>
          <w:sz w:val="22"/>
          <w:szCs w:val="22"/>
          <w:color w:val="181818"/>
        </w:rPr>
        <w:t>of</w:t>
      </w:r>
      <w:r>
        <w:rPr>
          <w:rFonts w:ascii="Arial" w:cs="Arial" w:eastAsia="Arial" w:hAnsi="Arial"/>
          <w:sz w:val="22"/>
          <w:szCs w:val="22"/>
          <w:color w:val="auto"/>
        </w:rPr>
        <w:t xml:space="preserve"> Tenant’s interest and obligations </w:t>
      </w:r>
      <w:r>
        <w:rPr>
          <w:rFonts w:ascii="Arial" w:cs="Arial" w:eastAsia="Arial" w:hAnsi="Arial"/>
          <w:sz w:val="22"/>
          <w:szCs w:val="22"/>
          <w:color w:val="181818"/>
        </w:rPr>
        <w:t>under this</w:t>
      </w:r>
      <w:r>
        <w:rPr>
          <w:rFonts w:ascii="Arial" w:cs="Arial" w:eastAsia="Arial" w:hAnsi="Arial"/>
          <w:sz w:val="22"/>
          <w:szCs w:val="22"/>
          <w:color w:val="auto"/>
        </w:rPr>
        <w:t xml:space="preserve"> Lease</w:t>
      </w:r>
      <w:r>
        <w:rPr>
          <w:rFonts w:ascii="Arial" w:cs="Arial" w:eastAsia="Arial" w:hAnsi="Arial"/>
          <w:sz w:val="22"/>
          <w:szCs w:val="22"/>
          <w:color w:val="575757"/>
        </w:rPr>
        <w:t>.</w:t>
      </w:r>
    </w:p>
    <w:p>
      <w:pPr>
        <w:spacing w:after="0" w:line="179" w:lineRule="exact"/>
        <w:rPr>
          <w:rFonts w:ascii="Arial" w:cs="Arial" w:eastAsia="Arial" w:hAnsi="Arial"/>
          <w:sz w:val="21"/>
          <w:szCs w:val="21"/>
          <w:color w:val="auto"/>
        </w:rPr>
      </w:pPr>
    </w:p>
    <w:p>
      <w:pPr>
        <w:ind w:left="660" w:hanging="652"/>
        <w:spacing w:after="0"/>
        <w:tabs>
          <w:tab w:leader="none" w:pos="660" w:val="left"/>
        </w:tabs>
        <w:numPr>
          <w:ilvl w:val="0"/>
          <w:numId w:val="304"/>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57" w:lineRule="auto"/>
        <w:rPr>
          <w:rFonts w:ascii="Arial" w:cs="Arial" w:eastAsia="Arial" w:hAnsi="Arial"/>
          <w:sz w:val="22"/>
          <w:szCs w:val="22"/>
          <w:color w:val="auto"/>
        </w:rPr>
      </w:pPr>
      <w:r>
        <w:rPr>
          <w:rFonts w:ascii="Arial" w:cs="Arial" w:eastAsia="Arial" w:hAnsi="Arial"/>
          <w:sz w:val="19"/>
          <w:szCs w:val="19"/>
          <w:color w:val="auto"/>
        </w:rPr>
        <w:t xml:space="preserve">33.1 </w:t>
      </w:r>
      <w:r>
        <w:rPr>
          <w:rFonts w:ascii="Arial" w:cs="Arial" w:eastAsia="Arial" w:hAnsi="Arial"/>
          <w:sz w:val="19"/>
          <w:szCs w:val="19"/>
          <w:color w:val="2B2B2B"/>
        </w:rPr>
        <w:t>Tenant represents and warrants</w:t>
      </w:r>
      <w:r>
        <w:rPr>
          <w:rFonts w:ascii="Arial" w:cs="Arial" w:eastAsia="Arial" w:hAnsi="Arial"/>
          <w:sz w:val="19"/>
          <w:szCs w:val="19"/>
          <w:color w:val="A1A1A1"/>
        </w:rPr>
        <w:t>.</w:t>
      </w:r>
      <w:r>
        <w:rPr>
          <w:rFonts w:ascii="Arial" w:cs="Arial" w:eastAsia="Arial" w:hAnsi="Arial"/>
          <w:sz w:val="19"/>
          <w:szCs w:val="19"/>
          <w:color w:val="auto"/>
        </w:rPr>
        <w:t xml:space="preserve"> </w:t>
      </w:r>
      <w:r>
        <w:rPr>
          <w:rFonts w:ascii="Arial" w:cs="Arial" w:eastAsia="Arial" w:hAnsi="Arial"/>
          <w:sz w:val="19"/>
          <w:szCs w:val="19"/>
          <w:color w:val="2B2B2B"/>
        </w:rPr>
        <w:t>that it</w:t>
      </w:r>
      <w:r>
        <w:rPr>
          <w:rFonts w:ascii="Arial" w:cs="Arial" w:eastAsia="Arial" w:hAnsi="Arial"/>
          <w:sz w:val="19"/>
          <w:szCs w:val="19"/>
          <w:color w:val="auto"/>
        </w:rPr>
        <w:t xml:space="preserve"> has had no dealings with </w:t>
      </w:r>
      <w:r>
        <w:rPr>
          <w:rFonts w:ascii="Arial" w:cs="Arial" w:eastAsia="Arial" w:hAnsi="Arial"/>
          <w:sz w:val="19"/>
          <w:szCs w:val="19"/>
          <w:color w:val="2B2B2B"/>
        </w:rPr>
        <w:t>any real</w:t>
      </w:r>
      <w:r>
        <w:rPr>
          <w:rFonts w:ascii="Arial" w:cs="Arial" w:eastAsia="Arial" w:hAnsi="Arial"/>
          <w:sz w:val="19"/>
          <w:szCs w:val="19"/>
          <w:color w:val="auto"/>
        </w:rPr>
        <w:t xml:space="preserve"> estate broker or </w:t>
      </w:r>
      <w:r>
        <w:rPr>
          <w:rFonts w:ascii="Arial" w:cs="Arial" w:eastAsia="Arial" w:hAnsi="Arial"/>
          <w:sz w:val="19"/>
          <w:szCs w:val="19"/>
          <w:color w:val="2B2B2B"/>
        </w:rPr>
        <w:t>agent</w:t>
      </w:r>
      <w:r>
        <w:rPr>
          <w:rFonts w:ascii="Arial" w:cs="Arial" w:eastAsia="Arial" w:hAnsi="Arial"/>
          <w:sz w:val="19"/>
          <w:szCs w:val="19"/>
          <w:color w:val="auto"/>
        </w:rPr>
        <w:t xml:space="preserve"> in </w:t>
      </w:r>
      <w:r>
        <w:rPr>
          <w:rFonts w:ascii="Arial" w:cs="Arial" w:eastAsia="Arial" w:hAnsi="Arial"/>
          <w:sz w:val="19"/>
          <w:szCs w:val="19"/>
          <w:color w:val="2B2B2B"/>
        </w:rPr>
        <w:t>connection</w:t>
      </w:r>
      <w:r>
        <w:rPr>
          <w:rFonts w:ascii="Arial" w:cs="Arial" w:eastAsia="Arial" w:hAnsi="Arial"/>
          <w:sz w:val="19"/>
          <w:szCs w:val="19"/>
          <w:color w:val="auto"/>
        </w:rPr>
        <w:t xml:space="preserve"> with </w:t>
      </w:r>
      <w:r>
        <w:rPr>
          <w:rFonts w:ascii="Arial" w:cs="Arial" w:eastAsia="Arial" w:hAnsi="Arial"/>
          <w:sz w:val="19"/>
          <w:szCs w:val="19"/>
          <w:color w:val="2B2B2B"/>
        </w:rPr>
        <w:t xml:space="preserve">the </w:t>
      </w:r>
      <w:r>
        <w:rPr>
          <w:rFonts w:ascii="Arial" w:cs="Arial" w:eastAsia="Arial" w:hAnsi="Arial"/>
          <w:sz w:val="19"/>
          <w:szCs w:val="19"/>
          <w:color w:val="000000"/>
        </w:rPr>
        <w:t>negotiation of</w:t>
      </w:r>
      <w:r>
        <w:rPr>
          <w:rFonts w:ascii="Arial" w:cs="Arial" w:eastAsia="Arial" w:hAnsi="Arial"/>
          <w:sz w:val="19"/>
          <w:szCs w:val="19"/>
          <w:color w:val="2B2B2B"/>
        </w:rPr>
        <w:t xml:space="preserve"> </w:t>
      </w:r>
      <w:r>
        <w:rPr>
          <w:rFonts w:ascii="Arial" w:cs="Arial" w:eastAsia="Arial" w:hAnsi="Arial"/>
          <w:sz w:val="19"/>
          <w:szCs w:val="19"/>
          <w:color w:val="3F3F3F"/>
        </w:rPr>
        <w:t>this</w:t>
      </w:r>
      <w:r>
        <w:rPr>
          <w:rFonts w:ascii="Arial" w:cs="Arial" w:eastAsia="Arial" w:hAnsi="Arial"/>
          <w:sz w:val="19"/>
          <w:szCs w:val="19"/>
          <w:color w:val="2B2B2B"/>
        </w:rPr>
        <w:t xml:space="preserve"> Lease </w:t>
      </w:r>
      <w:r>
        <w:rPr>
          <w:rFonts w:ascii="Arial" w:cs="Arial" w:eastAsia="Arial" w:hAnsi="Arial"/>
          <w:sz w:val="19"/>
          <w:szCs w:val="19"/>
          <w:color w:val="000000"/>
        </w:rPr>
        <w:t>other than Holliday Fenoglio</w:t>
      </w:r>
      <w:r>
        <w:rPr>
          <w:rFonts w:ascii="Arial" w:cs="Arial" w:eastAsia="Arial" w:hAnsi="Arial"/>
          <w:sz w:val="19"/>
          <w:szCs w:val="19"/>
          <w:color w:val="2B2B2B"/>
        </w:rPr>
        <w:t xml:space="preserve"> Fowler, </w:t>
      </w:r>
      <w:r>
        <w:rPr>
          <w:rFonts w:ascii="Arial" w:cs="Arial" w:eastAsia="Arial" w:hAnsi="Arial"/>
          <w:sz w:val="19"/>
          <w:szCs w:val="19"/>
          <w:color w:val="3F3F3F"/>
        </w:rPr>
        <w:t>LP.</w:t>
      </w:r>
      <w:r>
        <w:rPr>
          <w:rFonts w:ascii="Arial" w:cs="Arial" w:eastAsia="Arial" w:hAnsi="Arial"/>
          <w:sz w:val="19"/>
          <w:szCs w:val="19"/>
          <w:color w:val="2B2B2B"/>
        </w:rPr>
        <w:t xml:space="preserve"> </w:t>
      </w:r>
      <w:r>
        <w:rPr>
          <w:rFonts w:ascii="Arial" w:cs="Arial" w:eastAsia="Arial" w:hAnsi="Arial"/>
          <w:sz w:val="19"/>
          <w:szCs w:val="19"/>
          <w:color w:val="000000"/>
        </w:rPr>
        <w:t>(“</w:t>
      </w:r>
      <w:r>
        <w:rPr>
          <w:rFonts w:ascii="Arial" w:cs="Arial" w:eastAsia="Arial" w:hAnsi="Arial"/>
          <w:sz w:val="19"/>
          <w:szCs w:val="19"/>
          <w:u w:val="single" w:color="auto"/>
          <w:color w:val="000000"/>
        </w:rPr>
        <w:t>Broker</w:t>
      </w:r>
      <w:r>
        <w:rPr>
          <w:rFonts w:ascii="Arial" w:cs="Arial" w:eastAsia="Arial" w:hAnsi="Arial"/>
          <w:sz w:val="19"/>
          <w:szCs w:val="19"/>
          <w:color w:val="000000"/>
        </w:rPr>
        <w:t>”), and that it knows</w:t>
      </w:r>
      <w:r>
        <w:rPr>
          <w:rFonts w:ascii="Arial" w:cs="Arial" w:eastAsia="Arial" w:hAnsi="Arial"/>
          <w:sz w:val="19"/>
          <w:szCs w:val="19"/>
          <w:color w:val="2B2B2B"/>
        </w:rPr>
        <w:t xml:space="preserve"> of </w:t>
      </w:r>
      <w:r>
        <w:rPr>
          <w:rFonts w:ascii="Arial" w:cs="Arial" w:eastAsia="Arial" w:hAnsi="Arial"/>
          <w:sz w:val="19"/>
          <w:szCs w:val="19"/>
          <w:color w:val="000000"/>
        </w:rPr>
        <w:t>no other</w:t>
      </w:r>
      <w:r>
        <w:rPr>
          <w:rFonts w:ascii="Arial" w:cs="Arial" w:eastAsia="Arial" w:hAnsi="Arial"/>
          <w:sz w:val="19"/>
          <w:szCs w:val="19"/>
          <w:color w:val="2B2B2B"/>
        </w:rPr>
        <w:t xml:space="preserve"> </w:t>
      </w:r>
      <w:r>
        <w:rPr>
          <w:rFonts w:ascii="Arial" w:cs="Arial" w:eastAsia="Arial" w:hAnsi="Arial"/>
          <w:sz w:val="19"/>
          <w:szCs w:val="19"/>
          <w:color w:val="000000"/>
        </w:rPr>
        <w:t xml:space="preserve">real </w:t>
      </w:r>
      <w:r>
        <w:rPr>
          <w:rFonts w:ascii="Arial" w:cs="Arial" w:eastAsia="Arial" w:hAnsi="Arial"/>
          <w:sz w:val="19"/>
          <w:szCs w:val="19"/>
          <w:color w:val="2B2B2B"/>
        </w:rPr>
        <w:t>estate</w:t>
      </w:r>
      <w:r>
        <w:rPr>
          <w:rFonts w:ascii="Arial" w:cs="Arial" w:eastAsia="Arial" w:hAnsi="Arial"/>
          <w:sz w:val="19"/>
          <w:szCs w:val="19"/>
          <w:color w:val="000000"/>
        </w:rPr>
        <w:t xml:space="preserve"> broker or agent that is or might be </w:t>
      </w:r>
      <w:r>
        <w:rPr>
          <w:rFonts w:ascii="Arial" w:cs="Arial" w:eastAsia="Arial" w:hAnsi="Arial"/>
          <w:sz w:val="19"/>
          <w:szCs w:val="19"/>
          <w:color w:val="2B2B2B"/>
        </w:rPr>
        <w:t>entitled</w:t>
      </w:r>
      <w:r>
        <w:rPr>
          <w:rFonts w:ascii="Arial" w:cs="Arial" w:eastAsia="Arial" w:hAnsi="Arial"/>
          <w:sz w:val="19"/>
          <w:szCs w:val="19"/>
          <w:color w:val="000000"/>
        </w:rPr>
        <w:t xml:space="preserve"> to a </w:t>
      </w:r>
      <w:r>
        <w:rPr>
          <w:rFonts w:ascii="Arial" w:cs="Arial" w:eastAsia="Arial" w:hAnsi="Arial"/>
          <w:sz w:val="19"/>
          <w:szCs w:val="19"/>
          <w:color w:val="2B2B2B"/>
        </w:rPr>
        <w:t>commission</w:t>
      </w:r>
      <w:r>
        <w:rPr>
          <w:rFonts w:ascii="Arial" w:cs="Arial" w:eastAsia="Arial" w:hAnsi="Arial"/>
          <w:sz w:val="19"/>
          <w:szCs w:val="19"/>
          <w:color w:val="000000"/>
        </w:rPr>
        <w:t xml:space="preserve"> in </w:t>
      </w:r>
      <w:r>
        <w:rPr>
          <w:rFonts w:ascii="Arial" w:cs="Arial" w:eastAsia="Arial" w:hAnsi="Arial"/>
          <w:sz w:val="19"/>
          <w:szCs w:val="19"/>
          <w:color w:val="2B2B2B"/>
        </w:rPr>
        <w:t>connection with</w:t>
      </w:r>
      <w:r>
        <w:rPr>
          <w:rFonts w:ascii="Arial" w:cs="Arial" w:eastAsia="Arial" w:hAnsi="Arial"/>
          <w:sz w:val="19"/>
          <w:szCs w:val="19"/>
          <w:color w:val="000000"/>
        </w:rPr>
        <w:t xml:space="preserve"> this </w:t>
      </w:r>
      <w:r>
        <w:rPr>
          <w:rFonts w:ascii="Arial" w:cs="Arial" w:eastAsia="Arial" w:hAnsi="Arial"/>
          <w:sz w:val="19"/>
          <w:szCs w:val="19"/>
          <w:color w:val="2B2B2B"/>
        </w:rPr>
        <w:t>Lease.</w:t>
      </w:r>
      <w:r>
        <w:rPr>
          <w:rFonts w:ascii="Arial" w:cs="Arial" w:eastAsia="Arial" w:hAnsi="Arial"/>
          <w:sz w:val="19"/>
          <w:szCs w:val="19"/>
          <w:color w:val="000000"/>
        </w:rPr>
        <w:t xml:space="preserve"> </w:t>
      </w:r>
      <w:r>
        <w:rPr>
          <w:rFonts w:ascii="Arial" w:cs="Arial" w:eastAsia="Arial" w:hAnsi="Arial"/>
          <w:sz w:val="19"/>
          <w:szCs w:val="19"/>
          <w:color w:val="3F3F3F"/>
        </w:rPr>
        <w:t>Landlord</w:t>
      </w:r>
      <w:r>
        <w:rPr>
          <w:rFonts w:ascii="Arial" w:cs="Arial" w:eastAsia="Arial" w:hAnsi="Arial"/>
          <w:sz w:val="19"/>
          <w:szCs w:val="19"/>
          <w:color w:val="000000"/>
        </w:rPr>
        <w:t xml:space="preserve"> shall </w:t>
      </w:r>
      <w:r>
        <w:rPr>
          <w:rFonts w:ascii="Arial" w:cs="Arial" w:eastAsia="Arial" w:hAnsi="Arial"/>
          <w:sz w:val="19"/>
          <w:szCs w:val="19"/>
          <w:color w:val="2B2B2B"/>
        </w:rPr>
        <w:t>compensate</w:t>
      </w:r>
      <w:r>
        <w:rPr>
          <w:rFonts w:ascii="Arial" w:cs="Arial" w:eastAsia="Arial" w:hAnsi="Arial"/>
          <w:sz w:val="19"/>
          <w:szCs w:val="19"/>
          <w:color w:val="000000"/>
        </w:rPr>
        <w:t xml:space="preserve"> Broker in </w:t>
      </w:r>
      <w:r>
        <w:rPr>
          <w:rFonts w:ascii="Arial" w:cs="Arial" w:eastAsia="Arial" w:hAnsi="Arial"/>
          <w:sz w:val="19"/>
          <w:szCs w:val="19"/>
          <w:color w:val="2B2B2B"/>
        </w:rPr>
        <w:t>relation</w:t>
      </w:r>
      <w:r>
        <w:rPr>
          <w:rFonts w:ascii="Arial" w:cs="Arial" w:eastAsia="Arial" w:hAnsi="Arial"/>
          <w:sz w:val="19"/>
          <w:szCs w:val="19"/>
          <w:color w:val="000000"/>
        </w:rPr>
        <w:t xml:space="preserve"> to this </w:t>
      </w:r>
      <w:r>
        <w:rPr>
          <w:rFonts w:ascii="Arial" w:cs="Arial" w:eastAsia="Arial" w:hAnsi="Arial"/>
          <w:sz w:val="19"/>
          <w:szCs w:val="19"/>
          <w:color w:val="2B2B2B"/>
        </w:rPr>
        <w:t>Lease</w:t>
      </w:r>
      <w:r>
        <w:rPr>
          <w:rFonts w:ascii="Arial" w:cs="Arial" w:eastAsia="Arial" w:hAnsi="Arial"/>
          <w:sz w:val="19"/>
          <w:szCs w:val="19"/>
          <w:color w:val="000000"/>
        </w:rPr>
        <w:t xml:space="preserve"> pursuant to a </w:t>
      </w:r>
      <w:r>
        <w:rPr>
          <w:rFonts w:ascii="Arial" w:cs="Arial" w:eastAsia="Arial" w:hAnsi="Arial"/>
          <w:sz w:val="19"/>
          <w:szCs w:val="19"/>
          <w:color w:val="2B2B2B"/>
        </w:rPr>
        <w:t>separate</w:t>
      </w:r>
      <w:r>
        <w:rPr>
          <w:rFonts w:ascii="Arial" w:cs="Arial" w:eastAsia="Arial" w:hAnsi="Arial"/>
          <w:sz w:val="19"/>
          <w:szCs w:val="19"/>
          <w:color w:val="000000"/>
        </w:rPr>
        <w:t xml:space="preserve"> agreement between </w:t>
      </w:r>
      <w:r>
        <w:rPr>
          <w:rFonts w:ascii="Arial" w:cs="Arial" w:eastAsia="Arial" w:hAnsi="Arial"/>
          <w:sz w:val="19"/>
          <w:szCs w:val="19"/>
          <w:color w:val="2B2B2B"/>
        </w:rPr>
        <w:t>Landlord and</w:t>
      </w:r>
      <w:r>
        <w:rPr>
          <w:rFonts w:ascii="Arial" w:cs="Arial" w:eastAsia="Arial" w:hAnsi="Arial"/>
          <w:sz w:val="19"/>
          <w:szCs w:val="19"/>
          <w:color w:val="000000"/>
        </w:rPr>
        <w:t xml:space="preserve"> Broker.</w:t>
      </w:r>
    </w:p>
    <w:p>
      <w:pPr>
        <w:spacing w:after="0" w:line="144" w:lineRule="exact"/>
        <w:rPr>
          <w:rFonts w:ascii="Arial" w:cs="Arial" w:eastAsia="Arial" w:hAnsi="Arial"/>
          <w:sz w:val="22"/>
          <w:szCs w:val="22"/>
          <w:color w:val="auto"/>
        </w:rPr>
      </w:pPr>
    </w:p>
    <w:p>
      <w:pPr>
        <w:ind w:left="1300" w:hanging="648"/>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33.2 Tenant represents and </w:t>
      </w:r>
      <w:r>
        <w:rPr>
          <w:rFonts w:ascii="Arial" w:cs="Arial" w:eastAsia="Arial" w:hAnsi="Arial"/>
          <w:sz w:val="22"/>
          <w:szCs w:val="22"/>
          <w:color w:val="2B2B2B"/>
        </w:rPr>
        <w:t>warrants</w:t>
      </w:r>
      <w:r>
        <w:rPr>
          <w:rFonts w:ascii="Arial" w:cs="Arial" w:eastAsia="Arial" w:hAnsi="Arial"/>
          <w:sz w:val="22"/>
          <w:szCs w:val="22"/>
          <w:color w:val="auto"/>
        </w:rPr>
        <w:t xml:space="preserve"> </w:t>
      </w:r>
      <w:r>
        <w:rPr>
          <w:rFonts w:ascii="Arial" w:cs="Arial" w:eastAsia="Arial" w:hAnsi="Arial"/>
          <w:sz w:val="22"/>
          <w:szCs w:val="22"/>
          <w:color w:val="3F3F3F"/>
        </w:rPr>
        <w:t>that</w:t>
      </w:r>
      <w:r>
        <w:rPr>
          <w:rFonts w:ascii="Arial" w:cs="Arial" w:eastAsia="Arial" w:hAnsi="Arial"/>
          <w:sz w:val="22"/>
          <w:szCs w:val="22"/>
          <w:color w:val="auto"/>
        </w:rPr>
        <w:t xml:space="preserve"> no </w:t>
      </w:r>
      <w:r>
        <w:rPr>
          <w:rFonts w:ascii="Arial" w:cs="Arial" w:eastAsia="Arial" w:hAnsi="Arial"/>
          <w:sz w:val="22"/>
          <w:szCs w:val="22"/>
          <w:color w:val="2B2B2B"/>
        </w:rPr>
        <w:t>broker</w:t>
      </w:r>
      <w:r>
        <w:rPr>
          <w:rFonts w:ascii="Arial" w:cs="Arial" w:eastAsia="Arial" w:hAnsi="Arial"/>
          <w:sz w:val="22"/>
          <w:szCs w:val="22"/>
          <w:color w:val="auto"/>
        </w:rPr>
        <w:t xml:space="preserve"> or agent has made </w:t>
      </w:r>
      <w:r>
        <w:rPr>
          <w:rFonts w:ascii="Arial" w:cs="Arial" w:eastAsia="Arial" w:hAnsi="Arial"/>
          <w:sz w:val="22"/>
          <w:szCs w:val="22"/>
          <w:color w:val="2B2B2B"/>
        </w:rPr>
        <w:t>any</w:t>
      </w:r>
      <w:r>
        <w:rPr>
          <w:rFonts w:ascii="Arial" w:cs="Arial" w:eastAsia="Arial" w:hAnsi="Arial"/>
          <w:sz w:val="22"/>
          <w:szCs w:val="22"/>
          <w:color w:val="auto"/>
        </w:rPr>
        <w:t xml:space="preserve"> representation </w:t>
      </w:r>
      <w:r>
        <w:rPr>
          <w:rFonts w:ascii="Arial" w:cs="Arial" w:eastAsia="Arial" w:hAnsi="Arial"/>
          <w:sz w:val="22"/>
          <w:szCs w:val="22"/>
          <w:color w:val="2B2B2B"/>
        </w:rPr>
        <w:t>or warranty relied</w:t>
      </w:r>
      <w:r>
        <w:rPr>
          <w:rFonts w:ascii="Arial" w:cs="Arial" w:eastAsia="Arial" w:hAnsi="Arial"/>
          <w:sz w:val="22"/>
          <w:szCs w:val="22"/>
          <w:color w:val="auto"/>
        </w:rPr>
        <w:t xml:space="preserve"> upon </w:t>
      </w:r>
      <w:r>
        <w:rPr>
          <w:rFonts w:ascii="Arial" w:cs="Arial" w:eastAsia="Arial" w:hAnsi="Arial"/>
          <w:sz w:val="22"/>
          <w:szCs w:val="22"/>
          <w:color w:val="2B2B2B"/>
        </w:rPr>
        <w:t>by</w:t>
      </w:r>
      <w:r>
        <w:rPr>
          <w:rFonts w:ascii="Arial" w:cs="Arial" w:eastAsia="Arial" w:hAnsi="Arial"/>
          <w:sz w:val="22"/>
          <w:szCs w:val="22"/>
          <w:color w:val="auto"/>
        </w:rPr>
        <w:t xml:space="preserve"> </w:t>
      </w:r>
      <w:r>
        <w:rPr>
          <w:rFonts w:ascii="Arial" w:cs="Arial" w:eastAsia="Arial" w:hAnsi="Arial"/>
          <w:sz w:val="22"/>
          <w:szCs w:val="22"/>
          <w:color w:val="2B2B2B"/>
        </w:rPr>
        <w:t xml:space="preserve">Tenant in </w:t>
      </w:r>
      <w:r>
        <w:rPr>
          <w:rFonts w:ascii="Arial" w:cs="Arial" w:eastAsia="Arial" w:hAnsi="Arial"/>
          <w:sz w:val="22"/>
          <w:szCs w:val="22"/>
          <w:color w:val="000000"/>
        </w:rPr>
        <w:t>Tenant’s decision</w:t>
      </w:r>
      <w:r>
        <w:rPr>
          <w:rFonts w:ascii="Arial" w:cs="Arial" w:eastAsia="Arial" w:hAnsi="Arial"/>
          <w:sz w:val="22"/>
          <w:szCs w:val="22"/>
          <w:color w:val="2B2B2B"/>
        </w:rPr>
        <w:t xml:space="preserve"> to enter </w:t>
      </w:r>
      <w:r>
        <w:rPr>
          <w:rFonts w:ascii="Arial" w:cs="Arial" w:eastAsia="Arial" w:hAnsi="Arial"/>
          <w:sz w:val="22"/>
          <w:szCs w:val="22"/>
          <w:color w:val="000000"/>
        </w:rPr>
        <w:t>into</w:t>
      </w:r>
      <w:r>
        <w:rPr>
          <w:rFonts w:ascii="Arial" w:cs="Arial" w:eastAsia="Arial" w:hAnsi="Arial"/>
          <w:sz w:val="22"/>
          <w:szCs w:val="22"/>
          <w:color w:val="2B2B2B"/>
        </w:rPr>
        <w:t xml:space="preserve"> this Lease, </w:t>
      </w:r>
      <w:r>
        <w:rPr>
          <w:rFonts w:ascii="Arial" w:cs="Arial" w:eastAsia="Arial" w:hAnsi="Arial"/>
          <w:sz w:val="22"/>
          <w:szCs w:val="22"/>
          <w:color w:val="000000"/>
        </w:rPr>
        <w:t>other than as</w:t>
      </w:r>
      <w:r>
        <w:rPr>
          <w:rFonts w:ascii="Arial" w:cs="Arial" w:eastAsia="Arial" w:hAnsi="Arial"/>
          <w:sz w:val="22"/>
          <w:szCs w:val="22"/>
          <w:color w:val="2B2B2B"/>
        </w:rPr>
        <w:t xml:space="preserve"> contained </w:t>
      </w:r>
      <w:r>
        <w:rPr>
          <w:rFonts w:ascii="Arial" w:cs="Arial" w:eastAsia="Arial" w:hAnsi="Arial"/>
          <w:sz w:val="22"/>
          <w:szCs w:val="22"/>
          <w:color w:val="000000"/>
        </w:rPr>
        <w:t>in this Lease.</w:t>
      </w:r>
    </w:p>
    <w:p>
      <w:pPr>
        <w:spacing w:after="0" w:line="158" w:lineRule="exact"/>
        <w:rPr>
          <w:rFonts w:ascii="Arial" w:cs="Arial" w:eastAsia="Arial" w:hAnsi="Arial"/>
          <w:sz w:val="22"/>
          <w:szCs w:val="22"/>
          <w:color w:val="auto"/>
        </w:rPr>
      </w:pPr>
    </w:p>
    <w:p>
      <w:pPr>
        <w:ind w:left="1300" w:hanging="648"/>
        <w:spacing w:after="0" w:line="216" w:lineRule="auto"/>
        <w:rPr>
          <w:rFonts w:ascii="Arial" w:cs="Arial" w:eastAsia="Arial" w:hAnsi="Arial"/>
          <w:sz w:val="22"/>
          <w:szCs w:val="22"/>
          <w:color w:val="auto"/>
        </w:rPr>
      </w:pPr>
      <w:r>
        <w:rPr>
          <w:rFonts w:ascii="Arial" w:cs="Arial" w:eastAsia="Arial" w:hAnsi="Arial"/>
          <w:sz w:val="22"/>
          <w:szCs w:val="22"/>
          <w:color w:val="auto"/>
        </w:rPr>
        <w:t xml:space="preserve">33.3 </w:t>
      </w:r>
      <w:r>
        <w:rPr>
          <w:rFonts w:ascii="Arial" w:cs="Arial" w:eastAsia="Arial" w:hAnsi="Arial"/>
          <w:sz w:val="22"/>
          <w:szCs w:val="22"/>
          <w:color w:val="181818"/>
        </w:rPr>
        <w:t>Tenant</w:t>
      </w:r>
      <w:r>
        <w:rPr>
          <w:rFonts w:ascii="Arial" w:cs="Arial" w:eastAsia="Arial" w:hAnsi="Arial"/>
          <w:sz w:val="22"/>
          <w:szCs w:val="22"/>
          <w:color w:val="auto"/>
        </w:rPr>
        <w:t xml:space="preserve"> acknowledges and </w:t>
      </w:r>
      <w:r>
        <w:rPr>
          <w:rFonts w:ascii="Arial" w:cs="Arial" w:eastAsia="Arial" w:hAnsi="Arial"/>
          <w:sz w:val="22"/>
          <w:szCs w:val="22"/>
          <w:color w:val="181818"/>
        </w:rPr>
        <w:t>agrees</w:t>
      </w:r>
      <w:r>
        <w:rPr>
          <w:rFonts w:ascii="Arial" w:cs="Arial" w:eastAsia="Arial" w:hAnsi="Arial"/>
          <w:sz w:val="22"/>
          <w:szCs w:val="22"/>
          <w:color w:val="auto"/>
        </w:rPr>
        <w:t xml:space="preserve"> that </w:t>
      </w:r>
      <w:r>
        <w:rPr>
          <w:rFonts w:ascii="Arial" w:cs="Arial" w:eastAsia="Arial" w:hAnsi="Arial"/>
          <w:sz w:val="22"/>
          <w:szCs w:val="22"/>
          <w:color w:val="181818"/>
        </w:rPr>
        <w:t>the</w:t>
      </w:r>
      <w:r>
        <w:rPr>
          <w:rFonts w:ascii="Arial" w:cs="Arial" w:eastAsia="Arial" w:hAnsi="Arial"/>
          <w:sz w:val="22"/>
          <w:szCs w:val="22"/>
          <w:color w:val="auto"/>
        </w:rPr>
        <w:t xml:space="preserve"> employment of brokers </w:t>
      </w:r>
      <w:r>
        <w:rPr>
          <w:rFonts w:ascii="Arial" w:cs="Arial" w:eastAsia="Arial" w:hAnsi="Arial"/>
          <w:sz w:val="22"/>
          <w:szCs w:val="22"/>
          <w:color w:val="181818"/>
        </w:rPr>
        <w:t>by</w:t>
      </w:r>
      <w:r>
        <w:rPr>
          <w:rFonts w:ascii="Arial" w:cs="Arial" w:eastAsia="Arial" w:hAnsi="Arial"/>
          <w:sz w:val="22"/>
          <w:szCs w:val="22"/>
          <w:color w:val="auto"/>
        </w:rPr>
        <w:t xml:space="preserve"> Landlord </w:t>
      </w:r>
      <w:r>
        <w:rPr>
          <w:rFonts w:ascii="Arial" w:cs="Arial" w:eastAsia="Arial" w:hAnsi="Arial"/>
          <w:sz w:val="22"/>
          <w:szCs w:val="22"/>
          <w:color w:val="3F3F3F"/>
        </w:rPr>
        <w:t>is</w:t>
      </w:r>
      <w:r>
        <w:rPr>
          <w:rFonts w:ascii="Arial" w:cs="Arial" w:eastAsia="Arial" w:hAnsi="Arial"/>
          <w:sz w:val="22"/>
          <w:szCs w:val="22"/>
          <w:color w:val="auto"/>
        </w:rPr>
        <w:t xml:space="preserve"> for </w:t>
      </w:r>
      <w:r>
        <w:rPr>
          <w:rFonts w:ascii="Arial" w:cs="Arial" w:eastAsia="Arial" w:hAnsi="Arial"/>
          <w:sz w:val="22"/>
          <w:szCs w:val="22"/>
          <w:color w:val="3F3F3F"/>
        </w:rPr>
        <w:t>the</w:t>
      </w:r>
      <w:r>
        <w:rPr>
          <w:rFonts w:ascii="Arial" w:cs="Arial" w:eastAsia="Arial" w:hAnsi="Arial"/>
          <w:sz w:val="22"/>
          <w:szCs w:val="22"/>
          <w:color w:val="auto"/>
        </w:rPr>
        <w:t xml:space="preserve"> </w:t>
      </w:r>
      <w:r>
        <w:rPr>
          <w:rFonts w:ascii="Arial" w:cs="Arial" w:eastAsia="Arial" w:hAnsi="Arial"/>
          <w:sz w:val="22"/>
          <w:szCs w:val="22"/>
          <w:color w:val="181818"/>
        </w:rPr>
        <w:t>purpose</w:t>
      </w:r>
      <w:r>
        <w:rPr>
          <w:rFonts w:ascii="Arial" w:cs="Arial" w:eastAsia="Arial" w:hAnsi="Arial"/>
          <w:sz w:val="22"/>
          <w:szCs w:val="22"/>
          <w:color w:val="auto"/>
        </w:rPr>
        <w:t xml:space="preserve"> of solicitation of offers of </w:t>
      </w:r>
      <w:r>
        <w:rPr>
          <w:rFonts w:ascii="Arial" w:cs="Arial" w:eastAsia="Arial" w:hAnsi="Arial"/>
          <w:sz w:val="22"/>
          <w:szCs w:val="22"/>
          <w:color w:val="181818"/>
        </w:rPr>
        <w:t>leases</w:t>
      </w:r>
      <w:r>
        <w:rPr>
          <w:rFonts w:ascii="Arial" w:cs="Arial" w:eastAsia="Arial" w:hAnsi="Arial"/>
          <w:sz w:val="22"/>
          <w:szCs w:val="22"/>
          <w:color w:val="auto"/>
        </w:rPr>
        <w:t xml:space="preserve"> from </w:t>
      </w:r>
      <w:r>
        <w:rPr>
          <w:rFonts w:ascii="Arial" w:cs="Arial" w:eastAsia="Arial" w:hAnsi="Arial"/>
          <w:sz w:val="22"/>
          <w:szCs w:val="22"/>
          <w:color w:val="181818"/>
        </w:rPr>
        <w:t>prospective tenants</w:t>
      </w:r>
      <w:r>
        <w:rPr>
          <w:rFonts w:ascii="Arial" w:cs="Arial" w:eastAsia="Arial" w:hAnsi="Arial"/>
          <w:sz w:val="22"/>
          <w:szCs w:val="22"/>
          <w:color w:val="auto"/>
        </w:rPr>
        <w:t xml:space="preserve"> and </w:t>
      </w:r>
      <w:r>
        <w:rPr>
          <w:rFonts w:ascii="Arial" w:cs="Arial" w:eastAsia="Arial" w:hAnsi="Arial"/>
          <w:sz w:val="22"/>
          <w:szCs w:val="22"/>
          <w:color w:val="181818"/>
        </w:rPr>
        <w:t>that no authority is</w:t>
      </w:r>
      <w:r>
        <w:rPr>
          <w:rFonts w:ascii="Arial" w:cs="Arial" w:eastAsia="Arial" w:hAnsi="Arial"/>
          <w:sz w:val="22"/>
          <w:szCs w:val="22"/>
          <w:color w:val="auto"/>
        </w:rPr>
        <w:t xml:space="preserve"> granted </w:t>
      </w:r>
      <w:r>
        <w:rPr>
          <w:rFonts w:ascii="Arial" w:cs="Arial" w:eastAsia="Arial" w:hAnsi="Arial"/>
          <w:sz w:val="22"/>
          <w:szCs w:val="22"/>
          <w:color w:val="181818"/>
        </w:rPr>
        <w:t>to any broker</w:t>
      </w:r>
      <w:r>
        <w:rPr>
          <w:rFonts w:ascii="Arial" w:cs="Arial" w:eastAsia="Arial" w:hAnsi="Arial"/>
          <w:sz w:val="22"/>
          <w:szCs w:val="22"/>
          <w:color w:val="auto"/>
        </w:rPr>
        <w:t xml:space="preserve"> </w:t>
      </w:r>
      <w:r>
        <w:rPr>
          <w:rFonts w:ascii="Arial" w:cs="Arial" w:eastAsia="Arial" w:hAnsi="Arial"/>
          <w:sz w:val="22"/>
          <w:szCs w:val="22"/>
          <w:color w:val="3F3F3F"/>
        </w:rPr>
        <w:t>to</w:t>
      </w:r>
      <w:r>
        <w:rPr>
          <w:rFonts w:ascii="Arial" w:cs="Arial" w:eastAsia="Arial" w:hAnsi="Arial"/>
          <w:sz w:val="22"/>
          <w:szCs w:val="22"/>
          <w:color w:val="auto"/>
        </w:rPr>
        <w:t xml:space="preserve"> </w:t>
      </w:r>
      <w:r>
        <w:rPr>
          <w:rFonts w:ascii="Arial" w:cs="Arial" w:eastAsia="Arial" w:hAnsi="Arial"/>
          <w:sz w:val="22"/>
          <w:szCs w:val="22"/>
          <w:color w:val="181818"/>
        </w:rPr>
        <w:t>furnish any</w:t>
      </w:r>
      <w:r>
        <w:rPr>
          <w:rFonts w:ascii="Arial" w:cs="Arial" w:eastAsia="Arial" w:hAnsi="Arial"/>
          <w:sz w:val="22"/>
          <w:szCs w:val="22"/>
          <w:color w:val="auto"/>
        </w:rPr>
        <w:t xml:space="preserve"> representation </w:t>
      </w:r>
      <w:r>
        <w:rPr>
          <w:rFonts w:ascii="Arial" w:cs="Arial" w:eastAsia="Arial" w:hAnsi="Arial"/>
          <w:sz w:val="22"/>
          <w:szCs w:val="22"/>
          <w:color w:val="181818"/>
        </w:rPr>
        <w:t>(written</w:t>
      </w:r>
      <w:r>
        <w:rPr>
          <w:rFonts w:ascii="Arial" w:cs="Arial" w:eastAsia="Arial" w:hAnsi="Arial"/>
          <w:sz w:val="22"/>
          <w:szCs w:val="22"/>
          <w:color w:val="auto"/>
        </w:rPr>
        <w:t xml:space="preserve"> or oral) </w:t>
      </w:r>
      <w:r>
        <w:rPr>
          <w:rFonts w:ascii="Arial" w:cs="Arial" w:eastAsia="Arial" w:hAnsi="Arial"/>
          <w:sz w:val="22"/>
          <w:szCs w:val="22"/>
          <w:color w:val="181818"/>
        </w:rPr>
        <w:t>or</w:t>
      </w:r>
      <w:r>
        <w:rPr>
          <w:rFonts w:ascii="Arial" w:cs="Arial" w:eastAsia="Arial" w:hAnsi="Arial"/>
          <w:sz w:val="22"/>
          <w:szCs w:val="22"/>
          <w:color w:val="auto"/>
        </w:rPr>
        <w:t xml:space="preserve"> warranty </w:t>
      </w:r>
      <w:r>
        <w:rPr>
          <w:rFonts w:ascii="Arial" w:cs="Arial" w:eastAsia="Arial" w:hAnsi="Arial"/>
          <w:sz w:val="22"/>
          <w:szCs w:val="22"/>
          <w:color w:val="181818"/>
        </w:rPr>
        <w:t>from Landlord unless</w:t>
      </w:r>
      <w:r>
        <w:rPr>
          <w:rFonts w:ascii="Arial" w:cs="Arial" w:eastAsia="Arial" w:hAnsi="Arial"/>
          <w:sz w:val="22"/>
          <w:szCs w:val="22"/>
          <w:color w:val="auto"/>
        </w:rPr>
        <w:t xml:space="preserve"> expressly contained within </w:t>
      </w:r>
      <w:r>
        <w:rPr>
          <w:rFonts w:ascii="Arial" w:cs="Arial" w:eastAsia="Arial" w:hAnsi="Arial"/>
          <w:sz w:val="22"/>
          <w:szCs w:val="22"/>
          <w:color w:val="181818"/>
        </w:rPr>
        <w:t>this</w:t>
      </w:r>
      <w:r>
        <w:rPr>
          <w:rFonts w:ascii="Arial" w:cs="Arial" w:eastAsia="Arial" w:hAnsi="Arial"/>
          <w:sz w:val="22"/>
          <w:szCs w:val="22"/>
          <w:color w:val="auto"/>
        </w:rPr>
        <w:t xml:space="preserve"> Lease. Landlord </w:t>
      </w:r>
      <w:r>
        <w:rPr>
          <w:rFonts w:ascii="Arial" w:cs="Arial" w:eastAsia="Arial" w:hAnsi="Arial"/>
          <w:sz w:val="22"/>
          <w:szCs w:val="22"/>
          <w:color w:val="181818"/>
        </w:rPr>
        <w:t xml:space="preserve">is </w:t>
      </w:r>
      <w:r>
        <w:rPr>
          <w:rFonts w:ascii="Arial" w:cs="Arial" w:eastAsia="Arial" w:hAnsi="Arial"/>
          <w:sz w:val="22"/>
          <w:szCs w:val="22"/>
          <w:color w:val="000000"/>
        </w:rPr>
        <w:t>executing this Lease in reliance upon Tenant’s representations, warranties and agreements contained within</w:t>
      </w:r>
      <w:r>
        <w:rPr>
          <w:rFonts w:ascii="Arial" w:cs="Arial" w:eastAsia="Arial" w:hAnsi="Arial"/>
          <w:sz w:val="22"/>
          <w:szCs w:val="22"/>
          <w:color w:val="181818"/>
        </w:rPr>
        <w:t xml:space="preserve"> </w:t>
      </w:r>
      <w:r>
        <w:rPr>
          <w:rFonts w:ascii="Arial" w:cs="Arial" w:eastAsia="Arial" w:hAnsi="Arial"/>
          <w:sz w:val="22"/>
          <w:szCs w:val="22"/>
          <w:u w:val="single" w:color="auto"/>
          <w:color w:val="000000"/>
        </w:rPr>
        <w:t>Sections 33.1</w:t>
      </w:r>
      <w:r>
        <w:rPr>
          <w:rFonts w:ascii="Arial" w:cs="Arial" w:eastAsia="Arial" w:hAnsi="Arial"/>
          <w:sz w:val="22"/>
          <w:szCs w:val="22"/>
          <w:color w:val="000000"/>
        </w:rPr>
        <w:t xml:space="preserve"> and </w:t>
      </w:r>
      <w:r>
        <w:rPr>
          <w:rFonts w:ascii="Arial" w:cs="Arial" w:eastAsia="Arial" w:hAnsi="Arial"/>
          <w:sz w:val="22"/>
          <w:szCs w:val="22"/>
          <w:u w:val="single" w:color="auto"/>
          <w:color w:val="000000"/>
        </w:rPr>
        <w:t>33.2</w:t>
      </w:r>
      <w:r>
        <w:rPr>
          <w:rFonts w:ascii="Arial" w:cs="Arial" w:eastAsia="Arial" w:hAnsi="Arial"/>
          <w:sz w:val="22"/>
          <w:szCs w:val="22"/>
          <w:color w:val="000000"/>
        </w:rPr>
        <w:t>.</w:t>
      </w:r>
    </w:p>
    <w:p>
      <w:pPr>
        <w:spacing w:after="0" w:line="157" w:lineRule="exact"/>
        <w:rPr>
          <w:rFonts w:ascii="Arial" w:cs="Arial" w:eastAsia="Arial" w:hAnsi="Arial"/>
          <w:sz w:val="22"/>
          <w:szCs w:val="22"/>
          <w:color w:val="auto"/>
        </w:rPr>
      </w:pPr>
    </w:p>
    <w:p>
      <w:pPr>
        <w:ind w:left="1300" w:right="20" w:hanging="648"/>
        <w:spacing w:after="0" w:line="218" w:lineRule="auto"/>
        <w:rPr>
          <w:rFonts w:ascii="Arial" w:cs="Arial" w:eastAsia="Arial" w:hAnsi="Arial"/>
          <w:sz w:val="22"/>
          <w:szCs w:val="22"/>
          <w:color w:val="auto"/>
        </w:rPr>
      </w:pPr>
      <w:r>
        <w:rPr>
          <w:rFonts w:ascii="Arial" w:cs="Arial" w:eastAsia="Arial" w:hAnsi="Arial"/>
          <w:sz w:val="22"/>
          <w:szCs w:val="22"/>
          <w:color w:val="auto"/>
        </w:rPr>
        <w:t>33.4 Tenant agrees to indemnify, save, defend (at Landlord’s option and with counsel reasonably acceptable to Landlord) and hold the Landlord Indemnitees harmless from any and all cost or liability for compensation claimed by any broker or agent, other than Broker, employed or engaged by it or claiming to have been employed or engaged by it.</w:t>
      </w:r>
    </w:p>
    <w:p>
      <w:pPr>
        <w:spacing w:after="0" w:line="160" w:lineRule="exact"/>
        <w:rPr>
          <w:rFonts w:ascii="Arial" w:cs="Arial" w:eastAsia="Arial" w:hAnsi="Arial"/>
          <w:sz w:val="22"/>
          <w:szCs w:val="22"/>
          <w:color w:val="auto"/>
        </w:rPr>
      </w:pPr>
    </w:p>
    <w:p>
      <w:pPr>
        <w:jc w:val="both"/>
        <w:ind w:left="660" w:hanging="652"/>
        <w:spacing w:after="0" w:line="216" w:lineRule="auto"/>
        <w:tabs>
          <w:tab w:leader="none" w:pos="660" w:val="left"/>
        </w:tabs>
        <w:numPr>
          <w:ilvl w:val="0"/>
          <w:numId w:val="304"/>
        </w:numPr>
        <w:rPr>
          <w:rFonts w:ascii="Arial" w:cs="Arial" w:eastAsia="Arial" w:hAnsi="Arial"/>
          <w:sz w:val="22"/>
          <w:szCs w:val="22"/>
          <w:color w:val="auto"/>
        </w:rPr>
      </w:pPr>
      <w:r>
        <w:rPr>
          <w:rFonts w:ascii="Arial" w:cs="Arial" w:eastAsia="Arial" w:hAnsi="Arial"/>
          <w:sz w:val="22"/>
          <w:szCs w:val="22"/>
          <w:u w:val="single" w:color="auto"/>
          <w:color w:val="auto"/>
        </w:rPr>
        <w:t>Definition of Landlord</w:t>
      </w:r>
      <w:r>
        <w:rPr>
          <w:rFonts w:ascii="Arial" w:cs="Arial" w:eastAsia="Arial" w:hAnsi="Arial"/>
          <w:sz w:val="22"/>
          <w:szCs w:val="22"/>
          <w:color w:val="auto"/>
        </w:rPr>
        <w:t>. With regard to obligations imposed upon Landlord pursuant to this Lease, the term “</w:t>
      </w:r>
      <w:r>
        <w:rPr>
          <w:rFonts w:ascii="Arial" w:cs="Arial" w:eastAsia="Arial" w:hAnsi="Arial"/>
          <w:sz w:val="22"/>
          <w:szCs w:val="22"/>
          <w:u w:val="single" w:color="auto"/>
          <w:color w:val="auto"/>
        </w:rPr>
        <w:t>Landlord,</w:t>
      </w:r>
      <w:r>
        <w:rPr>
          <w:rFonts w:ascii="Arial" w:cs="Arial" w:eastAsia="Arial" w:hAnsi="Arial"/>
          <w:sz w:val="22"/>
          <w:szCs w:val="22"/>
          <w:color w:val="auto"/>
        </w:rPr>
        <w:t>” as used in this Lease, shall refer only to Landlord or Landlord’s then-current successor-in-interest. In the event of any transfer, assignment or conveyance of Landlord’s interest in this Lease or in Landlord’s fee title to or leasehold interest in the Property, as applicable, which Landlord may do without Tenant’s consent, Landlord herein named (and in case of any subsequent transfers or conveyances,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01" w:right="339" w:bottom="1440" w:gutter="0" w:footer="0" w:header="0"/>
        </w:sectPr>
      </w:pPr>
    </w:p>
    <w:bookmarkStart w:id="363" w:name="page364"/>
    <w:bookmarkEnd w:id="363"/>
    <w:p>
      <w:pPr>
        <w:jc w:val="both"/>
        <w:ind w:left="660"/>
        <w:spacing w:after="0" w:line="247" w:lineRule="auto"/>
        <w:rPr>
          <w:sz w:val="20"/>
          <w:szCs w:val="20"/>
          <w:color w:val="auto"/>
        </w:rPr>
      </w:pPr>
      <w:r>
        <w:rPr>
          <w:rFonts w:ascii="Arial" w:cs="Arial" w:eastAsia="Arial" w:hAnsi="Arial"/>
          <w:sz w:val="19"/>
          <w:szCs w:val="19"/>
          <w:color w:val="auto"/>
        </w:rPr>
        <w:t>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 but upon notice to Tenant.</w:t>
      </w:r>
    </w:p>
    <w:p>
      <w:pPr>
        <w:spacing w:after="0" w:line="154"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22"/>
          <w:szCs w:val="22"/>
          <w:color w:val="auto"/>
        </w:rPr>
      </w:pPr>
      <w:r>
        <w:rPr>
          <w:rFonts w:ascii="Arial" w:cs="Arial" w:eastAsia="Arial" w:hAnsi="Arial"/>
          <w:sz w:val="22"/>
          <w:szCs w:val="22"/>
          <w:u w:val="single" w:color="auto"/>
          <w:color w:val="auto"/>
        </w:rPr>
        <w:t>Limitation of Landlord’s Liability</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24" w:lineRule="auto"/>
        <w:rPr>
          <w:rFonts w:ascii="Arial" w:cs="Arial" w:eastAsia="Arial" w:hAnsi="Arial"/>
          <w:sz w:val="22"/>
          <w:szCs w:val="22"/>
          <w:color w:val="auto"/>
        </w:rPr>
      </w:pPr>
      <w:r>
        <w:rPr>
          <w:rFonts w:ascii="Arial" w:cs="Arial" w:eastAsia="Arial" w:hAnsi="Arial"/>
          <w:sz w:val="21"/>
          <w:szCs w:val="21"/>
          <w:color w:val="auto"/>
        </w:rPr>
        <w:t>35.1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 and the Project, (b) rent, casualty proceeds, condemnation awards or other income from such real property receivable by Landlord or (c) the consideration received by Landlord from the sale, financing, refinancing or other disposition of all or any part of Landlord’s right, title or interest in the Building or the Project.</w:t>
      </w:r>
    </w:p>
    <w:p>
      <w:pPr>
        <w:spacing w:after="0" w:line="159" w:lineRule="exact"/>
        <w:rPr>
          <w:rFonts w:ascii="Arial" w:cs="Arial" w:eastAsia="Arial" w:hAnsi="Arial"/>
          <w:sz w:val="22"/>
          <w:szCs w:val="22"/>
          <w:color w:val="auto"/>
        </w:rPr>
      </w:pPr>
    </w:p>
    <w:p>
      <w:pPr>
        <w:ind w:left="1300" w:hanging="648"/>
        <w:spacing w:after="0" w:line="241" w:lineRule="auto"/>
        <w:rPr>
          <w:rFonts w:ascii="Arial" w:cs="Arial" w:eastAsia="Arial" w:hAnsi="Arial"/>
          <w:sz w:val="22"/>
          <w:szCs w:val="22"/>
          <w:color w:val="auto"/>
        </w:rPr>
      </w:pPr>
      <w:r>
        <w:rPr>
          <w:rFonts w:ascii="Arial" w:cs="Arial" w:eastAsia="Arial" w:hAnsi="Arial"/>
          <w:sz w:val="19"/>
          <w:szCs w:val="19"/>
          <w:color w:val="auto"/>
        </w:rPr>
        <w:t>35.2 Landlord shall not be personally liable for any deficiency under this Lease. If Landlord is a partnership or joint venture, then the partners of such partnership shall not be personally liable for Landlord’s obligations under this Lease, and no partner of Landlord shall be sued or named as a party in any suit or action, and service of process shall not be made against any partner of Landlord except as may be necessary to secure jurisdiction of the partnership or joint venture. If Landlord is a corporation, then the shareholders, directors, officers, employees and agents of such corporation shall not be personally liable for Landlord’s obligations under this Lease, and no shareholder, director, officer, employee or agent of Landlord shall be sued or named as a party in any suit or action, and service of process shall not be made against any shareholder, director, officer, employee or agent of Landlord. If Landlord is a limited liability company, then the members of such limited liability company shall not be personally liable for Landlord’s obligations under this Lease, and no member of Landlord shall be sued or named as a party in any suit or action, and service of process shall not be made against any member of Landlord except as may be necessary to secure jurisdiction of the limited liability company. No partner, shareholder, director, employee, member or agent of Landlord shall be required to answer or otherwise plead to any service of process, and no judgment shall be taken or writ of execution levied against any partner, shareholder, director, employee, member or agent of Landlord.</w:t>
      </w:r>
    </w:p>
    <w:p>
      <w:pPr>
        <w:spacing w:after="0" w:line="384"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35.3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158" w:lineRule="exact"/>
        <w:rPr>
          <w:rFonts w:ascii="Arial" w:cs="Arial" w:eastAsia="Arial" w:hAnsi="Arial"/>
          <w:sz w:val="22"/>
          <w:szCs w:val="22"/>
          <w:color w:val="auto"/>
        </w:rPr>
      </w:pPr>
    </w:p>
    <w:p>
      <w:pPr>
        <w:ind w:left="660" w:hanging="652"/>
        <w:spacing w:after="0"/>
        <w:tabs>
          <w:tab w:leader="none" w:pos="660" w:val="left"/>
        </w:tabs>
        <w:numPr>
          <w:ilvl w:val="0"/>
          <w:numId w:val="305"/>
        </w:numPr>
        <w:rPr>
          <w:rFonts w:ascii="Arial" w:cs="Arial" w:eastAsia="Arial" w:hAnsi="Arial"/>
          <w:sz w:val="22"/>
          <w:szCs w:val="22"/>
          <w:color w:val="auto"/>
        </w:rPr>
      </w:pPr>
      <w:r>
        <w:rPr>
          <w:rFonts w:ascii="Arial" w:cs="Arial" w:eastAsia="Arial" w:hAnsi="Arial"/>
          <w:sz w:val="22"/>
          <w:szCs w:val="22"/>
          <w:u w:val="single" w:color="auto"/>
          <w:color w:val="auto"/>
        </w:rPr>
        <w:t>Joint and Several Obligations</w:t>
      </w:r>
      <w:r>
        <w:rPr>
          <w:rFonts w:ascii="Arial" w:cs="Arial" w:eastAsia="Arial" w:hAnsi="Arial"/>
          <w:sz w:val="22"/>
          <w:szCs w:val="22"/>
          <w:color w:val="auto"/>
        </w:rPr>
        <w:t>. If more than one person or entity executes this Lease as Tenant, then:</w:t>
      </w:r>
    </w:p>
    <w:p>
      <w:pPr>
        <w:spacing w:after="0" w:line="179" w:lineRule="exact"/>
        <w:rPr>
          <w:rFonts w:ascii="Arial" w:cs="Arial" w:eastAsia="Arial" w:hAnsi="Arial"/>
          <w:sz w:val="22"/>
          <w:szCs w:val="22"/>
          <w:color w:val="auto"/>
        </w:rPr>
      </w:pPr>
    </w:p>
    <w:p>
      <w:pPr>
        <w:ind w:left="1300" w:hanging="648"/>
        <w:spacing w:after="0" w:line="298" w:lineRule="auto"/>
        <w:rPr>
          <w:rFonts w:ascii="Arial" w:cs="Arial" w:eastAsia="Arial" w:hAnsi="Arial"/>
          <w:sz w:val="22"/>
          <w:szCs w:val="22"/>
          <w:color w:val="auto"/>
        </w:rPr>
      </w:pPr>
      <w:r>
        <w:rPr>
          <w:rFonts w:ascii="Arial" w:cs="Arial" w:eastAsia="Arial" w:hAnsi="Arial"/>
          <w:sz w:val="19"/>
          <w:szCs w:val="19"/>
          <w:color w:val="auto"/>
        </w:rPr>
        <w:t>36.1 Each of them is jointly and severally liable for the keeping, observing and performing of all of the terms, covenants, conditions, provisions and agreements of this Lease to be kept, observed or performed by Tenant;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01" w:right="339" w:bottom="1440" w:gutter="0" w:footer="0" w:header="0"/>
        </w:sectPr>
      </w:pPr>
    </w:p>
    <w:bookmarkStart w:id="364" w:name="page365"/>
    <w:bookmarkEnd w:id="364"/>
    <w:p>
      <w:pPr>
        <w:jc w:val="both"/>
        <w:ind w:left="1300" w:hanging="647"/>
        <w:spacing w:after="0" w:line="252" w:lineRule="auto"/>
        <w:tabs>
          <w:tab w:leader="none" w:pos="1280" w:val="left"/>
        </w:tabs>
        <w:rPr>
          <w:sz w:val="20"/>
          <w:szCs w:val="20"/>
          <w:color w:val="auto"/>
        </w:rPr>
      </w:pPr>
      <w:r>
        <w:rPr>
          <w:rFonts w:ascii="Arial" w:cs="Arial" w:eastAsia="Arial" w:hAnsi="Arial"/>
          <w:sz w:val="22"/>
          <w:szCs w:val="22"/>
          <w:color w:val="auto"/>
        </w:rPr>
        <w:t>36.2</w:t>
      </w:r>
      <w:r>
        <w:rPr>
          <w:sz w:val="20"/>
          <w:szCs w:val="20"/>
          <w:color w:val="auto"/>
        </w:rPr>
        <w:tab/>
      </w:r>
      <w:r>
        <w:rPr>
          <w:rFonts w:ascii="Arial" w:cs="Arial" w:eastAsia="Arial" w:hAnsi="Arial"/>
          <w:sz w:val="19"/>
          <w:szCs w:val="19"/>
          <w:color w:val="auto"/>
        </w:rPr>
        <w:t>The term “</w:t>
      </w:r>
      <w:r>
        <w:rPr>
          <w:rFonts w:ascii="Arial" w:cs="Arial" w:eastAsia="Arial" w:hAnsi="Arial"/>
          <w:sz w:val="19"/>
          <w:szCs w:val="19"/>
          <w:u w:val="single" w:color="auto"/>
          <w:color w:val="auto"/>
        </w:rPr>
        <w:t>Tenant,</w:t>
      </w:r>
      <w:r>
        <w:rPr>
          <w:rFonts w:ascii="Arial" w:cs="Arial" w:eastAsia="Arial" w:hAnsi="Arial"/>
          <w:sz w:val="19"/>
          <w:szCs w:val="19"/>
          <w:color w:val="auto"/>
        </w:rPr>
        <w:t>” as used in this Lease shall mean and include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 parties had so acted, so given or received such notice or refund, or so signed.</w:t>
      </w:r>
    </w:p>
    <w:p>
      <w:pPr>
        <w:spacing w:after="0" w:line="149" w:lineRule="exact"/>
        <w:rPr>
          <w:sz w:val="20"/>
          <w:szCs w:val="20"/>
          <w:color w:val="auto"/>
        </w:rPr>
      </w:pPr>
    </w:p>
    <w:p>
      <w:pPr>
        <w:jc w:val="both"/>
        <w:ind w:left="660" w:hanging="652"/>
        <w:spacing w:after="0" w:line="243" w:lineRule="auto"/>
        <w:tabs>
          <w:tab w:leader="none" w:pos="660" w:val="left"/>
        </w:tabs>
        <w:numPr>
          <w:ilvl w:val="0"/>
          <w:numId w:val="306"/>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and (d) each person (and all of the persons if more than one signs) signing this Lease on behalf of Tenant is duly and validly authorized to do so. Landlord guarantees, warrants and represents that (w) Landlord is duly incorporated or otherwise established or formed and validly existing under the laws of its state of incorporation, establishment or formation, (x) Landlord has and is duly qualified to do business in the state in which the Property is located, (y) Landlord has full corporate, partnership, trust, association or other appropriate power and authority to enter into this Lease and to perform all Landlord’s obligations hereunder and (z) each person (and all of the persons if more than one signs) signing this Lease on behalf of Landlord is duly and validly authorized to do so.</w:t>
      </w:r>
    </w:p>
    <w:p>
      <w:pPr>
        <w:spacing w:after="0" w:line="158" w:lineRule="exact"/>
        <w:rPr>
          <w:rFonts w:ascii="Arial" w:cs="Arial" w:eastAsia="Arial" w:hAnsi="Arial"/>
          <w:sz w:val="19"/>
          <w:szCs w:val="19"/>
          <w:color w:val="auto"/>
        </w:rPr>
      </w:pPr>
    </w:p>
    <w:p>
      <w:pPr>
        <w:jc w:val="both"/>
        <w:ind w:left="660" w:hanging="652"/>
        <w:spacing w:after="0" w:line="242" w:lineRule="auto"/>
        <w:tabs>
          <w:tab w:leader="none" w:pos="660" w:val="left"/>
        </w:tabs>
        <w:numPr>
          <w:ilvl w:val="0"/>
          <w:numId w:val="30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Tenant shall keep the terms and conditions of this Lease and any non-public financial information or non-public information about Landlord’s ownership structure </w:t>
      </w:r>
      <w:r>
        <w:rPr>
          <w:rFonts w:ascii="Arial" w:cs="Arial" w:eastAsia="Arial" w:hAnsi="Arial"/>
          <w:sz w:val="19"/>
          <w:szCs w:val="19"/>
          <w:color w:val="1C1C1C"/>
        </w:rPr>
        <w:t>provided</w:t>
      </w:r>
      <w:r>
        <w:rPr>
          <w:rFonts w:ascii="Arial" w:cs="Arial" w:eastAsia="Arial" w:hAnsi="Arial"/>
          <w:sz w:val="19"/>
          <w:szCs w:val="19"/>
          <w:color w:val="auto"/>
        </w:rPr>
        <w:t xml:space="preserve"> </w:t>
      </w:r>
      <w:r>
        <w:rPr>
          <w:rFonts w:ascii="Arial" w:cs="Arial" w:eastAsia="Arial" w:hAnsi="Arial"/>
          <w:sz w:val="19"/>
          <w:szCs w:val="19"/>
          <w:color w:val="313131"/>
        </w:rPr>
        <w:t>to</w:t>
      </w:r>
      <w:r>
        <w:rPr>
          <w:rFonts w:ascii="Arial" w:cs="Arial" w:eastAsia="Arial" w:hAnsi="Arial"/>
          <w:sz w:val="19"/>
          <w:szCs w:val="19"/>
          <w:color w:val="auto"/>
        </w:rPr>
        <w:t xml:space="preserve"> </w:t>
      </w:r>
      <w:r>
        <w:rPr>
          <w:rFonts w:ascii="Arial" w:cs="Arial" w:eastAsia="Arial" w:hAnsi="Arial"/>
          <w:sz w:val="19"/>
          <w:szCs w:val="19"/>
          <w:color w:val="1C1C1C"/>
        </w:rPr>
        <w:t>Tenant or its employees, agents or contractors</w:t>
      </w:r>
      <w:r>
        <w:rPr>
          <w:rFonts w:ascii="Arial" w:cs="Arial" w:eastAsia="Arial" w:hAnsi="Arial"/>
          <w:sz w:val="19"/>
          <w:szCs w:val="19"/>
          <w:color w:val="auto"/>
        </w:rPr>
        <w:t xml:space="preserve"> </w:t>
      </w:r>
      <w:r>
        <w:rPr>
          <w:rFonts w:ascii="Arial" w:cs="Arial" w:eastAsia="Arial" w:hAnsi="Arial"/>
          <w:sz w:val="19"/>
          <w:szCs w:val="19"/>
          <w:color w:val="1C1C1C"/>
        </w:rPr>
        <w:t xml:space="preserve">pursuant to </w:t>
      </w:r>
      <w:r>
        <w:rPr>
          <w:rFonts w:ascii="Arial" w:cs="Arial" w:eastAsia="Arial" w:hAnsi="Arial"/>
          <w:sz w:val="19"/>
          <w:szCs w:val="19"/>
          <w:u w:val="single" w:color="auto"/>
          <w:color w:val="313131"/>
        </w:rPr>
        <w:t>Article</w:t>
      </w:r>
      <w:r>
        <w:rPr>
          <w:rFonts w:ascii="Arial" w:cs="Arial" w:eastAsia="Arial" w:hAnsi="Arial"/>
          <w:sz w:val="19"/>
          <w:szCs w:val="19"/>
          <w:color w:val="1C1C1C"/>
        </w:rPr>
        <w:t xml:space="preserve"> </w:t>
      </w:r>
      <w:r>
        <w:rPr>
          <w:rFonts w:ascii="Arial" w:cs="Arial" w:eastAsia="Arial" w:hAnsi="Arial"/>
          <w:sz w:val="19"/>
          <w:szCs w:val="19"/>
          <w:u w:val="single" w:color="auto"/>
          <w:color w:val="1C1C1C"/>
        </w:rPr>
        <w:t>9</w:t>
      </w:r>
      <w:r>
        <w:rPr>
          <w:rFonts w:ascii="Arial" w:cs="Arial" w:eastAsia="Arial" w:hAnsi="Arial"/>
          <w:sz w:val="19"/>
          <w:szCs w:val="19"/>
          <w:color w:val="1C1C1C"/>
        </w:rPr>
        <w:t xml:space="preserve"> confidential and </w:t>
      </w:r>
      <w:r>
        <w:rPr>
          <w:rFonts w:ascii="Arial" w:cs="Arial" w:eastAsia="Arial" w:hAnsi="Arial"/>
          <w:sz w:val="19"/>
          <w:szCs w:val="19"/>
          <w:color w:val="313131"/>
        </w:rPr>
        <w:t>shall not</w:t>
      </w:r>
      <w:r>
        <w:rPr>
          <w:rFonts w:ascii="Arial" w:cs="Arial" w:eastAsia="Arial" w:hAnsi="Arial"/>
          <w:sz w:val="19"/>
          <w:szCs w:val="19"/>
          <w:color w:val="1C1C1C"/>
        </w:rPr>
        <w:t xml:space="preserve"> (a) disclose to </w:t>
      </w:r>
      <w:r>
        <w:rPr>
          <w:rFonts w:ascii="Arial" w:cs="Arial" w:eastAsia="Arial" w:hAnsi="Arial"/>
          <w:sz w:val="19"/>
          <w:szCs w:val="19"/>
          <w:color w:val="313131"/>
        </w:rPr>
        <w:t>any</w:t>
      </w:r>
      <w:r>
        <w:rPr>
          <w:rFonts w:ascii="Arial" w:cs="Arial" w:eastAsia="Arial" w:hAnsi="Arial"/>
          <w:sz w:val="19"/>
          <w:szCs w:val="19"/>
          <w:color w:val="1C1C1C"/>
        </w:rPr>
        <w:t xml:space="preserve"> third party </w:t>
      </w:r>
      <w:r>
        <w:rPr>
          <w:rFonts w:ascii="Arial" w:cs="Arial" w:eastAsia="Arial" w:hAnsi="Arial"/>
          <w:sz w:val="19"/>
          <w:szCs w:val="19"/>
          <w:color w:val="313131"/>
        </w:rPr>
        <w:t>any</w:t>
      </w:r>
      <w:r>
        <w:rPr>
          <w:rFonts w:ascii="Arial" w:cs="Arial" w:eastAsia="Arial" w:hAnsi="Arial"/>
          <w:sz w:val="19"/>
          <w:szCs w:val="19"/>
          <w:color w:val="1C1C1C"/>
        </w:rPr>
        <w:t xml:space="preserve"> terms or </w:t>
      </w:r>
      <w:r>
        <w:rPr>
          <w:rFonts w:ascii="Arial" w:cs="Arial" w:eastAsia="Arial" w:hAnsi="Arial"/>
          <w:sz w:val="19"/>
          <w:szCs w:val="19"/>
          <w:color w:val="313131"/>
        </w:rPr>
        <w:t>conditions</w:t>
      </w:r>
      <w:r>
        <w:rPr>
          <w:rFonts w:ascii="Arial" w:cs="Arial" w:eastAsia="Arial" w:hAnsi="Arial"/>
          <w:sz w:val="19"/>
          <w:szCs w:val="19"/>
          <w:color w:val="1C1C1C"/>
        </w:rPr>
        <w:t xml:space="preserve"> of this Lease </w:t>
      </w:r>
      <w:r>
        <w:rPr>
          <w:rFonts w:ascii="Arial" w:cs="Arial" w:eastAsia="Arial" w:hAnsi="Arial"/>
          <w:sz w:val="19"/>
          <w:szCs w:val="19"/>
          <w:color w:val="313131"/>
        </w:rPr>
        <w:t>or</w:t>
      </w:r>
      <w:r>
        <w:rPr>
          <w:rFonts w:ascii="Arial" w:cs="Arial" w:eastAsia="Arial" w:hAnsi="Arial"/>
          <w:sz w:val="19"/>
          <w:szCs w:val="19"/>
          <w:color w:val="1C1C1C"/>
        </w:rPr>
        <w:t xml:space="preserve"> any other Lease-related </w:t>
      </w:r>
      <w:r>
        <w:rPr>
          <w:rFonts w:ascii="Arial" w:cs="Arial" w:eastAsia="Arial" w:hAnsi="Arial"/>
          <w:sz w:val="19"/>
          <w:szCs w:val="19"/>
          <w:color w:val="313131"/>
        </w:rPr>
        <w:t>document</w:t>
      </w:r>
      <w:r>
        <w:rPr>
          <w:rFonts w:ascii="Arial" w:cs="Arial" w:eastAsia="Arial" w:hAnsi="Arial"/>
          <w:sz w:val="19"/>
          <w:szCs w:val="19"/>
          <w:color w:val="1C1C1C"/>
        </w:rPr>
        <w:t xml:space="preserve"> (including </w:t>
      </w:r>
      <w:r>
        <w:rPr>
          <w:rFonts w:ascii="Arial" w:cs="Arial" w:eastAsia="Arial" w:hAnsi="Arial"/>
          <w:sz w:val="19"/>
          <w:szCs w:val="19"/>
          <w:color w:val="313131"/>
        </w:rPr>
        <w:t>subleases,</w:t>
      </w:r>
      <w:r>
        <w:rPr>
          <w:rFonts w:ascii="Arial" w:cs="Arial" w:eastAsia="Arial" w:hAnsi="Arial"/>
          <w:sz w:val="19"/>
          <w:szCs w:val="19"/>
          <w:color w:val="1C1C1C"/>
        </w:rPr>
        <w:t xml:space="preserve"> assignments</w:t>
      </w:r>
      <w:r>
        <w:rPr>
          <w:rFonts w:ascii="Arial" w:cs="Arial" w:eastAsia="Arial" w:hAnsi="Arial"/>
          <w:sz w:val="19"/>
          <w:szCs w:val="19"/>
          <w:color w:val="4D4D4D"/>
        </w:rPr>
        <w:t>,</w:t>
      </w:r>
      <w:r>
        <w:rPr>
          <w:rFonts w:ascii="Arial" w:cs="Arial" w:eastAsia="Arial" w:hAnsi="Arial"/>
          <w:sz w:val="19"/>
          <w:szCs w:val="19"/>
          <w:color w:val="1C1C1C"/>
        </w:rPr>
        <w:t xml:space="preserve"> work </w:t>
      </w:r>
      <w:r>
        <w:rPr>
          <w:rFonts w:ascii="Arial" w:cs="Arial" w:eastAsia="Arial" w:hAnsi="Arial"/>
          <w:sz w:val="19"/>
          <w:szCs w:val="19"/>
          <w:color w:val="0A0A0A"/>
        </w:rPr>
        <w:t>letters,</w:t>
      </w:r>
      <w:r>
        <w:rPr>
          <w:rFonts w:ascii="Arial" w:cs="Arial" w:eastAsia="Arial" w:hAnsi="Arial"/>
          <w:sz w:val="19"/>
          <w:szCs w:val="19"/>
          <w:color w:val="1C1C1C"/>
        </w:rPr>
        <w:t xml:space="preserve"> construction contracts, </w:t>
      </w:r>
      <w:r>
        <w:rPr>
          <w:rFonts w:ascii="Arial" w:cs="Arial" w:eastAsia="Arial" w:hAnsi="Arial"/>
          <w:sz w:val="19"/>
          <w:szCs w:val="19"/>
          <w:color w:val="0A0A0A"/>
        </w:rPr>
        <w:t>letters</w:t>
      </w:r>
      <w:r>
        <w:rPr>
          <w:rFonts w:ascii="Arial" w:cs="Arial" w:eastAsia="Arial" w:hAnsi="Arial"/>
          <w:sz w:val="19"/>
          <w:szCs w:val="19"/>
          <w:color w:val="1C1C1C"/>
        </w:rPr>
        <w:t xml:space="preserve"> </w:t>
      </w:r>
      <w:r>
        <w:rPr>
          <w:rFonts w:ascii="Arial" w:cs="Arial" w:eastAsia="Arial" w:hAnsi="Arial"/>
          <w:sz w:val="19"/>
          <w:szCs w:val="19"/>
          <w:color w:val="313131"/>
        </w:rPr>
        <w:t>of</w:t>
      </w:r>
      <w:r>
        <w:rPr>
          <w:rFonts w:ascii="Arial" w:cs="Arial" w:eastAsia="Arial" w:hAnsi="Arial"/>
          <w:sz w:val="19"/>
          <w:szCs w:val="19"/>
          <w:color w:val="1C1C1C"/>
        </w:rPr>
        <w:t xml:space="preserve"> credit, </w:t>
      </w:r>
      <w:r>
        <w:rPr>
          <w:rFonts w:ascii="Arial" w:cs="Arial" w:eastAsia="Arial" w:hAnsi="Arial"/>
          <w:sz w:val="19"/>
          <w:szCs w:val="19"/>
          <w:color w:val="313131"/>
        </w:rPr>
        <w:t xml:space="preserve">subordination agreements, </w:t>
      </w:r>
      <w:r>
        <w:rPr>
          <w:rFonts w:ascii="Arial" w:cs="Arial" w:eastAsia="Arial" w:hAnsi="Arial"/>
          <w:sz w:val="19"/>
          <w:szCs w:val="19"/>
          <w:color w:val="1C1C1C"/>
        </w:rPr>
        <w:t>non-disturbance agreements,</w:t>
      </w:r>
      <w:r>
        <w:rPr>
          <w:rFonts w:ascii="Arial" w:cs="Arial" w:eastAsia="Arial" w:hAnsi="Arial"/>
          <w:sz w:val="19"/>
          <w:szCs w:val="19"/>
          <w:color w:val="313131"/>
        </w:rPr>
        <w:t xml:space="preserve"> </w:t>
      </w:r>
      <w:r>
        <w:rPr>
          <w:rFonts w:ascii="Arial" w:cs="Arial" w:eastAsia="Arial" w:hAnsi="Arial"/>
          <w:sz w:val="19"/>
          <w:szCs w:val="19"/>
          <w:color w:val="0A0A0A"/>
        </w:rPr>
        <w:t>brokerage</w:t>
      </w:r>
      <w:r>
        <w:rPr>
          <w:rFonts w:ascii="Arial" w:cs="Arial" w:eastAsia="Arial" w:hAnsi="Arial"/>
          <w:sz w:val="19"/>
          <w:szCs w:val="19"/>
          <w:color w:val="313131"/>
        </w:rPr>
        <w:t xml:space="preserve"> </w:t>
      </w:r>
      <w:r>
        <w:rPr>
          <w:rFonts w:ascii="Arial" w:cs="Arial" w:eastAsia="Arial" w:hAnsi="Arial"/>
          <w:sz w:val="19"/>
          <w:szCs w:val="19"/>
          <w:color w:val="1C1C1C"/>
        </w:rPr>
        <w:t>agreements or</w:t>
      </w:r>
      <w:r>
        <w:rPr>
          <w:rFonts w:ascii="Arial" w:cs="Arial" w:eastAsia="Arial" w:hAnsi="Arial"/>
          <w:sz w:val="19"/>
          <w:szCs w:val="19"/>
          <w:color w:val="313131"/>
        </w:rPr>
        <w:t xml:space="preserve"> estoppels) </w:t>
      </w:r>
      <w:r>
        <w:rPr>
          <w:rFonts w:ascii="Arial" w:cs="Arial" w:eastAsia="Arial" w:hAnsi="Arial"/>
          <w:sz w:val="19"/>
          <w:szCs w:val="19"/>
          <w:color w:val="1C1C1C"/>
        </w:rPr>
        <w:t>or (b) provide to any third</w:t>
      </w:r>
      <w:r>
        <w:rPr>
          <w:rFonts w:ascii="Arial" w:cs="Arial" w:eastAsia="Arial" w:hAnsi="Arial"/>
          <w:sz w:val="19"/>
          <w:szCs w:val="19"/>
          <w:color w:val="313131"/>
        </w:rPr>
        <w:t xml:space="preserve"> party an </w:t>
      </w:r>
      <w:r>
        <w:rPr>
          <w:rFonts w:ascii="Arial" w:cs="Arial" w:eastAsia="Arial" w:hAnsi="Arial"/>
          <w:sz w:val="19"/>
          <w:szCs w:val="19"/>
          <w:color w:val="1C1C1C"/>
        </w:rPr>
        <w:t>original or copy of this Lease (or any</w:t>
      </w:r>
      <w:r>
        <w:rPr>
          <w:rFonts w:ascii="Arial" w:cs="Arial" w:eastAsia="Arial" w:hAnsi="Arial"/>
          <w:sz w:val="19"/>
          <w:szCs w:val="19"/>
          <w:color w:val="313131"/>
        </w:rPr>
        <w:t xml:space="preserve"> Lease-related </w:t>
      </w:r>
      <w:r>
        <w:rPr>
          <w:rFonts w:ascii="Arial" w:cs="Arial" w:eastAsia="Arial" w:hAnsi="Arial"/>
          <w:sz w:val="19"/>
          <w:szCs w:val="19"/>
          <w:color w:val="1C1C1C"/>
        </w:rPr>
        <w:t>document). Landlord</w:t>
      </w:r>
      <w:r>
        <w:rPr>
          <w:rFonts w:ascii="Arial" w:cs="Arial" w:eastAsia="Arial" w:hAnsi="Arial"/>
          <w:sz w:val="19"/>
          <w:szCs w:val="19"/>
          <w:color w:val="313131"/>
        </w:rPr>
        <w:t xml:space="preserve"> shall </w:t>
      </w:r>
      <w:r>
        <w:rPr>
          <w:rFonts w:ascii="Arial" w:cs="Arial" w:eastAsia="Arial" w:hAnsi="Arial"/>
          <w:sz w:val="19"/>
          <w:szCs w:val="19"/>
          <w:color w:val="1C1C1C"/>
        </w:rPr>
        <w:t>not release</w:t>
      </w:r>
      <w:r>
        <w:rPr>
          <w:rFonts w:ascii="Arial" w:cs="Arial" w:eastAsia="Arial" w:hAnsi="Arial"/>
          <w:sz w:val="19"/>
          <w:szCs w:val="19"/>
          <w:color w:val="313131"/>
        </w:rPr>
        <w:t xml:space="preserve"> to any </w:t>
      </w:r>
      <w:r>
        <w:rPr>
          <w:rFonts w:ascii="Arial" w:cs="Arial" w:eastAsia="Arial" w:hAnsi="Arial"/>
          <w:sz w:val="19"/>
          <w:szCs w:val="19"/>
          <w:color w:val="1C1C1C"/>
        </w:rPr>
        <w:t>third party any</w:t>
      </w:r>
      <w:r>
        <w:rPr>
          <w:rFonts w:ascii="Arial" w:cs="Arial" w:eastAsia="Arial" w:hAnsi="Arial"/>
          <w:sz w:val="19"/>
          <w:szCs w:val="19"/>
          <w:color w:val="313131"/>
        </w:rPr>
        <w:t xml:space="preserve"> </w:t>
      </w:r>
      <w:r>
        <w:rPr>
          <w:rFonts w:ascii="Arial" w:cs="Arial" w:eastAsia="Arial" w:hAnsi="Arial"/>
          <w:sz w:val="19"/>
          <w:szCs w:val="19"/>
          <w:color w:val="1C1C1C"/>
        </w:rPr>
        <w:t xml:space="preserve">non-public financial information or non-public information about Tenant’s ownership structure that </w:t>
      </w:r>
      <w:r>
        <w:rPr>
          <w:rFonts w:ascii="Arial" w:cs="Arial" w:eastAsia="Arial" w:hAnsi="Arial"/>
          <w:sz w:val="19"/>
          <w:szCs w:val="19"/>
          <w:color w:val="0A0A0A"/>
        </w:rPr>
        <w:t>T</w:t>
      </w:r>
      <w:r>
        <w:rPr>
          <w:rFonts w:ascii="Arial" w:cs="Arial" w:eastAsia="Arial" w:hAnsi="Arial"/>
          <w:sz w:val="19"/>
          <w:szCs w:val="19"/>
          <w:color w:val="313131"/>
        </w:rPr>
        <w:t>enant</w:t>
      </w:r>
      <w:r>
        <w:rPr>
          <w:rFonts w:ascii="Arial" w:cs="Arial" w:eastAsia="Arial" w:hAnsi="Arial"/>
          <w:sz w:val="19"/>
          <w:szCs w:val="19"/>
          <w:color w:val="1C1C1C"/>
        </w:rPr>
        <w:t xml:space="preserve"> gives Landlord. Notwithstanding the foregoing, confidential </w:t>
      </w:r>
      <w:r>
        <w:rPr>
          <w:rFonts w:ascii="Arial" w:cs="Arial" w:eastAsia="Arial" w:hAnsi="Arial"/>
          <w:sz w:val="19"/>
          <w:szCs w:val="19"/>
          <w:color w:val="313131"/>
        </w:rPr>
        <w:t>information</w:t>
      </w:r>
      <w:r>
        <w:rPr>
          <w:rFonts w:ascii="Arial" w:cs="Arial" w:eastAsia="Arial" w:hAnsi="Arial"/>
          <w:sz w:val="19"/>
          <w:szCs w:val="19"/>
          <w:color w:val="1C1C1C"/>
        </w:rPr>
        <w:t xml:space="preserve"> under this </w:t>
      </w:r>
      <w:r>
        <w:rPr>
          <w:rFonts w:ascii="Arial" w:cs="Arial" w:eastAsia="Arial" w:hAnsi="Arial"/>
          <w:sz w:val="19"/>
          <w:szCs w:val="19"/>
          <w:color w:val="313131"/>
        </w:rPr>
        <w:t>Section</w:t>
      </w:r>
      <w:r>
        <w:rPr>
          <w:rFonts w:ascii="Arial" w:cs="Arial" w:eastAsia="Arial" w:hAnsi="Arial"/>
          <w:sz w:val="19"/>
          <w:szCs w:val="19"/>
          <w:color w:val="1C1C1C"/>
        </w:rPr>
        <w:t xml:space="preserve"> may be </w:t>
      </w:r>
      <w:r>
        <w:rPr>
          <w:rFonts w:ascii="Arial" w:cs="Arial" w:eastAsia="Arial" w:hAnsi="Arial"/>
          <w:sz w:val="19"/>
          <w:szCs w:val="19"/>
          <w:color w:val="313131"/>
        </w:rPr>
        <w:t>released</w:t>
      </w:r>
      <w:r>
        <w:rPr>
          <w:rFonts w:ascii="Arial" w:cs="Arial" w:eastAsia="Arial" w:hAnsi="Arial"/>
          <w:sz w:val="19"/>
          <w:szCs w:val="19"/>
          <w:color w:val="1C1C1C"/>
        </w:rPr>
        <w:t xml:space="preserve"> by </w:t>
      </w:r>
      <w:r>
        <w:rPr>
          <w:rFonts w:ascii="Arial" w:cs="Arial" w:eastAsia="Arial" w:hAnsi="Arial"/>
          <w:sz w:val="19"/>
          <w:szCs w:val="19"/>
          <w:color w:val="313131"/>
        </w:rPr>
        <w:t>Landlord</w:t>
      </w:r>
      <w:r>
        <w:rPr>
          <w:rFonts w:ascii="Arial" w:cs="Arial" w:eastAsia="Arial" w:hAnsi="Arial"/>
          <w:sz w:val="19"/>
          <w:szCs w:val="19"/>
          <w:color w:val="1C1C1C"/>
        </w:rPr>
        <w:t xml:space="preserve"> or Tenant </w:t>
      </w:r>
      <w:r>
        <w:rPr>
          <w:rFonts w:ascii="Arial" w:cs="Arial" w:eastAsia="Arial" w:hAnsi="Arial"/>
          <w:sz w:val="19"/>
          <w:szCs w:val="19"/>
          <w:color w:val="313131"/>
        </w:rPr>
        <w:t>under</w:t>
      </w:r>
      <w:r>
        <w:rPr>
          <w:rFonts w:ascii="Arial" w:cs="Arial" w:eastAsia="Arial" w:hAnsi="Arial"/>
          <w:sz w:val="19"/>
          <w:szCs w:val="19"/>
          <w:color w:val="1C1C1C"/>
        </w:rPr>
        <w:t xml:space="preserve"> the following circumstances: </w:t>
      </w:r>
      <w:r>
        <w:rPr>
          <w:rFonts w:ascii="Arial" w:cs="Arial" w:eastAsia="Arial" w:hAnsi="Arial"/>
          <w:sz w:val="19"/>
          <w:szCs w:val="19"/>
          <w:color w:val="313131"/>
        </w:rPr>
        <w:t>(x)</w:t>
      </w:r>
      <w:r>
        <w:rPr>
          <w:rFonts w:ascii="Arial" w:cs="Arial" w:eastAsia="Arial" w:hAnsi="Arial"/>
          <w:sz w:val="19"/>
          <w:szCs w:val="19"/>
          <w:color w:val="1C1C1C"/>
        </w:rPr>
        <w:t xml:space="preserve"> if required by Applicable Laws or </w:t>
      </w:r>
      <w:r>
        <w:rPr>
          <w:rFonts w:ascii="Arial" w:cs="Arial" w:eastAsia="Arial" w:hAnsi="Arial"/>
          <w:sz w:val="19"/>
          <w:szCs w:val="19"/>
          <w:color w:val="313131"/>
        </w:rPr>
        <w:t>in</w:t>
      </w:r>
      <w:r>
        <w:rPr>
          <w:rFonts w:ascii="Arial" w:cs="Arial" w:eastAsia="Arial" w:hAnsi="Arial"/>
          <w:sz w:val="19"/>
          <w:szCs w:val="19"/>
          <w:color w:val="1C1C1C"/>
        </w:rPr>
        <w:t xml:space="preserve"> any judicial </w:t>
      </w:r>
      <w:r>
        <w:rPr>
          <w:rFonts w:ascii="Arial" w:cs="Arial" w:eastAsia="Arial" w:hAnsi="Arial"/>
          <w:sz w:val="19"/>
          <w:szCs w:val="19"/>
          <w:color w:val="313131"/>
        </w:rPr>
        <w:t>proceeding;</w:t>
      </w:r>
      <w:r>
        <w:rPr>
          <w:rFonts w:ascii="Arial" w:cs="Arial" w:eastAsia="Arial" w:hAnsi="Arial"/>
          <w:sz w:val="19"/>
          <w:szCs w:val="19"/>
          <w:color w:val="1C1C1C"/>
        </w:rPr>
        <w:t xml:space="preserve"> provided that the releasing party has given </w:t>
      </w:r>
      <w:r>
        <w:rPr>
          <w:rFonts w:ascii="Arial" w:cs="Arial" w:eastAsia="Arial" w:hAnsi="Arial"/>
          <w:sz w:val="19"/>
          <w:szCs w:val="19"/>
          <w:color w:val="0A0A0A"/>
        </w:rPr>
        <w:t>the</w:t>
      </w:r>
      <w:r>
        <w:rPr>
          <w:rFonts w:ascii="Arial" w:cs="Arial" w:eastAsia="Arial" w:hAnsi="Arial"/>
          <w:sz w:val="19"/>
          <w:szCs w:val="19"/>
          <w:color w:val="1C1C1C"/>
        </w:rPr>
        <w:t xml:space="preserve"> other party reasonable </w:t>
      </w:r>
      <w:r>
        <w:rPr>
          <w:rFonts w:ascii="Arial" w:cs="Arial" w:eastAsia="Arial" w:hAnsi="Arial"/>
          <w:sz w:val="19"/>
          <w:szCs w:val="19"/>
          <w:color w:val="0A0A0A"/>
        </w:rPr>
        <w:t>notice</w:t>
      </w:r>
      <w:r>
        <w:rPr>
          <w:rFonts w:ascii="Arial" w:cs="Arial" w:eastAsia="Arial" w:hAnsi="Arial"/>
          <w:sz w:val="19"/>
          <w:szCs w:val="19"/>
          <w:color w:val="1C1C1C"/>
        </w:rPr>
        <w:t xml:space="preserve"> of </w:t>
      </w:r>
      <w:r>
        <w:rPr>
          <w:rFonts w:ascii="Arial" w:cs="Arial" w:eastAsia="Arial" w:hAnsi="Arial"/>
          <w:sz w:val="19"/>
          <w:szCs w:val="19"/>
          <w:color w:val="313131"/>
        </w:rPr>
        <w:t>such requirement,</w:t>
      </w:r>
      <w:r>
        <w:rPr>
          <w:rFonts w:ascii="Arial" w:cs="Arial" w:eastAsia="Arial" w:hAnsi="Arial"/>
          <w:sz w:val="19"/>
          <w:szCs w:val="19"/>
          <w:color w:val="1C1C1C"/>
        </w:rPr>
        <w:t xml:space="preserve"> if feasible</w:t>
      </w:r>
      <w:r>
        <w:rPr>
          <w:rFonts w:ascii="Arial" w:cs="Arial" w:eastAsia="Arial" w:hAnsi="Arial"/>
          <w:sz w:val="19"/>
          <w:szCs w:val="19"/>
          <w:color w:val="4D4D4D"/>
        </w:rPr>
        <w:t>,</w:t>
      </w:r>
      <w:r>
        <w:rPr>
          <w:rFonts w:ascii="Arial" w:cs="Arial" w:eastAsia="Arial" w:hAnsi="Arial"/>
          <w:sz w:val="19"/>
          <w:szCs w:val="19"/>
          <w:color w:val="1C1C1C"/>
        </w:rPr>
        <w:t xml:space="preserve"> </w:t>
      </w:r>
      <w:r>
        <w:rPr>
          <w:rFonts w:ascii="Arial" w:cs="Arial" w:eastAsia="Arial" w:hAnsi="Arial"/>
          <w:sz w:val="19"/>
          <w:szCs w:val="19"/>
          <w:color w:val="313131"/>
        </w:rPr>
        <w:t>(y) to</w:t>
      </w:r>
      <w:r>
        <w:rPr>
          <w:rFonts w:ascii="Arial" w:cs="Arial" w:eastAsia="Arial" w:hAnsi="Arial"/>
          <w:sz w:val="19"/>
          <w:szCs w:val="19"/>
          <w:color w:val="1C1C1C"/>
        </w:rPr>
        <w:t xml:space="preserve"> a party’s attorneys, accountants, brokers and other </w:t>
      </w:r>
      <w:r>
        <w:rPr>
          <w:rFonts w:ascii="Arial" w:cs="Arial" w:eastAsia="Arial" w:hAnsi="Arial"/>
          <w:sz w:val="19"/>
          <w:szCs w:val="19"/>
          <w:color w:val="0A0A0A"/>
        </w:rPr>
        <w:t>bona</w:t>
      </w:r>
      <w:r>
        <w:rPr>
          <w:rFonts w:ascii="Arial" w:cs="Arial" w:eastAsia="Arial" w:hAnsi="Arial"/>
          <w:sz w:val="19"/>
          <w:szCs w:val="19"/>
          <w:color w:val="1C1C1C"/>
        </w:rPr>
        <w:t xml:space="preserve"> fide consultants or advisers </w:t>
      </w:r>
      <w:r>
        <w:rPr>
          <w:rFonts w:ascii="Arial" w:cs="Arial" w:eastAsia="Arial" w:hAnsi="Arial"/>
          <w:sz w:val="19"/>
          <w:szCs w:val="19"/>
          <w:color w:val="0A0A0A"/>
        </w:rPr>
        <w:t>(with</w:t>
      </w:r>
      <w:r>
        <w:rPr>
          <w:rFonts w:ascii="Arial" w:cs="Arial" w:eastAsia="Arial" w:hAnsi="Arial"/>
          <w:sz w:val="19"/>
          <w:szCs w:val="19"/>
          <w:color w:val="1C1C1C"/>
        </w:rPr>
        <w:t xml:space="preserve"> respect to </w:t>
      </w:r>
      <w:r>
        <w:rPr>
          <w:rFonts w:ascii="Arial" w:cs="Arial" w:eastAsia="Arial" w:hAnsi="Arial"/>
          <w:sz w:val="19"/>
          <w:szCs w:val="19"/>
          <w:color w:val="0A0A0A"/>
        </w:rPr>
        <w:t>this</w:t>
      </w:r>
      <w:r>
        <w:rPr>
          <w:rFonts w:ascii="Arial" w:cs="Arial" w:eastAsia="Arial" w:hAnsi="Arial"/>
          <w:sz w:val="19"/>
          <w:szCs w:val="19"/>
          <w:color w:val="1C1C1C"/>
        </w:rPr>
        <w:t xml:space="preserve"> </w:t>
      </w:r>
      <w:r>
        <w:rPr>
          <w:rFonts w:ascii="Arial" w:cs="Arial" w:eastAsia="Arial" w:hAnsi="Arial"/>
          <w:sz w:val="19"/>
          <w:szCs w:val="19"/>
          <w:color w:val="313131"/>
        </w:rPr>
        <w:t>Lease</w:t>
      </w:r>
      <w:r>
        <w:rPr>
          <w:rFonts w:ascii="Arial" w:cs="Arial" w:eastAsia="Arial" w:hAnsi="Arial"/>
          <w:sz w:val="19"/>
          <w:szCs w:val="19"/>
          <w:color w:val="1C1C1C"/>
        </w:rPr>
        <w:t xml:space="preserve"> only); provided </w:t>
      </w:r>
      <w:r>
        <w:rPr>
          <w:rFonts w:ascii="Arial" w:cs="Arial" w:eastAsia="Arial" w:hAnsi="Arial"/>
          <w:sz w:val="19"/>
          <w:szCs w:val="19"/>
          <w:color w:val="313131"/>
        </w:rPr>
        <w:t>such</w:t>
      </w:r>
      <w:r>
        <w:rPr>
          <w:rFonts w:ascii="Arial" w:cs="Arial" w:eastAsia="Arial" w:hAnsi="Arial"/>
          <w:sz w:val="19"/>
          <w:szCs w:val="19"/>
          <w:color w:val="1C1C1C"/>
        </w:rPr>
        <w:t xml:space="preserve"> third parties </w:t>
      </w:r>
      <w:r>
        <w:rPr>
          <w:rFonts w:ascii="Arial" w:cs="Arial" w:eastAsia="Arial" w:hAnsi="Arial"/>
          <w:sz w:val="19"/>
          <w:szCs w:val="19"/>
          <w:color w:val="313131"/>
        </w:rPr>
        <w:t>agree</w:t>
      </w:r>
      <w:r>
        <w:rPr>
          <w:rFonts w:ascii="Arial" w:cs="Arial" w:eastAsia="Arial" w:hAnsi="Arial"/>
          <w:sz w:val="19"/>
          <w:szCs w:val="19"/>
          <w:color w:val="1C1C1C"/>
        </w:rPr>
        <w:t xml:space="preserve"> to </w:t>
      </w:r>
      <w:r>
        <w:rPr>
          <w:rFonts w:ascii="Arial" w:cs="Arial" w:eastAsia="Arial" w:hAnsi="Arial"/>
          <w:sz w:val="19"/>
          <w:szCs w:val="19"/>
          <w:color w:val="0A0A0A"/>
        </w:rPr>
        <w:t>be</w:t>
      </w:r>
      <w:r>
        <w:rPr>
          <w:rFonts w:ascii="Arial" w:cs="Arial" w:eastAsia="Arial" w:hAnsi="Arial"/>
          <w:sz w:val="19"/>
          <w:szCs w:val="19"/>
          <w:color w:val="1C1C1C"/>
        </w:rPr>
        <w:t xml:space="preserve"> bound by this Section or (z) to bona fide prospective assignees or </w:t>
      </w:r>
      <w:r>
        <w:rPr>
          <w:rFonts w:ascii="Arial" w:cs="Arial" w:eastAsia="Arial" w:hAnsi="Arial"/>
          <w:sz w:val="19"/>
          <w:szCs w:val="19"/>
          <w:color w:val="313131"/>
        </w:rPr>
        <w:t>subtenants</w:t>
      </w:r>
      <w:r>
        <w:rPr>
          <w:rFonts w:ascii="Arial" w:cs="Arial" w:eastAsia="Arial" w:hAnsi="Arial"/>
          <w:sz w:val="19"/>
          <w:szCs w:val="19"/>
          <w:color w:val="1C1C1C"/>
        </w:rPr>
        <w:t xml:space="preserve"> of this Lease; </w:t>
      </w:r>
      <w:r>
        <w:rPr>
          <w:rFonts w:ascii="Arial" w:cs="Arial" w:eastAsia="Arial" w:hAnsi="Arial"/>
          <w:sz w:val="19"/>
          <w:szCs w:val="19"/>
          <w:u w:val="single" w:color="auto"/>
          <w:color w:val="1C1C1C"/>
        </w:rPr>
        <w:t>provided</w:t>
      </w:r>
      <w:r>
        <w:rPr>
          <w:rFonts w:ascii="Arial" w:cs="Arial" w:eastAsia="Arial" w:hAnsi="Arial"/>
          <w:sz w:val="19"/>
          <w:szCs w:val="19"/>
          <w:color w:val="1C1C1C"/>
        </w:rPr>
        <w:t xml:space="preserve"> they agree in writing to be bound by this Section.</w:t>
      </w:r>
    </w:p>
    <w:p>
      <w:pPr>
        <w:spacing w:after="0" w:line="380" w:lineRule="exact"/>
        <w:rPr>
          <w:rFonts w:ascii="Arial" w:cs="Arial" w:eastAsia="Arial" w:hAnsi="Arial"/>
          <w:sz w:val="19"/>
          <w:szCs w:val="19"/>
          <w:color w:val="auto"/>
        </w:rPr>
      </w:pPr>
    </w:p>
    <w:p>
      <w:pPr>
        <w:jc w:val="both"/>
        <w:ind w:left="660" w:hanging="652"/>
        <w:spacing w:after="0" w:line="221" w:lineRule="auto"/>
        <w:tabs>
          <w:tab w:leader="none" w:pos="660" w:val="left"/>
        </w:tabs>
        <w:numPr>
          <w:ilvl w:val="0"/>
          <w:numId w:val="30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w:t>
      </w:r>
      <w:r>
        <w:rPr>
          <w:rFonts w:ascii="Arial" w:cs="Arial" w:eastAsia="Arial" w:hAnsi="Arial"/>
          <w:sz w:val="21"/>
          <w:szCs w:val="21"/>
          <w:color w:val="313131"/>
        </w:rPr>
        <w:t>Any</w:t>
      </w:r>
      <w:r>
        <w:rPr>
          <w:rFonts w:ascii="Arial" w:cs="Arial" w:eastAsia="Arial" w:hAnsi="Arial"/>
          <w:sz w:val="21"/>
          <w:szCs w:val="21"/>
          <w:color w:val="auto"/>
        </w:rPr>
        <w:t xml:space="preserve"> notice, consent, demand, bill, </w:t>
      </w:r>
      <w:r>
        <w:rPr>
          <w:rFonts w:ascii="Arial" w:cs="Arial" w:eastAsia="Arial" w:hAnsi="Arial"/>
          <w:sz w:val="21"/>
          <w:szCs w:val="21"/>
          <w:color w:val="313131"/>
        </w:rPr>
        <w:t>statement</w:t>
      </w:r>
      <w:r>
        <w:rPr>
          <w:rFonts w:ascii="Arial" w:cs="Arial" w:eastAsia="Arial" w:hAnsi="Arial"/>
          <w:sz w:val="21"/>
          <w:szCs w:val="21"/>
          <w:color w:val="auto"/>
        </w:rPr>
        <w:t xml:space="preserve"> or other communication required or permitted to be given hereunder shall </w:t>
      </w:r>
      <w:r>
        <w:rPr>
          <w:rFonts w:ascii="Arial" w:cs="Arial" w:eastAsia="Arial" w:hAnsi="Arial"/>
          <w:sz w:val="21"/>
          <w:szCs w:val="21"/>
          <w:color w:val="0A0A0A"/>
        </w:rPr>
        <w:t>be</w:t>
      </w:r>
      <w:r>
        <w:rPr>
          <w:rFonts w:ascii="Arial" w:cs="Arial" w:eastAsia="Arial" w:hAnsi="Arial"/>
          <w:sz w:val="21"/>
          <w:szCs w:val="21"/>
          <w:color w:val="auto"/>
        </w:rPr>
        <w:t xml:space="preserve"> in writing and shall be given by personal delivery</w:t>
      </w:r>
      <w:r>
        <w:rPr>
          <w:rFonts w:ascii="Arial" w:cs="Arial" w:eastAsia="Arial" w:hAnsi="Arial"/>
          <w:sz w:val="21"/>
          <w:szCs w:val="21"/>
          <w:color w:val="4D4D4D"/>
        </w:rPr>
        <w:t>,</w:t>
      </w:r>
      <w:r>
        <w:rPr>
          <w:rFonts w:ascii="Arial" w:cs="Arial" w:eastAsia="Arial" w:hAnsi="Arial"/>
          <w:sz w:val="21"/>
          <w:szCs w:val="21"/>
          <w:color w:val="auto"/>
        </w:rPr>
        <w:t xml:space="preserve"> </w:t>
      </w:r>
      <w:r>
        <w:rPr>
          <w:rFonts w:ascii="Arial" w:cs="Arial" w:eastAsia="Arial" w:hAnsi="Arial"/>
          <w:sz w:val="21"/>
          <w:szCs w:val="21"/>
          <w:color w:val="313131"/>
        </w:rPr>
        <w:t>overnight</w:t>
      </w:r>
      <w:r>
        <w:rPr>
          <w:rFonts w:ascii="Arial" w:cs="Arial" w:eastAsia="Arial" w:hAnsi="Arial"/>
          <w:sz w:val="21"/>
          <w:szCs w:val="21"/>
          <w:color w:val="auto"/>
        </w:rPr>
        <w:t xml:space="preserve"> delivery with </w:t>
      </w:r>
      <w:r>
        <w:rPr>
          <w:rFonts w:ascii="Arial" w:cs="Arial" w:eastAsia="Arial" w:hAnsi="Arial"/>
          <w:sz w:val="21"/>
          <w:szCs w:val="21"/>
          <w:color w:val="313131"/>
        </w:rPr>
        <w:t>a</w:t>
      </w:r>
      <w:r>
        <w:rPr>
          <w:rFonts w:ascii="Arial" w:cs="Arial" w:eastAsia="Arial" w:hAnsi="Arial"/>
          <w:sz w:val="21"/>
          <w:szCs w:val="21"/>
          <w:color w:val="auto"/>
        </w:rPr>
        <w:t xml:space="preserve"> reputable </w:t>
      </w:r>
      <w:r>
        <w:rPr>
          <w:rFonts w:ascii="Arial" w:cs="Arial" w:eastAsia="Arial" w:hAnsi="Arial"/>
          <w:sz w:val="21"/>
          <w:szCs w:val="21"/>
          <w:color w:val="0A0A0A"/>
        </w:rPr>
        <w:t>nationwide</w:t>
      </w:r>
      <w:r>
        <w:rPr>
          <w:rFonts w:ascii="Arial" w:cs="Arial" w:eastAsia="Arial" w:hAnsi="Arial"/>
          <w:sz w:val="21"/>
          <w:szCs w:val="21"/>
          <w:color w:val="auto"/>
        </w:rPr>
        <w:t xml:space="preserve"> overnight delivery service, or certified </w:t>
      </w:r>
      <w:r>
        <w:rPr>
          <w:rFonts w:ascii="Arial" w:cs="Arial" w:eastAsia="Arial" w:hAnsi="Arial"/>
          <w:sz w:val="21"/>
          <w:szCs w:val="21"/>
          <w:color w:val="313131"/>
        </w:rPr>
        <w:t>mail</w:t>
      </w:r>
      <w:r>
        <w:rPr>
          <w:rFonts w:ascii="Arial" w:cs="Arial" w:eastAsia="Arial" w:hAnsi="Arial"/>
          <w:sz w:val="21"/>
          <w:szCs w:val="21"/>
          <w:color w:val="auto"/>
        </w:rPr>
        <w:t xml:space="preserve"> (return receipt requested), and </w:t>
      </w:r>
      <w:r>
        <w:rPr>
          <w:rFonts w:ascii="Arial" w:cs="Arial" w:eastAsia="Arial" w:hAnsi="Arial"/>
          <w:sz w:val="21"/>
          <w:szCs w:val="21"/>
          <w:color w:val="0A0A0A"/>
        </w:rPr>
        <w:t>if</w:t>
      </w:r>
      <w:r>
        <w:rPr>
          <w:rFonts w:ascii="Arial" w:cs="Arial" w:eastAsia="Arial" w:hAnsi="Arial"/>
          <w:sz w:val="21"/>
          <w:szCs w:val="21"/>
          <w:color w:val="auto"/>
        </w:rPr>
        <w:t xml:space="preserve"> given by personal delivery, shall be deemed delivered </w:t>
      </w:r>
      <w:r>
        <w:rPr>
          <w:rFonts w:ascii="Arial" w:cs="Arial" w:eastAsia="Arial" w:hAnsi="Arial"/>
          <w:sz w:val="21"/>
          <w:szCs w:val="21"/>
          <w:color w:val="313131"/>
        </w:rPr>
        <w:t xml:space="preserve">upon </w:t>
      </w:r>
      <w:r>
        <w:rPr>
          <w:rFonts w:ascii="Arial" w:cs="Arial" w:eastAsia="Arial" w:hAnsi="Arial"/>
          <w:sz w:val="21"/>
          <w:szCs w:val="21"/>
          <w:color w:val="000000"/>
        </w:rPr>
        <w:t>receipt; if given by overnight delivery, shall</w:t>
      </w:r>
      <w:r>
        <w:rPr>
          <w:rFonts w:ascii="Arial" w:cs="Arial" w:eastAsia="Arial" w:hAnsi="Arial"/>
          <w:sz w:val="21"/>
          <w:szCs w:val="21"/>
          <w:color w:val="313131"/>
        </w:rPr>
        <w:t xml:space="preserve"> be deemed delivered </w:t>
      </w:r>
      <w:r>
        <w:rPr>
          <w:rFonts w:ascii="Arial" w:cs="Arial" w:eastAsia="Arial" w:hAnsi="Arial"/>
          <w:sz w:val="21"/>
          <w:szCs w:val="21"/>
          <w:u w:val="single" w:color="auto"/>
          <w:color w:val="000000"/>
        </w:rPr>
        <w:t>[***]</w:t>
      </w:r>
      <w:r>
        <w:rPr>
          <w:rFonts w:ascii="Arial" w:cs="Arial" w:eastAsia="Arial" w:hAnsi="Arial"/>
          <w:sz w:val="21"/>
          <w:szCs w:val="21"/>
          <w:color w:val="313131"/>
        </w:rPr>
        <w:t xml:space="preserve"> </w:t>
      </w:r>
      <w:r>
        <w:rPr>
          <w:rFonts w:ascii="Arial" w:cs="Arial" w:eastAsia="Arial" w:hAnsi="Arial"/>
          <w:sz w:val="21"/>
          <w:szCs w:val="21"/>
          <w:color w:val="000000"/>
        </w:rPr>
        <w:t>after</w:t>
      </w:r>
      <w:r>
        <w:rPr>
          <w:rFonts w:ascii="Arial" w:cs="Arial" w:eastAsia="Arial" w:hAnsi="Arial"/>
          <w:sz w:val="21"/>
          <w:szCs w:val="21"/>
          <w:color w:val="313131"/>
        </w:rPr>
        <w:t xml:space="preserve"> deposit </w:t>
      </w:r>
      <w:r>
        <w:rPr>
          <w:rFonts w:ascii="Arial" w:cs="Arial" w:eastAsia="Arial" w:hAnsi="Arial"/>
          <w:sz w:val="21"/>
          <w:szCs w:val="21"/>
          <w:color w:val="000000"/>
        </w:rPr>
        <w:t>with a reputable nationwide</w:t>
      </w:r>
      <w:r>
        <w:rPr>
          <w:rFonts w:ascii="Arial" w:cs="Arial" w:eastAsia="Arial" w:hAnsi="Arial"/>
          <w:sz w:val="21"/>
          <w:szCs w:val="21"/>
          <w:color w:val="313131"/>
        </w:rPr>
        <w:t xml:space="preserve"> </w:t>
      </w:r>
      <w:r>
        <w:rPr>
          <w:rFonts w:ascii="Arial" w:cs="Arial" w:eastAsia="Arial" w:hAnsi="Arial"/>
          <w:sz w:val="21"/>
          <w:szCs w:val="21"/>
          <w:color w:val="000000"/>
        </w:rPr>
        <w:t xml:space="preserve">overnight </w:t>
      </w:r>
      <w:r>
        <w:rPr>
          <w:rFonts w:ascii="Arial" w:cs="Arial" w:eastAsia="Arial" w:hAnsi="Arial"/>
          <w:sz w:val="21"/>
          <w:szCs w:val="21"/>
          <w:color w:val="0A0A0A"/>
        </w:rPr>
        <w:t>delivery</w:t>
      </w:r>
      <w:r>
        <w:rPr>
          <w:rFonts w:ascii="Arial" w:cs="Arial" w:eastAsia="Arial" w:hAnsi="Arial"/>
          <w:sz w:val="21"/>
          <w:szCs w:val="21"/>
          <w:color w:val="000000"/>
        </w:rPr>
        <w:t xml:space="preserve"> </w:t>
      </w:r>
      <w:r>
        <w:rPr>
          <w:rFonts w:ascii="Arial" w:cs="Arial" w:eastAsia="Arial" w:hAnsi="Arial"/>
          <w:sz w:val="21"/>
          <w:szCs w:val="21"/>
          <w:color w:val="313131"/>
        </w:rPr>
        <w:t>service; and,</w:t>
      </w:r>
      <w:r>
        <w:rPr>
          <w:rFonts w:ascii="Arial" w:cs="Arial" w:eastAsia="Arial" w:hAnsi="Arial"/>
          <w:sz w:val="21"/>
          <w:szCs w:val="21"/>
          <w:color w:val="000000"/>
        </w:rPr>
        <w:t xml:space="preserve"> if given </w:t>
      </w:r>
      <w:r>
        <w:rPr>
          <w:rFonts w:ascii="Arial" w:cs="Arial" w:eastAsia="Arial" w:hAnsi="Arial"/>
          <w:sz w:val="21"/>
          <w:szCs w:val="21"/>
          <w:color w:val="0A0A0A"/>
        </w:rPr>
        <w:t>by</w:t>
      </w:r>
      <w:r>
        <w:rPr>
          <w:rFonts w:ascii="Arial" w:cs="Arial" w:eastAsia="Arial" w:hAnsi="Arial"/>
          <w:sz w:val="21"/>
          <w:szCs w:val="21"/>
          <w:color w:val="000000"/>
        </w:rPr>
        <w:t xml:space="preserve"> certified mail (return receipt </w:t>
      </w:r>
      <w:r>
        <w:rPr>
          <w:rFonts w:ascii="Arial" w:cs="Arial" w:eastAsia="Arial" w:hAnsi="Arial"/>
          <w:sz w:val="21"/>
          <w:szCs w:val="21"/>
          <w:color w:val="0A0A0A"/>
        </w:rPr>
        <w:t>requested),</w:t>
      </w:r>
      <w:r>
        <w:rPr>
          <w:rFonts w:ascii="Arial" w:cs="Arial" w:eastAsia="Arial" w:hAnsi="Arial"/>
          <w:sz w:val="21"/>
          <w:szCs w:val="21"/>
          <w:color w:val="000000"/>
        </w:rPr>
        <w:t xml:space="preserve"> </w:t>
      </w:r>
      <w:r>
        <w:rPr>
          <w:rFonts w:ascii="Arial" w:cs="Arial" w:eastAsia="Arial" w:hAnsi="Arial"/>
          <w:sz w:val="21"/>
          <w:szCs w:val="21"/>
          <w:color w:val="313131"/>
        </w:rPr>
        <w:t>shall</w:t>
      </w:r>
      <w:r>
        <w:rPr>
          <w:rFonts w:ascii="Arial" w:cs="Arial" w:eastAsia="Arial" w:hAnsi="Arial"/>
          <w:sz w:val="21"/>
          <w:szCs w:val="21"/>
          <w:color w:val="000000"/>
        </w:rPr>
        <w:t xml:space="preserve"> be deemed </w:t>
      </w:r>
      <w:r>
        <w:rPr>
          <w:rFonts w:ascii="Arial" w:cs="Arial" w:eastAsia="Arial" w:hAnsi="Arial"/>
          <w:sz w:val="21"/>
          <w:szCs w:val="21"/>
          <w:color w:val="313131"/>
        </w:rPr>
        <w:t>delivered</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w:t>
      </w:r>
      <w:r>
        <w:rPr>
          <w:rFonts w:ascii="Arial" w:cs="Arial" w:eastAsia="Arial" w:hAnsi="Arial"/>
          <w:sz w:val="21"/>
          <w:szCs w:val="21"/>
          <w:color w:val="000000"/>
        </w:rPr>
        <w:t xml:space="preserve"> after the time </w:t>
      </w:r>
      <w:r>
        <w:rPr>
          <w:rFonts w:ascii="Arial" w:cs="Arial" w:eastAsia="Arial" w:hAnsi="Arial"/>
          <w:sz w:val="21"/>
          <w:szCs w:val="21"/>
          <w:color w:val="313131"/>
        </w:rPr>
        <w:t>t</w:t>
      </w:r>
      <w:r>
        <w:rPr>
          <w:rFonts w:ascii="Arial" w:cs="Arial" w:eastAsia="Arial" w:hAnsi="Arial"/>
          <w:sz w:val="21"/>
          <w:szCs w:val="21"/>
          <w:color w:val="0A0A0A"/>
        </w:rPr>
        <w:t>he</w:t>
      </w:r>
      <w:r>
        <w:rPr>
          <w:rFonts w:ascii="Arial" w:cs="Arial" w:eastAsia="Arial" w:hAnsi="Arial"/>
          <w:sz w:val="21"/>
          <w:szCs w:val="21"/>
          <w:color w:val="000000"/>
        </w:rPr>
        <w:t xml:space="preserve"> notifying party deposits the notice with </w:t>
      </w:r>
      <w:r>
        <w:rPr>
          <w:rFonts w:ascii="Arial" w:cs="Arial" w:eastAsia="Arial" w:hAnsi="Arial"/>
          <w:sz w:val="21"/>
          <w:szCs w:val="21"/>
          <w:color w:val="313131"/>
        </w:rPr>
        <w:t>the United States</w:t>
      </w:r>
      <w:r>
        <w:rPr>
          <w:rFonts w:ascii="Arial" w:cs="Arial" w:eastAsia="Arial" w:hAnsi="Arial"/>
          <w:sz w:val="21"/>
          <w:szCs w:val="21"/>
          <w:color w:val="000000"/>
        </w:rPr>
        <w:t xml:space="preserve"> </w:t>
      </w:r>
      <w:r>
        <w:rPr>
          <w:rFonts w:ascii="Arial" w:cs="Arial" w:eastAsia="Arial" w:hAnsi="Arial"/>
          <w:sz w:val="21"/>
          <w:szCs w:val="21"/>
          <w:color w:val="0A0A0A"/>
        </w:rPr>
        <w:t>Postal</w:t>
      </w:r>
      <w:r>
        <w:rPr>
          <w:rFonts w:ascii="Arial" w:cs="Arial" w:eastAsia="Arial" w:hAnsi="Arial"/>
          <w:sz w:val="21"/>
          <w:szCs w:val="21"/>
          <w:color w:val="000000"/>
        </w:rPr>
        <w:t xml:space="preserve"> Service. Any notices </w:t>
      </w:r>
      <w:r>
        <w:rPr>
          <w:rFonts w:ascii="Arial" w:cs="Arial" w:eastAsia="Arial" w:hAnsi="Arial"/>
          <w:sz w:val="21"/>
          <w:szCs w:val="21"/>
          <w:color w:val="313131"/>
        </w:rPr>
        <w:t>given</w:t>
      </w:r>
      <w:r>
        <w:rPr>
          <w:rFonts w:ascii="Arial" w:cs="Arial" w:eastAsia="Arial" w:hAnsi="Arial"/>
          <w:sz w:val="21"/>
          <w:szCs w:val="21"/>
          <w:color w:val="000000"/>
        </w:rPr>
        <w:t xml:space="preserve"> pursuant </w:t>
      </w:r>
      <w:r>
        <w:rPr>
          <w:rFonts w:ascii="Arial" w:cs="Arial" w:eastAsia="Arial" w:hAnsi="Arial"/>
          <w:sz w:val="21"/>
          <w:szCs w:val="21"/>
          <w:color w:val="0A0A0A"/>
        </w:rPr>
        <w:t>to</w:t>
      </w:r>
      <w:r>
        <w:rPr>
          <w:rFonts w:ascii="Arial" w:cs="Arial" w:eastAsia="Arial" w:hAnsi="Arial"/>
          <w:sz w:val="21"/>
          <w:szCs w:val="21"/>
          <w:color w:val="000000"/>
        </w:rPr>
        <w:t xml:space="preserve"> this Lease </w:t>
      </w:r>
      <w:r>
        <w:rPr>
          <w:rFonts w:ascii="Arial" w:cs="Arial" w:eastAsia="Arial" w:hAnsi="Arial"/>
          <w:sz w:val="21"/>
          <w:szCs w:val="21"/>
          <w:color w:val="313131"/>
        </w:rPr>
        <w:t>shall be addressed</w:t>
      </w:r>
      <w:r>
        <w:rPr>
          <w:rFonts w:ascii="Arial" w:cs="Arial" w:eastAsia="Arial" w:hAnsi="Arial"/>
          <w:sz w:val="21"/>
          <w:szCs w:val="21"/>
          <w:color w:val="000000"/>
        </w:rPr>
        <w:t xml:space="preserve"> to Landlord or </w:t>
      </w:r>
      <w:r>
        <w:rPr>
          <w:rFonts w:ascii="Arial" w:cs="Arial" w:eastAsia="Arial" w:hAnsi="Arial"/>
          <w:sz w:val="21"/>
          <w:szCs w:val="21"/>
          <w:color w:val="0A0A0A"/>
        </w:rPr>
        <w:t>Tenant</w:t>
      </w:r>
      <w:r>
        <w:rPr>
          <w:rFonts w:ascii="Arial" w:cs="Arial" w:eastAsia="Arial" w:hAnsi="Arial"/>
          <w:sz w:val="21"/>
          <w:szCs w:val="21"/>
          <w:color w:val="000000"/>
        </w:rPr>
        <w:t xml:space="preserve"> at the addresses </w:t>
      </w:r>
      <w:r>
        <w:rPr>
          <w:rFonts w:ascii="Arial" w:cs="Arial" w:eastAsia="Arial" w:hAnsi="Arial"/>
          <w:sz w:val="21"/>
          <w:szCs w:val="21"/>
          <w:color w:val="313131"/>
        </w:rPr>
        <w:t>shown</w:t>
      </w:r>
      <w:r>
        <w:rPr>
          <w:rFonts w:ascii="Arial" w:cs="Arial" w:eastAsia="Arial" w:hAnsi="Arial"/>
          <w:sz w:val="21"/>
          <w:szCs w:val="21"/>
          <w:color w:val="000000"/>
        </w:rPr>
        <w:t xml:space="preserve"> in </w:t>
      </w:r>
      <w:r>
        <w:rPr>
          <w:rFonts w:ascii="Arial" w:cs="Arial" w:eastAsia="Arial" w:hAnsi="Arial"/>
          <w:sz w:val="21"/>
          <w:szCs w:val="21"/>
          <w:u w:val="single" w:color="auto"/>
          <w:color w:val="313131"/>
        </w:rPr>
        <w:t>Sections</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2.9</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2.10</w:t>
      </w:r>
      <w:r>
        <w:rPr>
          <w:rFonts w:ascii="Arial" w:cs="Arial" w:eastAsia="Arial" w:hAnsi="Arial"/>
          <w:sz w:val="21"/>
          <w:szCs w:val="21"/>
          <w:color w:val="000000"/>
        </w:rPr>
        <w:t xml:space="preserve">, respectively. </w:t>
      </w:r>
      <w:r>
        <w:rPr>
          <w:rFonts w:ascii="Arial" w:cs="Arial" w:eastAsia="Arial" w:hAnsi="Arial"/>
          <w:sz w:val="21"/>
          <w:szCs w:val="21"/>
          <w:color w:val="313131"/>
        </w:rPr>
        <w:t>Either</w:t>
      </w:r>
      <w:r>
        <w:rPr>
          <w:rFonts w:ascii="Arial" w:cs="Arial" w:eastAsia="Arial" w:hAnsi="Arial"/>
          <w:sz w:val="21"/>
          <w:szCs w:val="21"/>
          <w:color w:val="000000"/>
        </w:rPr>
        <w:t xml:space="preserve"> </w:t>
      </w:r>
      <w:r>
        <w:rPr>
          <w:rFonts w:ascii="Arial" w:cs="Arial" w:eastAsia="Arial" w:hAnsi="Arial"/>
          <w:sz w:val="21"/>
          <w:szCs w:val="21"/>
          <w:color w:val="0A0A0A"/>
        </w:rPr>
        <w:t>party</w:t>
      </w:r>
      <w:r>
        <w:rPr>
          <w:rFonts w:ascii="Arial" w:cs="Arial" w:eastAsia="Arial" w:hAnsi="Arial"/>
          <w:sz w:val="21"/>
          <w:szCs w:val="21"/>
          <w:color w:val="000000"/>
        </w:rPr>
        <w:t xml:space="preserve"> may, by notice </w:t>
      </w:r>
      <w:r>
        <w:rPr>
          <w:rFonts w:ascii="Arial" w:cs="Arial" w:eastAsia="Arial" w:hAnsi="Arial"/>
          <w:sz w:val="21"/>
          <w:szCs w:val="21"/>
          <w:color w:val="313131"/>
        </w:rPr>
        <w:t>to the</w:t>
      </w:r>
      <w:r>
        <w:rPr>
          <w:rFonts w:ascii="Arial" w:cs="Arial" w:eastAsia="Arial" w:hAnsi="Arial"/>
          <w:sz w:val="21"/>
          <w:szCs w:val="21"/>
          <w:color w:val="000000"/>
        </w:rPr>
        <w:t xml:space="preserv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01" w:right="339" w:bottom="1440" w:gutter="0" w:footer="0" w:header="0"/>
        </w:sectPr>
      </w:pPr>
    </w:p>
    <w:bookmarkStart w:id="365" w:name="page366"/>
    <w:bookmarkEnd w:id="365"/>
    <w:p>
      <w:pPr>
        <w:ind w:left="660"/>
        <w:spacing w:after="0"/>
        <w:rPr>
          <w:sz w:val="20"/>
          <w:szCs w:val="20"/>
          <w:color w:val="auto"/>
        </w:rPr>
      </w:pPr>
      <w:r>
        <w:rPr>
          <w:rFonts w:ascii="Arial" w:cs="Arial" w:eastAsia="Arial" w:hAnsi="Arial"/>
          <w:sz w:val="22"/>
          <w:szCs w:val="22"/>
          <w:color w:val="auto"/>
        </w:rPr>
        <w:t xml:space="preserve">given pursuant </w:t>
      </w:r>
      <w:r>
        <w:rPr>
          <w:rFonts w:ascii="Arial" w:cs="Arial" w:eastAsia="Arial" w:hAnsi="Arial"/>
          <w:sz w:val="22"/>
          <w:szCs w:val="22"/>
          <w:color w:val="313131"/>
        </w:rPr>
        <w:t>to</w:t>
      </w:r>
      <w:r>
        <w:rPr>
          <w:rFonts w:ascii="Arial" w:cs="Arial" w:eastAsia="Arial" w:hAnsi="Arial"/>
          <w:sz w:val="22"/>
          <w:szCs w:val="22"/>
          <w:color w:val="auto"/>
        </w:rPr>
        <w:t xml:space="preserve"> this </w:t>
      </w:r>
      <w:r>
        <w:rPr>
          <w:rFonts w:ascii="Arial" w:cs="Arial" w:eastAsia="Arial" w:hAnsi="Arial"/>
          <w:sz w:val="22"/>
          <w:szCs w:val="22"/>
          <w:color w:val="313131"/>
        </w:rPr>
        <w:t>Section, specify</w:t>
      </w:r>
      <w:r>
        <w:rPr>
          <w:rFonts w:ascii="Arial" w:cs="Arial" w:eastAsia="Arial" w:hAnsi="Arial"/>
          <w:sz w:val="22"/>
          <w:szCs w:val="22"/>
          <w:color w:val="auto"/>
        </w:rPr>
        <w:t xml:space="preserve"> additional or different addresses for notice purposes.</w:t>
      </w:r>
    </w:p>
    <w:p>
      <w:pPr>
        <w:spacing w:after="0" w:line="179"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22"/>
          <w:szCs w:val="22"/>
          <w:color w:val="auto"/>
        </w:rPr>
      </w:pPr>
      <w:r>
        <w:rPr>
          <w:rFonts w:ascii="Arial" w:cs="Arial" w:eastAsia="Arial" w:hAnsi="Arial"/>
          <w:sz w:val="22"/>
          <w:szCs w:val="22"/>
          <w:u w:val="single" w:color="auto"/>
          <w:color w:val="auto"/>
        </w:rPr>
        <w:t>Rooftop Installation Area</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8"/>
        <w:spacing w:after="0" w:line="249" w:lineRule="auto"/>
        <w:rPr>
          <w:rFonts w:ascii="Arial" w:cs="Arial" w:eastAsia="Arial" w:hAnsi="Arial"/>
          <w:sz w:val="22"/>
          <w:szCs w:val="22"/>
          <w:color w:val="auto"/>
        </w:rPr>
      </w:pPr>
      <w:r>
        <w:rPr>
          <w:rFonts w:ascii="Arial" w:cs="Arial" w:eastAsia="Arial" w:hAnsi="Arial"/>
          <w:sz w:val="19"/>
          <w:szCs w:val="19"/>
          <w:color w:val="auto"/>
        </w:rPr>
        <w:t xml:space="preserve">40.1 Landlord hereby approves any existing equipment on the rooftop of the Building which </w:t>
      </w:r>
      <w:r>
        <w:rPr>
          <w:rFonts w:ascii="Arial" w:cs="Arial" w:eastAsia="Arial" w:hAnsi="Arial"/>
          <w:sz w:val="19"/>
          <w:szCs w:val="19"/>
          <w:color w:val="313131"/>
        </w:rPr>
        <w:t>serves</w:t>
      </w:r>
      <w:r>
        <w:rPr>
          <w:rFonts w:ascii="Arial" w:cs="Arial" w:eastAsia="Arial" w:hAnsi="Arial"/>
          <w:sz w:val="19"/>
          <w:szCs w:val="19"/>
          <w:color w:val="auto"/>
        </w:rPr>
        <w:t xml:space="preserve"> the Premises. In addition, Tenant may use those portions </w:t>
      </w:r>
      <w:r>
        <w:rPr>
          <w:rFonts w:ascii="Arial" w:cs="Arial" w:eastAsia="Arial" w:hAnsi="Arial"/>
          <w:sz w:val="19"/>
          <w:szCs w:val="19"/>
          <w:color w:val="313131"/>
        </w:rPr>
        <w:t>of</w:t>
      </w:r>
      <w:r>
        <w:rPr>
          <w:rFonts w:ascii="Arial" w:cs="Arial" w:eastAsia="Arial" w:hAnsi="Arial"/>
          <w:sz w:val="19"/>
          <w:szCs w:val="19"/>
          <w:color w:val="auto"/>
        </w:rPr>
        <w:t xml:space="preserve"> the Building </w:t>
      </w:r>
      <w:r>
        <w:rPr>
          <w:rFonts w:ascii="Arial" w:cs="Arial" w:eastAsia="Arial" w:hAnsi="Arial"/>
          <w:sz w:val="19"/>
          <w:szCs w:val="19"/>
          <w:color w:val="0A0A0A"/>
        </w:rPr>
        <w:t>identified</w:t>
      </w:r>
      <w:r>
        <w:rPr>
          <w:rFonts w:ascii="Arial" w:cs="Arial" w:eastAsia="Arial" w:hAnsi="Arial"/>
          <w:sz w:val="19"/>
          <w:szCs w:val="19"/>
          <w:color w:val="auto"/>
        </w:rPr>
        <w:t xml:space="preserve"> </w:t>
      </w:r>
      <w:r>
        <w:rPr>
          <w:rFonts w:ascii="Arial" w:cs="Arial" w:eastAsia="Arial" w:hAnsi="Arial"/>
          <w:sz w:val="19"/>
          <w:szCs w:val="19"/>
          <w:color w:val="313131"/>
        </w:rPr>
        <w:t>as</w:t>
      </w:r>
      <w:r>
        <w:rPr>
          <w:rFonts w:ascii="Arial" w:cs="Arial" w:eastAsia="Arial" w:hAnsi="Arial"/>
          <w:sz w:val="19"/>
          <w:szCs w:val="19"/>
          <w:color w:val="auto"/>
        </w:rPr>
        <w:t xml:space="preserve"> a “Rooftop Installation </w:t>
      </w:r>
      <w:r>
        <w:rPr>
          <w:rFonts w:ascii="Arial" w:cs="Arial" w:eastAsia="Arial" w:hAnsi="Arial"/>
          <w:sz w:val="19"/>
          <w:szCs w:val="19"/>
          <w:color w:val="313131"/>
        </w:rPr>
        <w:t>Area”</w:t>
      </w:r>
      <w:r>
        <w:rPr>
          <w:rFonts w:ascii="Arial" w:cs="Arial" w:eastAsia="Arial" w:hAnsi="Arial"/>
          <w:sz w:val="19"/>
          <w:szCs w:val="19"/>
          <w:color w:val="auto"/>
        </w:rPr>
        <w:t xml:space="preserve">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w:t>
      </w:r>
      <w:r>
        <w:rPr>
          <w:rFonts w:ascii="Arial" w:cs="Arial" w:eastAsia="Arial" w:hAnsi="Arial"/>
          <w:sz w:val="19"/>
          <w:szCs w:val="19"/>
          <w:color w:val="0A0A0A"/>
        </w:rPr>
        <w:t>hereto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Rooftop</w:t>
      </w:r>
      <w:r>
        <w:rPr>
          <w:rFonts w:ascii="Arial" w:cs="Arial" w:eastAsia="Arial" w:hAnsi="Arial"/>
          <w:sz w:val="19"/>
          <w:szCs w:val="19"/>
          <w:color w:val="auto"/>
        </w:rPr>
        <w:t xml:space="preserve"> </w:t>
      </w:r>
      <w:r>
        <w:rPr>
          <w:rFonts w:ascii="Arial" w:cs="Arial" w:eastAsia="Arial" w:hAnsi="Arial"/>
          <w:sz w:val="19"/>
          <w:szCs w:val="19"/>
          <w:u w:val="single" w:color="auto"/>
          <w:color w:val="0A0A0A"/>
        </w:rPr>
        <w:t>Installation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Area</w:t>
      </w:r>
      <w:r>
        <w:rPr>
          <w:rFonts w:ascii="Arial" w:cs="Arial" w:eastAsia="Arial" w:hAnsi="Arial"/>
          <w:sz w:val="19"/>
          <w:szCs w:val="19"/>
          <w:color w:val="auto"/>
        </w:rPr>
        <w:t xml:space="preserve">”) </w:t>
      </w:r>
      <w:r>
        <w:rPr>
          <w:rFonts w:ascii="Arial" w:cs="Arial" w:eastAsia="Arial" w:hAnsi="Arial"/>
          <w:sz w:val="19"/>
          <w:szCs w:val="19"/>
          <w:color w:val="313131"/>
        </w:rPr>
        <w:t>solely</w:t>
      </w:r>
      <w:r>
        <w:rPr>
          <w:rFonts w:ascii="Arial" w:cs="Arial" w:eastAsia="Arial" w:hAnsi="Arial"/>
          <w:sz w:val="19"/>
          <w:szCs w:val="19"/>
          <w:color w:val="auto"/>
        </w:rPr>
        <w:t xml:space="preserve"> to operate, maintain, repair and replace rooftop antennae, </w:t>
      </w:r>
      <w:r>
        <w:rPr>
          <w:rFonts w:ascii="Arial" w:cs="Arial" w:eastAsia="Arial" w:hAnsi="Arial"/>
          <w:sz w:val="19"/>
          <w:szCs w:val="19"/>
          <w:color w:val="0A0A0A"/>
        </w:rPr>
        <w:t xml:space="preserve">mechanical </w:t>
      </w:r>
      <w:r>
        <w:rPr>
          <w:rFonts w:ascii="Arial" w:cs="Arial" w:eastAsia="Arial" w:hAnsi="Arial"/>
          <w:sz w:val="19"/>
          <w:szCs w:val="19"/>
          <w:color w:val="000000"/>
        </w:rPr>
        <w:t>equipment</w:t>
      </w:r>
      <w:r>
        <w:rPr>
          <w:rFonts w:ascii="Arial" w:cs="Arial" w:eastAsia="Arial" w:hAnsi="Arial"/>
          <w:sz w:val="19"/>
          <w:szCs w:val="19"/>
          <w:color w:val="4D4D4D"/>
        </w:rPr>
        <w:t>,</w:t>
      </w:r>
      <w:r>
        <w:rPr>
          <w:rFonts w:ascii="Arial" w:cs="Arial" w:eastAsia="Arial" w:hAnsi="Arial"/>
          <w:sz w:val="19"/>
          <w:szCs w:val="19"/>
          <w:color w:val="0A0A0A"/>
        </w:rPr>
        <w:t xml:space="preserve"> </w:t>
      </w:r>
      <w:r>
        <w:rPr>
          <w:rFonts w:ascii="Arial" w:cs="Arial" w:eastAsia="Arial" w:hAnsi="Arial"/>
          <w:sz w:val="19"/>
          <w:szCs w:val="19"/>
          <w:color w:val="000000"/>
        </w:rPr>
        <w:t>communications antennas and other equipment</w:t>
      </w:r>
      <w:r>
        <w:rPr>
          <w:rFonts w:ascii="Arial" w:cs="Arial" w:eastAsia="Arial" w:hAnsi="Arial"/>
          <w:sz w:val="19"/>
          <w:szCs w:val="19"/>
          <w:color w:val="0A0A0A"/>
        </w:rPr>
        <w:t xml:space="preserve"> installed </w:t>
      </w:r>
      <w:r>
        <w:rPr>
          <w:rFonts w:ascii="Arial" w:cs="Arial" w:eastAsia="Arial" w:hAnsi="Arial"/>
          <w:sz w:val="19"/>
          <w:szCs w:val="19"/>
          <w:color w:val="000000"/>
        </w:rPr>
        <w:t>by Tenant in the Rooftop</w:t>
      </w:r>
      <w:r>
        <w:rPr>
          <w:rFonts w:ascii="Arial" w:cs="Arial" w:eastAsia="Arial" w:hAnsi="Arial"/>
          <w:sz w:val="19"/>
          <w:szCs w:val="19"/>
          <w:color w:val="0A0A0A"/>
        </w:rPr>
        <w:t xml:space="preserve"> </w:t>
      </w:r>
      <w:r>
        <w:rPr>
          <w:rFonts w:ascii="Arial" w:cs="Arial" w:eastAsia="Arial" w:hAnsi="Arial"/>
          <w:sz w:val="19"/>
          <w:szCs w:val="19"/>
          <w:color w:val="000000"/>
        </w:rPr>
        <w:t>Installation Area in accordance with this Article (“</w:t>
      </w:r>
      <w:r>
        <w:rPr>
          <w:rFonts w:ascii="Arial" w:cs="Arial" w:eastAsia="Arial" w:hAnsi="Arial"/>
          <w:sz w:val="19"/>
          <w:szCs w:val="19"/>
          <w:u w:val="single" w:color="auto"/>
          <w:color w:val="000000"/>
        </w:rPr>
        <w:t>Tenant’s Rooftop</w:t>
      </w:r>
      <w:r>
        <w:rPr>
          <w:rFonts w:ascii="Arial" w:cs="Arial" w:eastAsia="Arial" w:hAnsi="Arial"/>
          <w:sz w:val="19"/>
          <w:szCs w:val="19"/>
          <w:color w:val="000000"/>
        </w:rPr>
        <w:t xml:space="preserve"> </w:t>
      </w:r>
      <w:r>
        <w:rPr>
          <w:rFonts w:ascii="Arial" w:cs="Arial" w:eastAsia="Arial" w:hAnsi="Arial"/>
          <w:sz w:val="19"/>
          <w:szCs w:val="19"/>
          <w:u w:val="single" w:color="auto"/>
          <w:color w:val="313131"/>
        </w:rPr>
        <w:t>Equipment</w:t>
      </w:r>
      <w:r>
        <w:rPr>
          <w:rFonts w:ascii="Arial" w:cs="Arial" w:eastAsia="Arial" w:hAnsi="Arial"/>
          <w:sz w:val="19"/>
          <w:szCs w:val="19"/>
          <w:color w:val="313131"/>
        </w:rPr>
        <w:t>”).</w:t>
      </w:r>
      <w:r>
        <w:rPr>
          <w:rFonts w:ascii="Arial" w:cs="Arial" w:eastAsia="Arial" w:hAnsi="Arial"/>
          <w:sz w:val="19"/>
          <w:szCs w:val="19"/>
          <w:color w:val="000000"/>
        </w:rPr>
        <w:t xml:space="preserve"> Tenant’s Rooftop </w:t>
      </w:r>
      <w:r>
        <w:rPr>
          <w:rFonts w:ascii="Arial" w:cs="Arial" w:eastAsia="Arial" w:hAnsi="Arial"/>
          <w:sz w:val="19"/>
          <w:szCs w:val="19"/>
          <w:color w:val="313131"/>
        </w:rPr>
        <w:t>Equipment</w:t>
      </w:r>
      <w:r>
        <w:rPr>
          <w:rFonts w:ascii="Arial" w:cs="Arial" w:eastAsia="Arial" w:hAnsi="Arial"/>
          <w:sz w:val="19"/>
          <w:szCs w:val="19"/>
          <w:color w:val="000000"/>
        </w:rPr>
        <w:t xml:space="preserve"> </w:t>
      </w:r>
      <w:r>
        <w:rPr>
          <w:rFonts w:ascii="Arial" w:cs="Arial" w:eastAsia="Arial" w:hAnsi="Arial"/>
          <w:sz w:val="19"/>
          <w:szCs w:val="19"/>
          <w:color w:val="313131"/>
        </w:rPr>
        <w:t xml:space="preserve">shall </w:t>
      </w:r>
      <w:r>
        <w:rPr>
          <w:rFonts w:ascii="Arial" w:cs="Arial" w:eastAsia="Arial" w:hAnsi="Arial"/>
          <w:sz w:val="19"/>
          <w:szCs w:val="19"/>
          <w:color w:val="000000"/>
        </w:rPr>
        <w:t>be only for Tenant’s (or its subtenant’s or assignee’s) use of</w:t>
      </w:r>
      <w:r>
        <w:rPr>
          <w:rFonts w:ascii="Arial" w:cs="Arial" w:eastAsia="Arial" w:hAnsi="Arial"/>
          <w:sz w:val="19"/>
          <w:szCs w:val="19"/>
          <w:color w:val="313131"/>
        </w:rPr>
        <w:t xml:space="preserve"> </w:t>
      </w:r>
      <w:r>
        <w:rPr>
          <w:rFonts w:ascii="Arial" w:cs="Arial" w:eastAsia="Arial" w:hAnsi="Arial"/>
          <w:sz w:val="19"/>
          <w:szCs w:val="19"/>
          <w:color w:val="0A0A0A"/>
        </w:rPr>
        <w:t>the</w:t>
      </w:r>
      <w:r>
        <w:rPr>
          <w:rFonts w:ascii="Arial" w:cs="Arial" w:eastAsia="Arial" w:hAnsi="Arial"/>
          <w:sz w:val="19"/>
          <w:szCs w:val="19"/>
          <w:color w:val="313131"/>
        </w:rPr>
        <w:t xml:space="preserve"> </w:t>
      </w:r>
      <w:r>
        <w:rPr>
          <w:rFonts w:ascii="Arial" w:cs="Arial" w:eastAsia="Arial" w:hAnsi="Arial"/>
          <w:sz w:val="19"/>
          <w:szCs w:val="19"/>
          <w:color w:val="000000"/>
        </w:rPr>
        <w:t>Premises for the Permitted Use.</w:t>
      </w:r>
    </w:p>
    <w:p>
      <w:pPr>
        <w:spacing w:after="0" w:line="151" w:lineRule="exact"/>
        <w:rPr>
          <w:rFonts w:ascii="Arial" w:cs="Arial" w:eastAsia="Arial" w:hAnsi="Arial"/>
          <w:sz w:val="22"/>
          <w:szCs w:val="22"/>
          <w:color w:val="auto"/>
        </w:rPr>
      </w:pPr>
    </w:p>
    <w:p>
      <w:pPr>
        <w:ind w:left="1300" w:hanging="648"/>
        <w:spacing w:after="0" w:line="221" w:lineRule="auto"/>
        <w:rPr>
          <w:rFonts w:ascii="Arial" w:cs="Arial" w:eastAsia="Arial" w:hAnsi="Arial"/>
          <w:sz w:val="22"/>
          <w:szCs w:val="22"/>
          <w:color w:val="auto"/>
        </w:rPr>
      </w:pPr>
      <w:r>
        <w:rPr>
          <w:rFonts w:ascii="Arial" w:cs="Arial" w:eastAsia="Arial" w:hAnsi="Arial"/>
          <w:sz w:val="21"/>
          <w:szCs w:val="21"/>
          <w:color w:val="auto"/>
        </w:rPr>
        <w:t xml:space="preserve">40.2 Tenant </w:t>
      </w:r>
      <w:r>
        <w:rPr>
          <w:rFonts w:ascii="Arial" w:cs="Arial" w:eastAsia="Arial" w:hAnsi="Arial"/>
          <w:sz w:val="21"/>
          <w:szCs w:val="21"/>
          <w:color w:val="313131"/>
        </w:rPr>
        <w:t>shall</w:t>
      </w:r>
      <w:r>
        <w:rPr>
          <w:rFonts w:ascii="Arial" w:cs="Arial" w:eastAsia="Arial" w:hAnsi="Arial"/>
          <w:sz w:val="21"/>
          <w:szCs w:val="21"/>
          <w:color w:val="auto"/>
        </w:rPr>
        <w:t xml:space="preserve"> install </w:t>
      </w:r>
      <w:r>
        <w:rPr>
          <w:rFonts w:ascii="Arial" w:cs="Arial" w:eastAsia="Arial" w:hAnsi="Arial"/>
          <w:sz w:val="21"/>
          <w:szCs w:val="21"/>
          <w:color w:val="313131"/>
        </w:rPr>
        <w:t>Tenant’s</w:t>
      </w:r>
      <w:r>
        <w:rPr>
          <w:rFonts w:ascii="Arial" w:cs="Arial" w:eastAsia="Arial" w:hAnsi="Arial"/>
          <w:sz w:val="21"/>
          <w:szCs w:val="21"/>
          <w:color w:val="auto"/>
        </w:rPr>
        <w:t xml:space="preserve"> Rooftop </w:t>
      </w:r>
      <w:r>
        <w:rPr>
          <w:rFonts w:ascii="Arial" w:cs="Arial" w:eastAsia="Arial" w:hAnsi="Arial"/>
          <w:sz w:val="21"/>
          <w:szCs w:val="21"/>
          <w:color w:val="313131"/>
        </w:rPr>
        <w:t>Equipment at</w:t>
      </w:r>
      <w:r>
        <w:rPr>
          <w:rFonts w:ascii="Arial" w:cs="Arial" w:eastAsia="Arial" w:hAnsi="Arial"/>
          <w:sz w:val="21"/>
          <w:szCs w:val="21"/>
          <w:color w:val="auto"/>
        </w:rPr>
        <w:t xml:space="preserve"> its </w:t>
      </w:r>
      <w:r>
        <w:rPr>
          <w:rFonts w:ascii="Arial" w:cs="Arial" w:eastAsia="Arial" w:hAnsi="Arial"/>
          <w:sz w:val="21"/>
          <w:szCs w:val="21"/>
          <w:color w:val="313131"/>
        </w:rPr>
        <w:t>sole</w:t>
      </w:r>
      <w:r>
        <w:rPr>
          <w:rFonts w:ascii="Arial" w:cs="Arial" w:eastAsia="Arial" w:hAnsi="Arial"/>
          <w:sz w:val="21"/>
          <w:szCs w:val="21"/>
          <w:color w:val="auto"/>
        </w:rPr>
        <w:t xml:space="preserve"> cost and </w:t>
      </w:r>
      <w:r>
        <w:rPr>
          <w:rFonts w:ascii="Arial" w:cs="Arial" w:eastAsia="Arial" w:hAnsi="Arial"/>
          <w:sz w:val="21"/>
          <w:szCs w:val="21"/>
          <w:color w:val="313131"/>
        </w:rPr>
        <w:t>expense,</w:t>
      </w:r>
      <w:r>
        <w:rPr>
          <w:rFonts w:ascii="Arial" w:cs="Arial" w:eastAsia="Arial" w:hAnsi="Arial"/>
          <w:sz w:val="21"/>
          <w:szCs w:val="21"/>
          <w:color w:val="auto"/>
        </w:rPr>
        <w:t xml:space="preserve"> at </w:t>
      </w:r>
      <w:r>
        <w:rPr>
          <w:rFonts w:ascii="Arial" w:cs="Arial" w:eastAsia="Arial" w:hAnsi="Arial"/>
          <w:sz w:val="21"/>
          <w:szCs w:val="21"/>
          <w:color w:val="313131"/>
        </w:rPr>
        <w:t>such</w:t>
      </w:r>
      <w:r>
        <w:rPr>
          <w:rFonts w:ascii="Arial" w:cs="Arial" w:eastAsia="Arial" w:hAnsi="Arial"/>
          <w:sz w:val="21"/>
          <w:szCs w:val="21"/>
          <w:color w:val="auto"/>
        </w:rPr>
        <w:t xml:space="preserve"> times and in </w:t>
      </w:r>
      <w:r>
        <w:rPr>
          <w:rFonts w:ascii="Arial" w:cs="Arial" w:eastAsia="Arial" w:hAnsi="Arial"/>
          <w:sz w:val="21"/>
          <w:szCs w:val="21"/>
          <w:color w:val="313131"/>
        </w:rPr>
        <w:t>such</w:t>
      </w:r>
      <w:r>
        <w:rPr>
          <w:rFonts w:ascii="Arial" w:cs="Arial" w:eastAsia="Arial" w:hAnsi="Arial"/>
          <w:sz w:val="21"/>
          <w:szCs w:val="21"/>
          <w:color w:val="auto"/>
        </w:rPr>
        <w:t xml:space="preserve"> manner </w:t>
      </w:r>
      <w:r>
        <w:rPr>
          <w:rFonts w:ascii="Arial" w:cs="Arial" w:eastAsia="Arial" w:hAnsi="Arial"/>
          <w:sz w:val="21"/>
          <w:szCs w:val="21"/>
          <w:color w:val="313131"/>
        </w:rPr>
        <w:t>as</w:t>
      </w:r>
      <w:r>
        <w:rPr>
          <w:rFonts w:ascii="Arial" w:cs="Arial" w:eastAsia="Arial" w:hAnsi="Arial"/>
          <w:sz w:val="21"/>
          <w:szCs w:val="21"/>
          <w:color w:val="auto"/>
        </w:rPr>
        <w:t xml:space="preserve"> Landlord may reasonably </w:t>
      </w:r>
      <w:r>
        <w:rPr>
          <w:rFonts w:ascii="Arial" w:cs="Arial" w:eastAsia="Arial" w:hAnsi="Arial"/>
          <w:sz w:val="21"/>
          <w:szCs w:val="21"/>
          <w:color w:val="0A0A0A"/>
        </w:rPr>
        <w:t>designate,</w:t>
      </w:r>
      <w:r>
        <w:rPr>
          <w:rFonts w:ascii="Arial" w:cs="Arial" w:eastAsia="Arial" w:hAnsi="Arial"/>
          <w:sz w:val="21"/>
          <w:szCs w:val="21"/>
          <w:color w:val="auto"/>
        </w:rPr>
        <w:t xml:space="preserve"> and in accordance with this </w:t>
      </w:r>
      <w:r>
        <w:rPr>
          <w:rFonts w:ascii="Arial" w:cs="Arial" w:eastAsia="Arial" w:hAnsi="Arial"/>
          <w:sz w:val="21"/>
          <w:szCs w:val="21"/>
          <w:color w:val="313131"/>
        </w:rPr>
        <w:t>Article</w:t>
      </w:r>
      <w:r>
        <w:rPr>
          <w:rFonts w:ascii="Arial" w:cs="Arial" w:eastAsia="Arial" w:hAnsi="Arial"/>
          <w:sz w:val="21"/>
          <w:szCs w:val="21"/>
          <w:color w:val="auto"/>
        </w:rPr>
        <w:t xml:space="preserve"> and the applicable provisions of this Lease regarding </w:t>
      </w:r>
      <w:r>
        <w:rPr>
          <w:rFonts w:ascii="Arial" w:cs="Arial" w:eastAsia="Arial" w:hAnsi="Arial"/>
          <w:sz w:val="21"/>
          <w:szCs w:val="21"/>
          <w:color w:val="313131"/>
        </w:rPr>
        <w:t>Alterations.</w:t>
      </w:r>
      <w:r>
        <w:rPr>
          <w:rFonts w:ascii="Arial" w:cs="Arial" w:eastAsia="Arial" w:hAnsi="Arial"/>
          <w:sz w:val="21"/>
          <w:szCs w:val="21"/>
          <w:color w:val="auto"/>
        </w:rPr>
        <w:t xml:space="preserve"> Tenant’s Rooftop </w:t>
      </w:r>
      <w:r>
        <w:rPr>
          <w:rFonts w:ascii="Arial" w:cs="Arial" w:eastAsia="Arial" w:hAnsi="Arial"/>
          <w:sz w:val="21"/>
          <w:szCs w:val="21"/>
          <w:color w:val="313131"/>
        </w:rPr>
        <w:t>Equipment</w:t>
      </w:r>
      <w:r>
        <w:rPr>
          <w:rFonts w:ascii="Arial" w:cs="Arial" w:eastAsia="Arial" w:hAnsi="Arial"/>
          <w:sz w:val="21"/>
          <w:szCs w:val="21"/>
          <w:color w:val="auto"/>
        </w:rPr>
        <w:t xml:space="preserve"> and the </w:t>
      </w:r>
      <w:r>
        <w:rPr>
          <w:rFonts w:ascii="Arial" w:cs="Arial" w:eastAsia="Arial" w:hAnsi="Arial"/>
          <w:sz w:val="21"/>
          <w:szCs w:val="21"/>
          <w:color w:val="0A0A0A"/>
        </w:rPr>
        <w:t>installation</w:t>
      </w:r>
      <w:r>
        <w:rPr>
          <w:rFonts w:ascii="Arial" w:cs="Arial" w:eastAsia="Arial" w:hAnsi="Arial"/>
          <w:sz w:val="21"/>
          <w:szCs w:val="21"/>
          <w:color w:val="auto"/>
        </w:rPr>
        <w:t xml:space="preserve"> thereof shall </w:t>
      </w:r>
      <w:r>
        <w:rPr>
          <w:rFonts w:ascii="Arial" w:cs="Arial" w:eastAsia="Arial" w:hAnsi="Arial"/>
          <w:sz w:val="21"/>
          <w:szCs w:val="21"/>
          <w:color w:val="0A0A0A"/>
        </w:rPr>
        <w:t>be</w:t>
      </w:r>
      <w:r>
        <w:rPr>
          <w:rFonts w:ascii="Arial" w:cs="Arial" w:eastAsia="Arial" w:hAnsi="Arial"/>
          <w:sz w:val="21"/>
          <w:szCs w:val="21"/>
          <w:color w:val="auto"/>
        </w:rPr>
        <w:t xml:space="preserve"> subject to Landlord’s prior written approval</w:t>
      </w:r>
      <w:r>
        <w:rPr>
          <w:rFonts w:ascii="Arial" w:cs="Arial" w:eastAsia="Arial" w:hAnsi="Arial"/>
          <w:sz w:val="21"/>
          <w:szCs w:val="21"/>
          <w:color w:val="4D4D4D"/>
        </w:rPr>
        <w:t>,</w:t>
      </w:r>
      <w:r>
        <w:rPr>
          <w:rFonts w:ascii="Arial" w:cs="Arial" w:eastAsia="Arial" w:hAnsi="Arial"/>
          <w:sz w:val="21"/>
          <w:szCs w:val="21"/>
          <w:color w:val="auto"/>
        </w:rPr>
        <w:t xml:space="preserve"> which approval </w:t>
      </w:r>
      <w:r>
        <w:rPr>
          <w:rFonts w:ascii="Arial" w:cs="Arial" w:eastAsia="Arial" w:hAnsi="Arial"/>
          <w:sz w:val="21"/>
          <w:szCs w:val="21"/>
          <w:color w:val="313131"/>
        </w:rPr>
        <w:t>shall</w:t>
      </w:r>
      <w:r>
        <w:rPr>
          <w:rFonts w:ascii="Arial" w:cs="Arial" w:eastAsia="Arial" w:hAnsi="Arial"/>
          <w:sz w:val="21"/>
          <w:szCs w:val="21"/>
          <w:color w:val="auto"/>
        </w:rPr>
        <w:t xml:space="preserve"> not be unreasonably </w:t>
      </w:r>
      <w:r>
        <w:rPr>
          <w:rFonts w:ascii="Arial" w:cs="Arial" w:eastAsia="Arial" w:hAnsi="Arial"/>
          <w:sz w:val="21"/>
          <w:szCs w:val="21"/>
          <w:color w:val="313131"/>
        </w:rPr>
        <w:t>withheld,</w:t>
      </w:r>
      <w:r>
        <w:rPr>
          <w:rFonts w:ascii="Arial" w:cs="Arial" w:eastAsia="Arial" w:hAnsi="Arial"/>
          <w:sz w:val="21"/>
          <w:szCs w:val="21"/>
          <w:color w:val="auto"/>
        </w:rPr>
        <w:t xml:space="preserve"> conditioned or </w:t>
      </w:r>
      <w:r>
        <w:rPr>
          <w:rFonts w:ascii="Arial" w:cs="Arial" w:eastAsia="Arial" w:hAnsi="Arial"/>
          <w:sz w:val="21"/>
          <w:szCs w:val="21"/>
          <w:color w:val="313131"/>
        </w:rPr>
        <w:t>delayed.</w:t>
      </w:r>
      <w:r>
        <w:rPr>
          <w:rFonts w:ascii="Arial" w:cs="Arial" w:eastAsia="Arial" w:hAnsi="Arial"/>
          <w:sz w:val="21"/>
          <w:szCs w:val="21"/>
          <w:color w:val="auto"/>
        </w:rPr>
        <w:t xml:space="preserve"> Among other reasons, Landlord may withhold approval if the installation or operation of </w:t>
      </w:r>
      <w:r>
        <w:rPr>
          <w:rFonts w:ascii="Arial" w:cs="Arial" w:eastAsia="Arial" w:hAnsi="Arial"/>
          <w:sz w:val="21"/>
          <w:szCs w:val="21"/>
          <w:color w:val="0A0A0A"/>
        </w:rPr>
        <w:t>Tenant’s</w:t>
      </w:r>
      <w:r>
        <w:rPr>
          <w:rFonts w:ascii="Arial" w:cs="Arial" w:eastAsia="Arial" w:hAnsi="Arial"/>
          <w:sz w:val="21"/>
          <w:szCs w:val="21"/>
          <w:color w:val="auto"/>
        </w:rPr>
        <w:t xml:space="preserve"> Rooftop </w:t>
      </w:r>
      <w:r>
        <w:rPr>
          <w:rFonts w:ascii="Arial" w:cs="Arial" w:eastAsia="Arial" w:hAnsi="Arial"/>
          <w:sz w:val="21"/>
          <w:szCs w:val="21"/>
          <w:color w:val="313131"/>
        </w:rPr>
        <w:t xml:space="preserve">Equipment </w:t>
      </w:r>
      <w:r>
        <w:rPr>
          <w:rFonts w:ascii="Arial" w:cs="Arial" w:eastAsia="Arial" w:hAnsi="Arial"/>
          <w:sz w:val="21"/>
          <w:szCs w:val="21"/>
          <w:color w:val="000000"/>
        </w:rPr>
        <w:t>could reasonably be expected</w:t>
      </w:r>
      <w:r>
        <w:rPr>
          <w:rFonts w:ascii="Arial" w:cs="Arial" w:eastAsia="Arial" w:hAnsi="Arial"/>
          <w:sz w:val="21"/>
          <w:szCs w:val="21"/>
          <w:color w:val="313131"/>
        </w:rPr>
        <w:t xml:space="preserve"> to </w:t>
      </w:r>
      <w:r>
        <w:rPr>
          <w:rFonts w:ascii="Arial" w:cs="Arial" w:eastAsia="Arial" w:hAnsi="Arial"/>
          <w:sz w:val="21"/>
          <w:szCs w:val="21"/>
          <w:color w:val="000000"/>
        </w:rPr>
        <w:t>damage the</w:t>
      </w:r>
      <w:r>
        <w:rPr>
          <w:rFonts w:ascii="Arial" w:cs="Arial" w:eastAsia="Arial" w:hAnsi="Arial"/>
          <w:sz w:val="21"/>
          <w:szCs w:val="21"/>
          <w:color w:val="313131"/>
        </w:rPr>
        <w:t xml:space="preserve"> </w:t>
      </w:r>
      <w:r>
        <w:rPr>
          <w:rFonts w:ascii="Arial" w:cs="Arial" w:eastAsia="Arial" w:hAnsi="Arial"/>
          <w:sz w:val="21"/>
          <w:szCs w:val="21"/>
          <w:color w:val="232323"/>
        </w:rPr>
        <w:t>structural integrity of</w:t>
      </w:r>
      <w:r>
        <w:rPr>
          <w:rFonts w:ascii="Arial" w:cs="Arial" w:eastAsia="Arial" w:hAnsi="Arial"/>
          <w:sz w:val="21"/>
          <w:szCs w:val="21"/>
          <w:color w:val="313131"/>
        </w:rPr>
        <w:t xml:space="preserve"> </w:t>
      </w:r>
      <w:r>
        <w:rPr>
          <w:rFonts w:ascii="Arial" w:cs="Arial" w:eastAsia="Arial" w:hAnsi="Arial"/>
          <w:sz w:val="21"/>
          <w:szCs w:val="21"/>
          <w:color w:val="0F0F0F"/>
        </w:rPr>
        <w:t>the</w:t>
      </w:r>
      <w:r>
        <w:rPr>
          <w:rFonts w:ascii="Arial" w:cs="Arial" w:eastAsia="Arial" w:hAnsi="Arial"/>
          <w:sz w:val="21"/>
          <w:szCs w:val="21"/>
          <w:color w:val="313131"/>
        </w:rPr>
        <w:t xml:space="preserve"> </w:t>
      </w:r>
      <w:r>
        <w:rPr>
          <w:rFonts w:ascii="Arial" w:cs="Arial" w:eastAsia="Arial" w:hAnsi="Arial"/>
          <w:sz w:val="21"/>
          <w:szCs w:val="21"/>
          <w:color w:val="232323"/>
        </w:rPr>
        <w:t>Building or</w:t>
      </w:r>
      <w:r>
        <w:rPr>
          <w:rFonts w:ascii="Arial" w:cs="Arial" w:eastAsia="Arial" w:hAnsi="Arial"/>
          <w:sz w:val="21"/>
          <w:szCs w:val="21"/>
          <w:color w:val="313131"/>
        </w:rPr>
        <w:t xml:space="preserve"> </w:t>
      </w:r>
      <w:r>
        <w:rPr>
          <w:rFonts w:ascii="Arial" w:cs="Arial" w:eastAsia="Arial" w:hAnsi="Arial"/>
          <w:sz w:val="21"/>
          <w:szCs w:val="21"/>
          <w:color w:val="0F0F0F"/>
        </w:rPr>
        <w:t>to</w:t>
      </w:r>
      <w:r>
        <w:rPr>
          <w:rFonts w:ascii="Arial" w:cs="Arial" w:eastAsia="Arial" w:hAnsi="Arial"/>
          <w:sz w:val="21"/>
          <w:szCs w:val="21"/>
          <w:color w:val="313131"/>
        </w:rPr>
        <w:t xml:space="preserve"> </w:t>
      </w:r>
      <w:r>
        <w:rPr>
          <w:rFonts w:ascii="Arial" w:cs="Arial" w:eastAsia="Arial" w:hAnsi="Arial"/>
          <w:sz w:val="21"/>
          <w:szCs w:val="21"/>
          <w:color w:val="232323"/>
        </w:rPr>
        <w:t>transmit</w:t>
      </w:r>
      <w:r>
        <w:rPr>
          <w:rFonts w:ascii="Arial" w:cs="Arial" w:eastAsia="Arial" w:hAnsi="Arial"/>
          <w:sz w:val="21"/>
          <w:szCs w:val="21"/>
          <w:color w:val="313131"/>
        </w:rPr>
        <w:t xml:space="preserve"> </w:t>
      </w:r>
      <w:r>
        <w:rPr>
          <w:rFonts w:ascii="Arial" w:cs="Arial" w:eastAsia="Arial" w:hAnsi="Arial"/>
          <w:sz w:val="21"/>
          <w:szCs w:val="21"/>
          <w:color w:val="232323"/>
        </w:rPr>
        <w:t xml:space="preserve">vibrations or </w:t>
      </w:r>
      <w:r>
        <w:rPr>
          <w:rFonts w:ascii="Arial" w:cs="Arial" w:eastAsia="Arial" w:hAnsi="Arial"/>
          <w:sz w:val="21"/>
          <w:szCs w:val="21"/>
          <w:color w:val="0F0F0F"/>
        </w:rPr>
        <w:t>noise</w:t>
      </w:r>
      <w:r>
        <w:rPr>
          <w:rFonts w:ascii="Arial" w:cs="Arial" w:eastAsia="Arial" w:hAnsi="Arial"/>
          <w:sz w:val="21"/>
          <w:szCs w:val="21"/>
          <w:color w:val="232323"/>
        </w:rPr>
        <w:t xml:space="preserve"> or cause other adverse effects beyond the Premises </w:t>
      </w:r>
      <w:r>
        <w:rPr>
          <w:rFonts w:ascii="Arial" w:cs="Arial" w:eastAsia="Arial" w:hAnsi="Arial"/>
          <w:sz w:val="21"/>
          <w:szCs w:val="21"/>
          <w:color w:val="0F0F0F"/>
        </w:rPr>
        <w:t>to</w:t>
      </w:r>
      <w:r>
        <w:rPr>
          <w:rFonts w:ascii="Arial" w:cs="Arial" w:eastAsia="Arial" w:hAnsi="Arial"/>
          <w:sz w:val="21"/>
          <w:szCs w:val="21"/>
          <w:color w:val="232323"/>
        </w:rPr>
        <w:t xml:space="preserve"> an extent not customary in Comparable. Buildings, </w:t>
      </w:r>
      <w:r>
        <w:rPr>
          <w:rFonts w:ascii="Arial" w:cs="Arial" w:eastAsia="Arial" w:hAnsi="Arial"/>
          <w:sz w:val="21"/>
          <w:szCs w:val="21"/>
          <w:color w:val="0F0F0F"/>
        </w:rPr>
        <w:t>unless</w:t>
      </w:r>
      <w:r>
        <w:rPr>
          <w:rFonts w:ascii="Arial" w:cs="Arial" w:eastAsia="Arial" w:hAnsi="Arial"/>
          <w:sz w:val="21"/>
          <w:szCs w:val="21"/>
          <w:color w:val="232323"/>
        </w:rPr>
        <w:t xml:space="preserve"> Tenant implements </w:t>
      </w:r>
      <w:r>
        <w:rPr>
          <w:rFonts w:ascii="Arial" w:cs="Arial" w:eastAsia="Arial" w:hAnsi="Arial"/>
          <w:sz w:val="21"/>
          <w:szCs w:val="21"/>
          <w:color w:val="0F0F0F"/>
        </w:rPr>
        <w:t>measures</w:t>
      </w:r>
      <w:r>
        <w:rPr>
          <w:rFonts w:ascii="Arial" w:cs="Arial" w:eastAsia="Arial" w:hAnsi="Arial"/>
          <w:sz w:val="21"/>
          <w:szCs w:val="21"/>
          <w:color w:val="232323"/>
        </w:rPr>
        <w:t xml:space="preserve"> that </w:t>
      </w:r>
      <w:r>
        <w:rPr>
          <w:rFonts w:ascii="Arial" w:cs="Arial" w:eastAsia="Arial" w:hAnsi="Arial"/>
          <w:sz w:val="21"/>
          <w:szCs w:val="21"/>
          <w:color w:val="0F0F0F"/>
        </w:rPr>
        <w:t>are</w:t>
      </w:r>
      <w:r>
        <w:rPr>
          <w:rFonts w:ascii="Arial" w:cs="Arial" w:eastAsia="Arial" w:hAnsi="Arial"/>
          <w:sz w:val="21"/>
          <w:szCs w:val="21"/>
          <w:color w:val="232323"/>
        </w:rPr>
        <w:t xml:space="preserve"> acceptable to Landlord in </w:t>
      </w:r>
      <w:r>
        <w:rPr>
          <w:rFonts w:ascii="Arial" w:cs="Arial" w:eastAsia="Arial" w:hAnsi="Arial"/>
          <w:sz w:val="21"/>
          <w:szCs w:val="21"/>
          <w:color w:val="0F0F0F"/>
        </w:rPr>
        <w:t>i</w:t>
      </w:r>
      <w:r>
        <w:rPr>
          <w:rFonts w:ascii="Arial" w:cs="Arial" w:eastAsia="Arial" w:hAnsi="Arial"/>
          <w:sz w:val="21"/>
          <w:szCs w:val="21"/>
          <w:color w:val="3A3A3A"/>
        </w:rPr>
        <w:t>ts</w:t>
      </w:r>
      <w:r>
        <w:rPr>
          <w:rFonts w:ascii="Arial" w:cs="Arial" w:eastAsia="Arial" w:hAnsi="Arial"/>
          <w:sz w:val="21"/>
          <w:szCs w:val="21"/>
          <w:color w:val="232323"/>
        </w:rPr>
        <w:t xml:space="preserve"> reasonable </w:t>
      </w:r>
      <w:r>
        <w:rPr>
          <w:rFonts w:ascii="Arial" w:cs="Arial" w:eastAsia="Arial" w:hAnsi="Arial"/>
          <w:sz w:val="21"/>
          <w:szCs w:val="21"/>
          <w:color w:val="0F0F0F"/>
        </w:rPr>
        <w:t>d</w:t>
      </w:r>
      <w:r>
        <w:rPr>
          <w:rFonts w:ascii="Arial" w:cs="Arial" w:eastAsia="Arial" w:hAnsi="Arial"/>
          <w:sz w:val="21"/>
          <w:szCs w:val="21"/>
          <w:color w:val="3A3A3A"/>
        </w:rPr>
        <w:t>is</w:t>
      </w:r>
      <w:r>
        <w:rPr>
          <w:rFonts w:ascii="Arial" w:cs="Arial" w:eastAsia="Arial" w:hAnsi="Arial"/>
          <w:sz w:val="21"/>
          <w:szCs w:val="21"/>
          <w:color w:val="0F0F0F"/>
        </w:rPr>
        <w:t>cretion to</w:t>
      </w:r>
      <w:r>
        <w:rPr>
          <w:rFonts w:ascii="Arial" w:cs="Arial" w:eastAsia="Arial" w:hAnsi="Arial"/>
          <w:sz w:val="21"/>
          <w:szCs w:val="21"/>
          <w:color w:val="232323"/>
        </w:rPr>
        <w:t xml:space="preserve"> avoid </w:t>
      </w:r>
      <w:r>
        <w:rPr>
          <w:rFonts w:ascii="Arial" w:cs="Arial" w:eastAsia="Arial" w:hAnsi="Arial"/>
          <w:sz w:val="21"/>
          <w:szCs w:val="21"/>
          <w:color w:val="0F0F0F"/>
        </w:rPr>
        <w:t xml:space="preserve">any </w:t>
      </w:r>
      <w:r>
        <w:rPr>
          <w:rFonts w:ascii="Arial" w:cs="Arial" w:eastAsia="Arial" w:hAnsi="Arial"/>
          <w:sz w:val="21"/>
          <w:szCs w:val="21"/>
          <w:color w:val="3A3A3A"/>
        </w:rPr>
        <w:t>suc</w:t>
      </w:r>
      <w:r>
        <w:rPr>
          <w:rFonts w:ascii="Arial" w:cs="Arial" w:eastAsia="Arial" w:hAnsi="Arial"/>
          <w:sz w:val="21"/>
          <w:szCs w:val="21"/>
          <w:color w:val="0F0F0F"/>
        </w:rPr>
        <w:t xml:space="preserve">h </w:t>
      </w:r>
      <w:r>
        <w:rPr>
          <w:rFonts w:ascii="Arial" w:cs="Arial" w:eastAsia="Arial" w:hAnsi="Arial"/>
          <w:sz w:val="21"/>
          <w:szCs w:val="21"/>
          <w:color w:val="232323"/>
        </w:rPr>
        <w:t>damage or</w:t>
      </w:r>
      <w:r>
        <w:rPr>
          <w:rFonts w:ascii="Arial" w:cs="Arial" w:eastAsia="Arial" w:hAnsi="Arial"/>
          <w:sz w:val="21"/>
          <w:szCs w:val="21"/>
          <w:color w:val="0F0F0F"/>
        </w:rPr>
        <w:t xml:space="preserve"> transm</w:t>
      </w:r>
      <w:r>
        <w:rPr>
          <w:rFonts w:ascii="Arial" w:cs="Arial" w:eastAsia="Arial" w:hAnsi="Arial"/>
          <w:sz w:val="21"/>
          <w:szCs w:val="21"/>
          <w:color w:val="3A3A3A"/>
        </w:rPr>
        <w:t>ission.</w:t>
      </w:r>
    </w:p>
    <w:p>
      <w:pPr>
        <w:spacing w:after="0" w:line="158" w:lineRule="exact"/>
        <w:rPr>
          <w:rFonts w:ascii="Arial" w:cs="Arial" w:eastAsia="Arial" w:hAnsi="Arial"/>
          <w:sz w:val="22"/>
          <w:szCs w:val="22"/>
          <w:color w:val="auto"/>
        </w:rPr>
      </w:pPr>
    </w:p>
    <w:p>
      <w:pPr>
        <w:ind w:left="1300" w:hanging="648"/>
        <w:spacing w:after="0" w:line="241" w:lineRule="auto"/>
        <w:rPr>
          <w:rFonts w:ascii="Arial" w:cs="Arial" w:eastAsia="Arial" w:hAnsi="Arial"/>
          <w:sz w:val="22"/>
          <w:szCs w:val="22"/>
          <w:color w:val="auto"/>
        </w:rPr>
      </w:pPr>
      <w:r>
        <w:rPr>
          <w:rFonts w:ascii="Arial" w:cs="Arial" w:eastAsia="Arial" w:hAnsi="Arial"/>
          <w:sz w:val="19"/>
          <w:szCs w:val="19"/>
          <w:color w:val="auto"/>
        </w:rPr>
        <w:t xml:space="preserve">40.3 Tenant shall comply with any </w:t>
      </w:r>
      <w:r>
        <w:rPr>
          <w:rFonts w:ascii="Arial" w:cs="Arial" w:eastAsia="Arial" w:hAnsi="Arial"/>
          <w:sz w:val="19"/>
          <w:szCs w:val="19"/>
          <w:color w:val="3A3A3A"/>
        </w:rPr>
        <w:t>roof</w:t>
      </w:r>
      <w:r>
        <w:rPr>
          <w:rFonts w:ascii="Arial" w:cs="Arial" w:eastAsia="Arial" w:hAnsi="Arial"/>
          <w:sz w:val="19"/>
          <w:szCs w:val="19"/>
          <w:color w:val="auto"/>
        </w:rPr>
        <w:t xml:space="preserve"> or roof-related warranties. Tenant shall obtain a </w:t>
      </w:r>
      <w:r>
        <w:rPr>
          <w:rFonts w:ascii="Arial" w:cs="Arial" w:eastAsia="Arial" w:hAnsi="Arial"/>
          <w:sz w:val="19"/>
          <w:szCs w:val="19"/>
          <w:color w:val="0F0F0F"/>
        </w:rPr>
        <w:t>letter from Landlord’s roofing</w:t>
      </w:r>
      <w:r>
        <w:rPr>
          <w:rFonts w:ascii="Arial" w:cs="Arial" w:eastAsia="Arial" w:hAnsi="Arial"/>
          <w:sz w:val="19"/>
          <w:szCs w:val="19"/>
          <w:color w:val="auto"/>
        </w:rPr>
        <w:t xml:space="preserve"> contractor within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0F0F0F"/>
        </w:rPr>
        <w:t>days</w:t>
      </w:r>
      <w:r>
        <w:rPr>
          <w:rFonts w:ascii="Arial" w:cs="Arial" w:eastAsia="Arial" w:hAnsi="Arial"/>
          <w:sz w:val="19"/>
          <w:szCs w:val="19"/>
          <w:color w:val="auto"/>
        </w:rPr>
        <w:t xml:space="preserve"> after completion of any Tenant work on the rooftop stating that such work </w:t>
      </w:r>
      <w:r>
        <w:rPr>
          <w:rFonts w:ascii="Arial" w:cs="Arial" w:eastAsia="Arial" w:hAnsi="Arial"/>
          <w:sz w:val="19"/>
          <w:szCs w:val="19"/>
          <w:color w:val="0F0F0F"/>
        </w:rPr>
        <w:t>d</w:t>
      </w:r>
      <w:r>
        <w:rPr>
          <w:rFonts w:ascii="Arial" w:cs="Arial" w:eastAsia="Arial" w:hAnsi="Arial"/>
          <w:sz w:val="19"/>
          <w:szCs w:val="19"/>
          <w:color w:val="3A3A3A"/>
        </w:rPr>
        <w:t>id</w:t>
      </w:r>
      <w:r>
        <w:rPr>
          <w:rFonts w:ascii="Arial" w:cs="Arial" w:eastAsia="Arial" w:hAnsi="Arial"/>
          <w:sz w:val="19"/>
          <w:szCs w:val="19"/>
          <w:color w:val="auto"/>
        </w:rPr>
        <w:t xml:space="preserve"> not affect any such warranties. Tenant, </w:t>
      </w:r>
      <w:r>
        <w:rPr>
          <w:rFonts w:ascii="Arial" w:cs="Arial" w:eastAsia="Arial" w:hAnsi="Arial"/>
          <w:sz w:val="19"/>
          <w:szCs w:val="19"/>
          <w:color w:val="0F0F0F"/>
        </w:rPr>
        <w:t>at its</w:t>
      </w:r>
      <w:r>
        <w:rPr>
          <w:rFonts w:ascii="Arial" w:cs="Arial" w:eastAsia="Arial" w:hAnsi="Arial"/>
          <w:sz w:val="19"/>
          <w:szCs w:val="19"/>
          <w:color w:val="auto"/>
        </w:rPr>
        <w:t xml:space="preserve"> </w:t>
      </w:r>
      <w:r>
        <w:rPr>
          <w:rFonts w:ascii="Arial" w:cs="Arial" w:eastAsia="Arial" w:hAnsi="Arial"/>
          <w:sz w:val="19"/>
          <w:szCs w:val="19"/>
          <w:color w:val="3A3A3A"/>
        </w:rPr>
        <w:t>so</w:t>
      </w:r>
      <w:r>
        <w:rPr>
          <w:rFonts w:ascii="Arial" w:cs="Arial" w:eastAsia="Arial" w:hAnsi="Arial"/>
          <w:sz w:val="19"/>
          <w:szCs w:val="19"/>
          <w:color w:val="0F0F0F"/>
        </w:rPr>
        <w:t>le</w:t>
      </w:r>
      <w:r>
        <w:rPr>
          <w:rFonts w:ascii="Arial" w:cs="Arial" w:eastAsia="Arial" w:hAnsi="Arial"/>
          <w:sz w:val="19"/>
          <w:szCs w:val="19"/>
          <w:color w:val="auto"/>
        </w:rPr>
        <w:t xml:space="preserve"> cost </w:t>
      </w:r>
      <w:r>
        <w:rPr>
          <w:rFonts w:ascii="Arial" w:cs="Arial" w:eastAsia="Arial" w:hAnsi="Arial"/>
          <w:sz w:val="19"/>
          <w:szCs w:val="19"/>
          <w:color w:val="0F0F0F"/>
        </w:rPr>
        <w:t>and</w:t>
      </w:r>
      <w:r>
        <w:rPr>
          <w:rFonts w:ascii="Arial" w:cs="Arial" w:eastAsia="Arial" w:hAnsi="Arial"/>
          <w:sz w:val="19"/>
          <w:szCs w:val="19"/>
          <w:color w:val="auto"/>
        </w:rPr>
        <w:t xml:space="preserve"> expense, shall </w:t>
      </w:r>
      <w:r>
        <w:rPr>
          <w:rFonts w:ascii="Arial" w:cs="Arial" w:eastAsia="Arial" w:hAnsi="Arial"/>
          <w:sz w:val="19"/>
          <w:szCs w:val="19"/>
          <w:color w:val="0F0F0F"/>
        </w:rPr>
        <w:t>insp</w:t>
      </w:r>
      <w:r>
        <w:rPr>
          <w:rFonts w:ascii="Arial" w:cs="Arial" w:eastAsia="Arial" w:hAnsi="Arial"/>
          <w:sz w:val="19"/>
          <w:szCs w:val="19"/>
          <w:color w:val="3A3A3A"/>
        </w:rPr>
        <w:t>ect</w:t>
      </w:r>
      <w:r>
        <w:rPr>
          <w:rFonts w:ascii="Arial" w:cs="Arial" w:eastAsia="Arial" w:hAnsi="Arial"/>
          <w:sz w:val="19"/>
          <w:szCs w:val="19"/>
          <w:color w:val="auto"/>
        </w:rPr>
        <w:t xml:space="preserve"> </w:t>
      </w:r>
      <w:r>
        <w:rPr>
          <w:rFonts w:ascii="Arial" w:cs="Arial" w:eastAsia="Arial" w:hAnsi="Arial"/>
          <w:sz w:val="19"/>
          <w:szCs w:val="19"/>
          <w:color w:val="0F0F0F"/>
        </w:rPr>
        <w:t>the</w:t>
      </w:r>
      <w:r>
        <w:rPr>
          <w:rFonts w:ascii="Arial" w:cs="Arial" w:eastAsia="Arial" w:hAnsi="Arial"/>
          <w:sz w:val="19"/>
          <w:szCs w:val="19"/>
          <w:color w:val="auto"/>
        </w:rPr>
        <w:t xml:space="preserve"> Rooftop </w:t>
      </w:r>
      <w:r>
        <w:rPr>
          <w:rFonts w:ascii="Arial" w:cs="Arial" w:eastAsia="Arial" w:hAnsi="Arial"/>
          <w:sz w:val="19"/>
          <w:szCs w:val="19"/>
          <w:color w:val="0F0F0F"/>
        </w:rPr>
        <w:t>Installat</w:t>
      </w:r>
      <w:r>
        <w:rPr>
          <w:rFonts w:ascii="Arial" w:cs="Arial" w:eastAsia="Arial" w:hAnsi="Arial"/>
          <w:sz w:val="19"/>
          <w:szCs w:val="19"/>
          <w:color w:val="3A3A3A"/>
        </w:rPr>
        <w:t>ion</w:t>
      </w:r>
      <w:r>
        <w:rPr>
          <w:rFonts w:ascii="Arial" w:cs="Arial" w:eastAsia="Arial" w:hAnsi="Arial"/>
          <w:sz w:val="19"/>
          <w:szCs w:val="19"/>
          <w:color w:val="auto"/>
        </w:rPr>
        <w:t xml:space="preserve"> Area at </w:t>
      </w:r>
      <w:r>
        <w:rPr>
          <w:rFonts w:ascii="Arial" w:cs="Arial" w:eastAsia="Arial" w:hAnsi="Arial"/>
          <w:sz w:val="19"/>
          <w:szCs w:val="19"/>
          <w:color w:val="0F0F0F"/>
        </w:rPr>
        <w:t>lea</w:t>
      </w:r>
      <w:r>
        <w:rPr>
          <w:rFonts w:ascii="Arial" w:cs="Arial" w:eastAsia="Arial" w:hAnsi="Arial"/>
          <w:sz w:val="19"/>
          <w:szCs w:val="19"/>
          <w:color w:val="3A3A3A"/>
        </w:rPr>
        <w:t>st</w:t>
      </w:r>
      <w:r>
        <w:rPr>
          <w:rFonts w:ascii="Arial" w:cs="Arial" w:eastAsia="Arial" w:hAnsi="Arial"/>
          <w:sz w:val="19"/>
          <w:szCs w:val="19"/>
          <w:color w:val="auto"/>
        </w:rPr>
        <w:t xml:space="preserve"> annually, and correct any </w:t>
      </w:r>
      <w:r>
        <w:rPr>
          <w:rFonts w:ascii="Arial" w:cs="Arial" w:eastAsia="Arial" w:hAnsi="Arial"/>
          <w:sz w:val="19"/>
          <w:szCs w:val="19"/>
          <w:color w:val="0F0F0F"/>
        </w:rPr>
        <w:t>loose</w:t>
      </w:r>
      <w:r>
        <w:rPr>
          <w:rFonts w:ascii="Arial" w:cs="Arial" w:eastAsia="Arial" w:hAnsi="Arial"/>
          <w:sz w:val="19"/>
          <w:szCs w:val="19"/>
          <w:color w:val="auto"/>
        </w:rPr>
        <w:t xml:space="preserve"> bolts, fittings or </w:t>
      </w:r>
      <w:r>
        <w:rPr>
          <w:rFonts w:ascii="Arial" w:cs="Arial" w:eastAsia="Arial" w:hAnsi="Arial"/>
          <w:sz w:val="19"/>
          <w:szCs w:val="19"/>
          <w:color w:val="0F0F0F"/>
        </w:rPr>
        <w:t>o</w:t>
      </w:r>
      <w:r>
        <w:rPr>
          <w:rFonts w:ascii="Arial" w:cs="Arial" w:eastAsia="Arial" w:hAnsi="Arial"/>
          <w:sz w:val="19"/>
          <w:szCs w:val="19"/>
          <w:color w:val="3A3A3A"/>
        </w:rPr>
        <w:t>ther</w:t>
      </w:r>
      <w:r>
        <w:rPr>
          <w:rFonts w:ascii="Arial" w:cs="Arial" w:eastAsia="Arial" w:hAnsi="Arial"/>
          <w:sz w:val="19"/>
          <w:szCs w:val="19"/>
          <w:color w:val="auto"/>
        </w:rPr>
        <w:t xml:space="preserve"> appurtenances and </w:t>
      </w:r>
      <w:r>
        <w:rPr>
          <w:rFonts w:ascii="Arial" w:cs="Arial" w:eastAsia="Arial" w:hAnsi="Arial"/>
          <w:sz w:val="19"/>
          <w:szCs w:val="19"/>
          <w:color w:val="3A3A3A"/>
        </w:rPr>
        <w:t>re</w:t>
      </w:r>
      <w:r>
        <w:rPr>
          <w:rFonts w:ascii="Arial" w:cs="Arial" w:eastAsia="Arial" w:hAnsi="Arial"/>
          <w:sz w:val="19"/>
          <w:szCs w:val="19"/>
          <w:color w:val="0F0F0F"/>
        </w:rPr>
        <w:t>pair</w:t>
      </w:r>
      <w:r>
        <w:rPr>
          <w:rFonts w:ascii="Arial" w:cs="Arial" w:eastAsia="Arial" w:hAnsi="Arial"/>
          <w:sz w:val="19"/>
          <w:szCs w:val="19"/>
          <w:color w:val="auto"/>
        </w:rPr>
        <w:t xml:space="preserve"> any </w:t>
      </w:r>
      <w:r>
        <w:rPr>
          <w:rFonts w:ascii="Arial" w:cs="Arial" w:eastAsia="Arial" w:hAnsi="Arial"/>
          <w:sz w:val="19"/>
          <w:szCs w:val="19"/>
          <w:color w:val="0F0F0F"/>
        </w:rPr>
        <w:t>damage to</w:t>
      </w:r>
      <w:r>
        <w:rPr>
          <w:rFonts w:ascii="Arial" w:cs="Arial" w:eastAsia="Arial" w:hAnsi="Arial"/>
          <w:sz w:val="19"/>
          <w:szCs w:val="19"/>
          <w:color w:val="auto"/>
        </w:rPr>
        <w:t xml:space="preserve"> the roof caused by the </w:t>
      </w:r>
      <w:r>
        <w:rPr>
          <w:rFonts w:ascii="Arial" w:cs="Arial" w:eastAsia="Arial" w:hAnsi="Arial"/>
          <w:sz w:val="19"/>
          <w:szCs w:val="19"/>
          <w:color w:val="3A3A3A"/>
        </w:rPr>
        <w:t>ins</w:t>
      </w:r>
      <w:r>
        <w:rPr>
          <w:rFonts w:ascii="Arial" w:cs="Arial" w:eastAsia="Arial" w:hAnsi="Arial"/>
          <w:sz w:val="19"/>
          <w:szCs w:val="19"/>
          <w:color w:val="0F0F0F"/>
        </w:rPr>
        <w:t>tallation</w:t>
      </w:r>
      <w:r>
        <w:rPr>
          <w:rFonts w:ascii="Arial" w:cs="Arial" w:eastAsia="Arial" w:hAnsi="Arial"/>
          <w:sz w:val="19"/>
          <w:szCs w:val="19"/>
          <w:color w:val="auto"/>
        </w:rPr>
        <w:t xml:space="preserve"> or operation of </w:t>
      </w:r>
      <w:r>
        <w:rPr>
          <w:rFonts w:ascii="Arial" w:cs="Arial" w:eastAsia="Arial" w:hAnsi="Arial"/>
          <w:sz w:val="19"/>
          <w:szCs w:val="19"/>
          <w:color w:val="3A3A3A"/>
        </w:rPr>
        <w:t>Te</w:t>
      </w:r>
      <w:r>
        <w:rPr>
          <w:rFonts w:ascii="Arial" w:cs="Arial" w:eastAsia="Arial" w:hAnsi="Arial"/>
          <w:sz w:val="19"/>
          <w:szCs w:val="19"/>
          <w:color w:val="0F0F0F"/>
        </w:rPr>
        <w:t>nant’s</w:t>
      </w:r>
      <w:r>
        <w:rPr>
          <w:rFonts w:ascii="Arial" w:cs="Arial" w:eastAsia="Arial" w:hAnsi="Arial"/>
          <w:sz w:val="19"/>
          <w:szCs w:val="19"/>
          <w:color w:val="auto"/>
        </w:rPr>
        <w:t xml:space="preserve"> Rooftop Equipment. </w:t>
      </w:r>
      <w:r>
        <w:rPr>
          <w:rFonts w:ascii="Arial" w:cs="Arial" w:eastAsia="Arial" w:hAnsi="Arial"/>
          <w:sz w:val="19"/>
          <w:szCs w:val="19"/>
          <w:color w:val="3A3A3A"/>
        </w:rPr>
        <w:t>Tenant</w:t>
      </w:r>
      <w:r>
        <w:rPr>
          <w:rFonts w:ascii="Arial" w:cs="Arial" w:eastAsia="Arial" w:hAnsi="Arial"/>
          <w:sz w:val="19"/>
          <w:szCs w:val="19"/>
          <w:color w:val="auto"/>
        </w:rPr>
        <w:t xml:space="preserve"> shall </w:t>
      </w:r>
      <w:r>
        <w:rPr>
          <w:rFonts w:ascii="Arial" w:cs="Arial" w:eastAsia="Arial" w:hAnsi="Arial"/>
          <w:sz w:val="19"/>
          <w:szCs w:val="19"/>
          <w:color w:val="0F0F0F"/>
        </w:rPr>
        <w:t>no</w:t>
      </w:r>
      <w:r>
        <w:rPr>
          <w:rFonts w:ascii="Arial" w:cs="Arial" w:eastAsia="Arial" w:hAnsi="Arial"/>
          <w:sz w:val="19"/>
          <w:szCs w:val="19"/>
          <w:color w:val="3A3A3A"/>
        </w:rPr>
        <w:t>t</w:t>
      </w:r>
      <w:r>
        <w:rPr>
          <w:rFonts w:ascii="Arial" w:cs="Arial" w:eastAsia="Arial" w:hAnsi="Arial"/>
          <w:sz w:val="19"/>
          <w:szCs w:val="19"/>
          <w:color w:val="auto"/>
        </w:rPr>
        <w:t xml:space="preserve"> permit </w:t>
      </w:r>
      <w:r>
        <w:rPr>
          <w:rFonts w:ascii="Arial" w:cs="Arial" w:eastAsia="Arial" w:hAnsi="Arial"/>
          <w:sz w:val="19"/>
          <w:szCs w:val="19"/>
          <w:color w:val="0F0F0F"/>
        </w:rPr>
        <w:t>the installat</w:t>
      </w:r>
      <w:r>
        <w:rPr>
          <w:rFonts w:ascii="Arial" w:cs="Arial" w:eastAsia="Arial" w:hAnsi="Arial"/>
          <w:sz w:val="19"/>
          <w:szCs w:val="19"/>
          <w:color w:val="3A3A3A"/>
        </w:rPr>
        <w:t>io</w:t>
      </w:r>
      <w:r>
        <w:rPr>
          <w:rFonts w:ascii="Arial" w:cs="Arial" w:eastAsia="Arial" w:hAnsi="Arial"/>
          <w:sz w:val="19"/>
          <w:szCs w:val="19"/>
          <w:color w:val="0F0F0F"/>
        </w:rPr>
        <w:t>n</w:t>
      </w:r>
      <w:r>
        <w:rPr>
          <w:rFonts w:ascii="Arial" w:cs="Arial" w:eastAsia="Arial" w:hAnsi="Arial"/>
          <w:sz w:val="19"/>
          <w:szCs w:val="19"/>
          <w:color w:val="3A3A3A"/>
        </w:rPr>
        <w:t>,</w:t>
      </w:r>
      <w:r>
        <w:rPr>
          <w:rFonts w:ascii="Arial" w:cs="Arial" w:eastAsia="Arial" w:hAnsi="Arial"/>
          <w:sz w:val="19"/>
          <w:szCs w:val="19"/>
          <w:color w:val="auto"/>
        </w:rPr>
        <w:t xml:space="preserve"> </w:t>
      </w:r>
      <w:r>
        <w:rPr>
          <w:rFonts w:ascii="Arial" w:cs="Arial" w:eastAsia="Arial" w:hAnsi="Arial"/>
          <w:sz w:val="19"/>
          <w:szCs w:val="19"/>
          <w:color w:val="0F0F0F"/>
        </w:rPr>
        <w:t>maintenance</w:t>
      </w:r>
      <w:r>
        <w:rPr>
          <w:rFonts w:ascii="Arial" w:cs="Arial" w:eastAsia="Arial" w:hAnsi="Arial"/>
          <w:sz w:val="19"/>
          <w:szCs w:val="19"/>
          <w:color w:val="auto"/>
        </w:rPr>
        <w:t xml:space="preserve"> or operation of Tenant’s Rooftop </w:t>
      </w:r>
      <w:r>
        <w:rPr>
          <w:rFonts w:ascii="Arial" w:cs="Arial" w:eastAsia="Arial" w:hAnsi="Arial"/>
          <w:sz w:val="19"/>
          <w:szCs w:val="19"/>
          <w:color w:val="3A3A3A"/>
        </w:rPr>
        <w:t>E</w:t>
      </w:r>
      <w:r>
        <w:rPr>
          <w:rFonts w:ascii="Arial" w:cs="Arial" w:eastAsia="Arial" w:hAnsi="Arial"/>
          <w:sz w:val="19"/>
          <w:szCs w:val="19"/>
          <w:color w:val="0F0F0F"/>
        </w:rPr>
        <w:t>quipment to</w:t>
      </w:r>
      <w:r>
        <w:rPr>
          <w:rFonts w:ascii="Arial" w:cs="Arial" w:eastAsia="Arial" w:hAnsi="Arial"/>
          <w:sz w:val="19"/>
          <w:szCs w:val="19"/>
          <w:color w:val="auto"/>
        </w:rPr>
        <w:t xml:space="preserve"> violate any Applicable Laws or constitute a nuisance. Tenant </w:t>
      </w:r>
      <w:r>
        <w:rPr>
          <w:rFonts w:ascii="Arial" w:cs="Arial" w:eastAsia="Arial" w:hAnsi="Arial"/>
          <w:sz w:val="19"/>
          <w:szCs w:val="19"/>
          <w:color w:val="3A3A3A"/>
        </w:rPr>
        <w:t>shall</w:t>
      </w:r>
      <w:r>
        <w:rPr>
          <w:rFonts w:ascii="Arial" w:cs="Arial" w:eastAsia="Arial" w:hAnsi="Arial"/>
          <w:sz w:val="19"/>
          <w:szCs w:val="19"/>
          <w:color w:val="auto"/>
        </w:rPr>
        <w:t xml:space="preserve"> pay Landlord within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0F0F0F"/>
        </w:rPr>
        <w:t>day</w:t>
      </w:r>
      <w:r>
        <w:rPr>
          <w:rFonts w:ascii="Arial" w:cs="Arial" w:eastAsia="Arial" w:hAnsi="Arial"/>
          <w:sz w:val="19"/>
          <w:szCs w:val="19"/>
          <w:color w:val="3A3A3A"/>
        </w:rPr>
        <w:t>s</w:t>
      </w:r>
      <w:r>
        <w:rPr>
          <w:rFonts w:ascii="Arial" w:cs="Arial" w:eastAsia="Arial" w:hAnsi="Arial"/>
          <w:sz w:val="19"/>
          <w:szCs w:val="19"/>
          <w:color w:val="auto"/>
        </w:rPr>
        <w:t xml:space="preserve"> after demand </w:t>
      </w:r>
      <w:r>
        <w:rPr>
          <w:rFonts w:ascii="Arial" w:cs="Arial" w:eastAsia="Arial" w:hAnsi="Arial"/>
          <w:sz w:val="19"/>
          <w:szCs w:val="19"/>
          <w:color w:val="0F0F0F"/>
        </w:rPr>
        <w:t>(a)</w:t>
      </w:r>
      <w:r>
        <w:rPr>
          <w:rFonts w:ascii="Arial" w:cs="Arial" w:eastAsia="Arial" w:hAnsi="Arial"/>
          <w:sz w:val="19"/>
          <w:szCs w:val="19"/>
          <w:color w:val="auto"/>
        </w:rPr>
        <w:t xml:space="preserve"> all applicable </w:t>
      </w:r>
      <w:r>
        <w:rPr>
          <w:rFonts w:ascii="Arial" w:cs="Arial" w:eastAsia="Arial" w:hAnsi="Arial"/>
          <w:sz w:val="19"/>
          <w:szCs w:val="19"/>
          <w:color w:val="0F0F0F"/>
        </w:rPr>
        <w:t>taxes</w:t>
      </w:r>
      <w:r>
        <w:rPr>
          <w:rFonts w:ascii="Arial" w:cs="Arial" w:eastAsia="Arial" w:hAnsi="Arial"/>
          <w:sz w:val="19"/>
          <w:szCs w:val="19"/>
          <w:color w:val="3A3A3A"/>
        </w:rPr>
        <w:t>,</w:t>
      </w:r>
      <w:r>
        <w:rPr>
          <w:rFonts w:ascii="Arial" w:cs="Arial" w:eastAsia="Arial" w:hAnsi="Arial"/>
          <w:sz w:val="19"/>
          <w:szCs w:val="19"/>
          <w:color w:val="auto"/>
        </w:rPr>
        <w:t xml:space="preserve"> charges, </w:t>
      </w:r>
      <w:r>
        <w:rPr>
          <w:rFonts w:ascii="Arial" w:cs="Arial" w:eastAsia="Arial" w:hAnsi="Arial"/>
          <w:sz w:val="19"/>
          <w:szCs w:val="19"/>
          <w:color w:val="0F0F0F"/>
        </w:rPr>
        <w:t>fee</w:t>
      </w:r>
      <w:r>
        <w:rPr>
          <w:rFonts w:ascii="Arial" w:cs="Arial" w:eastAsia="Arial" w:hAnsi="Arial"/>
          <w:sz w:val="19"/>
          <w:szCs w:val="19"/>
          <w:color w:val="3A3A3A"/>
        </w:rPr>
        <w:t>s</w:t>
      </w:r>
      <w:r>
        <w:rPr>
          <w:rFonts w:ascii="Arial" w:cs="Arial" w:eastAsia="Arial" w:hAnsi="Arial"/>
          <w:sz w:val="19"/>
          <w:szCs w:val="19"/>
          <w:color w:val="auto"/>
        </w:rPr>
        <w:t xml:space="preserve"> or </w:t>
      </w:r>
      <w:r>
        <w:rPr>
          <w:rFonts w:ascii="Arial" w:cs="Arial" w:eastAsia="Arial" w:hAnsi="Arial"/>
          <w:sz w:val="19"/>
          <w:szCs w:val="19"/>
          <w:color w:val="0F0F0F"/>
        </w:rPr>
        <w:t>impo</w:t>
      </w:r>
      <w:r>
        <w:rPr>
          <w:rFonts w:ascii="Arial" w:cs="Arial" w:eastAsia="Arial" w:hAnsi="Arial"/>
          <w:sz w:val="19"/>
          <w:szCs w:val="19"/>
          <w:color w:val="3A3A3A"/>
        </w:rPr>
        <w:t>s</w:t>
      </w:r>
      <w:r>
        <w:rPr>
          <w:rFonts w:ascii="Arial" w:cs="Arial" w:eastAsia="Arial" w:hAnsi="Arial"/>
          <w:sz w:val="19"/>
          <w:szCs w:val="19"/>
          <w:color w:val="0F0F0F"/>
        </w:rPr>
        <w:t>ition</w:t>
      </w:r>
      <w:r>
        <w:rPr>
          <w:rFonts w:ascii="Arial" w:cs="Arial" w:eastAsia="Arial" w:hAnsi="Arial"/>
          <w:sz w:val="19"/>
          <w:szCs w:val="19"/>
          <w:color w:val="3A3A3A"/>
        </w:rPr>
        <w:t>s</w:t>
      </w:r>
      <w:r>
        <w:rPr>
          <w:rFonts w:ascii="Arial" w:cs="Arial" w:eastAsia="Arial" w:hAnsi="Arial"/>
          <w:sz w:val="19"/>
          <w:szCs w:val="19"/>
          <w:color w:val="auto"/>
        </w:rPr>
        <w:t xml:space="preserve"> imposed on Landlord by Governmental Authorities as </w:t>
      </w:r>
      <w:r>
        <w:rPr>
          <w:rFonts w:ascii="Arial" w:cs="Arial" w:eastAsia="Arial" w:hAnsi="Arial"/>
          <w:sz w:val="19"/>
          <w:szCs w:val="19"/>
          <w:color w:val="3A3A3A"/>
        </w:rPr>
        <w:t>t</w:t>
      </w:r>
      <w:r>
        <w:rPr>
          <w:rFonts w:ascii="Arial" w:cs="Arial" w:eastAsia="Arial" w:hAnsi="Arial"/>
          <w:sz w:val="19"/>
          <w:szCs w:val="19"/>
          <w:color w:val="0F0F0F"/>
        </w:rPr>
        <w:t>he</w:t>
      </w:r>
      <w:r>
        <w:rPr>
          <w:rFonts w:ascii="Arial" w:cs="Arial" w:eastAsia="Arial" w:hAnsi="Arial"/>
          <w:sz w:val="19"/>
          <w:szCs w:val="19"/>
          <w:color w:val="auto"/>
        </w:rPr>
        <w:t xml:space="preserve"> result of Tenant’s </w:t>
      </w:r>
      <w:r>
        <w:rPr>
          <w:rFonts w:ascii="Arial" w:cs="Arial" w:eastAsia="Arial" w:hAnsi="Arial"/>
          <w:sz w:val="19"/>
          <w:szCs w:val="19"/>
          <w:color w:val="0F0F0F"/>
        </w:rPr>
        <w:t>use</w:t>
      </w:r>
      <w:r>
        <w:rPr>
          <w:rFonts w:ascii="Arial" w:cs="Arial" w:eastAsia="Arial" w:hAnsi="Arial"/>
          <w:sz w:val="19"/>
          <w:szCs w:val="19"/>
          <w:color w:val="auto"/>
        </w:rPr>
        <w:t xml:space="preserve"> of the Rooftop Installation Areas in excess of </w:t>
      </w:r>
      <w:r>
        <w:rPr>
          <w:rFonts w:ascii="Arial" w:cs="Arial" w:eastAsia="Arial" w:hAnsi="Arial"/>
          <w:sz w:val="19"/>
          <w:szCs w:val="19"/>
          <w:color w:val="0F0F0F"/>
        </w:rPr>
        <w:t xml:space="preserve">those </w:t>
      </w:r>
      <w:r>
        <w:rPr>
          <w:rFonts w:ascii="Arial" w:cs="Arial" w:eastAsia="Arial" w:hAnsi="Arial"/>
          <w:sz w:val="19"/>
          <w:szCs w:val="19"/>
          <w:color w:val="000000"/>
        </w:rPr>
        <w:t>for which</w:t>
      </w:r>
      <w:r>
        <w:rPr>
          <w:rFonts w:ascii="Arial" w:cs="Arial" w:eastAsia="Arial" w:hAnsi="Arial"/>
          <w:sz w:val="19"/>
          <w:szCs w:val="19"/>
          <w:color w:val="0F0F0F"/>
        </w:rPr>
        <w:t xml:space="preserve"> </w:t>
      </w:r>
      <w:r>
        <w:rPr>
          <w:rFonts w:ascii="Arial" w:cs="Arial" w:eastAsia="Arial" w:hAnsi="Arial"/>
          <w:sz w:val="19"/>
          <w:szCs w:val="19"/>
          <w:color w:val="3A3A3A"/>
        </w:rPr>
        <w:t>Landlo</w:t>
      </w:r>
      <w:r>
        <w:rPr>
          <w:rFonts w:ascii="Arial" w:cs="Arial" w:eastAsia="Arial" w:hAnsi="Arial"/>
          <w:sz w:val="19"/>
          <w:szCs w:val="19"/>
          <w:color w:val="0F0F0F"/>
        </w:rPr>
        <w:t xml:space="preserve">rd </w:t>
      </w:r>
      <w:r>
        <w:rPr>
          <w:rFonts w:ascii="Arial" w:cs="Arial" w:eastAsia="Arial" w:hAnsi="Arial"/>
          <w:sz w:val="19"/>
          <w:szCs w:val="19"/>
          <w:color w:val="000000"/>
        </w:rPr>
        <w:t>would</w:t>
      </w:r>
      <w:r>
        <w:rPr>
          <w:rFonts w:ascii="Arial" w:cs="Arial" w:eastAsia="Arial" w:hAnsi="Arial"/>
          <w:sz w:val="19"/>
          <w:szCs w:val="19"/>
          <w:color w:val="0F0F0F"/>
        </w:rPr>
        <w:t xml:space="preserve"> </w:t>
      </w:r>
      <w:r>
        <w:rPr>
          <w:rFonts w:ascii="Arial" w:cs="Arial" w:eastAsia="Arial" w:hAnsi="Arial"/>
          <w:sz w:val="19"/>
          <w:szCs w:val="19"/>
          <w:color w:val="3A3A3A"/>
        </w:rPr>
        <w:t>otherwise be</w:t>
      </w:r>
      <w:r>
        <w:rPr>
          <w:rFonts w:ascii="Arial" w:cs="Arial" w:eastAsia="Arial" w:hAnsi="Arial"/>
          <w:sz w:val="19"/>
          <w:szCs w:val="19"/>
          <w:color w:val="0F0F0F"/>
        </w:rPr>
        <w:t xml:space="preserve"> </w:t>
      </w:r>
      <w:r>
        <w:rPr>
          <w:rFonts w:ascii="Arial" w:cs="Arial" w:eastAsia="Arial" w:hAnsi="Arial"/>
          <w:sz w:val="19"/>
          <w:szCs w:val="19"/>
          <w:color w:val="000000"/>
        </w:rPr>
        <w:t>responsible for</w:t>
      </w:r>
      <w:r>
        <w:rPr>
          <w:rFonts w:ascii="Arial" w:cs="Arial" w:eastAsia="Arial" w:hAnsi="Arial"/>
          <w:sz w:val="19"/>
          <w:szCs w:val="19"/>
          <w:color w:val="0F0F0F"/>
        </w:rPr>
        <w:t xml:space="preserve"> </w:t>
      </w:r>
      <w:r>
        <w:rPr>
          <w:rFonts w:ascii="Arial" w:cs="Arial" w:eastAsia="Arial" w:hAnsi="Arial"/>
          <w:sz w:val="19"/>
          <w:szCs w:val="19"/>
          <w:color w:val="3A3A3A"/>
        </w:rPr>
        <w:t>the</w:t>
      </w:r>
      <w:r>
        <w:rPr>
          <w:rFonts w:ascii="Arial" w:cs="Arial" w:eastAsia="Arial" w:hAnsi="Arial"/>
          <w:sz w:val="19"/>
          <w:szCs w:val="19"/>
          <w:color w:val="0F0F0F"/>
        </w:rPr>
        <w:t xml:space="preserve"> </w:t>
      </w:r>
      <w:r>
        <w:rPr>
          <w:rFonts w:ascii="Arial" w:cs="Arial" w:eastAsia="Arial" w:hAnsi="Arial"/>
          <w:sz w:val="19"/>
          <w:szCs w:val="19"/>
          <w:color w:val="000000"/>
        </w:rPr>
        <w:t>use or</w:t>
      </w:r>
      <w:r>
        <w:rPr>
          <w:rFonts w:ascii="Arial" w:cs="Arial" w:eastAsia="Arial" w:hAnsi="Arial"/>
          <w:sz w:val="19"/>
          <w:szCs w:val="19"/>
          <w:color w:val="0F0F0F"/>
        </w:rPr>
        <w:t xml:space="preserve"> ins</w:t>
      </w:r>
      <w:r>
        <w:rPr>
          <w:rFonts w:ascii="Arial" w:cs="Arial" w:eastAsia="Arial" w:hAnsi="Arial"/>
          <w:sz w:val="19"/>
          <w:szCs w:val="19"/>
          <w:color w:val="3A3A3A"/>
        </w:rPr>
        <w:t>ta</w:t>
      </w:r>
      <w:r>
        <w:rPr>
          <w:rFonts w:ascii="Arial" w:cs="Arial" w:eastAsia="Arial" w:hAnsi="Arial"/>
          <w:sz w:val="19"/>
          <w:szCs w:val="19"/>
          <w:color w:val="0F0F0F"/>
        </w:rPr>
        <w:t>llat</w:t>
      </w:r>
      <w:r>
        <w:rPr>
          <w:rFonts w:ascii="Arial" w:cs="Arial" w:eastAsia="Arial" w:hAnsi="Arial"/>
          <w:sz w:val="19"/>
          <w:szCs w:val="19"/>
          <w:color w:val="3A3A3A"/>
        </w:rPr>
        <w:t>ion</w:t>
      </w:r>
      <w:r>
        <w:rPr>
          <w:rFonts w:ascii="Arial" w:cs="Arial" w:eastAsia="Arial" w:hAnsi="Arial"/>
          <w:sz w:val="19"/>
          <w:szCs w:val="19"/>
          <w:color w:val="0F0F0F"/>
        </w:rPr>
        <w:t xml:space="preserve"> </w:t>
      </w:r>
      <w:r>
        <w:rPr>
          <w:rFonts w:ascii="Arial" w:cs="Arial" w:eastAsia="Arial" w:hAnsi="Arial"/>
          <w:sz w:val="19"/>
          <w:szCs w:val="19"/>
          <w:color w:val="000000"/>
        </w:rPr>
        <w:t>of Tenant’s</w:t>
      </w:r>
      <w:r>
        <w:rPr>
          <w:rFonts w:ascii="Arial" w:cs="Arial" w:eastAsia="Arial" w:hAnsi="Arial"/>
          <w:sz w:val="19"/>
          <w:szCs w:val="19"/>
          <w:color w:val="0F0F0F"/>
        </w:rPr>
        <w:t xml:space="preserve"> Rooftop </w:t>
      </w:r>
      <w:r>
        <w:rPr>
          <w:rFonts w:ascii="Arial" w:cs="Arial" w:eastAsia="Arial" w:hAnsi="Arial"/>
          <w:sz w:val="19"/>
          <w:szCs w:val="19"/>
          <w:color w:val="3A3A3A"/>
        </w:rPr>
        <w:t>E</w:t>
      </w:r>
      <w:r>
        <w:rPr>
          <w:rFonts w:ascii="Arial" w:cs="Arial" w:eastAsia="Arial" w:hAnsi="Arial"/>
          <w:sz w:val="19"/>
          <w:szCs w:val="19"/>
          <w:color w:val="0F0F0F"/>
        </w:rPr>
        <w:t>quipment</w:t>
      </w:r>
      <w:r>
        <w:rPr>
          <w:rFonts w:ascii="Arial" w:cs="Arial" w:eastAsia="Arial" w:hAnsi="Arial"/>
          <w:sz w:val="19"/>
          <w:szCs w:val="19"/>
          <w:color w:val="3A3A3A"/>
        </w:rPr>
        <w:t xml:space="preserve"> </w:t>
      </w:r>
      <w:r>
        <w:rPr>
          <w:rFonts w:ascii="Arial" w:cs="Arial" w:eastAsia="Arial" w:hAnsi="Arial"/>
          <w:sz w:val="19"/>
          <w:szCs w:val="19"/>
          <w:color w:val="000000"/>
        </w:rPr>
        <w:t>and (b) the amount of any increase</w:t>
      </w:r>
      <w:r>
        <w:rPr>
          <w:rFonts w:ascii="Arial" w:cs="Arial" w:eastAsia="Arial" w:hAnsi="Arial"/>
          <w:sz w:val="19"/>
          <w:szCs w:val="19"/>
          <w:color w:val="3A3A3A"/>
        </w:rPr>
        <w:t xml:space="preserve"> </w:t>
      </w:r>
      <w:r>
        <w:rPr>
          <w:rFonts w:ascii="Arial" w:cs="Arial" w:eastAsia="Arial" w:hAnsi="Arial"/>
          <w:sz w:val="19"/>
          <w:szCs w:val="19"/>
          <w:color w:val="0F0F0F"/>
        </w:rPr>
        <w:t>in Landlord</w:t>
      </w:r>
      <w:r>
        <w:rPr>
          <w:rFonts w:ascii="Arial" w:cs="Arial" w:eastAsia="Arial" w:hAnsi="Arial"/>
          <w:sz w:val="19"/>
          <w:szCs w:val="19"/>
          <w:color w:val="3A3A3A"/>
        </w:rPr>
        <w:t xml:space="preserve">’s </w:t>
      </w:r>
      <w:r>
        <w:rPr>
          <w:rFonts w:ascii="Arial" w:cs="Arial" w:eastAsia="Arial" w:hAnsi="Arial"/>
          <w:sz w:val="19"/>
          <w:szCs w:val="19"/>
          <w:color w:val="0F0F0F"/>
        </w:rPr>
        <w:t>in</w:t>
      </w:r>
      <w:r>
        <w:rPr>
          <w:rFonts w:ascii="Arial" w:cs="Arial" w:eastAsia="Arial" w:hAnsi="Arial"/>
          <w:sz w:val="19"/>
          <w:szCs w:val="19"/>
          <w:color w:val="3A3A3A"/>
        </w:rPr>
        <w:t xml:space="preserve">surance </w:t>
      </w:r>
      <w:r>
        <w:rPr>
          <w:rFonts w:ascii="Arial" w:cs="Arial" w:eastAsia="Arial" w:hAnsi="Arial"/>
          <w:sz w:val="19"/>
          <w:szCs w:val="19"/>
          <w:color w:val="000000"/>
        </w:rPr>
        <w:t>premiums as a</w:t>
      </w:r>
      <w:r>
        <w:rPr>
          <w:rFonts w:ascii="Arial" w:cs="Arial" w:eastAsia="Arial" w:hAnsi="Arial"/>
          <w:sz w:val="19"/>
          <w:szCs w:val="19"/>
          <w:color w:val="3A3A3A"/>
        </w:rPr>
        <w:t xml:space="preserve"> result </w:t>
      </w:r>
      <w:r>
        <w:rPr>
          <w:rFonts w:ascii="Arial" w:cs="Arial" w:eastAsia="Arial" w:hAnsi="Arial"/>
          <w:sz w:val="19"/>
          <w:szCs w:val="19"/>
          <w:color w:val="000000"/>
        </w:rPr>
        <w:t>of</w:t>
      </w:r>
      <w:r>
        <w:rPr>
          <w:rFonts w:ascii="Arial" w:cs="Arial" w:eastAsia="Arial" w:hAnsi="Arial"/>
          <w:sz w:val="19"/>
          <w:szCs w:val="19"/>
          <w:color w:val="3A3A3A"/>
        </w:rPr>
        <w:t xml:space="preserve"> </w:t>
      </w:r>
      <w:r>
        <w:rPr>
          <w:rFonts w:ascii="Arial" w:cs="Arial" w:eastAsia="Arial" w:hAnsi="Arial"/>
          <w:sz w:val="19"/>
          <w:szCs w:val="19"/>
          <w:color w:val="0F0F0F"/>
        </w:rPr>
        <w:t>the installation</w:t>
      </w:r>
      <w:r>
        <w:rPr>
          <w:rFonts w:ascii="Arial" w:cs="Arial" w:eastAsia="Arial" w:hAnsi="Arial"/>
          <w:sz w:val="19"/>
          <w:szCs w:val="19"/>
          <w:color w:val="3A3A3A"/>
        </w:rPr>
        <w:t xml:space="preserve"> </w:t>
      </w:r>
      <w:r>
        <w:rPr>
          <w:rFonts w:ascii="Arial" w:cs="Arial" w:eastAsia="Arial" w:hAnsi="Arial"/>
          <w:sz w:val="19"/>
          <w:szCs w:val="19"/>
          <w:color w:val="000000"/>
        </w:rPr>
        <w:t>of</w:t>
      </w:r>
      <w:r>
        <w:rPr>
          <w:rFonts w:ascii="Arial" w:cs="Arial" w:eastAsia="Arial" w:hAnsi="Arial"/>
          <w:sz w:val="19"/>
          <w:szCs w:val="19"/>
          <w:color w:val="3A3A3A"/>
        </w:rPr>
        <w:t xml:space="preserve"> </w:t>
      </w:r>
      <w:r>
        <w:rPr>
          <w:rFonts w:ascii="Arial" w:cs="Arial" w:eastAsia="Arial" w:hAnsi="Arial"/>
          <w:sz w:val="19"/>
          <w:szCs w:val="19"/>
          <w:color w:val="000000"/>
        </w:rPr>
        <w:t xml:space="preserve">Tenant’s Rooftop </w:t>
      </w:r>
      <w:r>
        <w:rPr>
          <w:rFonts w:ascii="Arial" w:cs="Arial" w:eastAsia="Arial" w:hAnsi="Arial"/>
          <w:sz w:val="19"/>
          <w:szCs w:val="19"/>
          <w:color w:val="0F0F0F"/>
        </w:rPr>
        <w:t>Equipmen</w:t>
      </w:r>
      <w:r>
        <w:rPr>
          <w:rFonts w:ascii="Arial" w:cs="Arial" w:eastAsia="Arial" w:hAnsi="Arial"/>
          <w:sz w:val="19"/>
          <w:szCs w:val="19"/>
          <w:color w:val="3A3A3A"/>
        </w:rPr>
        <w:t>t.</w:t>
      </w:r>
      <w:r>
        <w:rPr>
          <w:rFonts w:ascii="Arial" w:cs="Arial" w:eastAsia="Arial" w:hAnsi="Arial"/>
          <w:sz w:val="19"/>
          <w:szCs w:val="19"/>
          <w:color w:val="000000"/>
        </w:rPr>
        <w:t xml:space="preserve"> Upon Tenant’s written request </w:t>
      </w:r>
      <w:r>
        <w:rPr>
          <w:rFonts w:ascii="Arial" w:cs="Arial" w:eastAsia="Arial" w:hAnsi="Arial"/>
          <w:sz w:val="19"/>
          <w:szCs w:val="19"/>
          <w:color w:val="3A3A3A"/>
        </w:rPr>
        <w:t>to</w:t>
      </w:r>
      <w:r>
        <w:rPr>
          <w:rFonts w:ascii="Arial" w:cs="Arial" w:eastAsia="Arial" w:hAnsi="Arial"/>
          <w:sz w:val="19"/>
          <w:szCs w:val="19"/>
          <w:color w:val="000000"/>
        </w:rPr>
        <w:t xml:space="preserve"> Landlord, Landlord shall </w:t>
      </w:r>
      <w:r>
        <w:rPr>
          <w:rFonts w:ascii="Arial" w:cs="Arial" w:eastAsia="Arial" w:hAnsi="Arial"/>
          <w:sz w:val="19"/>
          <w:szCs w:val="19"/>
          <w:color w:val="0F0F0F"/>
        </w:rPr>
        <w:t>u</w:t>
      </w:r>
      <w:r>
        <w:rPr>
          <w:rFonts w:ascii="Arial" w:cs="Arial" w:eastAsia="Arial" w:hAnsi="Arial"/>
          <w:sz w:val="19"/>
          <w:szCs w:val="19"/>
          <w:color w:val="3A3A3A"/>
        </w:rPr>
        <w:t>se</w:t>
      </w:r>
      <w:r>
        <w:rPr>
          <w:rFonts w:ascii="Arial" w:cs="Arial" w:eastAsia="Arial" w:hAnsi="Arial"/>
          <w:sz w:val="19"/>
          <w:szCs w:val="19"/>
          <w:color w:val="000000"/>
        </w:rPr>
        <w:t xml:space="preserve"> commercially </w:t>
      </w:r>
      <w:r>
        <w:rPr>
          <w:rFonts w:ascii="Arial" w:cs="Arial" w:eastAsia="Arial" w:hAnsi="Arial"/>
          <w:sz w:val="19"/>
          <w:szCs w:val="19"/>
          <w:color w:val="0F0F0F"/>
        </w:rPr>
        <w:t xml:space="preserve">reasonable </w:t>
      </w:r>
      <w:r>
        <w:rPr>
          <w:rFonts w:ascii="Arial" w:cs="Arial" w:eastAsia="Arial" w:hAnsi="Arial"/>
          <w:sz w:val="19"/>
          <w:szCs w:val="19"/>
          <w:color w:val="000000"/>
        </w:rPr>
        <w:t>efforts</w:t>
      </w:r>
      <w:r>
        <w:rPr>
          <w:rFonts w:ascii="Arial" w:cs="Arial" w:eastAsia="Arial" w:hAnsi="Arial"/>
          <w:sz w:val="19"/>
          <w:szCs w:val="19"/>
          <w:color w:val="0F0F0F"/>
        </w:rPr>
        <w:t xml:space="preserve"> </w:t>
      </w:r>
      <w:r>
        <w:rPr>
          <w:rFonts w:ascii="Arial" w:cs="Arial" w:eastAsia="Arial" w:hAnsi="Arial"/>
          <w:sz w:val="19"/>
          <w:szCs w:val="19"/>
          <w:color w:val="3A3A3A"/>
        </w:rPr>
        <w:t>to</w:t>
      </w:r>
      <w:r>
        <w:rPr>
          <w:rFonts w:ascii="Arial" w:cs="Arial" w:eastAsia="Arial" w:hAnsi="Arial"/>
          <w:sz w:val="19"/>
          <w:szCs w:val="19"/>
          <w:color w:val="0F0F0F"/>
        </w:rPr>
        <w:t xml:space="preserve"> </w:t>
      </w:r>
      <w:r>
        <w:rPr>
          <w:rFonts w:ascii="Arial" w:cs="Arial" w:eastAsia="Arial" w:hAnsi="Arial"/>
          <w:sz w:val="19"/>
          <w:szCs w:val="19"/>
          <w:color w:val="000000"/>
        </w:rPr>
        <w:t>cause other tenants to</w:t>
      </w:r>
      <w:r>
        <w:rPr>
          <w:rFonts w:ascii="Arial" w:cs="Arial" w:eastAsia="Arial" w:hAnsi="Arial"/>
          <w:sz w:val="19"/>
          <w:szCs w:val="19"/>
          <w:color w:val="0F0F0F"/>
        </w:rPr>
        <w:t xml:space="preserve"> </w:t>
      </w:r>
      <w:r>
        <w:rPr>
          <w:rFonts w:ascii="Arial" w:cs="Arial" w:eastAsia="Arial" w:hAnsi="Arial"/>
          <w:sz w:val="19"/>
          <w:szCs w:val="19"/>
          <w:color w:val="3A3A3A"/>
        </w:rPr>
        <w:t>remedy</w:t>
      </w:r>
      <w:r>
        <w:rPr>
          <w:rFonts w:ascii="Arial" w:cs="Arial" w:eastAsia="Arial" w:hAnsi="Arial"/>
          <w:sz w:val="19"/>
          <w:szCs w:val="19"/>
          <w:color w:val="0F0F0F"/>
        </w:rPr>
        <w:t xml:space="preserve"> </w:t>
      </w:r>
      <w:r>
        <w:rPr>
          <w:rFonts w:ascii="Arial" w:cs="Arial" w:eastAsia="Arial" w:hAnsi="Arial"/>
          <w:sz w:val="19"/>
          <w:szCs w:val="19"/>
          <w:color w:val="000000"/>
        </w:rPr>
        <w:t>any interference</w:t>
      </w:r>
      <w:r>
        <w:rPr>
          <w:rFonts w:ascii="Arial" w:cs="Arial" w:eastAsia="Arial" w:hAnsi="Arial"/>
          <w:sz w:val="19"/>
          <w:szCs w:val="19"/>
          <w:color w:val="0F0F0F"/>
        </w:rPr>
        <w:t xml:space="preserve"> in the </w:t>
      </w:r>
      <w:r>
        <w:rPr>
          <w:rFonts w:ascii="Arial" w:cs="Arial" w:eastAsia="Arial" w:hAnsi="Arial"/>
          <w:sz w:val="19"/>
          <w:szCs w:val="19"/>
          <w:color w:val="000000"/>
        </w:rPr>
        <w:t>operation of</w:t>
      </w:r>
      <w:r>
        <w:rPr>
          <w:rFonts w:ascii="Arial" w:cs="Arial" w:eastAsia="Arial" w:hAnsi="Arial"/>
          <w:sz w:val="19"/>
          <w:szCs w:val="19"/>
          <w:color w:val="0F0F0F"/>
        </w:rPr>
        <w:t xml:space="preserve"> Tenant’</w:t>
      </w:r>
      <w:r>
        <w:rPr>
          <w:rFonts w:ascii="Arial" w:cs="Arial" w:eastAsia="Arial" w:hAnsi="Arial"/>
          <w:sz w:val="19"/>
          <w:szCs w:val="19"/>
          <w:color w:val="3A3A3A"/>
        </w:rPr>
        <w:t>s</w:t>
      </w:r>
      <w:r>
        <w:rPr>
          <w:rFonts w:ascii="Arial" w:cs="Arial" w:eastAsia="Arial" w:hAnsi="Arial"/>
          <w:sz w:val="19"/>
          <w:szCs w:val="19"/>
          <w:color w:val="0F0F0F"/>
        </w:rPr>
        <w:t xml:space="preserve"> Rooftop </w:t>
      </w:r>
      <w:r>
        <w:rPr>
          <w:rFonts w:ascii="Arial" w:cs="Arial" w:eastAsia="Arial" w:hAnsi="Arial"/>
          <w:sz w:val="19"/>
          <w:szCs w:val="19"/>
          <w:color w:val="3A3A3A"/>
        </w:rPr>
        <w:t>E</w:t>
      </w:r>
      <w:r>
        <w:rPr>
          <w:rFonts w:ascii="Arial" w:cs="Arial" w:eastAsia="Arial" w:hAnsi="Arial"/>
          <w:sz w:val="19"/>
          <w:szCs w:val="19"/>
          <w:color w:val="0F0F0F"/>
        </w:rPr>
        <w:t>quipment</w:t>
      </w:r>
      <w:r>
        <w:rPr>
          <w:rFonts w:ascii="Arial" w:cs="Arial" w:eastAsia="Arial" w:hAnsi="Arial"/>
          <w:sz w:val="19"/>
          <w:szCs w:val="19"/>
          <w:color w:val="3A3A3A"/>
        </w:rPr>
        <w:t xml:space="preserve"> </w:t>
      </w:r>
      <w:r>
        <w:rPr>
          <w:rFonts w:ascii="Arial" w:cs="Arial" w:eastAsia="Arial" w:hAnsi="Arial"/>
          <w:sz w:val="19"/>
          <w:szCs w:val="19"/>
          <w:color w:val="000000"/>
        </w:rPr>
        <w:t>caused by</w:t>
      </w:r>
      <w:r>
        <w:rPr>
          <w:rFonts w:ascii="Arial" w:cs="Arial" w:eastAsia="Arial" w:hAnsi="Arial"/>
          <w:sz w:val="19"/>
          <w:szCs w:val="19"/>
          <w:color w:val="3A3A3A"/>
        </w:rPr>
        <w:t xml:space="preserve"> any s</w:t>
      </w:r>
      <w:r>
        <w:rPr>
          <w:rFonts w:ascii="Arial" w:cs="Arial" w:eastAsia="Arial" w:hAnsi="Arial"/>
          <w:sz w:val="19"/>
          <w:szCs w:val="19"/>
          <w:color w:val="0F0F0F"/>
        </w:rPr>
        <w:t>uch</w:t>
      </w:r>
      <w:r>
        <w:rPr>
          <w:rFonts w:ascii="Arial" w:cs="Arial" w:eastAsia="Arial" w:hAnsi="Arial"/>
          <w:sz w:val="19"/>
          <w:szCs w:val="19"/>
          <w:color w:val="3A3A3A"/>
        </w:rPr>
        <w:t xml:space="preserve"> </w:t>
      </w:r>
      <w:r>
        <w:rPr>
          <w:rFonts w:ascii="Arial" w:cs="Arial" w:eastAsia="Arial" w:hAnsi="Arial"/>
          <w:sz w:val="19"/>
          <w:szCs w:val="19"/>
          <w:color w:val="000000"/>
        </w:rPr>
        <w:t>tenants’ equipment</w:t>
      </w:r>
      <w:r>
        <w:rPr>
          <w:rFonts w:ascii="Arial" w:cs="Arial" w:eastAsia="Arial" w:hAnsi="Arial"/>
          <w:sz w:val="19"/>
          <w:szCs w:val="19"/>
          <w:color w:val="3A3A3A"/>
        </w:rPr>
        <w:t xml:space="preserve"> </w:t>
      </w:r>
      <w:r>
        <w:rPr>
          <w:rFonts w:ascii="Arial" w:cs="Arial" w:eastAsia="Arial" w:hAnsi="Arial"/>
          <w:sz w:val="19"/>
          <w:szCs w:val="19"/>
          <w:color w:val="0F0F0F"/>
        </w:rPr>
        <w:t>installed</w:t>
      </w:r>
      <w:r>
        <w:rPr>
          <w:rFonts w:ascii="Arial" w:cs="Arial" w:eastAsia="Arial" w:hAnsi="Arial"/>
          <w:sz w:val="19"/>
          <w:szCs w:val="19"/>
          <w:color w:val="3A3A3A"/>
        </w:rPr>
        <w:t xml:space="preserve"> </w:t>
      </w:r>
      <w:r>
        <w:rPr>
          <w:rFonts w:ascii="Arial" w:cs="Arial" w:eastAsia="Arial" w:hAnsi="Arial"/>
          <w:sz w:val="19"/>
          <w:szCs w:val="19"/>
          <w:color w:val="000000"/>
        </w:rPr>
        <w:t>after the applicable piece of</w:t>
      </w:r>
      <w:r>
        <w:rPr>
          <w:rFonts w:ascii="Arial" w:cs="Arial" w:eastAsia="Arial" w:hAnsi="Arial"/>
          <w:sz w:val="19"/>
          <w:szCs w:val="19"/>
          <w:color w:val="3A3A3A"/>
        </w:rPr>
        <w:t xml:space="preserve"> Tenant’s </w:t>
      </w:r>
      <w:r>
        <w:rPr>
          <w:rFonts w:ascii="Arial" w:cs="Arial" w:eastAsia="Arial" w:hAnsi="Arial"/>
          <w:sz w:val="19"/>
          <w:szCs w:val="19"/>
          <w:color w:val="000000"/>
        </w:rPr>
        <w:t>Rooftop</w:t>
      </w:r>
      <w:r>
        <w:rPr>
          <w:rFonts w:ascii="Arial" w:cs="Arial" w:eastAsia="Arial" w:hAnsi="Arial"/>
          <w:sz w:val="19"/>
          <w:szCs w:val="19"/>
          <w:color w:val="3A3A3A"/>
        </w:rPr>
        <w:t xml:space="preserve"> E</w:t>
      </w:r>
      <w:r>
        <w:rPr>
          <w:rFonts w:ascii="Arial" w:cs="Arial" w:eastAsia="Arial" w:hAnsi="Arial"/>
          <w:sz w:val="19"/>
          <w:szCs w:val="19"/>
          <w:color w:val="0F0F0F"/>
        </w:rPr>
        <w:t>quipment;</w:t>
      </w:r>
      <w:r>
        <w:rPr>
          <w:rFonts w:ascii="Arial" w:cs="Arial" w:eastAsia="Arial" w:hAnsi="Arial"/>
          <w:sz w:val="19"/>
          <w:szCs w:val="19"/>
          <w:color w:val="3A3A3A"/>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w:t>
      </w:r>
      <w:r>
        <w:rPr>
          <w:rFonts w:ascii="Arial" w:cs="Arial" w:eastAsia="Arial" w:hAnsi="Arial"/>
          <w:sz w:val="19"/>
          <w:szCs w:val="19"/>
          <w:color w:val="3A3A3A"/>
        </w:rPr>
        <w:t xml:space="preserve"> </w:t>
      </w:r>
      <w:r>
        <w:rPr>
          <w:rFonts w:ascii="Arial" w:cs="Arial" w:eastAsia="Arial" w:hAnsi="Arial"/>
          <w:sz w:val="19"/>
          <w:szCs w:val="19"/>
          <w:color w:val="0F0F0F"/>
        </w:rPr>
        <w:t>however,</w:t>
      </w:r>
      <w:r>
        <w:rPr>
          <w:rFonts w:ascii="Arial" w:cs="Arial" w:eastAsia="Arial" w:hAnsi="Arial"/>
          <w:sz w:val="19"/>
          <w:szCs w:val="19"/>
          <w:color w:val="3A3A3A"/>
        </w:rPr>
        <w:t xml:space="preserve"> </w:t>
      </w:r>
      <w:r>
        <w:rPr>
          <w:rFonts w:ascii="Arial" w:cs="Arial" w:eastAsia="Arial" w:hAnsi="Arial"/>
          <w:sz w:val="19"/>
          <w:szCs w:val="19"/>
          <w:color w:val="000000"/>
        </w:rPr>
        <w:t>that Landlord shall not</w:t>
      </w:r>
      <w:r>
        <w:rPr>
          <w:rFonts w:ascii="Arial" w:cs="Arial" w:eastAsia="Arial" w:hAnsi="Arial"/>
          <w:sz w:val="19"/>
          <w:szCs w:val="19"/>
          <w:color w:val="3A3A3A"/>
        </w:rPr>
        <w:t xml:space="preserve"> </w:t>
      </w:r>
      <w:r>
        <w:rPr>
          <w:rFonts w:ascii="Arial" w:cs="Arial" w:eastAsia="Arial" w:hAnsi="Arial"/>
          <w:sz w:val="19"/>
          <w:szCs w:val="19"/>
          <w:color w:val="0F0F0F"/>
        </w:rPr>
        <w:t>b</w:t>
      </w:r>
      <w:r>
        <w:rPr>
          <w:rFonts w:ascii="Arial" w:cs="Arial" w:eastAsia="Arial" w:hAnsi="Arial"/>
          <w:sz w:val="19"/>
          <w:szCs w:val="19"/>
          <w:color w:val="3A3A3A"/>
        </w:rPr>
        <w:t xml:space="preserve">e </w:t>
      </w:r>
      <w:r>
        <w:rPr>
          <w:rFonts w:ascii="Arial" w:cs="Arial" w:eastAsia="Arial" w:hAnsi="Arial"/>
          <w:sz w:val="19"/>
          <w:szCs w:val="19"/>
          <w:color w:val="000000"/>
        </w:rPr>
        <w:t>required to</w:t>
      </w:r>
      <w:r>
        <w:rPr>
          <w:rFonts w:ascii="Arial" w:cs="Arial" w:eastAsia="Arial" w:hAnsi="Arial"/>
          <w:sz w:val="19"/>
          <w:szCs w:val="19"/>
          <w:color w:val="3A3A3A"/>
        </w:rPr>
        <w:t xml:space="preserve"> </w:t>
      </w:r>
      <w:r>
        <w:rPr>
          <w:rFonts w:ascii="Arial" w:cs="Arial" w:eastAsia="Arial" w:hAnsi="Arial"/>
          <w:sz w:val="19"/>
          <w:szCs w:val="19"/>
          <w:color w:val="0F0F0F"/>
        </w:rPr>
        <w:t>reque</w:t>
      </w:r>
      <w:r>
        <w:rPr>
          <w:rFonts w:ascii="Arial" w:cs="Arial" w:eastAsia="Arial" w:hAnsi="Arial"/>
          <w:sz w:val="19"/>
          <w:szCs w:val="19"/>
          <w:color w:val="3A3A3A"/>
        </w:rPr>
        <w:t>st t</w:t>
      </w:r>
      <w:r>
        <w:rPr>
          <w:rFonts w:ascii="Arial" w:cs="Arial" w:eastAsia="Arial" w:hAnsi="Arial"/>
          <w:sz w:val="19"/>
          <w:szCs w:val="19"/>
          <w:color w:val="0F0F0F"/>
        </w:rPr>
        <w:t>hat</w:t>
      </w:r>
      <w:r>
        <w:rPr>
          <w:rFonts w:ascii="Arial" w:cs="Arial" w:eastAsia="Arial" w:hAnsi="Arial"/>
          <w:sz w:val="19"/>
          <w:szCs w:val="19"/>
          <w:color w:val="3A3A3A"/>
        </w:rPr>
        <w:t xml:space="preserve"> suc</w:t>
      </w:r>
      <w:r>
        <w:rPr>
          <w:rFonts w:ascii="Arial" w:cs="Arial" w:eastAsia="Arial" w:hAnsi="Arial"/>
          <w:sz w:val="19"/>
          <w:szCs w:val="19"/>
          <w:color w:val="0F0F0F"/>
        </w:rPr>
        <w:t>h</w:t>
      </w:r>
      <w:r>
        <w:rPr>
          <w:rFonts w:ascii="Arial" w:cs="Arial" w:eastAsia="Arial" w:hAnsi="Arial"/>
          <w:sz w:val="19"/>
          <w:szCs w:val="19"/>
          <w:color w:val="3A3A3A"/>
        </w:rPr>
        <w:t xml:space="preserve"> </w:t>
      </w:r>
      <w:r>
        <w:rPr>
          <w:rFonts w:ascii="Arial" w:cs="Arial" w:eastAsia="Arial" w:hAnsi="Arial"/>
          <w:sz w:val="19"/>
          <w:szCs w:val="19"/>
          <w:color w:val="000000"/>
        </w:rPr>
        <w:t>tenants</w:t>
      </w:r>
      <w:r>
        <w:rPr>
          <w:rFonts w:ascii="Arial" w:cs="Arial" w:eastAsia="Arial" w:hAnsi="Arial"/>
          <w:sz w:val="19"/>
          <w:szCs w:val="19"/>
          <w:color w:val="3A3A3A"/>
        </w:rPr>
        <w:t xml:space="preserve"> </w:t>
      </w:r>
      <w:r>
        <w:rPr>
          <w:rFonts w:ascii="Arial" w:cs="Arial" w:eastAsia="Arial" w:hAnsi="Arial"/>
          <w:sz w:val="19"/>
          <w:szCs w:val="19"/>
          <w:color w:val="0F0F0F"/>
        </w:rPr>
        <w:t>wai</w:t>
      </w:r>
      <w:r>
        <w:rPr>
          <w:rFonts w:ascii="Arial" w:cs="Arial" w:eastAsia="Arial" w:hAnsi="Arial"/>
          <w:sz w:val="19"/>
          <w:szCs w:val="19"/>
          <w:color w:val="3A3A3A"/>
        </w:rPr>
        <w:t xml:space="preserve">ve </w:t>
      </w:r>
      <w:r>
        <w:rPr>
          <w:rFonts w:ascii="Arial" w:cs="Arial" w:eastAsia="Arial" w:hAnsi="Arial"/>
          <w:sz w:val="19"/>
          <w:szCs w:val="19"/>
          <w:color w:val="0F0F0F"/>
        </w:rPr>
        <w:t>their</w:t>
      </w:r>
      <w:r>
        <w:rPr>
          <w:rFonts w:ascii="Arial" w:cs="Arial" w:eastAsia="Arial" w:hAnsi="Arial"/>
          <w:sz w:val="19"/>
          <w:szCs w:val="19"/>
          <w:color w:val="3A3A3A"/>
        </w:rPr>
        <w:t xml:space="preserve"> </w:t>
      </w:r>
      <w:r>
        <w:rPr>
          <w:rFonts w:ascii="Arial" w:cs="Arial" w:eastAsia="Arial" w:hAnsi="Arial"/>
          <w:sz w:val="19"/>
          <w:szCs w:val="19"/>
          <w:color w:val="000000"/>
        </w:rPr>
        <w:t>rights</w:t>
      </w:r>
      <w:r>
        <w:rPr>
          <w:rFonts w:ascii="Arial" w:cs="Arial" w:eastAsia="Arial" w:hAnsi="Arial"/>
          <w:sz w:val="19"/>
          <w:szCs w:val="19"/>
          <w:color w:val="3A3A3A"/>
        </w:rPr>
        <w:t xml:space="preserve"> </w:t>
      </w:r>
      <w:r>
        <w:rPr>
          <w:rFonts w:ascii="Arial" w:cs="Arial" w:eastAsia="Arial" w:hAnsi="Arial"/>
          <w:sz w:val="19"/>
          <w:szCs w:val="19"/>
          <w:color w:val="0F0F0F"/>
        </w:rPr>
        <w:t>under their respe</w:t>
      </w:r>
      <w:r>
        <w:rPr>
          <w:rFonts w:ascii="Arial" w:cs="Arial" w:eastAsia="Arial" w:hAnsi="Arial"/>
          <w:sz w:val="19"/>
          <w:szCs w:val="19"/>
          <w:color w:val="3A3A3A"/>
        </w:rPr>
        <w:t>ctive</w:t>
      </w:r>
      <w:r>
        <w:rPr>
          <w:rFonts w:ascii="Arial" w:cs="Arial" w:eastAsia="Arial" w:hAnsi="Arial"/>
          <w:sz w:val="19"/>
          <w:szCs w:val="19"/>
          <w:color w:val="0F0F0F"/>
        </w:rPr>
        <w:t xml:space="preserve"> l</w:t>
      </w:r>
      <w:r>
        <w:rPr>
          <w:rFonts w:ascii="Arial" w:cs="Arial" w:eastAsia="Arial" w:hAnsi="Arial"/>
          <w:sz w:val="19"/>
          <w:szCs w:val="19"/>
          <w:color w:val="3A3A3A"/>
        </w:rPr>
        <w:t>eases.</w:t>
      </w:r>
    </w:p>
    <w:p>
      <w:pPr>
        <w:spacing w:after="0" w:line="384" w:lineRule="exact"/>
        <w:rPr>
          <w:rFonts w:ascii="Arial" w:cs="Arial" w:eastAsia="Arial" w:hAnsi="Arial"/>
          <w:sz w:val="22"/>
          <w:szCs w:val="22"/>
          <w:color w:val="auto"/>
        </w:rPr>
      </w:pPr>
    </w:p>
    <w:p>
      <w:pPr>
        <w:ind w:left="1300" w:hanging="648"/>
        <w:spacing w:after="0" w:line="234" w:lineRule="auto"/>
        <w:rPr>
          <w:rFonts w:ascii="Arial" w:cs="Arial" w:eastAsia="Arial" w:hAnsi="Arial"/>
          <w:sz w:val="22"/>
          <w:szCs w:val="22"/>
          <w:color w:val="auto"/>
        </w:rPr>
      </w:pPr>
      <w:r>
        <w:rPr>
          <w:rFonts w:ascii="Arial" w:cs="Arial" w:eastAsia="Arial" w:hAnsi="Arial"/>
          <w:sz w:val="21"/>
          <w:szCs w:val="21"/>
          <w:color w:val="auto"/>
        </w:rPr>
        <w:t xml:space="preserve">40.4 If Tenant’s Equipment </w:t>
      </w:r>
      <w:r>
        <w:rPr>
          <w:rFonts w:ascii="Arial" w:cs="Arial" w:eastAsia="Arial" w:hAnsi="Arial"/>
          <w:sz w:val="21"/>
          <w:szCs w:val="21"/>
          <w:color w:val="0F0F0F"/>
        </w:rPr>
        <w:t>(a)</w:t>
      </w:r>
      <w:r>
        <w:rPr>
          <w:rFonts w:ascii="Arial" w:cs="Arial" w:eastAsia="Arial" w:hAnsi="Arial"/>
          <w:sz w:val="21"/>
          <w:szCs w:val="21"/>
          <w:color w:val="auto"/>
        </w:rPr>
        <w:t xml:space="preserve"> causes physical damage to the </w:t>
      </w:r>
      <w:r>
        <w:rPr>
          <w:rFonts w:ascii="Arial" w:cs="Arial" w:eastAsia="Arial" w:hAnsi="Arial"/>
          <w:sz w:val="21"/>
          <w:szCs w:val="21"/>
          <w:color w:val="3A3A3A"/>
        </w:rPr>
        <w:t>structura</w:t>
      </w:r>
      <w:r>
        <w:rPr>
          <w:rFonts w:ascii="Arial" w:cs="Arial" w:eastAsia="Arial" w:hAnsi="Arial"/>
          <w:sz w:val="21"/>
          <w:szCs w:val="21"/>
          <w:color w:val="0F0F0F"/>
        </w:rPr>
        <w:t>l</w:t>
      </w:r>
      <w:r>
        <w:rPr>
          <w:rFonts w:ascii="Arial" w:cs="Arial" w:eastAsia="Arial" w:hAnsi="Arial"/>
          <w:sz w:val="21"/>
          <w:szCs w:val="21"/>
          <w:color w:val="auto"/>
        </w:rPr>
        <w:t xml:space="preserve"> integrity of </w:t>
      </w:r>
      <w:r>
        <w:rPr>
          <w:rFonts w:ascii="Arial" w:cs="Arial" w:eastAsia="Arial" w:hAnsi="Arial"/>
          <w:sz w:val="21"/>
          <w:szCs w:val="21"/>
          <w:color w:val="3A3A3A"/>
        </w:rPr>
        <w:t>the Bu</w:t>
      </w:r>
      <w:r>
        <w:rPr>
          <w:rFonts w:ascii="Arial" w:cs="Arial" w:eastAsia="Arial" w:hAnsi="Arial"/>
          <w:sz w:val="21"/>
          <w:szCs w:val="21"/>
          <w:color w:val="0F0F0F"/>
        </w:rPr>
        <w:t>ilding,</w:t>
      </w:r>
      <w:r>
        <w:rPr>
          <w:rFonts w:ascii="Arial" w:cs="Arial" w:eastAsia="Arial" w:hAnsi="Arial"/>
          <w:sz w:val="21"/>
          <w:szCs w:val="21"/>
          <w:color w:val="auto"/>
        </w:rPr>
        <w:t xml:space="preserve"> (b) interferes with </w:t>
      </w:r>
      <w:r>
        <w:rPr>
          <w:rFonts w:ascii="Arial" w:cs="Arial" w:eastAsia="Arial" w:hAnsi="Arial"/>
          <w:sz w:val="21"/>
          <w:szCs w:val="21"/>
          <w:color w:val="0F0F0F"/>
        </w:rPr>
        <w:t>any</w:t>
      </w:r>
      <w:r>
        <w:rPr>
          <w:rFonts w:ascii="Arial" w:cs="Arial" w:eastAsia="Arial" w:hAnsi="Arial"/>
          <w:sz w:val="21"/>
          <w:szCs w:val="21"/>
          <w:color w:val="auto"/>
        </w:rPr>
        <w:t xml:space="preserve"> </w:t>
      </w:r>
      <w:r>
        <w:rPr>
          <w:rFonts w:ascii="Arial" w:cs="Arial" w:eastAsia="Arial" w:hAnsi="Arial"/>
          <w:sz w:val="21"/>
          <w:szCs w:val="21"/>
          <w:color w:val="0F0F0F"/>
        </w:rPr>
        <w:t>telecommunication</w:t>
      </w:r>
      <w:r>
        <w:rPr>
          <w:rFonts w:ascii="Arial" w:cs="Arial" w:eastAsia="Arial" w:hAnsi="Arial"/>
          <w:sz w:val="21"/>
          <w:szCs w:val="21"/>
          <w:color w:val="3A3A3A"/>
        </w:rPr>
        <w:t>s,</w:t>
      </w:r>
      <w:r>
        <w:rPr>
          <w:rFonts w:ascii="Arial" w:cs="Arial" w:eastAsia="Arial" w:hAnsi="Arial"/>
          <w:sz w:val="21"/>
          <w:szCs w:val="21"/>
          <w:color w:val="0F0F0F"/>
        </w:rPr>
        <w:t xml:space="preserve"> </w:t>
      </w:r>
      <w:r>
        <w:rPr>
          <w:rFonts w:ascii="Arial" w:cs="Arial" w:eastAsia="Arial" w:hAnsi="Arial"/>
          <w:sz w:val="21"/>
          <w:szCs w:val="21"/>
          <w:color w:val="000000"/>
        </w:rPr>
        <w:t>mechanical or other systems</w:t>
      </w:r>
      <w:r>
        <w:rPr>
          <w:rFonts w:ascii="Arial" w:cs="Arial" w:eastAsia="Arial" w:hAnsi="Arial"/>
          <w:sz w:val="21"/>
          <w:szCs w:val="21"/>
          <w:color w:val="0F0F0F"/>
        </w:rPr>
        <w:t xml:space="preserve"> </w:t>
      </w:r>
      <w:r>
        <w:rPr>
          <w:rFonts w:ascii="Arial" w:cs="Arial" w:eastAsia="Arial" w:hAnsi="Arial"/>
          <w:sz w:val="21"/>
          <w:szCs w:val="21"/>
          <w:color w:val="3A3A3A"/>
        </w:rPr>
        <w:t>loca</w:t>
      </w:r>
      <w:r>
        <w:rPr>
          <w:rFonts w:ascii="Arial" w:cs="Arial" w:eastAsia="Arial" w:hAnsi="Arial"/>
          <w:sz w:val="21"/>
          <w:szCs w:val="21"/>
          <w:color w:val="0F0F0F"/>
        </w:rPr>
        <w:t xml:space="preserve">ted </w:t>
      </w:r>
      <w:r>
        <w:rPr>
          <w:rFonts w:ascii="Arial" w:cs="Arial" w:eastAsia="Arial" w:hAnsi="Arial"/>
          <w:sz w:val="21"/>
          <w:szCs w:val="21"/>
          <w:color w:val="000000"/>
        </w:rPr>
        <w:t>at or near or</w:t>
      </w:r>
      <w:r>
        <w:rPr>
          <w:rFonts w:ascii="Arial" w:cs="Arial" w:eastAsia="Arial" w:hAnsi="Arial"/>
          <w:sz w:val="21"/>
          <w:szCs w:val="21"/>
          <w:color w:val="0F0F0F"/>
        </w:rPr>
        <w:t xml:space="preserve"> </w:t>
      </w:r>
      <w:r>
        <w:rPr>
          <w:rFonts w:ascii="Arial" w:cs="Arial" w:eastAsia="Arial" w:hAnsi="Arial"/>
          <w:sz w:val="21"/>
          <w:szCs w:val="21"/>
          <w:color w:val="3A3A3A"/>
        </w:rPr>
        <w:t>serv</w:t>
      </w:r>
      <w:r>
        <w:rPr>
          <w:rFonts w:ascii="Arial" w:cs="Arial" w:eastAsia="Arial" w:hAnsi="Arial"/>
          <w:sz w:val="21"/>
          <w:szCs w:val="21"/>
          <w:color w:val="0F0F0F"/>
        </w:rPr>
        <w:t xml:space="preserve">icing </w:t>
      </w:r>
      <w:r>
        <w:rPr>
          <w:rFonts w:ascii="Arial" w:cs="Arial" w:eastAsia="Arial" w:hAnsi="Arial"/>
          <w:sz w:val="21"/>
          <w:szCs w:val="21"/>
          <w:color w:val="3A3A3A"/>
        </w:rPr>
        <w:t>the</w:t>
      </w:r>
      <w:r>
        <w:rPr>
          <w:rFonts w:ascii="Arial" w:cs="Arial" w:eastAsia="Arial" w:hAnsi="Arial"/>
          <w:sz w:val="21"/>
          <w:szCs w:val="21"/>
          <w:color w:val="0F0F0F"/>
        </w:rPr>
        <w:t xml:space="preserve"> </w:t>
      </w:r>
      <w:r>
        <w:rPr>
          <w:rFonts w:ascii="Arial" w:cs="Arial" w:eastAsia="Arial" w:hAnsi="Arial"/>
          <w:sz w:val="21"/>
          <w:szCs w:val="21"/>
          <w:color w:val="000000"/>
        </w:rPr>
        <w:t>Building or the Project that</w:t>
      </w:r>
      <w:r>
        <w:rPr>
          <w:rFonts w:ascii="Arial" w:cs="Arial" w:eastAsia="Arial" w:hAnsi="Arial"/>
          <w:sz w:val="21"/>
          <w:szCs w:val="21"/>
          <w:color w:val="0F0F0F"/>
        </w:rPr>
        <w:t xml:space="preserve"> </w:t>
      </w:r>
      <w:r>
        <w:rPr>
          <w:rFonts w:ascii="Arial" w:cs="Arial" w:eastAsia="Arial" w:hAnsi="Arial"/>
          <w:sz w:val="21"/>
          <w:szCs w:val="21"/>
          <w:color w:val="000000"/>
        </w:rPr>
        <w:t xml:space="preserve">were installed prior </w:t>
      </w:r>
      <w:r>
        <w:rPr>
          <w:rFonts w:ascii="Arial" w:cs="Arial" w:eastAsia="Arial" w:hAnsi="Arial"/>
          <w:sz w:val="21"/>
          <w:szCs w:val="21"/>
          <w:color w:val="0F0F0F"/>
        </w:rPr>
        <w:t>to</w:t>
      </w:r>
      <w:r>
        <w:rPr>
          <w:rFonts w:ascii="Arial" w:cs="Arial" w:eastAsia="Arial" w:hAnsi="Arial"/>
          <w:sz w:val="21"/>
          <w:szCs w:val="21"/>
          <w:color w:val="000000"/>
        </w:rPr>
        <w:t xml:space="preserve"> </w:t>
      </w:r>
      <w:r>
        <w:rPr>
          <w:rFonts w:ascii="Arial" w:cs="Arial" w:eastAsia="Arial" w:hAnsi="Arial"/>
          <w:sz w:val="21"/>
          <w:szCs w:val="21"/>
          <w:color w:val="3A3A3A"/>
        </w:rPr>
        <w:t>t</w:t>
      </w:r>
      <w:r>
        <w:rPr>
          <w:rFonts w:ascii="Arial" w:cs="Arial" w:eastAsia="Arial" w:hAnsi="Arial"/>
          <w:sz w:val="21"/>
          <w:szCs w:val="21"/>
          <w:color w:val="0F0F0F"/>
        </w:rPr>
        <w:t>he</w:t>
      </w:r>
      <w:r>
        <w:rPr>
          <w:rFonts w:ascii="Arial" w:cs="Arial" w:eastAsia="Arial" w:hAnsi="Arial"/>
          <w:sz w:val="21"/>
          <w:szCs w:val="21"/>
          <w:color w:val="000000"/>
        </w:rPr>
        <w:t xml:space="preserve"> installation of </w:t>
      </w:r>
      <w:r>
        <w:rPr>
          <w:rFonts w:ascii="Arial" w:cs="Arial" w:eastAsia="Arial" w:hAnsi="Arial"/>
          <w:sz w:val="21"/>
          <w:szCs w:val="21"/>
          <w:color w:val="0F0F0F"/>
        </w:rPr>
        <w:t>Tenant’s</w:t>
      </w:r>
      <w:r>
        <w:rPr>
          <w:rFonts w:ascii="Arial" w:cs="Arial" w:eastAsia="Arial" w:hAnsi="Arial"/>
          <w:sz w:val="21"/>
          <w:szCs w:val="21"/>
          <w:color w:val="000000"/>
        </w:rPr>
        <w:t xml:space="preserve"> Rooftop Equipment, </w:t>
      </w:r>
      <w:r>
        <w:rPr>
          <w:rFonts w:ascii="Arial" w:cs="Arial" w:eastAsia="Arial" w:hAnsi="Arial"/>
          <w:sz w:val="21"/>
          <w:szCs w:val="21"/>
          <w:color w:val="0F0F0F"/>
        </w:rPr>
        <w:t>(c)</w:t>
      </w:r>
      <w:r>
        <w:rPr>
          <w:rFonts w:ascii="Arial" w:cs="Arial" w:eastAsia="Arial" w:hAnsi="Arial"/>
          <w:sz w:val="21"/>
          <w:szCs w:val="21"/>
          <w:color w:val="000000"/>
        </w:rPr>
        <w:t xml:space="preserve"> </w:t>
      </w:r>
      <w:r>
        <w:rPr>
          <w:rFonts w:ascii="Arial" w:cs="Arial" w:eastAsia="Arial" w:hAnsi="Arial"/>
          <w:sz w:val="21"/>
          <w:szCs w:val="21"/>
          <w:color w:val="3A3A3A"/>
        </w:rPr>
        <w:t>i</w:t>
      </w:r>
      <w:r>
        <w:rPr>
          <w:rFonts w:ascii="Arial" w:cs="Arial" w:eastAsia="Arial" w:hAnsi="Arial"/>
          <w:sz w:val="21"/>
          <w:szCs w:val="21"/>
          <w:color w:val="0F0F0F"/>
        </w:rPr>
        <w:t>nterferes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01" w:right="339" w:bottom="1440" w:gutter="0" w:footer="0" w:header="0"/>
        </w:sectPr>
      </w:pPr>
    </w:p>
    <w:bookmarkStart w:id="366" w:name="page367"/>
    <w:bookmarkEnd w:id="366"/>
    <w:p>
      <w:pPr>
        <w:jc w:val="both"/>
        <w:ind w:left="1300"/>
        <w:spacing w:after="0" w:line="247" w:lineRule="auto"/>
        <w:rPr>
          <w:sz w:val="20"/>
          <w:szCs w:val="20"/>
          <w:color w:val="auto"/>
        </w:rPr>
      </w:pPr>
      <w:r>
        <w:rPr>
          <w:rFonts w:ascii="Arial" w:cs="Arial" w:eastAsia="Arial" w:hAnsi="Arial"/>
          <w:sz w:val="19"/>
          <w:szCs w:val="19"/>
          <w:color w:val="auto"/>
        </w:rPr>
        <w:t xml:space="preserve">with </w:t>
      </w:r>
      <w:r>
        <w:rPr>
          <w:rFonts w:ascii="Arial" w:cs="Arial" w:eastAsia="Arial" w:hAnsi="Arial"/>
          <w:sz w:val="19"/>
          <w:szCs w:val="19"/>
          <w:color w:val="0F0F0F"/>
        </w:rPr>
        <w:t>any</w:t>
      </w:r>
      <w:r>
        <w:rPr>
          <w:rFonts w:ascii="Arial" w:cs="Arial" w:eastAsia="Arial" w:hAnsi="Arial"/>
          <w:sz w:val="19"/>
          <w:szCs w:val="19"/>
          <w:color w:val="auto"/>
        </w:rPr>
        <w:t xml:space="preserve"> other service provided </w:t>
      </w:r>
      <w:r>
        <w:rPr>
          <w:rFonts w:ascii="Arial" w:cs="Arial" w:eastAsia="Arial" w:hAnsi="Arial"/>
          <w:sz w:val="19"/>
          <w:szCs w:val="19"/>
          <w:color w:val="0F0F0F"/>
        </w:rPr>
        <w:t>to</w:t>
      </w:r>
      <w:r>
        <w:rPr>
          <w:rFonts w:ascii="Arial" w:cs="Arial" w:eastAsia="Arial" w:hAnsi="Arial"/>
          <w:sz w:val="19"/>
          <w:szCs w:val="19"/>
          <w:color w:val="auto"/>
        </w:rPr>
        <w:t xml:space="preserve"> other tenants in the Building or </w:t>
      </w:r>
      <w:r>
        <w:rPr>
          <w:rFonts w:ascii="Arial" w:cs="Arial" w:eastAsia="Arial" w:hAnsi="Arial"/>
          <w:sz w:val="19"/>
          <w:szCs w:val="19"/>
          <w:color w:val="0F0F0F"/>
        </w:rPr>
        <w:t>the</w:t>
      </w:r>
      <w:r>
        <w:rPr>
          <w:rFonts w:ascii="Arial" w:cs="Arial" w:eastAsia="Arial" w:hAnsi="Arial"/>
          <w:sz w:val="19"/>
          <w:szCs w:val="19"/>
          <w:color w:val="auto"/>
        </w:rPr>
        <w:t xml:space="preserve"> Project by rooftop or penthouse installations that were </w:t>
      </w:r>
      <w:r>
        <w:rPr>
          <w:rFonts w:ascii="Arial" w:cs="Arial" w:eastAsia="Arial" w:hAnsi="Arial"/>
          <w:sz w:val="19"/>
          <w:szCs w:val="19"/>
          <w:color w:val="0F0F0F"/>
        </w:rPr>
        <w:t>ins</w:t>
      </w:r>
      <w:r>
        <w:rPr>
          <w:rFonts w:ascii="Arial" w:cs="Arial" w:eastAsia="Arial" w:hAnsi="Arial"/>
          <w:sz w:val="19"/>
          <w:szCs w:val="19"/>
          <w:color w:val="3A3A3A"/>
        </w:rPr>
        <w:t>ta</w:t>
      </w:r>
      <w:r>
        <w:rPr>
          <w:rFonts w:ascii="Arial" w:cs="Arial" w:eastAsia="Arial" w:hAnsi="Arial"/>
          <w:sz w:val="19"/>
          <w:szCs w:val="19"/>
          <w:color w:val="0F0F0F"/>
        </w:rPr>
        <w:t>lled</w:t>
      </w:r>
      <w:r>
        <w:rPr>
          <w:rFonts w:ascii="Arial" w:cs="Arial" w:eastAsia="Arial" w:hAnsi="Arial"/>
          <w:sz w:val="19"/>
          <w:szCs w:val="19"/>
          <w:color w:val="auto"/>
        </w:rPr>
        <w:t xml:space="preserve"> prior to the installation of Tenant’s Rooftop </w:t>
      </w:r>
      <w:r>
        <w:rPr>
          <w:rFonts w:ascii="Arial" w:cs="Arial" w:eastAsia="Arial" w:hAnsi="Arial"/>
          <w:sz w:val="19"/>
          <w:szCs w:val="19"/>
          <w:color w:val="3A3A3A"/>
        </w:rPr>
        <w:t>E</w:t>
      </w:r>
      <w:r>
        <w:rPr>
          <w:rFonts w:ascii="Arial" w:cs="Arial" w:eastAsia="Arial" w:hAnsi="Arial"/>
          <w:sz w:val="19"/>
          <w:szCs w:val="19"/>
          <w:color w:val="0F0F0F"/>
        </w:rPr>
        <w:t>qu</w:t>
      </w:r>
      <w:r>
        <w:rPr>
          <w:rFonts w:ascii="Arial" w:cs="Arial" w:eastAsia="Arial" w:hAnsi="Arial"/>
          <w:sz w:val="19"/>
          <w:szCs w:val="19"/>
          <w:color w:val="3A3A3A"/>
        </w:rPr>
        <w:t>i</w:t>
      </w:r>
      <w:r>
        <w:rPr>
          <w:rFonts w:ascii="Arial" w:cs="Arial" w:eastAsia="Arial" w:hAnsi="Arial"/>
          <w:sz w:val="19"/>
          <w:szCs w:val="19"/>
          <w:color w:val="0F0F0F"/>
        </w:rPr>
        <w:t>pmen</w:t>
      </w:r>
      <w:r>
        <w:rPr>
          <w:rFonts w:ascii="Arial" w:cs="Arial" w:eastAsia="Arial" w:hAnsi="Arial"/>
          <w:sz w:val="19"/>
          <w:szCs w:val="19"/>
          <w:color w:val="3A3A3A"/>
        </w:rPr>
        <w:t>t</w:t>
      </w:r>
      <w:r>
        <w:rPr>
          <w:rFonts w:ascii="Arial" w:cs="Arial" w:eastAsia="Arial" w:hAnsi="Arial"/>
          <w:sz w:val="19"/>
          <w:szCs w:val="19"/>
          <w:color w:val="auto"/>
        </w:rPr>
        <w:t xml:space="preserve"> or </w:t>
      </w:r>
      <w:r>
        <w:rPr>
          <w:rFonts w:ascii="Arial" w:cs="Arial" w:eastAsia="Arial" w:hAnsi="Arial"/>
          <w:sz w:val="19"/>
          <w:szCs w:val="19"/>
          <w:color w:val="0F0F0F"/>
        </w:rPr>
        <w:t>(d)</w:t>
      </w:r>
      <w:r>
        <w:rPr>
          <w:rFonts w:ascii="Arial" w:cs="Arial" w:eastAsia="Arial" w:hAnsi="Arial"/>
          <w:sz w:val="19"/>
          <w:szCs w:val="19"/>
          <w:color w:val="auto"/>
        </w:rPr>
        <w:t xml:space="preserve"> interferes with any other </w:t>
      </w:r>
      <w:r>
        <w:rPr>
          <w:rFonts w:ascii="Arial" w:cs="Arial" w:eastAsia="Arial" w:hAnsi="Arial"/>
          <w:sz w:val="19"/>
          <w:szCs w:val="19"/>
          <w:color w:val="0F0F0F"/>
        </w:rPr>
        <w:t>tenant</w:t>
      </w:r>
      <w:r>
        <w:rPr>
          <w:rFonts w:ascii="Arial" w:cs="Arial" w:eastAsia="Arial" w:hAnsi="Arial"/>
          <w:sz w:val="19"/>
          <w:szCs w:val="19"/>
          <w:color w:val="3A3A3A"/>
        </w:rPr>
        <w:t>s’</w:t>
      </w:r>
      <w:r>
        <w:rPr>
          <w:rFonts w:ascii="Arial" w:cs="Arial" w:eastAsia="Arial" w:hAnsi="Arial"/>
          <w:sz w:val="19"/>
          <w:szCs w:val="19"/>
          <w:color w:val="auto"/>
        </w:rPr>
        <w:t xml:space="preserve"> business, </w:t>
      </w:r>
      <w:r>
        <w:rPr>
          <w:rFonts w:ascii="Arial" w:cs="Arial" w:eastAsia="Arial" w:hAnsi="Arial"/>
          <w:sz w:val="19"/>
          <w:szCs w:val="19"/>
          <w:color w:val="0F0F0F"/>
        </w:rPr>
        <w:t>in</w:t>
      </w:r>
      <w:r>
        <w:rPr>
          <w:rFonts w:ascii="Arial" w:cs="Arial" w:eastAsia="Arial" w:hAnsi="Arial"/>
          <w:sz w:val="19"/>
          <w:szCs w:val="19"/>
          <w:color w:val="auto"/>
        </w:rPr>
        <w:t xml:space="preserve"> each case in excess of </w:t>
      </w:r>
      <w:r>
        <w:rPr>
          <w:rFonts w:ascii="Arial" w:cs="Arial" w:eastAsia="Arial" w:hAnsi="Arial"/>
          <w:sz w:val="19"/>
          <w:szCs w:val="19"/>
          <w:color w:val="0F0F0F"/>
        </w:rPr>
        <w:t>that</w:t>
      </w:r>
      <w:r>
        <w:rPr>
          <w:rFonts w:ascii="Arial" w:cs="Arial" w:eastAsia="Arial" w:hAnsi="Arial"/>
          <w:sz w:val="19"/>
          <w:szCs w:val="19"/>
          <w:color w:val="auto"/>
        </w:rPr>
        <w:t xml:space="preserve"> permissible under Federal Communications Commission regulations, </w:t>
      </w:r>
      <w:r>
        <w:rPr>
          <w:rFonts w:ascii="Arial" w:cs="Arial" w:eastAsia="Arial" w:hAnsi="Arial"/>
          <w:sz w:val="19"/>
          <w:szCs w:val="19"/>
          <w:color w:val="0F0F0F"/>
        </w:rPr>
        <w:t>then</w:t>
      </w:r>
      <w:r>
        <w:rPr>
          <w:rFonts w:ascii="Arial" w:cs="Arial" w:eastAsia="Arial" w:hAnsi="Arial"/>
          <w:sz w:val="19"/>
          <w:szCs w:val="19"/>
          <w:color w:val="auto"/>
        </w:rPr>
        <w:t xml:space="preserve"> </w:t>
      </w:r>
      <w:r>
        <w:rPr>
          <w:rFonts w:ascii="Arial" w:cs="Arial" w:eastAsia="Arial" w:hAnsi="Arial"/>
          <w:sz w:val="19"/>
          <w:szCs w:val="19"/>
          <w:color w:val="0F0F0F"/>
        </w:rPr>
        <w:t xml:space="preserve">Tenant </w:t>
      </w:r>
      <w:r>
        <w:rPr>
          <w:rFonts w:ascii="Arial" w:cs="Arial" w:eastAsia="Arial" w:hAnsi="Arial"/>
          <w:sz w:val="19"/>
          <w:szCs w:val="19"/>
          <w:color w:val="3A3A3A"/>
        </w:rPr>
        <w:t>shall</w:t>
      </w:r>
      <w:r>
        <w:rPr>
          <w:rFonts w:ascii="Arial" w:cs="Arial" w:eastAsia="Arial" w:hAnsi="Arial"/>
          <w:sz w:val="19"/>
          <w:szCs w:val="19"/>
          <w:color w:val="0F0F0F"/>
        </w:rPr>
        <w:t xml:space="preserve"> </w:t>
      </w:r>
      <w:r>
        <w:rPr>
          <w:rFonts w:ascii="Arial" w:cs="Arial" w:eastAsia="Arial" w:hAnsi="Arial"/>
          <w:sz w:val="19"/>
          <w:szCs w:val="19"/>
          <w:color w:val="000000"/>
        </w:rPr>
        <w:t>cooperate with Landlord</w:t>
      </w:r>
      <w:r>
        <w:rPr>
          <w:rFonts w:ascii="Arial" w:cs="Arial" w:eastAsia="Arial" w:hAnsi="Arial"/>
          <w:sz w:val="19"/>
          <w:szCs w:val="19"/>
          <w:color w:val="0F0F0F"/>
        </w:rPr>
        <w:t xml:space="preserve"> to </w:t>
      </w:r>
      <w:r>
        <w:rPr>
          <w:rFonts w:ascii="Arial" w:cs="Arial" w:eastAsia="Arial" w:hAnsi="Arial"/>
          <w:sz w:val="19"/>
          <w:szCs w:val="19"/>
          <w:color w:val="000000"/>
        </w:rPr>
        <w:t>determine the source of</w:t>
      </w:r>
      <w:r>
        <w:rPr>
          <w:rFonts w:ascii="Arial" w:cs="Arial" w:eastAsia="Arial" w:hAnsi="Arial"/>
          <w:sz w:val="19"/>
          <w:szCs w:val="19"/>
          <w:color w:val="0F0F0F"/>
        </w:rPr>
        <w:t xml:space="preserve"> the </w:t>
      </w:r>
      <w:r>
        <w:rPr>
          <w:rFonts w:ascii="Arial" w:cs="Arial" w:eastAsia="Arial" w:hAnsi="Arial"/>
          <w:sz w:val="19"/>
          <w:szCs w:val="19"/>
          <w:color w:val="000000"/>
        </w:rPr>
        <w:t>damage or</w:t>
      </w:r>
      <w:r>
        <w:rPr>
          <w:rFonts w:ascii="Arial" w:cs="Arial" w:eastAsia="Arial" w:hAnsi="Arial"/>
          <w:sz w:val="19"/>
          <w:szCs w:val="19"/>
          <w:color w:val="0F0F0F"/>
        </w:rPr>
        <w:t xml:space="preserve"> inter</w:t>
      </w:r>
      <w:r>
        <w:rPr>
          <w:rFonts w:ascii="Arial" w:cs="Arial" w:eastAsia="Arial" w:hAnsi="Arial"/>
          <w:sz w:val="19"/>
          <w:szCs w:val="19"/>
          <w:color w:val="3A3A3A"/>
        </w:rPr>
        <w:t>ference</w:t>
      </w:r>
      <w:r>
        <w:rPr>
          <w:rFonts w:ascii="Arial" w:cs="Arial" w:eastAsia="Arial" w:hAnsi="Arial"/>
          <w:sz w:val="19"/>
          <w:szCs w:val="19"/>
          <w:color w:val="0F0F0F"/>
        </w:rPr>
        <w:t xml:space="preserve"> </w:t>
      </w:r>
      <w:r>
        <w:rPr>
          <w:rFonts w:ascii="Arial" w:cs="Arial" w:eastAsia="Arial" w:hAnsi="Arial"/>
          <w:sz w:val="19"/>
          <w:szCs w:val="19"/>
          <w:color w:val="000000"/>
        </w:rPr>
        <w:t>and promptly repair</w:t>
      </w:r>
      <w:r>
        <w:rPr>
          <w:rFonts w:ascii="Arial" w:cs="Arial" w:eastAsia="Arial" w:hAnsi="Arial"/>
          <w:sz w:val="19"/>
          <w:szCs w:val="19"/>
          <w:color w:val="0F0F0F"/>
        </w:rPr>
        <w:t xml:space="preserve"> </w:t>
      </w:r>
      <w:r>
        <w:rPr>
          <w:rFonts w:ascii="Arial" w:cs="Arial" w:eastAsia="Arial" w:hAnsi="Arial"/>
          <w:sz w:val="19"/>
          <w:szCs w:val="19"/>
          <w:color w:val="000000"/>
        </w:rPr>
        <w:t xml:space="preserve">such </w:t>
      </w:r>
      <w:r>
        <w:rPr>
          <w:rFonts w:ascii="Arial" w:cs="Arial" w:eastAsia="Arial" w:hAnsi="Arial"/>
          <w:sz w:val="19"/>
          <w:szCs w:val="19"/>
          <w:color w:val="0F0F0F"/>
        </w:rPr>
        <w:t>damag</w:t>
      </w:r>
      <w:r>
        <w:rPr>
          <w:rFonts w:ascii="Arial" w:cs="Arial" w:eastAsia="Arial" w:hAnsi="Arial"/>
          <w:sz w:val="19"/>
          <w:szCs w:val="19"/>
          <w:color w:val="3A3A3A"/>
        </w:rPr>
        <w:t>e</w:t>
      </w:r>
      <w:r>
        <w:rPr>
          <w:rFonts w:ascii="Arial" w:cs="Arial" w:eastAsia="Arial" w:hAnsi="Arial"/>
          <w:sz w:val="19"/>
          <w:szCs w:val="19"/>
          <w:color w:val="000000"/>
        </w:rPr>
        <w:t xml:space="preserve"> and </w:t>
      </w:r>
      <w:r>
        <w:rPr>
          <w:rFonts w:ascii="Arial" w:cs="Arial" w:eastAsia="Arial" w:hAnsi="Arial"/>
          <w:sz w:val="19"/>
          <w:szCs w:val="19"/>
          <w:color w:val="3A3A3A"/>
        </w:rPr>
        <w:t>e</w:t>
      </w:r>
      <w:r>
        <w:rPr>
          <w:rFonts w:ascii="Arial" w:cs="Arial" w:eastAsia="Arial" w:hAnsi="Arial"/>
          <w:sz w:val="19"/>
          <w:szCs w:val="19"/>
          <w:color w:val="0F0F0F"/>
        </w:rPr>
        <w:t>liminate</w:t>
      </w:r>
      <w:r>
        <w:rPr>
          <w:rFonts w:ascii="Arial" w:cs="Arial" w:eastAsia="Arial" w:hAnsi="Arial"/>
          <w:sz w:val="19"/>
          <w:szCs w:val="19"/>
          <w:color w:val="000000"/>
        </w:rPr>
        <w:t xml:space="preserve"> such </w:t>
      </w:r>
      <w:r>
        <w:rPr>
          <w:rFonts w:ascii="Arial" w:cs="Arial" w:eastAsia="Arial" w:hAnsi="Arial"/>
          <w:sz w:val="19"/>
          <w:szCs w:val="19"/>
          <w:color w:val="3A3A3A"/>
        </w:rPr>
        <w:t>interfe</w:t>
      </w:r>
      <w:r>
        <w:rPr>
          <w:rFonts w:ascii="Arial" w:cs="Arial" w:eastAsia="Arial" w:hAnsi="Arial"/>
          <w:sz w:val="19"/>
          <w:szCs w:val="19"/>
          <w:color w:val="0F0F0F"/>
        </w:rPr>
        <w:t>rence, in</w:t>
      </w:r>
      <w:r>
        <w:rPr>
          <w:rFonts w:ascii="Arial" w:cs="Arial" w:eastAsia="Arial" w:hAnsi="Arial"/>
          <w:sz w:val="19"/>
          <w:szCs w:val="19"/>
          <w:color w:val="000000"/>
        </w:rPr>
        <w:t xml:space="preserve"> </w:t>
      </w:r>
      <w:r>
        <w:rPr>
          <w:rFonts w:ascii="Arial" w:cs="Arial" w:eastAsia="Arial" w:hAnsi="Arial"/>
          <w:sz w:val="19"/>
          <w:szCs w:val="19"/>
          <w:color w:val="3A3A3A"/>
        </w:rPr>
        <w:t>eac</w:t>
      </w:r>
      <w:r>
        <w:rPr>
          <w:rFonts w:ascii="Arial" w:cs="Arial" w:eastAsia="Arial" w:hAnsi="Arial"/>
          <w:sz w:val="19"/>
          <w:szCs w:val="19"/>
          <w:color w:val="0F0F0F"/>
        </w:rPr>
        <w:t>h</w:t>
      </w:r>
      <w:r>
        <w:rPr>
          <w:rFonts w:ascii="Arial" w:cs="Arial" w:eastAsia="Arial" w:hAnsi="Arial"/>
          <w:sz w:val="19"/>
          <w:szCs w:val="19"/>
          <w:color w:val="000000"/>
        </w:rPr>
        <w:t xml:space="preserve"> case at Tenant’s sole cost and expense, 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after receipt of notice of </w:t>
      </w:r>
      <w:r>
        <w:rPr>
          <w:rFonts w:ascii="Arial" w:cs="Arial" w:eastAsia="Arial" w:hAnsi="Arial"/>
          <w:sz w:val="19"/>
          <w:szCs w:val="19"/>
          <w:color w:val="3A3A3A"/>
        </w:rPr>
        <w:t>s</w:t>
      </w:r>
      <w:r>
        <w:rPr>
          <w:rFonts w:ascii="Arial" w:cs="Arial" w:eastAsia="Arial" w:hAnsi="Arial"/>
          <w:sz w:val="19"/>
          <w:szCs w:val="19"/>
          <w:color w:val="0F0F0F"/>
        </w:rPr>
        <w:t>uch</w:t>
      </w:r>
      <w:r>
        <w:rPr>
          <w:rFonts w:ascii="Arial" w:cs="Arial" w:eastAsia="Arial" w:hAnsi="Arial"/>
          <w:sz w:val="19"/>
          <w:szCs w:val="19"/>
          <w:color w:val="000000"/>
        </w:rPr>
        <w:t xml:space="preserve"> damage or </w:t>
      </w:r>
      <w:r>
        <w:rPr>
          <w:rFonts w:ascii="Arial" w:cs="Arial" w:eastAsia="Arial" w:hAnsi="Arial"/>
          <w:sz w:val="19"/>
          <w:szCs w:val="19"/>
          <w:color w:val="3A3A3A"/>
        </w:rPr>
        <w:t>i</w:t>
      </w:r>
      <w:r>
        <w:rPr>
          <w:rFonts w:ascii="Arial" w:cs="Arial" w:eastAsia="Arial" w:hAnsi="Arial"/>
          <w:sz w:val="19"/>
          <w:szCs w:val="19"/>
          <w:color w:val="0F0F0F"/>
        </w:rPr>
        <w:t>nterference (which</w:t>
      </w:r>
      <w:r>
        <w:rPr>
          <w:rFonts w:ascii="Arial" w:cs="Arial" w:eastAsia="Arial" w:hAnsi="Arial"/>
          <w:sz w:val="19"/>
          <w:szCs w:val="19"/>
          <w:color w:val="000000"/>
        </w:rPr>
        <w:t xml:space="preserve"> notice may be oral: </w:t>
      </w:r>
      <w:r>
        <w:rPr>
          <w:rFonts w:ascii="Arial" w:cs="Arial" w:eastAsia="Arial" w:hAnsi="Arial"/>
          <w:sz w:val="19"/>
          <w:szCs w:val="19"/>
          <w:u w:val="single" w:color="auto"/>
          <w:color w:val="0F0F0F"/>
        </w:rPr>
        <w:t>provided</w:t>
      </w:r>
      <w:r>
        <w:rPr>
          <w:rFonts w:ascii="Arial" w:cs="Arial" w:eastAsia="Arial" w:hAnsi="Arial"/>
          <w:sz w:val="19"/>
          <w:szCs w:val="19"/>
          <w:color w:val="000000"/>
        </w:rPr>
        <w:t xml:space="preserve"> </w:t>
      </w:r>
      <w:r>
        <w:rPr>
          <w:rFonts w:ascii="Arial" w:cs="Arial" w:eastAsia="Arial" w:hAnsi="Arial"/>
          <w:sz w:val="19"/>
          <w:szCs w:val="19"/>
          <w:color w:val="0F0F0F"/>
        </w:rPr>
        <w:t>that Land</w:t>
      </w:r>
      <w:r>
        <w:rPr>
          <w:rFonts w:ascii="Arial" w:cs="Arial" w:eastAsia="Arial" w:hAnsi="Arial"/>
          <w:sz w:val="19"/>
          <w:szCs w:val="19"/>
          <w:color w:val="3A3A3A"/>
        </w:rPr>
        <w:t>lo</w:t>
      </w:r>
      <w:r>
        <w:rPr>
          <w:rFonts w:ascii="Arial" w:cs="Arial" w:eastAsia="Arial" w:hAnsi="Arial"/>
          <w:sz w:val="19"/>
          <w:szCs w:val="19"/>
          <w:color w:val="0F0F0F"/>
        </w:rPr>
        <w:t>rd</w:t>
      </w:r>
      <w:r>
        <w:rPr>
          <w:rFonts w:ascii="Arial" w:cs="Arial" w:eastAsia="Arial" w:hAnsi="Arial"/>
          <w:sz w:val="19"/>
          <w:szCs w:val="19"/>
          <w:color w:val="000000"/>
        </w:rPr>
        <w:t xml:space="preserve"> also delivers to Tenant written notice of such damage or interference 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0F0F0F"/>
        </w:rPr>
        <w:t>hour</w:t>
      </w:r>
      <w:r>
        <w:rPr>
          <w:rFonts w:ascii="Arial" w:cs="Arial" w:eastAsia="Arial" w:hAnsi="Arial"/>
          <w:sz w:val="19"/>
          <w:szCs w:val="19"/>
          <w:color w:val="3A3A3A"/>
        </w:rPr>
        <w:t>s</w:t>
      </w:r>
      <w:r>
        <w:rPr>
          <w:rFonts w:ascii="Arial" w:cs="Arial" w:eastAsia="Arial" w:hAnsi="Arial"/>
          <w:sz w:val="19"/>
          <w:szCs w:val="19"/>
          <w:color w:val="000000"/>
        </w:rPr>
        <w:t xml:space="preserve"> after providing oral notice).</w:t>
      </w:r>
    </w:p>
    <w:p>
      <w:pPr>
        <w:spacing w:after="0" w:line="154" w:lineRule="exact"/>
        <w:rPr>
          <w:sz w:val="20"/>
          <w:szCs w:val="20"/>
          <w:color w:val="auto"/>
        </w:rPr>
      </w:pPr>
    </w:p>
    <w:p>
      <w:pPr>
        <w:jc w:val="both"/>
        <w:ind w:left="1300" w:hanging="647"/>
        <w:spacing w:after="0" w:line="212" w:lineRule="auto"/>
        <w:tabs>
          <w:tab w:leader="none" w:pos="1280" w:val="left"/>
        </w:tabs>
        <w:rPr>
          <w:sz w:val="20"/>
          <w:szCs w:val="20"/>
          <w:color w:val="auto"/>
        </w:rPr>
      </w:pPr>
      <w:r>
        <w:rPr>
          <w:rFonts w:ascii="Arial" w:cs="Arial" w:eastAsia="Arial" w:hAnsi="Arial"/>
          <w:sz w:val="22"/>
          <w:szCs w:val="22"/>
          <w:color w:val="auto"/>
        </w:rPr>
        <w:t>40.5</w:t>
        <w:tab/>
        <w:t xml:space="preserve">Landlord reserves the </w:t>
      </w:r>
      <w:r>
        <w:rPr>
          <w:rFonts w:ascii="Arial" w:cs="Arial" w:eastAsia="Arial" w:hAnsi="Arial"/>
          <w:sz w:val="22"/>
          <w:szCs w:val="22"/>
          <w:color w:val="0F0F0F"/>
        </w:rPr>
        <w:t>righ</w:t>
      </w:r>
      <w:r>
        <w:rPr>
          <w:rFonts w:ascii="Arial" w:cs="Arial" w:eastAsia="Arial" w:hAnsi="Arial"/>
          <w:sz w:val="22"/>
          <w:szCs w:val="22"/>
          <w:color w:val="3A3A3A"/>
        </w:rPr>
        <w:t>t</w:t>
      </w:r>
      <w:r>
        <w:rPr>
          <w:rFonts w:ascii="Arial" w:cs="Arial" w:eastAsia="Arial" w:hAnsi="Arial"/>
          <w:sz w:val="22"/>
          <w:szCs w:val="22"/>
          <w:color w:val="auto"/>
        </w:rPr>
        <w:t xml:space="preserve"> to cause Tenant </w:t>
      </w:r>
      <w:r>
        <w:rPr>
          <w:rFonts w:ascii="Arial" w:cs="Arial" w:eastAsia="Arial" w:hAnsi="Arial"/>
          <w:sz w:val="22"/>
          <w:szCs w:val="22"/>
          <w:color w:val="0F0F0F"/>
        </w:rPr>
        <w:t>to reloca</w:t>
      </w:r>
      <w:r>
        <w:rPr>
          <w:rFonts w:ascii="Arial" w:cs="Arial" w:eastAsia="Arial" w:hAnsi="Arial"/>
          <w:sz w:val="22"/>
          <w:szCs w:val="22"/>
          <w:color w:val="3A3A3A"/>
        </w:rPr>
        <w:t>te Tenan</w:t>
      </w:r>
      <w:r>
        <w:rPr>
          <w:rFonts w:ascii="Arial" w:cs="Arial" w:eastAsia="Arial" w:hAnsi="Arial"/>
          <w:sz w:val="22"/>
          <w:szCs w:val="22"/>
          <w:color w:val="0F0F0F"/>
        </w:rPr>
        <w:t>t’</w:t>
      </w:r>
      <w:r>
        <w:rPr>
          <w:rFonts w:ascii="Arial" w:cs="Arial" w:eastAsia="Arial" w:hAnsi="Arial"/>
          <w:sz w:val="22"/>
          <w:szCs w:val="22"/>
          <w:color w:val="3A3A3A"/>
        </w:rPr>
        <w:t>s</w:t>
      </w:r>
      <w:r>
        <w:rPr>
          <w:rFonts w:ascii="Arial" w:cs="Arial" w:eastAsia="Arial" w:hAnsi="Arial"/>
          <w:sz w:val="22"/>
          <w:szCs w:val="22"/>
          <w:color w:val="auto"/>
        </w:rPr>
        <w:t xml:space="preserve"> Rooftop Equipment </w:t>
      </w:r>
      <w:r>
        <w:rPr>
          <w:rFonts w:ascii="Arial" w:cs="Arial" w:eastAsia="Arial" w:hAnsi="Arial"/>
          <w:sz w:val="22"/>
          <w:szCs w:val="22"/>
          <w:color w:val="3A3A3A"/>
        </w:rPr>
        <w:t>to</w:t>
      </w:r>
      <w:r>
        <w:rPr>
          <w:rFonts w:ascii="Arial" w:cs="Arial" w:eastAsia="Arial" w:hAnsi="Arial"/>
          <w:sz w:val="22"/>
          <w:szCs w:val="22"/>
          <w:color w:val="auto"/>
        </w:rPr>
        <w:t xml:space="preserve"> comparably functional space on the </w:t>
      </w:r>
      <w:r>
        <w:rPr>
          <w:rFonts w:ascii="Arial" w:cs="Arial" w:eastAsia="Arial" w:hAnsi="Arial"/>
          <w:sz w:val="22"/>
          <w:szCs w:val="22"/>
          <w:color w:val="0F0F0F"/>
        </w:rPr>
        <w:t>roof</w:t>
      </w:r>
      <w:r>
        <w:rPr>
          <w:rFonts w:ascii="Arial" w:cs="Arial" w:eastAsia="Arial" w:hAnsi="Arial"/>
          <w:sz w:val="22"/>
          <w:szCs w:val="22"/>
          <w:color w:val="auto"/>
        </w:rPr>
        <w:t xml:space="preserve"> or in </w:t>
      </w:r>
      <w:r>
        <w:rPr>
          <w:rFonts w:ascii="Arial" w:cs="Arial" w:eastAsia="Arial" w:hAnsi="Arial"/>
          <w:sz w:val="22"/>
          <w:szCs w:val="22"/>
          <w:color w:val="0F0F0F"/>
        </w:rPr>
        <w:t>the</w:t>
      </w:r>
      <w:r>
        <w:rPr>
          <w:rFonts w:ascii="Arial" w:cs="Arial" w:eastAsia="Arial" w:hAnsi="Arial"/>
          <w:sz w:val="22"/>
          <w:szCs w:val="22"/>
          <w:color w:val="auto"/>
        </w:rPr>
        <w:t xml:space="preserve"> penthouse of </w:t>
      </w:r>
      <w:r>
        <w:rPr>
          <w:rFonts w:ascii="Arial" w:cs="Arial" w:eastAsia="Arial" w:hAnsi="Arial"/>
          <w:sz w:val="22"/>
          <w:szCs w:val="22"/>
          <w:color w:val="0F0F0F"/>
        </w:rPr>
        <w:t>the Bui</w:t>
      </w:r>
      <w:r>
        <w:rPr>
          <w:rFonts w:ascii="Arial" w:cs="Arial" w:eastAsia="Arial" w:hAnsi="Arial"/>
          <w:sz w:val="22"/>
          <w:szCs w:val="22"/>
          <w:color w:val="3A3A3A"/>
        </w:rPr>
        <w:t>ld</w:t>
      </w:r>
      <w:r>
        <w:rPr>
          <w:rFonts w:ascii="Arial" w:cs="Arial" w:eastAsia="Arial" w:hAnsi="Arial"/>
          <w:sz w:val="22"/>
          <w:szCs w:val="22"/>
          <w:color w:val="0F0F0F"/>
        </w:rPr>
        <w:t>ing</w:t>
      </w:r>
      <w:r>
        <w:rPr>
          <w:rFonts w:ascii="Arial" w:cs="Arial" w:eastAsia="Arial" w:hAnsi="Arial"/>
          <w:sz w:val="22"/>
          <w:szCs w:val="22"/>
          <w:color w:val="auto"/>
        </w:rPr>
        <w:t xml:space="preserve"> by giving Tenant </w:t>
      </w:r>
      <w:r>
        <w:rPr>
          <w:rFonts w:ascii="Arial" w:cs="Arial" w:eastAsia="Arial" w:hAnsi="Arial"/>
          <w:sz w:val="22"/>
          <w:szCs w:val="22"/>
          <w:color w:val="0F0F0F"/>
        </w:rPr>
        <w:t>prior</w:t>
      </w:r>
      <w:r>
        <w:rPr>
          <w:rFonts w:ascii="Arial" w:cs="Arial" w:eastAsia="Arial" w:hAnsi="Arial"/>
          <w:sz w:val="22"/>
          <w:szCs w:val="22"/>
          <w:color w:val="auto"/>
        </w:rPr>
        <w:t xml:space="preserve"> written </w:t>
      </w:r>
      <w:r>
        <w:rPr>
          <w:rFonts w:ascii="Arial" w:cs="Arial" w:eastAsia="Arial" w:hAnsi="Arial"/>
          <w:sz w:val="22"/>
          <w:szCs w:val="22"/>
          <w:color w:val="0F0F0F"/>
        </w:rPr>
        <w:t>notice</w:t>
      </w:r>
      <w:r>
        <w:rPr>
          <w:rFonts w:ascii="Arial" w:cs="Arial" w:eastAsia="Arial" w:hAnsi="Arial"/>
          <w:sz w:val="22"/>
          <w:szCs w:val="22"/>
          <w:color w:val="auto"/>
        </w:rPr>
        <w:t xml:space="preserve"> thereof. Landlord agrees </w:t>
      </w:r>
      <w:r>
        <w:rPr>
          <w:rFonts w:ascii="Arial" w:cs="Arial" w:eastAsia="Arial" w:hAnsi="Arial"/>
          <w:sz w:val="22"/>
          <w:szCs w:val="22"/>
          <w:color w:val="3A3A3A"/>
        </w:rPr>
        <w:t>to</w:t>
      </w:r>
      <w:r>
        <w:rPr>
          <w:rFonts w:ascii="Arial" w:cs="Arial" w:eastAsia="Arial" w:hAnsi="Arial"/>
          <w:sz w:val="22"/>
          <w:szCs w:val="22"/>
          <w:color w:val="auto"/>
        </w:rPr>
        <w:t xml:space="preserve"> pay the reasonable costs </w:t>
      </w:r>
      <w:r>
        <w:rPr>
          <w:rFonts w:ascii="Arial" w:cs="Arial" w:eastAsia="Arial" w:hAnsi="Arial"/>
          <w:sz w:val="22"/>
          <w:szCs w:val="22"/>
          <w:color w:val="0F0F0F"/>
        </w:rPr>
        <w:t>thereof. Tenant</w:t>
      </w:r>
      <w:r>
        <w:rPr>
          <w:rFonts w:ascii="Arial" w:cs="Arial" w:eastAsia="Arial" w:hAnsi="Arial"/>
          <w:sz w:val="22"/>
          <w:szCs w:val="22"/>
          <w:color w:val="auto"/>
        </w:rPr>
        <w:t xml:space="preserve"> </w:t>
      </w:r>
      <w:r>
        <w:rPr>
          <w:rFonts w:ascii="Arial" w:cs="Arial" w:eastAsia="Arial" w:hAnsi="Arial"/>
          <w:sz w:val="22"/>
          <w:szCs w:val="22"/>
          <w:color w:val="3A3A3A"/>
        </w:rPr>
        <w:t>shall</w:t>
      </w:r>
      <w:r>
        <w:rPr>
          <w:rFonts w:ascii="Arial" w:cs="Arial" w:eastAsia="Arial" w:hAnsi="Arial"/>
          <w:sz w:val="22"/>
          <w:szCs w:val="22"/>
          <w:color w:val="auto"/>
        </w:rPr>
        <w:t xml:space="preserve"> arrange for </w:t>
      </w:r>
      <w:r>
        <w:rPr>
          <w:rFonts w:ascii="Arial" w:cs="Arial" w:eastAsia="Arial" w:hAnsi="Arial"/>
          <w:sz w:val="22"/>
          <w:szCs w:val="22"/>
          <w:color w:val="0F0F0F"/>
        </w:rPr>
        <w:t>th</w:t>
      </w:r>
      <w:r>
        <w:rPr>
          <w:rFonts w:ascii="Arial" w:cs="Arial" w:eastAsia="Arial" w:hAnsi="Arial"/>
          <w:sz w:val="22"/>
          <w:szCs w:val="22"/>
          <w:color w:val="3A3A3A"/>
        </w:rPr>
        <w:t>e</w:t>
      </w:r>
      <w:r>
        <w:rPr>
          <w:rFonts w:ascii="Arial" w:cs="Arial" w:eastAsia="Arial" w:hAnsi="Arial"/>
          <w:sz w:val="22"/>
          <w:szCs w:val="22"/>
          <w:color w:val="auto"/>
        </w:rPr>
        <w:t xml:space="preserve"> </w:t>
      </w:r>
      <w:r>
        <w:rPr>
          <w:rFonts w:ascii="Arial" w:cs="Arial" w:eastAsia="Arial" w:hAnsi="Arial"/>
          <w:sz w:val="22"/>
          <w:szCs w:val="22"/>
          <w:color w:val="0F0F0F"/>
        </w:rPr>
        <w:t>relocation of</w:t>
      </w:r>
      <w:r>
        <w:rPr>
          <w:rFonts w:ascii="Arial" w:cs="Arial" w:eastAsia="Arial" w:hAnsi="Arial"/>
          <w:sz w:val="22"/>
          <w:szCs w:val="22"/>
          <w:color w:val="auto"/>
        </w:rPr>
        <w:t xml:space="preserve"> Tenant’s Rooftop </w:t>
      </w:r>
      <w:r>
        <w:rPr>
          <w:rFonts w:ascii="Arial" w:cs="Arial" w:eastAsia="Arial" w:hAnsi="Arial"/>
          <w:sz w:val="22"/>
          <w:szCs w:val="22"/>
          <w:color w:val="0F0F0F"/>
        </w:rPr>
        <w:t>Equipment</w:t>
      </w:r>
      <w:r>
        <w:rPr>
          <w:rFonts w:ascii="Arial" w:cs="Arial" w:eastAsia="Arial" w:hAnsi="Arial"/>
          <w:sz w:val="22"/>
          <w:szCs w:val="22"/>
          <w:color w:val="auto"/>
        </w:rPr>
        <w:t xml:space="preserve"> within </w:t>
      </w:r>
      <w:r>
        <w:rPr>
          <w:rFonts w:ascii="Arial" w:cs="Arial" w:eastAsia="Arial" w:hAnsi="Arial"/>
          <w:sz w:val="22"/>
          <w:szCs w:val="22"/>
          <w:u w:val="single" w:color="auto"/>
          <w:color w:val="auto"/>
        </w:rPr>
        <w:t>[***]</w:t>
      </w:r>
      <w:r>
        <w:rPr>
          <w:rFonts w:ascii="Arial" w:cs="Arial" w:eastAsia="Arial" w:hAnsi="Arial"/>
          <w:sz w:val="22"/>
          <w:szCs w:val="22"/>
          <w:color w:val="auto"/>
        </w:rPr>
        <w:t xml:space="preserve"> days after </w:t>
      </w:r>
      <w:r>
        <w:rPr>
          <w:rFonts w:ascii="Arial" w:cs="Arial" w:eastAsia="Arial" w:hAnsi="Arial"/>
          <w:sz w:val="22"/>
          <w:szCs w:val="22"/>
          <w:color w:val="0F0F0F"/>
        </w:rPr>
        <w:t>r</w:t>
      </w:r>
      <w:r>
        <w:rPr>
          <w:rFonts w:ascii="Arial" w:cs="Arial" w:eastAsia="Arial" w:hAnsi="Arial"/>
          <w:sz w:val="22"/>
          <w:szCs w:val="22"/>
          <w:color w:val="3A3A3A"/>
        </w:rPr>
        <w:t>ece</w:t>
      </w:r>
      <w:r>
        <w:rPr>
          <w:rFonts w:ascii="Arial" w:cs="Arial" w:eastAsia="Arial" w:hAnsi="Arial"/>
          <w:sz w:val="22"/>
          <w:szCs w:val="22"/>
          <w:color w:val="0F0F0F"/>
        </w:rPr>
        <w:t>ipt</w:t>
      </w:r>
      <w:r>
        <w:rPr>
          <w:rFonts w:ascii="Arial" w:cs="Arial" w:eastAsia="Arial" w:hAnsi="Arial"/>
          <w:sz w:val="22"/>
          <w:szCs w:val="22"/>
          <w:color w:val="auto"/>
        </w:rPr>
        <w:t xml:space="preserve"> of </w:t>
      </w:r>
      <w:r>
        <w:rPr>
          <w:rFonts w:ascii="Arial" w:cs="Arial" w:eastAsia="Arial" w:hAnsi="Arial"/>
          <w:sz w:val="22"/>
          <w:szCs w:val="22"/>
          <w:color w:val="3A3A3A"/>
        </w:rPr>
        <w:t>Landlord’s</w:t>
      </w:r>
      <w:r>
        <w:rPr>
          <w:rFonts w:ascii="Arial" w:cs="Arial" w:eastAsia="Arial" w:hAnsi="Arial"/>
          <w:sz w:val="22"/>
          <w:szCs w:val="22"/>
          <w:color w:val="auto"/>
        </w:rPr>
        <w:t xml:space="preserve"> </w:t>
      </w:r>
      <w:r>
        <w:rPr>
          <w:rFonts w:ascii="Arial" w:cs="Arial" w:eastAsia="Arial" w:hAnsi="Arial"/>
          <w:sz w:val="22"/>
          <w:szCs w:val="22"/>
          <w:color w:val="0F0F0F"/>
        </w:rPr>
        <w:t>notificatio</w:t>
      </w:r>
      <w:r>
        <w:rPr>
          <w:rFonts w:ascii="Arial" w:cs="Arial" w:eastAsia="Arial" w:hAnsi="Arial"/>
          <w:sz w:val="22"/>
          <w:szCs w:val="22"/>
          <w:color w:val="3A3A3A"/>
        </w:rPr>
        <w:t>n</w:t>
      </w:r>
      <w:r>
        <w:rPr>
          <w:rFonts w:ascii="Arial" w:cs="Arial" w:eastAsia="Arial" w:hAnsi="Arial"/>
          <w:sz w:val="22"/>
          <w:szCs w:val="22"/>
          <w:color w:val="auto"/>
        </w:rPr>
        <w:t xml:space="preserve"> of </w:t>
      </w:r>
      <w:r>
        <w:rPr>
          <w:rFonts w:ascii="Arial" w:cs="Arial" w:eastAsia="Arial" w:hAnsi="Arial"/>
          <w:sz w:val="22"/>
          <w:szCs w:val="22"/>
          <w:color w:val="3A3A3A"/>
        </w:rPr>
        <w:t>su</w:t>
      </w:r>
      <w:r>
        <w:rPr>
          <w:rFonts w:ascii="Arial" w:cs="Arial" w:eastAsia="Arial" w:hAnsi="Arial"/>
          <w:sz w:val="22"/>
          <w:szCs w:val="22"/>
          <w:color w:val="0F0F0F"/>
        </w:rPr>
        <w:t>ch</w:t>
      </w:r>
      <w:r>
        <w:rPr>
          <w:rFonts w:ascii="Arial" w:cs="Arial" w:eastAsia="Arial" w:hAnsi="Arial"/>
          <w:sz w:val="22"/>
          <w:szCs w:val="22"/>
          <w:color w:val="auto"/>
        </w:rPr>
        <w:t xml:space="preserve"> relocation. In the </w:t>
      </w:r>
      <w:r>
        <w:rPr>
          <w:rFonts w:ascii="Arial" w:cs="Arial" w:eastAsia="Arial" w:hAnsi="Arial"/>
          <w:sz w:val="22"/>
          <w:szCs w:val="22"/>
          <w:color w:val="3A3A3A"/>
        </w:rPr>
        <w:t>event</w:t>
      </w:r>
      <w:r>
        <w:rPr>
          <w:rFonts w:ascii="Arial" w:cs="Arial" w:eastAsia="Arial" w:hAnsi="Arial"/>
          <w:sz w:val="22"/>
          <w:szCs w:val="22"/>
          <w:color w:val="auto"/>
        </w:rPr>
        <w:t xml:space="preserve"> Tenant fails </w:t>
      </w:r>
      <w:r>
        <w:rPr>
          <w:rFonts w:ascii="Arial" w:cs="Arial" w:eastAsia="Arial" w:hAnsi="Arial"/>
          <w:sz w:val="22"/>
          <w:szCs w:val="22"/>
          <w:color w:val="0F0F0F"/>
        </w:rPr>
        <w:t>to</w:t>
      </w:r>
      <w:r>
        <w:rPr>
          <w:rFonts w:ascii="Arial" w:cs="Arial" w:eastAsia="Arial" w:hAnsi="Arial"/>
          <w:sz w:val="22"/>
          <w:szCs w:val="22"/>
          <w:color w:val="auto"/>
        </w:rPr>
        <w:t xml:space="preserve"> arrange for relocation within such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color w:val="0F0F0F"/>
        </w:rPr>
        <w:t>period, Landlord</w:t>
      </w:r>
      <w:r>
        <w:rPr>
          <w:rFonts w:ascii="Arial" w:cs="Arial" w:eastAsia="Arial" w:hAnsi="Arial"/>
          <w:sz w:val="22"/>
          <w:szCs w:val="22"/>
          <w:color w:val="auto"/>
        </w:rPr>
        <w:t xml:space="preserve"> shall have the right </w:t>
      </w:r>
      <w:r>
        <w:rPr>
          <w:rFonts w:ascii="Arial" w:cs="Arial" w:eastAsia="Arial" w:hAnsi="Arial"/>
          <w:sz w:val="22"/>
          <w:szCs w:val="22"/>
          <w:color w:val="0F0F0F"/>
        </w:rPr>
        <w:t>to</w:t>
      </w:r>
      <w:r>
        <w:rPr>
          <w:rFonts w:ascii="Arial" w:cs="Arial" w:eastAsia="Arial" w:hAnsi="Arial"/>
          <w:sz w:val="22"/>
          <w:szCs w:val="22"/>
          <w:color w:val="auto"/>
        </w:rPr>
        <w:t xml:space="preserve"> arrange for the relocation of </w:t>
      </w:r>
      <w:r>
        <w:rPr>
          <w:rFonts w:ascii="Arial" w:cs="Arial" w:eastAsia="Arial" w:hAnsi="Arial"/>
          <w:sz w:val="22"/>
          <w:szCs w:val="22"/>
          <w:color w:val="383838"/>
        </w:rPr>
        <w:t>Tenant’s</w:t>
      </w:r>
      <w:r>
        <w:rPr>
          <w:rFonts w:ascii="Arial" w:cs="Arial" w:eastAsia="Arial" w:hAnsi="Arial"/>
          <w:sz w:val="22"/>
          <w:szCs w:val="22"/>
          <w:color w:val="auto"/>
        </w:rPr>
        <w:t xml:space="preserve"> </w:t>
      </w:r>
      <w:r>
        <w:rPr>
          <w:rFonts w:ascii="Arial" w:cs="Arial" w:eastAsia="Arial" w:hAnsi="Arial"/>
          <w:sz w:val="22"/>
          <w:szCs w:val="22"/>
          <w:color w:val="0F0F0F"/>
        </w:rPr>
        <w:t>Rooftop</w:t>
      </w:r>
      <w:r>
        <w:rPr>
          <w:rFonts w:ascii="Arial" w:cs="Arial" w:eastAsia="Arial" w:hAnsi="Arial"/>
          <w:sz w:val="22"/>
          <w:szCs w:val="22"/>
          <w:color w:val="auto"/>
        </w:rPr>
        <w:t xml:space="preserve"> Equipment </w:t>
      </w:r>
      <w:r>
        <w:rPr>
          <w:rFonts w:ascii="Arial" w:cs="Arial" w:eastAsia="Arial" w:hAnsi="Arial"/>
          <w:sz w:val="22"/>
          <w:szCs w:val="22"/>
          <w:color w:val="0F0F0F"/>
        </w:rPr>
        <w:t>in</w:t>
      </w:r>
      <w:r>
        <w:rPr>
          <w:rFonts w:ascii="Arial" w:cs="Arial" w:eastAsia="Arial" w:hAnsi="Arial"/>
          <w:sz w:val="22"/>
          <w:szCs w:val="22"/>
          <w:color w:val="auto"/>
        </w:rPr>
        <w:t xml:space="preserve"> a manner that does </w:t>
      </w:r>
      <w:r>
        <w:rPr>
          <w:rFonts w:ascii="Arial" w:cs="Arial" w:eastAsia="Arial" w:hAnsi="Arial"/>
          <w:sz w:val="22"/>
          <w:szCs w:val="22"/>
          <w:color w:val="0F0F0F"/>
        </w:rPr>
        <w:t>not</w:t>
      </w:r>
      <w:r>
        <w:rPr>
          <w:rFonts w:ascii="Arial" w:cs="Arial" w:eastAsia="Arial" w:hAnsi="Arial"/>
          <w:sz w:val="22"/>
          <w:szCs w:val="22"/>
          <w:color w:val="auto"/>
        </w:rPr>
        <w:t xml:space="preserve"> unnecessarily </w:t>
      </w:r>
      <w:r>
        <w:rPr>
          <w:rFonts w:ascii="Arial" w:cs="Arial" w:eastAsia="Arial" w:hAnsi="Arial"/>
          <w:sz w:val="22"/>
          <w:szCs w:val="22"/>
          <w:color w:val="0F0F0F"/>
        </w:rPr>
        <w:t>interrupt</w:t>
      </w:r>
      <w:r>
        <w:rPr>
          <w:rFonts w:ascii="Arial" w:cs="Arial" w:eastAsia="Arial" w:hAnsi="Arial"/>
          <w:sz w:val="22"/>
          <w:szCs w:val="22"/>
          <w:color w:val="auto"/>
        </w:rPr>
        <w:t xml:space="preserve"> </w:t>
      </w:r>
      <w:r>
        <w:rPr>
          <w:rFonts w:ascii="Arial" w:cs="Arial" w:eastAsia="Arial" w:hAnsi="Arial"/>
          <w:sz w:val="22"/>
          <w:szCs w:val="22"/>
          <w:color w:val="383838"/>
        </w:rPr>
        <w:t>or</w:t>
      </w:r>
      <w:r>
        <w:rPr>
          <w:rFonts w:ascii="Arial" w:cs="Arial" w:eastAsia="Arial" w:hAnsi="Arial"/>
          <w:sz w:val="22"/>
          <w:szCs w:val="22"/>
          <w:color w:val="auto"/>
        </w:rPr>
        <w:t xml:space="preserve"> interfere with Tenant’s use of the Premises for </w:t>
      </w:r>
      <w:r>
        <w:rPr>
          <w:rFonts w:ascii="Arial" w:cs="Arial" w:eastAsia="Arial" w:hAnsi="Arial"/>
          <w:sz w:val="22"/>
          <w:szCs w:val="22"/>
          <w:color w:val="0F0F0F"/>
        </w:rPr>
        <w:t>the</w:t>
      </w:r>
      <w:r>
        <w:rPr>
          <w:rFonts w:ascii="Arial" w:cs="Arial" w:eastAsia="Arial" w:hAnsi="Arial"/>
          <w:sz w:val="22"/>
          <w:szCs w:val="22"/>
          <w:color w:val="auto"/>
        </w:rPr>
        <w:t xml:space="preserve"> Permitted </w:t>
      </w:r>
      <w:r>
        <w:rPr>
          <w:rFonts w:ascii="Arial" w:cs="Arial" w:eastAsia="Arial" w:hAnsi="Arial"/>
          <w:sz w:val="22"/>
          <w:szCs w:val="22"/>
          <w:color w:val="383838"/>
        </w:rPr>
        <w:t>Use</w:t>
      </w:r>
      <w:r>
        <w:rPr>
          <w:rFonts w:ascii="Arial" w:cs="Arial" w:eastAsia="Arial" w:hAnsi="Arial"/>
          <w:sz w:val="22"/>
          <w:szCs w:val="22"/>
          <w:color w:val="0F0F0F"/>
        </w:rPr>
        <w:t>.</w:t>
      </w:r>
    </w:p>
    <w:p>
      <w:pPr>
        <w:spacing w:after="0" w:line="164"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right="20" w:hanging="648"/>
        <w:spacing w:after="0" w:line="223" w:lineRule="auto"/>
        <w:rPr>
          <w:rFonts w:ascii="Arial" w:cs="Arial" w:eastAsia="Arial" w:hAnsi="Arial"/>
          <w:sz w:val="22"/>
          <w:szCs w:val="22"/>
          <w:color w:val="auto"/>
        </w:rPr>
      </w:pPr>
      <w:r>
        <w:rPr>
          <w:rFonts w:ascii="Arial" w:cs="Arial" w:eastAsia="Arial" w:hAnsi="Arial"/>
          <w:sz w:val="22"/>
          <w:szCs w:val="22"/>
          <w:color w:val="auto"/>
        </w:rPr>
        <w:t xml:space="preserve">41.1 So long as Tenant </w:t>
      </w:r>
      <w:r>
        <w:rPr>
          <w:rFonts w:ascii="Arial" w:cs="Arial" w:eastAsia="Arial" w:hAnsi="Arial"/>
          <w:sz w:val="22"/>
          <w:szCs w:val="22"/>
          <w:color w:val="0F0F0F"/>
        </w:rPr>
        <w:t>l</w:t>
      </w:r>
      <w:r>
        <w:rPr>
          <w:rFonts w:ascii="Arial" w:cs="Arial" w:eastAsia="Arial" w:hAnsi="Arial"/>
          <w:sz w:val="22"/>
          <w:szCs w:val="22"/>
          <w:color w:val="383838"/>
        </w:rPr>
        <w:t>eases the</w:t>
      </w:r>
      <w:r>
        <w:rPr>
          <w:rFonts w:ascii="Arial" w:cs="Arial" w:eastAsia="Arial" w:hAnsi="Arial"/>
          <w:sz w:val="22"/>
          <w:szCs w:val="22"/>
          <w:color w:val="auto"/>
        </w:rPr>
        <w:t xml:space="preserve"> entire Building, Landlord </w:t>
      </w:r>
      <w:r>
        <w:rPr>
          <w:rFonts w:ascii="Arial" w:cs="Arial" w:eastAsia="Arial" w:hAnsi="Arial"/>
          <w:sz w:val="22"/>
          <w:szCs w:val="22"/>
          <w:color w:val="383838"/>
        </w:rPr>
        <w:t>s</w:t>
      </w:r>
      <w:r>
        <w:rPr>
          <w:rFonts w:ascii="Arial" w:cs="Arial" w:eastAsia="Arial" w:hAnsi="Arial"/>
          <w:sz w:val="22"/>
          <w:szCs w:val="22"/>
          <w:color w:val="0F0F0F"/>
        </w:rPr>
        <w:t>hall</w:t>
      </w:r>
      <w:r>
        <w:rPr>
          <w:rFonts w:ascii="Arial" w:cs="Arial" w:eastAsia="Arial" w:hAnsi="Arial"/>
          <w:sz w:val="22"/>
          <w:szCs w:val="22"/>
          <w:color w:val="auto"/>
        </w:rPr>
        <w:t xml:space="preserve"> not have the right </w:t>
      </w:r>
      <w:r>
        <w:rPr>
          <w:rFonts w:ascii="Arial" w:cs="Arial" w:eastAsia="Arial" w:hAnsi="Arial"/>
          <w:sz w:val="22"/>
          <w:szCs w:val="22"/>
          <w:color w:val="0F0F0F"/>
        </w:rPr>
        <w:t>to</w:t>
      </w:r>
      <w:r>
        <w:rPr>
          <w:rFonts w:ascii="Arial" w:cs="Arial" w:eastAsia="Arial" w:hAnsi="Arial"/>
          <w:sz w:val="22"/>
          <w:szCs w:val="22"/>
          <w:color w:val="auto"/>
        </w:rPr>
        <w:t xml:space="preserve"> change </w:t>
      </w:r>
      <w:r>
        <w:rPr>
          <w:rFonts w:ascii="Arial" w:cs="Arial" w:eastAsia="Arial" w:hAnsi="Arial"/>
          <w:sz w:val="22"/>
          <w:szCs w:val="22"/>
          <w:color w:val="0F0F0F"/>
        </w:rPr>
        <w:t>the</w:t>
      </w:r>
      <w:r>
        <w:rPr>
          <w:rFonts w:ascii="Arial" w:cs="Arial" w:eastAsia="Arial" w:hAnsi="Arial"/>
          <w:sz w:val="22"/>
          <w:szCs w:val="22"/>
          <w:color w:val="auto"/>
        </w:rPr>
        <w:t xml:space="preserve"> name of the Building without </w:t>
      </w:r>
      <w:r>
        <w:rPr>
          <w:rFonts w:ascii="Arial" w:cs="Arial" w:eastAsia="Arial" w:hAnsi="Arial"/>
          <w:sz w:val="22"/>
          <w:szCs w:val="22"/>
          <w:color w:val="0F0F0F"/>
        </w:rPr>
        <w:t>the</w:t>
      </w:r>
      <w:r>
        <w:rPr>
          <w:rFonts w:ascii="Arial" w:cs="Arial" w:eastAsia="Arial" w:hAnsi="Arial"/>
          <w:sz w:val="22"/>
          <w:szCs w:val="22"/>
          <w:color w:val="auto"/>
        </w:rPr>
        <w:t xml:space="preserve"> prior written consent of Tenant, which consent may </w:t>
      </w:r>
      <w:r>
        <w:rPr>
          <w:rFonts w:ascii="Arial" w:cs="Arial" w:eastAsia="Arial" w:hAnsi="Arial"/>
          <w:sz w:val="22"/>
          <w:szCs w:val="22"/>
          <w:color w:val="0F0F0F"/>
        </w:rPr>
        <w:t>be</w:t>
      </w:r>
      <w:r>
        <w:rPr>
          <w:rFonts w:ascii="Arial" w:cs="Arial" w:eastAsia="Arial" w:hAnsi="Arial"/>
          <w:sz w:val="22"/>
          <w:szCs w:val="22"/>
          <w:color w:val="auto"/>
        </w:rPr>
        <w:t xml:space="preserve"> withheld by Tenant </w:t>
      </w:r>
      <w:r>
        <w:rPr>
          <w:rFonts w:ascii="Arial" w:cs="Arial" w:eastAsia="Arial" w:hAnsi="Arial"/>
          <w:sz w:val="22"/>
          <w:szCs w:val="22"/>
          <w:color w:val="0F0F0F"/>
        </w:rPr>
        <w:t>in it</w:t>
      </w:r>
      <w:r>
        <w:rPr>
          <w:rFonts w:ascii="Arial" w:cs="Arial" w:eastAsia="Arial" w:hAnsi="Arial"/>
          <w:sz w:val="22"/>
          <w:szCs w:val="22"/>
          <w:color w:val="383838"/>
        </w:rPr>
        <w:t>s so</w:t>
      </w:r>
      <w:r>
        <w:rPr>
          <w:rFonts w:ascii="Arial" w:cs="Arial" w:eastAsia="Arial" w:hAnsi="Arial"/>
          <w:sz w:val="22"/>
          <w:szCs w:val="22"/>
          <w:color w:val="0F0F0F"/>
        </w:rPr>
        <w:t>le</w:t>
      </w:r>
      <w:r>
        <w:rPr>
          <w:rFonts w:ascii="Arial" w:cs="Arial" w:eastAsia="Arial" w:hAnsi="Arial"/>
          <w:sz w:val="22"/>
          <w:szCs w:val="22"/>
          <w:color w:val="auto"/>
        </w:rPr>
        <w:t xml:space="preserve"> and absolute discretion.</w:t>
      </w:r>
    </w:p>
    <w:p>
      <w:pPr>
        <w:spacing w:after="0" w:line="158" w:lineRule="exact"/>
        <w:rPr>
          <w:rFonts w:ascii="Arial" w:cs="Arial" w:eastAsia="Arial" w:hAnsi="Arial"/>
          <w:sz w:val="22"/>
          <w:szCs w:val="22"/>
          <w:color w:val="auto"/>
        </w:rPr>
      </w:pPr>
    </w:p>
    <w:p>
      <w:pPr>
        <w:ind w:left="1300" w:hanging="648"/>
        <w:spacing w:after="0" w:line="212" w:lineRule="auto"/>
        <w:rPr>
          <w:rFonts w:ascii="Arial" w:cs="Arial" w:eastAsia="Arial" w:hAnsi="Arial"/>
          <w:sz w:val="22"/>
          <w:szCs w:val="22"/>
          <w:color w:val="auto"/>
        </w:rPr>
      </w:pPr>
      <w:r>
        <w:rPr>
          <w:rFonts w:ascii="Arial" w:cs="Arial" w:eastAsia="Arial" w:hAnsi="Arial"/>
          <w:sz w:val="22"/>
          <w:szCs w:val="22"/>
          <w:color w:val="auto"/>
        </w:rPr>
        <w:t xml:space="preserve">41.2 </w:t>
      </w:r>
      <w:r>
        <w:rPr>
          <w:rFonts w:ascii="Arial" w:cs="Arial" w:eastAsia="Arial" w:hAnsi="Arial"/>
          <w:sz w:val="22"/>
          <w:szCs w:val="22"/>
          <w:color w:val="0F0F0F"/>
        </w:rPr>
        <w:t>Landlord</w:t>
      </w:r>
      <w:r>
        <w:rPr>
          <w:rFonts w:ascii="Arial" w:cs="Arial" w:eastAsia="Arial" w:hAnsi="Arial"/>
          <w:sz w:val="22"/>
          <w:szCs w:val="22"/>
          <w:color w:val="auto"/>
        </w:rPr>
        <w:t xml:space="preserve"> hereby approves the </w:t>
      </w:r>
      <w:r>
        <w:rPr>
          <w:rFonts w:ascii="Arial" w:cs="Arial" w:eastAsia="Arial" w:hAnsi="Arial"/>
          <w:sz w:val="22"/>
          <w:szCs w:val="22"/>
          <w:color w:val="0F0F0F"/>
        </w:rPr>
        <w:t>location</w:t>
      </w:r>
      <w:r>
        <w:rPr>
          <w:rFonts w:ascii="Arial" w:cs="Arial" w:eastAsia="Arial" w:hAnsi="Arial"/>
          <w:sz w:val="22"/>
          <w:szCs w:val="22"/>
          <w:color w:val="383838"/>
        </w:rPr>
        <w:t>,</w:t>
      </w:r>
      <w:r>
        <w:rPr>
          <w:rFonts w:ascii="Arial" w:cs="Arial" w:eastAsia="Arial" w:hAnsi="Arial"/>
          <w:sz w:val="22"/>
          <w:szCs w:val="22"/>
          <w:color w:val="auto"/>
        </w:rPr>
        <w:t xml:space="preserve"> design, and operation of any and all generators, storage tanks and other </w:t>
      </w:r>
      <w:r>
        <w:rPr>
          <w:rFonts w:ascii="Arial" w:cs="Arial" w:eastAsia="Arial" w:hAnsi="Arial"/>
          <w:sz w:val="22"/>
          <w:szCs w:val="22"/>
          <w:color w:val="383838"/>
        </w:rPr>
        <w:t>spec</w:t>
      </w:r>
      <w:r>
        <w:rPr>
          <w:rFonts w:ascii="Arial" w:cs="Arial" w:eastAsia="Arial" w:hAnsi="Arial"/>
          <w:sz w:val="22"/>
          <w:szCs w:val="22"/>
          <w:color w:val="0F0F0F"/>
        </w:rPr>
        <w:t>iali</w:t>
      </w:r>
      <w:r>
        <w:rPr>
          <w:rFonts w:ascii="Arial" w:cs="Arial" w:eastAsia="Arial" w:hAnsi="Arial"/>
          <w:sz w:val="22"/>
          <w:szCs w:val="22"/>
          <w:color w:val="383838"/>
        </w:rPr>
        <w:t xml:space="preserve">zed </w:t>
      </w:r>
      <w:r>
        <w:rPr>
          <w:rFonts w:ascii="Arial" w:cs="Arial" w:eastAsia="Arial" w:hAnsi="Arial"/>
          <w:sz w:val="22"/>
          <w:szCs w:val="22"/>
          <w:color w:val="000000"/>
        </w:rPr>
        <w:t>equipment or</w:t>
      </w:r>
      <w:r>
        <w:rPr>
          <w:rFonts w:ascii="Arial" w:cs="Arial" w:eastAsia="Arial" w:hAnsi="Arial"/>
          <w:sz w:val="22"/>
          <w:szCs w:val="22"/>
          <w:color w:val="383838"/>
        </w:rPr>
        <w:t xml:space="preserve"> systems </w:t>
      </w:r>
      <w:r>
        <w:rPr>
          <w:rFonts w:ascii="Arial" w:cs="Arial" w:eastAsia="Arial" w:hAnsi="Arial"/>
          <w:sz w:val="22"/>
          <w:szCs w:val="22"/>
          <w:color w:val="0F0F0F"/>
        </w:rPr>
        <w:t>located</w:t>
      </w:r>
      <w:r>
        <w:rPr>
          <w:rFonts w:ascii="Arial" w:cs="Arial" w:eastAsia="Arial" w:hAnsi="Arial"/>
          <w:sz w:val="22"/>
          <w:szCs w:val="22"/>
          <w:color w:val="383838"/>
        </w:rPr>
        <w:t xml:space="preserve"> </w:t>
      </w:r>
      <w:r>
        <w:rPr>
          <w:rFonts w:ascii="Arial" w:cs="Arial" w:eastAsia="Arial" w:hAnsi="Arial"/>
          <w:sz w:val="22"/>
          <w:szCs w:val="22"/>
          <w:color w:val="000000"/>
        </w:rPr>
        <w:t>on</w:t>
      </w:r>
      <w:r>
        <w:rPr>
          <w:rFonts w:ascii="Arial" w:cs="Arial" w:eastAsia="Arial" w:hAnsi="Arial"/>
          <w:sz w:val="22"/>
          <w:szCs w:val="22"/>
          <w:color w:val="383838"/>
        </w:rPr>
        <w:t xml:space="preserve"> t</w:t>
      </w:r>
      <w:r>
        <w:rPr>
          <w:rFonts w:ascii="Arial" w:cs="Arial" w:eastAsia="Arial" w:hAnsi="Arial"/>
          <w:sz w:val="22"/>
          <w:szCs w:val="22"/>
          <w:color w:val="0F0F0F"/>
        </w:rPr>
        <w:t>he</w:t>
      </w:r>
      <w:r>
        <w:rPr>
          <w:rFonts w:ascii="Arial" w:cs="Arial" w:eastAsia="Arial" w:hAnsi="Arial"/>
          <w:sz w:val="22"/>
          <w:szCs w:val="22"/>
          <w:color w:val="383838"/>
        </w:rPr>
        <w:t xml:space="preserve"> </w:t>
      </w:r>
      <w:r>
        <w:rPr>
          <w:rFonts w:ascii="Arial" w:cs="Arial" w:eastAsia="Arial" w:hAnsi="Arial"/>
          <w:sz w:val="22"/>
          <w:szCs w:val="22"/>
          <w:color w:val="000000"/>
        </w:rPr>
        <w:t>land, on</w:t>
      </w:r>
      <w:r>
        <w:rPr>
          <w:rFonts w:ascii="Arial" w:cs="Arial" w:eastAsia="Arial" w:hAnsi="Arial"/>
          <w:sz w:val="22"/>
          <w:szCs w:val="22"/>
          <w:color w:val="383838"/>
        </w:rPr>
        <w:t xml:space="preserve"> </w:t>
      </w:r>
      <w:r>
        <w:rPr>
          <w:rFonts w:ascii="Arial" w:cs="Arial" w:eastAsia="Arial" w:hAnsi="Arial"/>
          <w:sz w:val="22"/>
          <w:szCs w:val="22"/>
          <w:color w:val="0F0F0F"/>
        </w:rPr>
        <w:t>the</w:t>
      </w:r>
      <w:r>
        <w:rPr>
          <w:rFonts w:ascii="Arial" w:cs="Arial" w:eastAsia="Arial" w:hAnsi="Arial"/>
          <w:sz w:val="22"/>
          <w:szCs w:val="22"/>
          <w:color w:val="383838"/>
        </w:rPr>
        <w:t xml:space="preserve"> </w:t>
      </w:r>
      <w:r>
        <w:rPr>
          <w:rFonts w:ascii="Arial" w:cs="Arial" w:eastAsia="Arial" w:hAnsi="Arial"/>
          <w:sz w:val="22"/>
          <w:szCs w:val="22"/>
          <w:color w:val="000000"/>
        </w:rPr>
        <w:t>exterior of the Building, on the roof or in adjacent</w:t>
      </w:r>
      <w:r>
        <w:rPr>
          <w:rFonts w:ascii="Arial" w:cs="Arial" w:eastAsia="Arial" w:hAnsi="Arial"/>
          <w:sz w:val="22"/>
          <w:szCs w:val="22"/>
          <w:color w:val="383838"/>
        </w:rPr>
        <w:t xml:space="preserve"> </w:t>
      </w:r>
      <w:r>
        <w:rPr>
          <w:rFonts w:ascii="Arial" w:cs="Arial" w:eastAsia="Arial" w:hAnsi="Arial"/>
          <w:sz w:val="22"/>
          <w:szCs w:val="22"/>
          <w:color w:val="000000"/>
        </w:rPr>
        <w:t xml:space="preserve">parking structures. </w:t>
      </w:r>
      <w:r>
        <w:rPr>
          <w:rFonts w:ascii="Arial" w:cs="Arial" w:eastAsia="Arial" w:hAnsi="Arial"/>
          <w:sz w:val="22"/>
          <w:szCs w:val="22"/>
          <w:color w:val="0F0F0F"/>
        </w:rPr>
        <w:t>Tenant</w:t>
      </w:r>
      <w:r>
        <w:rPr>
          <w:rFonts w:ascii="Arial" w:cs="Arial" w:eastAsia="Arial" w:hAnsi="Arial"/>
          <w:sz w:val="22"/>
          <w:szCs w:val="22"/>
          <w:color w:val="000000"/>
        </w:rPr>
        <w:t xml:space="preserve"> shall maintain, operate as currently operated and replace </w:t>
      </w:r>
      <w:r>
        <w:rPr>
          <w:rFonts w:ascii="Arial" w:cs="Arial" w:eastAsia="Arial" w:hAnsi="Arial"/>
          <w:sz w:val="22"/>
          <w:szCs w:val="22"/>
          <w:color w:val="0F0F0F"/>
        </w:rPr>
        <w:t>from</w:t>
      </w:r>
      <w:r>
        <w:rPr>
          <w:rFonts w:ascii="Arial" w:cs="Arial" w:eastAsia="Arial" w:hAnsi="Arial"/>
          <w:sz w:val="22"/>
          <w:szCs w:val="22"/>
          <w:color w:val="000000"/>
        </w:rPr>
        <w:t xml:space="preserve"> time to </w:t>
      </w:r>
      <w:r>
        <w:rPr>
          <w:rFonts w:ascii="Arial" w:cs="Arial" w:eastAsia="Arial" w:hAnsi="Arial"/>
          <w:sz w:val="22"/>
          <w:szCs w:val="22"/>
          <w:color w:val="0F0F0F"/>
        </w:rPr>
        <w:t>time</w:t>
      </w:r>
      <w:r>
        <w:rPr>
          <w:rFonts w:ascii="Arial" w:cs="Arial" w:eastAsia="Arial" w:hAnsi="Arial"/>
          <w:sz w:val="22"/>
          <w:szCs w:val="22"/>
          <w:color w:val="000000"/>
        </w:rPr>
        <w:t xml:space="preserve"> the two generators currently </w:t>
      </w:r>
      <w:r>
        <w:rPr>
          <w:rFonts w:ascii="Arial" w:cs="Arial" w:eastAsia="Arial" w:hAnsi="Arial"/>
          <w:sz w:val="22"/>
          <w:szCs w:val="22"/>
          <w:color w:val="0F0F0F"/>
        </w:rPr>
        <w:t>lo</w:t>
      </w:r>
      <w:r>
        <w:rPr>
          <w:rFonts w:ascii="Arial" w:cs="Arial" w:eastAsia="Arial" w:hAnsi="Arial"/>
          <w:sz w:val="22"/>
          <w:szCs w:val="22"/>
          <w:color w:val="383838"/>
        </w:rPr>
        <w:t>cated</w:t>
      </w:r>
      <w:r>
        <w:rPr>
          <w:rFonts w:ascii="Arial" w:cs="Arial" w:eastAsia="Arial" w:hAnsi="Arial"/>
          <w:sz w:val="22"/>
          <w:szCs w:val="22"/>
          <w:color w:val="000000"/>
        </w:rPr>
        <w:t xml:space="preserve"> on the Lower Campus. In addition, Tenant </w:t>
      </w:r>
      <w:r>
        <w:rPr>
          <w:rFonts w:ascii="Arial" w:cs="Arial" w:eastAsia="Arial" w:hAnsi="Arial"/>
          <w:sz w:val="22"/>
          <w:szCs w:val="22"/>
          <w:color w:val="383838"/>
        </w:rPr>
        <w:t>sh</w:t>
      </w:r>
      <w:r>
        <w:rPr>
          <w:rFonts w:ascii="Arial" w:cs="Arial" w:eastAsia="Arial" w:hAnsi="Arial"/>
          <w:sz w:val="22"/>
          <w:szCs w:val="22"/>
          <w:color w:val="0F0F0F"/>
        </w:rPr>
        <w:t>all</w:t>
      </w:r>
      <w:r>
        <w:rPr>
          <w:rFonts w:ascii="Arial" w:cs="Arial" w:eastAsia="Arial" w:hAnsi="Arial"/>
          <w:sz w:val="22"/>
          <w:szCs w:val="22"/>
          <w:color w:val="000000"/>
        </w:rPr>
        <w:t xml:space="preserve"> have the </w:t>
      </w:r>
      <w:r>
        <w:rPr>
          <w:rFonts w:ascii="Arial" w:cs="Arial" w:eastAsia="Arial" w:hAnsi="Arial"/>
          <w:sz w:val="22"/>
          <w:szCs w:val="22"/>
          <w:color w:val="0F0F0F"/>
        </w:rPr>
        <w:t>right</w:t>
      </w:r>
      <w:r>
        <w:rPr>
          <w:rFonts w:ascii="Arial" w:cs="Arial" w:eastAsia="Arial" w:hAnsi="Arial"/>
          <w:sz w:val="22"/>
          <w:szCs w:val="22"/>
          <w:color w:val="000000"/>
        </w:rPr>
        <w:t xml:space="preserve"> to move </w:t>
      </w:r>
      <w:r>
        <w:rPr>
          <w:rFonts w:ascii="Arial" w:cs="Arial" w:eastAsia="Arial" w:hAnsi="Arial"/>
          <w:sz w:val="22"/>
          <w:szCs w:val="22"/>
          <w:color w:val="383838"/>
        </w:rPr>
        <w:t>s</w:t>
      </w:r>
      <w:r>
        <w:rPr>
          <w:rFonts w:ascii="Arial" w:cs="Arial" w:eastAsia="Arial" w:hAnsi="Arial"/>
          <w:sz w:val="22"/>
          <w:szCs w:val="22"/>
          <w:color w:val="0F0F0F"/>
        </w:rPr>
        <w:t>uch</w:t>
      </w:r>
      <w:r>
        <w:rPr>
          <w:rFonts w:ascii="Arial" w:cs="Arial" w:eastAsia="Arial" w:hAnsi="Arial"/>
          <w:sz w:val="22"/>
          <w:szCs w:val="22"/>
          <w:color w:val="000000"/>
        </w:rPr>
        <w:t xml:space="preserve"> generators from the </w:t>
      </w:r>
      <w:r>
        <w:rPr>
          <w:rFonts w:ascii="Arial" w:cs="Arial" w:eastAsia="Arial" w:hAnsi="Arial"/>
          <w:sz w:val="22"/>
          <w:szCs w:val="22"/>
          <w:color w:val="0F0F0F"/>
        </w:rPr>
        <w:t>Lower</w:t>
      </w:r>
      <w:r>
        <w:rPr>
          <w:rFonts w:ascii="Arial" w:cs="Arial" w:eastAsia="Arial" w:hAnsi="Arial"/>
          <w:sz w:val="22"/>
          <w:szCs w:val="22"/>
          <w:color w:val="000000"/>
        </w:rPr>
        <w:t xml:space="preserve"> Campus </w:t>
      </w:r>
      <w:r>
        <w:rPr>
          <w:rFonts w:ascii="Arial" w:cs="Arial" w:eastAsia="Arial" w:hAnsi="Arial"/>
          <w:sz w:val="22"/>
          <w:szCs w:val="22"/>
          <w:color w:val="383838"/>
        </w:rPr>
        <w:t>to</w:t>
      </w:r>
      <w:r>
        <w:rPr>
          <w:rFonts w:ascii="Arial" w:cs="Arial" w:eastAsia="Arial" w:hAnsi="Arial"/>
          <w:sz w:val="22"/>
          <w:szCs w:val="22"/>
          <w:color w:val="000000"/>
        </w:rPr>
        <w:t xml:space="preserve"> the Land and Tenant </w:t>
      </w:r>
      <w:r>
        <w:rPr>
          <w:rFonts w:ascii="Arial" w:cs="Arial" w:eastAsia="Arial" w:hAnsi="Arial"/>
          <w:sz w:val="22"/>
          <w:szCs w:val="22"/>
          <w:color w:val="383838"/>
        </w:rPr>
        <w:t>s</w:t>
      </w:r>
      <w:r>
        <w:rPr>
          <w:rFonts w:ascii="Arial" w:cs="Arial" w:eastAsia="Arial" w:hAnsi="Arial"/>
          <w:sz w:val="22"/>
          <w:szCs w:val="22"/>
          <w:color w:val="0F0F0F"/>
        </w:rPr>
        <w:t>h</w:t>
      </w:r>
      <w:r>
        <w:rPr>
          <w:rFonts w:ascii="Arial" w:cs="Arial" w:eastAsia="Arial" w:hAnsi="Arial"/>
          <w:sz w:val="22"/>
          <w:szCs w:val="22"/>
          <w:color w:val="383838"/>
        </w:rPr>
        <w:t>a</w:t>
      </w:r>
      <w:r>
        <w:rPr>
          <w:rFonts w:ascii="Arial" w:cs="Arial" w:eastAsia="Arial" w:hAnsi="Arial"/>
          <w:sz w:val="22"/>
          <w:szCs w:val="22"/>
          <w:color w:val="0F0F0F"/>
        </w:rPr>
        <w:t>ll have th</w:t>
      </w:r>
      <w:r>
        <w:rPr>
          <w:rFonts w:ascii="Arial" w:cs="Arial" w:eastAsia="Arial" w:hAnsi="Arial"/>
          <w:sz w:val="22"/>
          <w:szCs w:val="22"/>
          <w:color w:val="383838"/>
        </w:rPr>
        <w:t>e r</w:t>
      </w:r>
      <w:r>
        <w:rPr>
          <w:rFonts w:ascii="Arial" w:cs="Arial" w:eastAsia="Arial" w:hAnsi="Arial"/>
          <w:sz w:val="22"/>
          <w:szCs w:val="22"/>
          <w:color w:val="0F0F0F"/>
        </w:rPr>
        <w:t>ight</w:t>
      </w:r>
      <w:r>
        <w:rPr>
          <w:rFonts w:ascii="Arial" w:cs="Arial" w:eastAsia="Arial" w:hAnsi="Arial"/>
          <w:sz w:val="22"/>
          <w:szCs w:val="22"/>
          <w:color w:val="000000"/>
        </w:rPr>
        <w:t xml:space="preserve"> to place </w:t>
      </w:r>
      <w:r>
        <w:rPr>
          <w:rFonts w:ascii="Arial" w:cs="Arial" w:eastAsia="Arial" w:hAnsi="Arial"/>
          <w:sz w:val="22"/>
          <w:szCs w:val="22"/>
          <w:color w:val="0F0F0F"/>
        </w:rPr>
        <w:t>new</w:t>
      </w:r>
      <w:r>
        <w:rPr>
          <w:rFonts w:ascii="Arial" w:cs="Arial" w:eastAsia="Arial" w:hAnsi="Arial"/>
          <w:sz w:val="22"/>
          <w:szCs w:val="22"/>
          <w:color w:val="000000"/>
        </w:rPr>
        <w:t xml:space="preserve"> generators on </w:t>
      </w:r>
      <w:r>
        <w:rPr>
          <w:rFonts w:ascii="Arial" w:cs="Arial" w:eastAsia="Arial" w:hAnsi="Arial"/>
          <w:sz w:val="22"/>
          <w:szCs w:val="22"/>
          <w:color w:val="0F0F0F"/>
        </w:rPr>
        <w:t>the</w:t>
      </w:r>
      <w:r>
        <w:rPr>
          <w:rFonts w:ascii="Arial" w:cs="Arial" w:eastAsia="Arial" w:hAnsi="Arial"/>
          <w:sz w:val="22"/>
          <w:szCs w:val="22"/>
          <w:color w:val="000000"/>
        </w:rPr>
        <w:t xml:space="preserve"> Land during the Term, subject </w:t>
      </w:r>
      <w:r>
        <w:rPr>
          <w:rFonts w:ascii="Arial" w:cs="Arial" w:eastAsia="Arial" w:hAnsi="Arial"/>
          <w:sz w:val="22"/>
          <w:szCs w:val="22"/>
          <w:color w:val="383838"/>
        </w:rPr>
        <w:t>to</w:t>
      </w:r>
      <w:r>
        <w:rPr>
          <w:rFonts w:ascii="Arial" w:cs="Arial" w:eastAsia="Arial" w:hAnsi="Arial"/>
          <w:sz w:val="22"/>
          <w:szCs w:val="22"/>
          <w:color w:val="000000"/>
        </w:rPr>
        <w:t xml:space="preserve"> Landlord’s </w:t>
      </w:r>
      <w:r>
        <w:rPr>
          <w:rFonts w:ascii="Arial" w:cs="Arial" w:eastAsia="Arial" w:hAnsi="Arial"/>
          <w:sz w:val="22"/>
          <w:szCs w:val="22"/>
          <w:color w:val="0F0F0F"/>
        </w:rPr>
        <w:t>prio</w:t>
      </w:r>
      <w:r>
        <w:rPr>
          <w:rFonts w:ascii="Arial" w:cs="Arial" w:eastAsia="Arial" w:hAnsi="Arial"/>
          <w:sz w:val="22"/>
          <w:szCs w:val="22"/>
          <w:color w:val="383838"/>
        </w:rPr>
        <w:t>r</w:t>
      </w:r>
      <w:r>
        <w:rPr>
          <w:rFonts w:ascii="Arial" w:cs="Arial" w:eastAsia="Arial" w:hAnsi="Arial"/>
          <w:sz w:val="22"/>
          <w:szCs w:val="22"/>
          <w:color w:val="000000"/>
        </w:rPr>
        <w:t xml:space="preserve"> written consent, which consent </w:t>
      </w:r>
      <w:r>
        <w:rPr>
          <w:rFonts w:ascii="Arial" w:cs="Arial" w:eastAsia="Arial" w:hAnsi="Arial"/>
          <w:sz w:val="22"/>
          <w:szCs w:val="22"/>
          <w:color w:val="383838"/>
        </w:rPr>
        <w:t>sha</w:t>
      </w:r>
      <w:r>
        <w:rPr>
          <w:rFonts w:ascii="Arial" w:cs="Arial" w:eastAsia="Arial" w:hAnsi="Arial"/>
          <w:sz w:val="22"/>
          <w:szCs w:val="22"/>
          <w:color w:val="0F0F0F"/>
        </w:rPr>
        <w:t>ll</w:t>
      </w:r>
      <w:r>
        <w:rPr>
          <w:rFonts w:ascii="Arial" w:cs="Arial" w:eastAsia="Arial" w:hAnsi="Arial"/>
          <w:sz w:val="22"/>
          <w:szCs w:val="22"/>
          <w:color w:val="000000"/>
        </w:rPr>
        <w:t xml:space="preserve"> not </w:t>
      </w:r>
      <w:r>
        <w:rPr>
          <w:rFonts w:ascii="Arial" w:cs="Arial" w:eastAsia="Arial" w:hAnsi="Arial"/>
          <w:sz w:val="22"/>
          <w:szCs w:val="22"/>
          <w:color w:val="0F0F0F"/>
        </w:rPr>
        <w:t>be</w:t>
      </w:r>
      <w:r>
        <w:rPr>
          <w:rFonts w:ascii="Arial" w:cs="Arial" w:eastAsia="Arial" w:hAnsi="Arial"/>
          <w:sz w:val="22"/>
          <w:szCs w:val="22"/>
          <w:color w:val="000000"/>
        </w:rPr>
        <w:t xml:space="preserve"> unreasonable withheld, conditioned or </w:t>
      </w:r>
      <w:r>
        <w:rPr>
          <w:rFonts w:ascii="Arial" w:cs="Arial" w:eastAsia="Arial" w:hAnsi="Arial"/>
          <w:sz w:val="22"/>
          <w:szCs w:val="22"/>
          <w:color w:val="0F0F0F"/>
        </w:rPr>
        <w:t>delay</w:t>
      </w:r>
      <w:r>
        <w:rPr>
          <w:rFonts w:ascii="Arial" w:cs="Arial" w:eastAsia="Arial" w:hAnsi="Arial"/>
          <w:sz w:val="22"/>
          <w:szCs w:val="22"/>
          <w:color w:val="383838"/>
        </w:rPr>
        <w:t>ed.</w:t>
      </w:r>
    </w:p>
    <w:p>
      <w:pPr>
        <w:spacing w:after="0" w:line="163" w:lineRule="exact"/>
        <w:rPr>
          <w:rFonts w:ascii="Arial" w:cs="Arial" w:eastAsia="Arial" w:hAnsi="Arial"/>
          <w:sz w:val="22"/>
          <w:szCs w:val="22"/>
          <w:color w:val="auto"/>
        </w:rPr>
      </w:pPr>
    </w:p>
    <w:p>
      <w:pPr>
        <w:jc w:val="right"/>
        <w:ind w:left="1300" w:hanging="648"/>
        <w:spacing w:after="0" w:line="242" w:lineRule="auto"/>
        <w:rPr>
          <w:rFonts w:ascii="Arial" w:cs="Arial" w:eastAsia="Arial" w:hAnsi="Arial"/>
          <w:sz w:val="22"/>
          <w:szCs w:val="22"/>
          <w:color w:val="auto"/>
        </w:rPr>
      </w:pPr>
      <w:r>
        <w:rPr>
          <w:rFonts w:ascii="Arial" w:cs="Arial" w:eastAsia="Arial" w:hAnsi="Arial"/>
          <w:sz w:val="19"/>
          <w:szCs w:val="19"/>
          <w:color w:val="auto"/>
        </w:rPr>
        <w:t xml:space="preserve">41.3   To induce </w:t>
      </w:r>
      <w:r>
        <w:rPr>
          <w:rFonts w:ascii="Arial" w:cs="Arial" w:eastAsia="Arial" w:hAnsi="Arial"/>
          <w:sz w:val="19"/>
          <w:szCs w:val="19"/>
          <w:color w:val="0F0F0F"/>
        </w:rPr>
        <w:t>Landlord</w:t>
      </w:r>
      <w:r>
        <w:rPr>
          <w:rFonts w:ascii="Arial" w:cs="Arial" w:eastAsia="Arial" w:hAnsi="Arial"/>
          <w:sz w:val="19"/>
          <w:szCs w:val="19"/>
          <w:color w:val="auto"/>
        </w:rPr>
        <w:t xml:space="preserve"> to enter into </w:t>
      </w:r>
      <w:r>
        <w:rPr>
          <w:rFonts w:ascii="Arial" w:cs="Arial" w:eastAsia="Arial" w:hAnsi="Arial"/>
          <w:sz w:val="19"/>
          <w:szCs w:val="19"/>
          <w:color w:val="0F0F0F"/>
        </w:rPr>
        <w:t>this</w:t>
      </w:r>
      <w:r>
        <w:rPr>
          <w:rFonts w:ascii="Arial" w:cs="Arial" w:eastAsia="Arial" w:hAnsi="Arial"/>
          <w:sz w:val="19"/>
          <w:szCs w:val="19"/>
          <w:color w:val="auto"/>
        </w:rPr>
        <w:t xml:space="preserve"> Lease, Tenant agrees that it shall </w:t>
      </w:r>
      <w:r>
        <w:rPr>
          <w:rFonts w:ascii="Arial" w:cs="Arial" w:eastAsia="Arial" w:hAnsi="Arial"/>
          <w:sz w:val="19"/>
          <w:szCs w:val="19"/>
          <w:color w:val="0F0F0F"/>
        </w:rPr>
        <w:t>promptly</w:t>
      </w:r>
      <w:r>
        <w:rPr>
          <w:rFonts w:ascii="Arial" w:cs="Arial" w:eastAsia="Arial" w:hAnsi="Arial"/>
          <w:sz w:val="19"/>
          <w:szCs w:val="19"/>
          <w:color w:val="auto"/>
        </w:rPr>
        <w:t xml:space="preserve"> </w:t>
      </w:r>
      <w:r>
        <w:rPr>
          <w:rFonts w:ascii="Arial" w:cs="Arial" w:eastAsia="Arial" w:hAnsi="Arial"/>
          <w:sz w:val="19"/>
          <w:szCs w:val="19"/>
          <w:color w:val="383838"/>
        </w:rPr>
        <w:t>fu</w:t>
      </w:r>
      <w:r>
        <w:rPr>
          <w:rFonts w:ascii="Arial" w:cs="Arial" w:eastAsia="Arial" w:hAnsi="Arial"/>
          <w:sz w:val="19"/>
          <w:szCs w:val="19"/>
          <w:color w:val="0F0F0F"/>
        </w:rPr>
        <w:t>rni</w:t>
      </w:r>
      <w:r>
        <w:rPr>
          <w:rFonts w:ascii="Arial" w:cs="Arial" w:eastAsia="Arial" w:hAnsi="Arial"/>
          <w:sz w:val="19"/>
          <w:szCs w:val="19"/>
          <w:color w:val="383838"/>
        </w:rPr>
        <w:t>s</w:t>
      </w:r>
      <w:r>
        <w:rPr>
          <w:rFonts w:ascii="Arial" w:cs="Arial" w:eastAsia="Arial" w:hAnsi="Arial"/>
          <w:sz w:val="19"/>
          <w:szCs w:val="19"/>
          <w:color w:val="0F0F0F"/>
        </w:rPr>
        <w:t>h to</w:t>
      </w:r>
      <w:r>
        <w:rPr>
          <w:rFonts w:ascii="Arial" w:cs="Arial" w:eastAsia="Arial" w:hAnsi="Arial"/>
          <w:sz w:val="19"/>
          <w:szCs w:val="19"/>
          <w:color w:val="auto"/>
        </w:rPr>
        <w:t xml:space="preserve"> Landlord, </w:t>
      </w:r>
      <w:r>
        <w:rPr>
          <w:rFonts w:ascii="Arial" w:cs="Arial" w:eastAsia="Arial" w:hAnsi="Arial"/>
          <w:sz w:val="19"/>
          <w:szCs w:val="19"/>
          <w:color w:val="0F0F0F"/>
        </w:rPr>
        <w:t>from</w:t>
      </w:r>
      <w:r>
        <w:rPr>
          <w:rFonts w:ascii="Arial" w:cs="Arial" w:eastAsia="Arial" w:hAnsi="Arial"/>
          <w:sz w:val="19"/>
          <w:szCs w:val="19"/>
          <w:color w:val="auto"/>
        </w:rPr>
        <w:t xml:space="preserve"> </w:t>
      </w:r>
      <w:r>
        <w:rPr>
          <w:rFonts w:ascii="Arial" w:cs="Arial" w:eastAsia="Arial" w:hAnsi="Arial"/>
          <w:sz w:val="19"/>
          <w:szCs w:val="19"/>
          <w:color w:val="383838"/>
        </w:rPr>
        <w:t>t</w:t>
      </w:r>
      <w:r>
        <w:rPr>
          <w:rFonts w:ascii="Arial" w:cs="Arial" w:eastAsia="Arial" w:hAnsi="Arial"/>
          <w:sz w:val="19"/>
          <w:szCs w:val="19"/>
          <w:color w:val="0F0F0F"/>
        </w:rPr>
        <w:t>ime</w:t>
      </w:r>
      <w:r>
        <w:rPr>
          <w:rFonts w:ascii="Arial" w:cs="Arial" w:eastAsia="Arial" w:hAnsi="Arial"/>
          <w:sz w:val="19"/>
          <w:szCs w:val="19"/>
          <w:color w:val="auto"/>
        </w:rPr>
        <w:t xml:space="preserve"> to </w:t>
      </w:r>
      <w:r>
        <w:rPr>
          <w:rFonts w:ascii="Arial" w:cs="Arial" w:eastAsia="Arial" w:hAnsi="Arial"/>
          <w:sz w:val="19"/>
          <w:szCs w:val="19"/>
          <w:color w:val="0F0F0F"/>
        </w:rPr>
        <w:t>t</w:t>
      </w:r>
      <w:r>
        <w:rPr>
          <w:rFonts w:ascii="Arial" w:cs="Arial" w:eastAsia="Arial" w:hAnsi="Arial"/>
          <w:sz w:val="19"/>
          <w:szCs w:val="19"/>
          <w:color w:val="383838"/>
        </w:rPr>
        <w:t>ime,</w:t>
      </w:r>
      <w:r>
        <w:rPr>
          <w:rFonts w:ascii="Arial" w:cs="Arial" w:eastAsia="Arial" w:hAnsi="Arial"/>
          <w:sz w:val="19"/>
          <w:szCs w:val="19"/>
          <w:color w:val="0F0F0F"/>
        </w:rPr>
        <w:t xml:space="preserve"> </w:t>
      </w:r>
      <w:r>
        <w:rPr>
          <w:rFonts w:ascii="Arial" w:cs="Arial" w:eastAsia="Arial" w:hAnsi="Arial"/>
          <w:sz w:val="19"/>
          <w:szCs w:val="19"/>
          <w:color w:val="000000"/>
        </w:rPr>
        <w:t>upon Landlord’s written</w:t>
      </w:r>
      <w:r>
        <w:rPr>
          <w:rFonts w:ascii="Arial" w:cs="Arial" w:eastAsia="Arial" w:hAnsi="Arial"/>
          <w:sz w:val="19"/>
          <w:szCs w:val="19"/>
          <w:color w:val="0F0F0F"/>
        </w:rPr>
        <w:t xml:space="preserve"> </w:t>
      </w:r>
      <w:r>
        <w:rPr>
          <w:rFonts w:ascii="Arial" w:cs="Arial" w:eastAsia="Arial" w:hAnsi="Arial"/>
          <w:sz w:val="19"/>
          <w:szCs w:val="19"/>
          <w:color w:val="383838"/>
        </w:rPr>
        <w:t>re</w:t>
      </w:r>
      <w:r>
        <w:rPr>
          <w:rFonts w:ascii="Arial" w:cs="Arial" w:eastAsia="Arial" w:hAnsi="Arial"/>
          <w:sz w:val="19"/>
          <w:szCs w:val="19"/>
          <w:color w:val="0F0F0F"/>
        </w:rPr>
        <w:t xml:space="preserve">quest, </w:t>
      </w:r>
      <w:r>
        <w:rPr>
          <w:rFonts w:ascii="Arial" w:cs="Arial" w:eastAsia="Arial" w:hAnsi="Arial"/>
          <w:sz w:val="19"/>
          <w:szCs w:val="19"/>
          <w:color w:val="000000"/>
        </w:rPr>
        <w:t>the most</w:t>
      </w:r>
      <w:r>
        <w:rPr>
          <w:rFonts w:ascii="Arial" w:cs="Arial" w:eastAsia="Arial" w:hAnsi="Arial"/>
          <w:sz w:val="19"/>
          <w:szCs w:val="19"/>
          <w:color w:val="0F0F0F"/>
        </w:rPr>
        <w:t xml:space="preserve"> recent </w:t>
      </w:r>
      <w:r>
        <w:rPr>
          <w:rFonts w:ascii="Arial" w:cs="Arial" w:eastAsia="Arial" w:hAnsi="Arial"/>
          <w:sz w:val="19"/>
          <w:szCs w:val="19"/>
          <w:color w:val="000000"/>
        </w:rPr>
        <w:t>audited</w:t>
      </w:r>
      <w:r>
        <w:rPr>
          <w:rFonts w:ascii="Arial" w:cs="Arial" w:eastAsia="Arial" w:hAnsi="Arial"/>
          <w:sz w:val="19"/>
          <w:szCs w:val="19"/>
          <w:color w:val="0F0F0F"/>
        </w:rPr>
        <w:t xml:space="preserve"> </w:t>
      </w:r>
      <w:r>
        <w:rPr>
          <w:rFonts w:ascii="Arial" w:cs="Arial" w:eastAsia="Arial" w:hAnsi="Arial"/>
          <w:sz w:val="19"/>
          <w:szCs w:val="19"/>
          <w:color w:val="383838"/>
        </w:rPr>
        <w:t>yea</w:t>
      </w:r>
      <w:r>
        <w:rPr>
          <w:rFonts w:ascii="Arial" w:cs="Arial" w:eastAsia="Arial" w:hAnsi="Arial"/>
          <w:sz w:val="19"/>
          <w:szCs w:val="19"/>
          <w:color w:val="0F0F0F"/>
        </w:rPr>
        <w:t>r</w:t>
      </w:r>
      <w:r>
        <w:rPr>
          <w:rFonts w:ascii="Arial" w:cs="Arial" w:eastAsia="Arial" w:hAnsi="Arial"/>
          <w:sz w:val="19"/>
          <w:szCs w:val="19"/>
          <w:color w:val="383838"/>
        </w:rPr>
        <w:t>-e</w:t>
      </w:r>
      <w:r>
        <w:rPr>
          <w:rFonts w:ascii="Arial" w:cs="Arial" w:eastAsia="Arial" w:hAnsi="Arial"/>
          <w:sz w:val="19"/>
          <w:szCs w:val="19"/>
          <w:color w:val="0F0F0F"/>
        </w:rPr>
        <w:t xml:space="preserve">nd financial </w:t>
      </w:r>
      <w:r>
        <w:rPr>
          <w:rFonts w:ascii="Arial" w:cs="Arial" w:eastAsia="Arial" w:hAnsi="Arial"/>
          <w:sz w:val="19"/>
          <w:szCs w:val="19"/>
          <w:color w:val="383838"/>
        </w:rPr>
        <w:t>state</w:t>
      </w:r>
      <w:r>
        <w:rPr>
          <w:rFonts w:ascii="Arial" w:cs="Arial" w:eastAsia="Arial" w:hAnsi="Arial"/>
          <w:sz w:val="19"/>
          <w:szCs w:val="19"/>
          <w:color w:val="0F0F0F"/>
        </w:rPr>
        <w:t xml:space="preserve">ments </w:t>
      </w:r>
      <w:r>
        <w:rPr>
          <w:rFonts w:ascii="Arial" w:cs="Arial" w:eastAsia="Arial" w:hAnsi="Arial"/>
          <w:sz w:val="19"/>
          <w:szCs w:val="19"/>
          <w:color w:val="383838"/>
        </w:rPr>
        <w:t>re</w:t>
      </w:r>
      <w:r>
        <w:rPr>
          <w:rFonts w:ascii="Arial" w:cs="Arial" w:eastAsia="Arial" w:hAnsi="Arial"/>
          <w:sz w:val="19"/>
          <w:szCs w:val="19"/>
          <w:color w:val="0F0F0F"/>
        </w:rPr>
        <w:t>flect</w:t>
      </w:r>
      <w:r>
        <w:rPr>
          <w:rFonts w:ascii="Arial" w:cs="Arial" w:eastAsia="Arial" w:hAnsi="Arial"/>
          <w:sz w:val="19"/>
          <w:szCs w:val="19"/>
          <w:color w:val="383838"/>
        </w:rPr>
        <w:t>ing</w:t>
      </w:r>
      <w:r>
        <w:rPr>
          <w:rFonts w:ascii="Arial" w:cs="Arial" w:eastAsia="Arial" w:hAnsi="Arial"/>
          <w:sz w:val="19"/>
          <w:szCs w:val="19"/>
          <w:color w:val="0F0F0F"/>
        </w:rPr>
        <w:t xml:space="preserve"> Ten</w:t>
      </w:r>
      <w:r>
        <w:rPr>
          <w:rFonts w:ascii="Arial" w:cs="Arial" w:eastAsia="Arial" w:hAnsi="Arial"/>
          <w:sz w:val="19"/>
          <w:szCs w:val="19"/>
          <w:color w:val="383838"/>
        </w:rPr>
        <w:t>ant’s</w:t>
      </w:r>
      <w:r>
        <w:rPr>
          <w:rFonts w:ascii="Arial" w:cs="Arial" w:eastAsia="Arial" w:hAnsi="Arial"/>
          <w:sz w:val="19"/>
          <w:szCs w:val="19"/>
          <w:color w:val="0F0F0F"/>
        </w:rPr>
        <w:t xml:space="preserve"> </w:t>
      </w:r>
      <w:r>
        <w:rPr>
          <w:rFonts w:ascii="Arial" w:cs="Arial" w:eastAsia="Arial" w:hAnsi="Arial"/>
          <w:sz w:val="19"/>
          <w:szCs w:val="19"/>
          <w:color w:val="000000"/>
        </w:rPr>
        <w:t xml:space="preserve">current financial condition. Tenant </w:t>
      </w:r>
      <w:r>
        <w:rPr>
          <w:rFonts w:ascii="Arial" w:cs="Arial" w:eastAsia="Arial" w:hAnsi="Arial"/>
          <w:sz w:val="19"/>
          <w:szCs w:val="19"/>
          <w:color w:val="383838"/>
        </w:rPr>
        <w:t>sha</w:t>
      </w:r>
      <w:r>
        <w:rPr>
          <w:rFonts w:ascii="Arial" w:cs="Arial" w:eastAsia="Arial" w:hAnsi="Arial"/>
          <w:sz w:val="19"/>
          <w:szCs w:val="19"/>
          <w:color w:val="0F0F0F"/>
        </w:rPr>
        <w:t>ll</w:t>
      </w:r>
      <w:r>
        <w:rPr>
          <w:rFonts w:ascii="Arial" w:cs="Arial" w:eastAsia="Arial" w:hAnsi="Arial"/>
          <w:sz w:val="19"/>
          <w:szCs w:val="19"/>
          <w:color w:val="383838"/>
        </w:rPr>
        <w:t>,</w:t>
      </w:r>
      <w:r>
        <w:rPr>
          <w:rFonts w:ascii="Arial" w:cs="Arial" w:eastAsia="Arial" w:hAnsi="Arial"/>
          <w:sz w:val="19"/>
          <w:szCs w:val="19"/>
          <w:color w:val="000000"/>
        </w:rPr>
        <w:t xml:space="preserve"> 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after the </w:t>
      </w:r>
      <w:r>
        <w:rPr>
          <w:rFonts w:ascii="Arial" w:cs="Arial" w:eastAsia="Arial" w:hAnsi="Arial"/>
          <w:sz w:val="19"/>
          <w:szCs w:val="19"/>
          <w:color w:val="383838"/>
        </w:rPr>
        <w:t>en</w:t>
      </w:r>
      <w:r>
        <w:rPr>
          <w:rFonts w:ascii="Arial" w:cs="Arial" w:eastAsia="Arial" w:hAnsi="Arial"/>
          <w:sz w:val="19"/>
          <w:szCs w:val="19"/>
          <w:color w:val="0F0F0F"/>
        </w:rPr>
        <w:t>d of</w:t>
      </w:r>
      <w:r>
        <w:rPr>
          <w:rFonts w:ascii="Arial" w:cs="Arial" w:eastAsia="Arial" w:hAnsi="Arial"/>
          <w:sz w:val="19"/>
          <w:szCs w:val="19"/>
          <w:color w:val="000000"/>
        </w:rPr>
        <w:t xml:space="preserve"> Tenant’s </w:t>
      </w:r>
      <w:r>
        <w:rPr>
          <w:rFonts w:ascii="Arial" w:cs="Arial" w:eastAsia="Arial" w:hAnsi="Arial"/>
          <w:sz w:val="19"/>
          <w:szCs w:val="19"/>
          <w:color w:val="0F0F0F"/>
        </w:rPr>
        <w:t>financial</w:t>
      </w:r>
      <w:r>
        <w:rPr>
          <w:rFonts w:ascii="Arial" w:cs="Arial" w:eastAsia="Arial" w:hAnsi="Arial"/>
          <w:sz w:val="19"/>
          <w:szCs w:val="19"/>
          <w:color w:val="000000"/>
        </w:rPr>
        <w:t xml:space="preserve"> year, </w:t>
      </w:r>
      <w:r>
        <w:rPr>
          <w:rFonts w:ascii="Arial" w:cs="Arial" w:eastAsia="Arial" w:hAnsi="Arial"/>
          <w:sz w:val="19"/>
          <w:szCs w:val="19"/>
          <w:color w:val="0F0F0F"/>
        </w:rPr>
        <w:t>furnish</w:t>
      </w:r>
      <w:r>
        <w:rPr>
          <w:rFonts w:ascii="Arial" w:cs="Arial" w:eastAsia="Arial" w:hAnsi="Arial"/>
          <w:sz w:val="19"/>
          <w:szCs w:val="19"/>
          <w:color w:val="000000"/>
        </w:rPr>
        <w:t xml:space="preserve"> Landlord with a draft of Tenant’s audited year-end financial statements </w:t>
      </w:r>
      <w:r>
        <w:rPr>
          <w:rFonts w:ascii="Arial" w:cs="Arial" w:eastAsia="Arial" w:hAnsi="Arial"/>
          <w:sz w:val="19"/>
          <w:szCs w:val="19"/>
          <w:color w:val="0F0F0F"/>
        </w:rPr>
        <w:t>for</w:t>
      </w:r>
      <w:r>
        <w:rPr>
          <w:rFonts w:ascii="Arial" w:cs="Arial" w:eastAsia="Arial" w:hAnsi="Arial"/>
          <w:sz w:val="19"/>
          <w:szCs w:val="19"/>
          <w:color w:val="000000"/>
        </w:rPr>
        <w:t xml:space="preserve"> the </w:t>
      </w:r>
      <w:r>
        <w:rPr>
          <w:rFonts w:ascii="Arial" w:cs="Arial" w:eastAsia="Arial" w:hAnsi="Arial"/>
          <w:sz w:val="19"/>
          <w:szCs w:val="19"/>
          <w:color w:val="0F0F0F"/>
        </w:rPr>
        <w:t>previous</w:t>
      </w:r>
      <w:r>
        <w:rPr>
          <w:rFonts w:ascii="Arial" w:cs="Arial" w:eastAsia="Arial" w:hAnsi="Arial"/>
          <w:sz w:val="19"/>
          <w:szCs w:val="19"/>
          <w:color w:val="000000"/>
        </w:rPr>
        <w:t xml:space="preserve"> year and </w:t>
      </w:r>
      <w:r>
        <w:rPr>
          <w:rFonts w:ascii="Arial" w:cs="Arial" w:eastAsia="Arial" w:hAnsi="Arial"/>
          <w:sz w:val="19"/>
          <w:szCs w:val="19"/>
          <w:color w:val="383838"/>
        </w:rPr>
        <w:t>s</w:t>
      </w:r>
      <w:r>
        <w:rPr>
          <w:rFonts w:ascii="Arial" w:cs="Arial" w:eastAsia="Arial" w:hAnsi="Arial"/>
          <w:sz w:val="19"/>
          <w:szCs w:val="19"/>
          <w:color w:val="0F0F0F"/>
        </w:rPr>
        <w:t>hall,</w:t>
      </w:r>
      <w:r>
        <w:rPr>
          <w:rFonts w:ascii="Arial" w:cs="Arial" w:eastAsia="Arial" w:hAnsi="Arial"/>
          <w:sz w:val="19"/>
          <w:szCs w:val="19"/>
          <w:color w:val="000000"/>
        </w:rPr>
        <w:t xml:space="preserve"> within</w:t>
      </w:r>
    </w:p>
    <w:p>
      <w:pPr>
        <w:jc w:val="both"/>
        <w:ind w:left="1300" w:firstLine="4"/>
        <w:spacing w:after="0" w:line="211" w:lineRule="auto"/>
        <w:tabs>
          <w:tab w:leader="none" w:pos="1822" w:val="left"/>
        </w:tabs>
        <w:numPr>
          <w:ilvl w:val="1"/>
          <w:numId w:val="308"/>
        </w:numPr>
        <w:rPr>
          <w:rFonts w:ascii="Arial" w:cs="Arial" w:eastAsia="Arial" w:hAnsi="Arial"/>
          <w:sz w:val="22"/>
          <w:szCs w:val="22"/>
          <w:u w:val="single" w:color="auto"/>
          <w:color w:val="auto"/>
        </w:rPr>
      </w:pPr>
      <w:r>
        <w:rPr>
          <w:rFonts w:ascii="Arial" w:cs="Arial" w:eastAsia="Arial" w:hAnsi="Arial"/>
          <w:sz w:val="22"/>
          <w:szCs w:val="22"/>
          <w:color w:val="0F0F0F"/>
        </w:rPr>
        <w:t xml:space="preserve">days </w:t>
      </w:r>
      <w:r>
        <w:rPr>
          <w:rFonts w:ascii="Arial" w:cs="Arial" w:eastAsia="Arial" w:hAnsi="Arial"/>
          <w:sz w:val="22"/>
          <w:szCs w:val="22"/>
          <w:color w:val="000000"/>
        </w:rPr>
        <w:t>after</w:t>
      </w:r>
      <w:r>
        <w:rPr>
          <w:rFonts w:ascii="Arial" w:cs="Arial" w:eastAsia="Arial" w:hAnsi="Arial"/>
          <w:sz w:val="22"/>
          <w:szCs w:val="22"/>
          <w:color w:val="0F0F0F"/>
        </w:rPr>
        <w:t xml:space="preserve"> </w:t>
      </w:r>
      <w:r>
        <w:rPr>
          <w:rFonts w:ascii="Arial" w:cs="Arial" w:eastAsia="Arial" w:hAnsi="Arial"/>
          <w:sz w:val="22"/>
          <w:szCs w:val="22"/>
          <w:color w:val="383838"/>
        </w:rPr>
        <w:t>the</w:t>
      </w:r>
      <w:r>
        <w:rPr>
          <w:rFonts w:ascii="Arial" w:cs="Arial" w:eastAsia="Arial" w:hAnsi="Arial"/>
          <w:sz w:val="22"/>
          <w:szCs w:val="22"/>
          <w:color w:val="0F0F0F"/>
        </w:rPr>
        <w:t xml:space="preserve"> </w:t>
      </w:r>
      <w:r>
        <w:rPr>
          <w:rFonts w:ascii="Arial" w:cs="Arial" w:eastAsia="Arial" w:hAnsi="Arial"/>
          <w:sz w:val="22"/>
          <w:szCs w:val="22"/>
          <w:color w:val="000000"/>
        </w:rPr>
        <w:t>end of</w:t>
      </w:r>
      <w:r>
        <w:rPr>
          <w:rFonts w:ascii="Arial" w:cs="Arial" w:eastAsia="Arial" w:hAnsi="Arial"/>
          <w:sz w:val="22"/>
          <w:szCs w:val="22"/>
          <w:color w:val="0F0F0F"/>
        </w:rPr>
        <w:t xml:space="preserve"> Tenant</w:t>
      </w:r>
      <w:r>
        <w:rPr>
          <w:rFonts w:ascii="Arial" w:cs="Arial" w:eastAsia="Arial" w:hAnsi="Arial"/>
          <w:sz w:val="22"/>
          <w:szCs w:val="22"/>
          <w:color w:val="383838"/>
        </w:rPr>
        <w:t>’s</w:t>
      </w:r>
      <w:r>
        <w:rPr>
          <w:rFonts w:ascii="Arial" w:cs="Arial" w:eastAsia="Arial" w:hAnsi="Arial"/>
          <w:sz w:val="22"/>
          <w:szCs w:val="22"/>
          <w:color w:val="0F0F0F"/>
        </w:rPr>
        <w:t xml:space="preserve"> financial </w:t>
      </w:r>
      <w:r>
        <w:rPr>
          <w:rFonts w:ascii="Arial" w:cs="Arial" w:eastAsia="Arial" w:hAnsi="Arial"/>
          <w:sz w:val="22"/>
          <w:szCs w:val="22"/>
          <w:color w:val="000000"/>
        </w:rPr>
        <w:t>year, furnish Landlord with a</w:t>
      </w:r>
      <w:r>
        <w:rPr>
          <w:rFonts w:ascii="Arial" w:cs="Arial" w:eastAsia="Arial" w:hAnsi="Arial"/>
          <w:sz w:val="22"/>
          <w:szCs w:val="22"/>
          <w:color w:val="0F0F0F"/>
        </w:rPr>
        <w:t xml:space="preserve"> certified </w:t>
      </w:r>
      <w:r>
        <w:rPr>
          <w:rFonts w:ascii="Arial" w:cs="Arial" w:eastAsia="Arial" w:hAnsi="Arial"/>
          <w:sz w:val="22"/>
          <w:szCs w:val="22"/>
          <w:color w:val="000000"/>
        </w:rPr>
        <w:t>copy of</w:t>
      </w:r>
      <w:r>
        <w:rPr>
          <w:rFonts w:ascii="Arial" w:cs="Arial" w:eastAsia="Arial" w:hAnsi="Arial"/>
          <w:sz w:val="22"/>
          <w:szCs w:val="22"/>
          <w:color w:val="0F0F0F"/>
        </w:rPr>
        <w:t xml:space="preserve"> Tenant’</w:t>
      </w:r>
      <w:r>
        <w:rPr>
          <w:rFonts w:ascii="Arial" w:cs="Arial" w:eastAsia="Arial" w:hAnsi="Arial"/>
          <w:sz w:val="22"/>
          <w:szCs w:val="22"/>
          <w:color w:val="383838"/>
        </w:rPr>
        <w:t>s</w:t>
      </w:r>
      <w:r>
        <w:rPr>
          <w:rFonts w:ascii="Arial" w:cs="Arial" w:eastAsia="Arial" w:hAnsi="Arial"/>
          <w:sz w:val="22"/>
          <w:szCs w:val="22"/>
          <w:color w:val="0F0F0F"/>
        </w:rPr>
        <w:t xml:space="preserve"> </w:t>
      </w:r>
      <w:r>
        <w:rPr>
          <w:rFonts w:ascii="Arial" w:cs="Arial" w:eastAsia="Arial" w:hAnsi="Arial"/>
          <w:sz w:val="22"/>
          <w:szCs w:val="22"/>
          <w:color w:val="000000"/>
        </w:rPr>
        <w:t xml:space="preserve">audited year-end financial statements for </w:t>
      </w:r>
      <w:r>
        <w:rPr>
          <w:rFonts w:ascii="Arial" w:cs="Arial" w:eastAsia="Arial" w:hAnsi="Arial"/>
          <w:sz w:val="22"/>
          <w:szCs w:val="22"/>
          <w:color w:val="0F0F0F"/>
        </w:rPr>
        <w:t>the</w:t>
      </w:r>
      <w:r>
        <w:rPr>
          <w:rFonts w:ascii="Arial" w:cs="Arial" w:eastAsia="Arial" w:hAnsi="Arial"/>
          <w:sz w:val="22"/>
          <w:szCs w:val="22"/>
          <w:color w:val="000000"/>
        </w:rPr>
        <w:t xml:space="preserve"> previous year. Tenant </w:t>
      </w:r>
      <w:r>
        <w:rPr>
          <w:rFonts w:ascii="Arial" w:cs="Arial" w:eastAsia="Arial" w:hAnsi="Arial"/>
          <w:sz w:val="22"/>
          <w:szCs w:val="22"/>
          <w:color w:val="0F0F0F"/>
        </w:rPr>
        <w:t>represent</w:t>
      </w:r>
      <w:r>
        <w:rPr>
          <w:rFonts w:ascii="Arial" w:cs="Arial" w:eastAsia="Arial" w:hAnsi="Arial"/>
          <w:sz w:val="22"/>
          <w:szCs w:val="22"/>
          <w:color w:val="383838"/>
        </w:rPr>
        <w:t>s</w:t>
      </w:r>
      <w:r>
        <w:rPr>
          <w:rFonts w:ascii="Arial" w:cs="Arial" w:eastAsia="Arial" w:hAnsi="Arial"/>
          <w:sz w:val="22"/>
          <w:szCs w:val="22"/>
          <w:color w:val="000000"/>
        </w:rPr>
        <w:t xml:space="preserve"> and warrants that all financial statements, records </w:t>
      </w:r>
      <w:r>
        <w:rPr>
          <w:rFonts w:ascii="Arial" w:cs="Arial" w:eastAsia="Arial" w:hAnsi="Arial"/>
          <w:sz w:val="22"/>
          <w:szCs w:val="22"/>
          <w:color w:val="0F0F0F"/>
        </w:rPr>
        <w:t xml:space="preserve">and information </w:t>
      </w:r>
      <w:r>
        <w:rPr>
          <w:rFonts w:ascii="Arial" w:cs="Arial" w:eastAsia="Arial" w:hAnsi="Arial"/>
          <w:sz w:val="22"/>
          <w:szCs w:val="22"/>
          <w:color w:val="000000"/>
        </w:rPr>
        <w:t>furnished by Tenant to Landlord in connection with</w:t>
      </w:r>
      <w:r>
        <w:rPr>
          <w:rFonts w:ascii="Arial" w:cs="Arial" w:eastAsia="Arial" w:hAnsi="Arial"/>
          <w:sz w:val="22"/>
          <w:szCs w:val="22"/>
          <w:color w:val="0F0F0F"/>
        </w:rPr>
        <w:t xml:space="preserve"> </w:t>
      </w:r>
      <w:r>
        <w:rPr>
          <w:rFonts w:ascii="Arial" w:cs="Arial" w:eastAsia="Arial" w:hAnsi="Arial"/>
          <w:sz w:val="22"/>
          <w:szCs w:val="22"/>
          <w:color w:val="383838"/>
        </w:rPr>
        <w:t>this</w:t>
      </w:r>
      <w:r>
        <w:rPr>
          <w:rFonts w:ascii="Arial" w:cs="Arial" w:eastAsia="Arial" w:hAnsi="Arial"/>
          <w:sz w:val="22"/>
          <w:szCs w:val="22"/>
          <w:color w:val="0F0F0F"/>
        </w:rPr>
        <w:t xml:space="preserve"> Le</w:t>
      </w:r>
      <w:r>
        <w:rPr>
          <w:rFonts w:ascii="Arial" w:cs="Arial" w:eastAsia="Arial" w:hAnsi="Arial"/>
          <w:sz w:val="22"/>
          <w:szCs w:val="22"/>
          <w:color w:val="383838"/>
        </w:rPr>
        <w:t>ase are</w:t>
      </w:r>
      <w:r>
        <w:rPr>
          <w:rFonts w:ascii="Arial" w:cs="Arial" w:eastAsia="Arial" w:hAnsi="Arial"/>
          <w:sz w:val="22"/>
          <w:szCs w:val="22"/>
          <w:color w:val="0F0F0F"/>
        </w:rPr>
        <w:t xml:space="preserve"> tru</w:t>
      </w:r>
      <w:r>
        <w:rPr>
          <w:rFonts w:ascii="Arial" w:cs="Arial" w:eastAsia="Arial" w:hAnsi="Arial"/>
          <w:sz w:val="22"/>
          <w:szCs w:val="22"/>
          <w:color w:val="383838"/>
        </w:rPr>
        <w:t>e,</w:t>
      </w:r>
      <w:r>
        <w:rPr>
          <w:rFonts w:ascii="Arial" w:cs="Arial" w:eastAsia="Arial" w:hAnsi="Arial"/>
          <w:sz w:val="22"/>
          <w:szCs w:val="22"/>
          <w:color w:val="0F0F0F"/>
        </w:rPr>
        <w:t xml:space="preserve"> </w:t>
      </w:r>
      <w:r>
        <w:rPr>
          <w:rFonts w:ascii="Arial" w:cs="Arial" w:eastAsia="Arial" w:hAnsi="Arial"/>
          <w:sz w:val="22"/>
          <w:szCs w:val="22"/>
          <w:color w:val="000000"/>
        </w:rPr>
        <w:t>correct and</w:t>
      </w:r>
      <w:r>
        <w:rPr>
          <w:rFonts w:ascii="Arial" w:cs="Arial" w:eastAsia="Arial" w:hAnsi="Arial"/>
          <w:sz w:val="22"/>
          <w:szCs w:val="22"/>
          <w:color w:val="0F0F0F"/>
        </w:rPr>
        <w:t xml:space="preserve"> </w:t>
      </w:r>
      <w:r>
        <w:rPr>
          <w:rFonts w:ascii="Arial" w:cs="Arial" w:eastAsia="Arial" w:hAnsi="Arial"/>
          <w:sz w:val="22"/>
          <w:szCs w:val="22"/>
          <w:color w:val="383838"/>
        </w:rPr>
        <w:t>comp</w:t>
      </w:r>
      <w:r>
        <w:rPr>
          <w:rFonts w:ascii="Arial" w:cs="Arial" w:eastAsia="Arial" w:hAnsi="Arial"/>
          <w:sz w:val="22"/>
          <w:szCs w:val="22"/>
          <w:color w:val="0F0F0F"/>
        </w:rPr>
        <w:t>lete in all mat</w:t>
      </w:r>
      <w:r>
        <w:rPr>
          <w:rFonts w:ascii="Arial" w:cs="Arial" w:eastAsia="Arial" w:hAnsi="Arial"/>
          <w:sz w:val="22"/>
          <w:szCs w:val="22"/>
          <w:color w:val="383838"/>
        </w:rPr>
        <w:t>eria</w:t>
      </w:r>
      <w:r>
        <w:rPr>
          <w:rFonts w:ascii="Arial" w:cs="Arial" w:eastAsia="Arial" w:hAnsi="Arial"/>
          <w:sz w:val="22"/>
          <w:szCs w:val="22"/>
          <w:color w:val="0F0F0F"/>
        </w:rPr>
        <w:t xml:space="preserve">l </w:t>
      </w:r>
      <w:r>
        <w:rPr>
          <w:rFonts w:ascii="Arial" w:cs="Arial" w:eastAsia="Arial" w:hAnsi="Arial"/>
          <w:sz w:val="22"/>
          <w:szCs w:val="22"/>
          <w:color w:val="000000"/>
        </w:rPr>
        <w:t>respects. If audited financials are not otherwise prepared, unaudited financials certified</w:t>
      </w:r>
      <w:r>
        <w:rPr>
          <w:rFonts w:ascii="Arial" w:cs="Arial" w:eastAsia="Arial" w:hAnsi="Arial"/>
          <w:sz w:val="22"/>
          <w:szCs w:val="22"/>
          <w:color w:val="0F0F0F"/>
        </w:rPr>
        <w:t xml:space="preserve"> by the </w:t>
      </w:r>
      <w:r>
        <w:rPr>
          <w:rFonts w:ascii="Arial" w:cs="Arial" w:eastAsia="Arial" w:hAnsi="Arial"/>
          <w:sz w:val="22"/>
          <w:szCs w:val="22"/>
          <w:color w:val="000000"/>
        </w:rPr>
        <w:t>chief</w:t>
      </w:r>
      <w:r>
        <w:rPr>
          <w:rFonts w:ascii="Arial" w:cs="Arial" w:eastAsia="Arial" w:hAnsi="Arial"/>
          <w:sz w:val="22"/>
          <w:szCs w:val="22"/>
          <w:color w:val="0F0F0F"/>
        </w:rPr>
        <w:t xml:space="preserve"> financial </w:t>
      </w:r>
      <w:r>
        <w:rPr>
          <w:rFonts w:ascii="Arial" w:cs="Arial" w:eastAsia="Arial" w:hAnsi="Arial"/>
          <w:sz w:val="22"/>
          <w:szCs w:val="22"/>
          <w:color w:val="000000"/>
        </w:rPr>
        <w:t>officer of</w:t>
      </w:r>
      <w:r>
        <w:rPr>
          <w:rFonts w:ascii="Arial" w:cs="Arial" w:eastAsia="Arial" w:hAnsi="Arial"/>
          <w:sz w:val="22"/>
          <w:szCs w:val="22"/>
          <w:color w:val="0F0F0F"/>
        </w:rPr>
        <w:t xml:space="preserve"> Tenant </w:t>
      </w:r>
      <w:r>
        <w:rPr>
          <w:rFonts w:ascii="Arial" w:cs="Arial" w:eastAsia="Arial" w:hAnsi="Arial"/>
          <w:sz w:val="22"/>
          <w:szCs w:val="22"/>
          <w:color w:val="000000"/>
        </w:rPr>
        <w:t>as true, correct and</w:t>
      </w:r>
      <w:r>
        <w:rPr>
          <w:rFonts w:ascii="Arial" w:cs="Arial" w:eastAsia="Arial" w:hAnsi="Arial"/>
          <w:sz w:val="22"/>
          <w:szCs w:val="22"/>
          <w:color w:val="0F0F0F"/>
        </w:rPr>
        <w:t xml:space="preserve"> </w:t>
      </w:r>
      <w:r>
        <w:rPr>
          <w:rFonts w:ascii="Arial" w:cs="Arial" w:eastAsia="Arial" w:hAnsi="Arial"/>
          <w:sz w:val="22"/>
          <w:szCs w:val="22"/>
          <w:color w:val="383838"/>
        </w:rPr>
        <w:t>comp</w:t>
      </w:r>
      <w:r>
        <w:rPr>
          <w:rFonts w:ascii="Arial" w:cs="Arial" w:eastAsia="Arial" w:hAnsi="Arial"/>
          <w:sz w:val="22"/>
          <w:szCs w:val="22"/>
          <w:color w:val="0F0F0F"/>
        </w:rPr>
        <w:t>l</w:t>
      </w:r>
      <w:r>
        <w:rPr>
          <w:rFonts w:ascii="Arial" w:cs="Arial" w:eastAsia="Arial" w:hAnsi="Arial"/>
          <w:sz w:val="22"/>
          <w:szCs w:val="22"/>
          <w:color w:val="383838"/>
        </w:rPr>
        <w:t>ete in</w:t>
      </w:r>
      <w:r>
        <w:rPr>
          <w:rFonts w:ascii="Arial" w:cs="Arial" w:eastAsia="Arial" w:hAnsi="Arial"/>
          <w:sz w:val="22"/>
          <w:szCs w:val="22"/>
          <w:color w:val="0F0F0F"/>
        </w:rPr>
        <w:t xml:space="preserve"> </w:t>
      </w:r>
      <w:r>
        <w:rPr>
          <w:rFonts w:ascii="Arial" w:cs="Arial" w:eastAsia="Arial" w:hAnsi="Arial"/>
          <w:sz w:val="22"/>
          <w:szCs w:val="22"/>
          <w:color w:val="000000"/>
        </w:rPr>
        <w:t>all material respects</w:t>
      </w:r>
      <w:r>
        <w:rPr>
          <w:rFonts w:ascii="Arial" w:cs="Arial" w:eastAsia="Arial" w:hAnsi="Arial"/>
          <w:sz w:val="22"/>
          <w:szCs w:val="22"/>
          <w:color w:val="0F0F0F"/>
        </w:rPr>
        <w:t xml:space="preserve"> </w:t>
      </w:r>
      <w:r>
        <w:rPr>
          <w:rFonts w:ascii="Arial" w:cs="Arial" w:eastAsia="Arial" w:hAnsi="Arial"/>
          <w:sz w:val="22"/>
          <w:szCs w:val="22"/>
          <w:color w:val="383838"/>
        </w:rPr>
        <w:t>shall</w:t>
      </w:r>
      <w:r>
        <w:rPr>
          <w:rFonts w:ascii="Arial" w:cs="Arial" w:eastAsia="Arial" w:hAnsi="Arial"/>
          <w:sz w:val="22"/>
          <w:szCs w:val="22"/>
          <w:color w:val="0F0F0F"/>
        </w:rPr>
        <w:t xml:space="preserve"> </w:t>
      </w:r>
      <w:r>
        <w:rPr>
          <w:rFonts w:ascii="Arial" w:cs="Arial" w:eastAsia="Arial" w:hAnsi="Arial"/>
          <w:sz w:val="22"/>
          <w:szCs w:val="22"/>
          <w:color w:val="000000"/>
        </w:rPr>
        <w:t>suffice</w:t>
      </w:r>
      <w:r>
        <w:rPr>
          <w:rFonts w:ascii="Arial" w:cs="Arial" w:eastAsia="Arial" w:hAnsi="Arial"/>
          <w:sz w:val="22"/>
          <w:szCs w:val="22"/>
          <w:color w:val="0F0F0F"/>
        </w:rPr>
        <w:t xml:space="preserve"> </w:t>
      </w:r>
      <w:r>
        <w:rPr>
          <w:rFonts w:ascii="Arial" w:cs="Arial" w:eastAsia="Arial" w:hAnsi="Arial"/>
          <w:sz w:val="22"/>
          <w:szCs w:val="22"/>
          <w:color w:val="383838"/>
        </w:rPr>
        <w:t>for</w:t>
      </w:r>
      <w:r>
        <w:rPr>
          <w:rFonts w:ascii="Arial" w:cs="Arial" w:eastAsia="Arial" w:hAnsi="Arial"/>
          <w:sz w:val="22"/>
          <w:szCs w:val="22"/>
          <w:color w:val="0F0F0F"/>
        </w:rPr>
        <w:t xml:space="preserve"> purpo</w:t>
      </w:r>
      <w:r>
        <w:rPr>
          <w:rFonts w:ascii="Arial" w:cs="Arial" w:eastAsia="Arial" w:hAnsi="Arial"/>
          <w:sz w:val="22"/>
          <w:szCs w:val="22"/>
          <w:color w:val="383838"/>
        </w:rPr>
        <w:t>ses</w:t>
      </w:r>
      <w:r>
        <w:rPr>
          <w:rFonts w:ascii="Arial" w:cs="Arial" w:eastAsia="Arial" w:hAnsi="Arial"/>
          <w:sz w:val="22"/>
          <w:szCs w:val="22"/>
          <w:color w:val="0F0F0F"/>
        </w:rPr>
        <w:t xml:space="preserve"> </w:t>
      </w:r>
      <w:r>
        <w:rPr>
          <w:rFonts w:ascii="Arial" w:cs="Arial" w:eastAsia="Arial" w:hAnsi="Arial"/>
          <w:sz w:val="22"/>
          <w:szCs w:val="22"/>
          <w:color w:val="000000"/>
        </w:rPr>
        <w:t>of</w:t>
      </w:r>
      <w:r>
        <w:rPr>
          <w:rFonts w:ascii="Arial" w:cs="Arial" w:eastAsia="Arial" w:hAnsi="Arial"/>
          <w:sz w:val="22"/>
          <w:szCs w:val="22"/>
          <w:color w:val="0F0F0F"/>
        </w:rPr>
        <w:t xml:space="preserve"> </w:t>
      </w:r>
      <w:r>
        <w:rPr>
          <w:rFonts w:ascii="Arial" w:cs="Arial" w:eastAsia="Arial" w:hAnsi="Arial"/>
          <w:sz w:val="22"/>
          <w:szCs w:val="22"/>
          <w:color w:val="383838"/>
        </w:rPr>
        <w:t>th</w:t>
      </w:r>
      <w:r>
        <w:rPr>
          <w:rFonts w:ascii="Arial" w:cs="Arial" w:eastAsia="Arial" w:hAnsi="Arial"/>
          <w:sz w:val="22"/>
          <w:szCs w:val="22"/>
          <w:color w:val="0F0F0F"/>
        </w:rPr>
        <w:t>i</w:t>
      </w:r>
      <w:r>
        <w:rPr>
          <w:rFonts w:ascii="Arial" w:cs="Arial" w:eastAsia="Arial" w:hAnsi="Arial"/>
          <w:sz w:val="22"/>
          <w:szCs w:val="22"/>
          <w:color w:val="383838"/>
        </w:rPr>
        <w:t>s</w:t>
      </w:r>
      <w:r>
        <w:rPr>
          <w:rFonts w:ascii="Arial" w:cs="Arial" w:eastAsia="Arial" w:hAnsi="Arial"/>
          <w:sz w:val="22"/>
          <w:szCs w:val="22"/>
          <w:color w:val="0F0F0F"/>
        </w:rPr>
        <w:t xml:space="preserve"> </w:t>
      </w:r>
      <w:r>
        <w:rPr>
          <w:rFonts w:ascii="Arial" w:cs="Arial" w:eastAsia="Arial" w:hAnsi="Arial"/>
          <w:sz w:val="22"/>
          <w:szCs w:val="22"/>
          <w:color w:val="000000"/>
        </w:rPr>
        <w:t>Section.</w:t>
      </w:r>
    </w:p>
    <w:p>
      <w:pPr>
        <w:spacing w:after="0" w:line="160"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41.4</w:t>
        <w:tab/>
        <w:t xml:space="preserve">Where applicable </w:t>
      </w:r>
      <w:r>
        <w:rPr>
          <w:rFonts w:ascii="Arial" w:cs="Arial" w:eastAsia="Arial" w:hAnsi="Arial"/>
          <w:sz w:val="22"/>
          <w:szCs w:val="22"/>
          <w:color w:val="383838"/>
        </w:rPr>
        <w:t>in</w:t>
      </w:r>
      <w:r>
        <w:rPr>
          <w:rFonts w:ascii="Arial" w:cs="Arial" w:eastAsia="Arial" w:hAnsi="Arial"/>
          <w:sz w:val="22"/>
          <w:szCs w:val="22"/>
          <w:color w:val="auto"/>
        </w:rPr>
        <w:t xml:space="preserve"> this Lease, the </w:t>
      </w:r>
      <w:r>
        <w:rPr>
          <w:rFonts w:ascii="Arial" w:cs="Arial" w:eastAsia="Arial" w:hAnsi="Arial"/>
          <w:sz w:val="22"/>
          <w:szCs w:val="22"/>
          <w:color w:val="383838"/>
        </w:rPr>
        <w:t>si</w:t>
      </w:r>
      <w:r>
        <w:rPr>
          <w:rFonts w:ascii="Arial" w:cs="Arial" w:eastAsia="Arial" w:hAnsi="Arial"/>
          <w:sz w:val="22"/>
          <w:szCs w:val="22"/>
          <w:color w:val="0F0F0F"/>
        </w:rPr>
        <w:t>ngular</w:t>
      </w:r>
      <w:r>
        <w:rPr>
          <w:rFonts w:ascii="Arial" w:cs="Arial" w:eastAsia="Arial" w:hAnsi="Arial"/>
          <w:sz w:val="22"/>
          <w:szCs w:val="22"/>
          <w:color w:val="auto"/>
        </w:rPr>
        <w:t xml:space="preserve"> includes the </w:t>
      </w:r>
      <w:r>
        <w:rPr>
          <w:rFonts w:ascii="Arial" w:cs="Arial" w:eastAsia="Arial" w:hAnsi="Arial"/>
          <w:sz w:val="22"/>
          <w:szCs w:val="22"/>
          <w:color w:val="0F0F0F"/>
        </w:rPr>
        <w:t>plural</w:t>
      </w:r>
      <w:r>
        <w:rPr>
          <w:rFonts w:ascii="Arial" w:cs="Arial" w:eastAsia="Arial" w:hAnsi="Arial"/>
          <w:sz w:val="22"/>
          <w:szCs w:val="22"/>
          <w:color w:val="auto"/>
        </w:rPr>
        <w:t xml:space="preserve"> and </w:t>
      </w:r>
      <w:r>
        <w:rPr>
          <w:rFonts w:ascii="Arial" w:cs="Arial" w:eastAsia="Arial" w:hAnsi="Arial"/>
          <w:sz w:val="22"/>
          <w:szCs w:val="22"/>
          <w:color w:val="0F0F0F"/>
        </w:rPr>
        <w:t>the</w:t>
      </w:r>
      <w:r>
        <w:rPr>
          <w:rFonts w:ascii="Arial" w:cs="Arial" w:eastAsia="Arial" w:hAnsi="Arial"/>
          <w:sz w:val="22"/>
          <w:szCs w:val="22"/>
          <w:color w:val="auto"/>
        </w:rPr>
        <w:t xml:space="preserve"> masculine or </w:t>
      </w:r>
      <w:r>
        <w:rPr>
          <w:rFonts w:ascii="Arial" w:cs="Arial" w:eastAsia="Arial" w:hAnsi="Arial"/>
          <w:sz w:val="22"/>
          <w:szCs w:val="22"/>
          <w:color w:val="0F0F0F"/>
        </w:rPr>
        <w:t>neu</w:t>
      </w:r>
      <w:r>
        <w:rPr>
          <w:rFonts w:ascii="Arial" w:cs="Arial" w:eastAsia="Arial" w:hAnsi="Arial"/>
          <w:sz w:val="22"/>
          <w:szCs w:val="22"/>
          <w:color w:val="383838"/>
        </w:rPr>
        <w:t>te</w:t>
      </w:r>
      <w:r>
        <w:rPr>
          <w:rFonts w:ascii="Arial" w:cs="Arial" w:eastAsia="Arial" w:hAnsi="Arial"/>
          <w:sz w:val="22"/>
          <w:szCs w:val="22"/>
          <w:color w:val="0F0F0F"/>
        </w:rPr>
        <w:t>r</w:t>
      </w:r>
      <w:r>
        <w:rPr>
          <w:rFonts w:ascii="Arial" w:cs="Arial" w:eastAsia="Arial" w:hAnsi="Arial"/>
          <w:sz w:val="22"/>
          <w:szCs w:val="22"/>
          <w:color w:val="auto"/>
        </w:rPr>
        <w:t xml:space="preserve"> includes </w:t>
      </w:r>
      <w:r>
        <w:rPr>
          <w:rFonts w:ascii="Arial" w:cs="Arial" w:eastAsia="Arial" w:hAnsi="Arial"/>
          <w:sz w:val="22"/>
          <w:szCs w:val="22"/>
          <w:color w:val="383838"/>
        </w:rPr>
        <w:t>the</w:t>
      </w:r>
      <w:r>
        <w:rPr>
          <w:rFonts w:ascii="Arial" w:cs="Arial" w:eastAsia="Arial" w:hAnsi="Arial"/>
          <w:sz w:val="22"/>
          <w:szCs w:val="22"/>
          <w:color w:val="auto"/>
        </w:rPr>
        <w:t xml:space="preserve"> </w:t>
      </w:r>
      <w:r>
        <w:rPr>
          <w:rFonts w:ascii="Arial" w:cs="Arial" w:eastAsia="Arial" w:hAnsi="Arial"/>
          <w:sz w:val="22"/>
          <w:szCs w:val="22"/>
          <w:color w:val="383838"/>
        </w:rPr>
        <w:t>mascul</w:t>
      </w:r>
      <w:r>
        <w:rPr>
          <w:rFonts w:ascii="Arial" w:cs="Arial" w:eastAsia="Arial" w:hAnsi="Arial"/>
          <w:sz w:val="22"/>
          <w:szCs w:val="22"/>
          <w:color w:val="0F0F0F"/>
        </w:rPr>
        <w:t>ine,</w:t>
      </w:r>
      <w:r>
        <w:rPr>
          <w:rFonts w:ascii="Arial" w:cs="Arial" w:eastAsia="Arial" w:hAnsi="Arial"/>
          <w:sz w:val="22"/>
          <w:szCs w:val="22"/>
          <w:color w:val="383838"/>
        </w:rPr>
        <w:t xml:space="preserve"> </w:t>
      </w:r>
      <w:r>
        <w:rPr>
          <w:rFonts w:ascii="Arial" w:cs="Arial" w:eastAsia="Arial" w:hAnsi="Arial"/>
          <w:sz w:val="22"/>
          <w:szCs w:val="22"/>
          <w:color w:val="000000"/>
        </w:rPr>
        <w:t>feminine</w:t>
      </w:r>
      <w:r>
        <w:rPr>
          <w:rFonts w:ascii="Arial" w:cs="Arial" w:eastAsia="Arial" w:hAnsi="Arial"/>
          <w:sz w:val="22"/>
          <w:szCs w:val="22"/>
          <w:color w:val="383838"/>
        </w:rPr>
        <w:t xml:space="preserve"> a</w:t>
      </w:r>
      <w:r>
        <w:rPr>
          <w:rFonts w:ascii="Arial" w:cs="Arial" w:eastAsia="Arial" w:hAnsi="Arial"/>
          <w:sz w:val="22"/>
          <w:szCs w:val="22"/>
          <w:color w:val="0F0F0F"/>
        </w:rPr>
        <w:t>n</w:t>
      </w:r>
      <w:r>
        <w:rPr>
          <w:rFonts w:ascii="Arial" w:cs="Arial" w:eastAsia="Arial" w:hAnsi="Arial"/>
          <w:sz w:val="22"/>
          <w:szCs w:val="22"/>
          <w:color w:val="383838"/>
        </w:rPr>
        <w:t xml:space="preserve">d </w:t>
      </w:r>
      <w:r>
        <w:rPr>
          <w:rFonts w:ascii="Arial" w:cs="Arial" w:eastAsia="Arial" w:hAnsi="Arial"/>
          <w:sz w:val="22"/>
          <w:szCs w:val="22"/>
          <w:color w:val="000000"/>
        </w:rPr>
        <w:t>neuter. The words “include</w:t>
      </w:r>
      <w:r>
        <w:rPr>
          <w:rFonts w:ascii="Arial" w:cs="Arial" w:eastAsia="Arial" w:hAnsi="Arial"/>
          <w:sz w:val="22"/>
          <w:szCs w:val="22"/>
          <w:u w:val="single" w:color="auto"/>
          <w:color w:val="000000"/>
        </w:rPr>
        <w:t>,</w:t>
      </w:r>
      <w:r>
        <w:rPr>
          <w:rFonts w:ascii="Arial" w:cs="Arial" w:eastAsia="Arial" w:hAnsi="Arial"/>
          <w:sz w:val="22"/>
          <w:szCs w:val="22"/>
          <w:color w:val="000000"/>
        </w:rPr>
        <w:t>”</w:t>
      </w:r>
      <w:r>
        <w:rPr>
          <w:rFonts w:ascii="Arial" w:cs="Arial" w:eastAsia="Arial" w:hAnsi="Arial"/>
          <w:sz w:val="22"/>
          <w:szCs w:val="22"/>
          <w:color w:val="383838"/>
        </w:rPr>
        <w:t xml:space="preserve"> “</w:t>
      </w:r>
      <w:r>
        <w:rPr>
          <w:rFonts w:ascii="Arial" w:cs="Arial" w:eastAsia="Arial" w:hAnsi="Arial"/>
          <w:sz w:val="22"/>
          <w:szCs w:val="22"/>
          <w:color w:val="0F0F0F"/>
        </w:rPr>
        <w:t>includes,”</w:t>
      </w:r>
      <w:r>
        <w:rPr>
          <w:rFonts w:ascii="Arial" w:cs="Arial" w:eastAsia="Arial" w:hAnsi="Arial"/>
          <w:sz w:val="22"/>
          <w:szCs w:val="22"/>
          <w:color w:val="383838"/>
        </w:rPr>
        <w:t xml:space="preserve"> </w:t>
      </w:r>
      <w:r>
        <w:rPr>
          <w:rFonts w:ascii="Arial" w:cs="Arial" w:eastAsia="Arial" w:hAnsi="Arial"/>
          <w:sz w:val="22"/>
          <w:szCs w:val="22"/>
          <w:color w:val="000000"/>
        </w:rPr>
        <w:t>“included” and “including” shall</w:t>
      </w:r>
      <w:r>
        <w:rPr>
          <w:rFonts w:ascii="Arial" w:cs="Arial" w:eastAsia="Arial" w:hAnsi="Arial"/>
          <w:sz w:val="22"/>
          <w:szCs w:val="22"/>
          <w:color w:val="383838"/>
        </w:rPr>
        <w:t xml:space="preserve"> </w:t>
      </w:r>
      <w:r>
        <w:rPr>
          <w:rFonts w:ascii="Arial" w:cs="Arial" w:eastAsia="Arial" w:hAnsi="Arial"/>
          <w:sz w:val="22"/>
          <w:szCs w:val="22"/>
          <w:color w:val="0F0F0F"/>
        </w:rPr>
        <w:t>mean</w:t>
      </w:r>
      <w:r>
        <w:rPr>
          <w:rFonts w:ascii="Arial" w:cs="Arial" w:eastAsia="Arial" w:hAnsi="Arial"/>
          <w:sz w:val="22"/>
          <w:szCs w:val="22"/>
          <w:color w:val="383838"/>
        </w:rPr>
        <w:t xml:space="preserve"> </w:t>
      </w:r>
      <w:r>
        <w:rPr>
          <w:rFonts w:ascii="Arial" w:cs="Arial" w:eastAsia="Arial" w:hAnsi="Arial"/>
          <w:sz w:val="22"/>
          <w:szCs w:val="22"/>
          <w:color w:val="000000"/>
        </w:rPr>
        <w:t>“</w:t>
      </w:r>
      <w:r>
        <w:rPr>
          <w:rFonts w:ascii="Arial" w:cs="Arial" w:eastAsia="Arial" w:hAnsi="Arial"/>
          <w:sz w:val="22"/>
          <w:szCs w:val="22"/>
          <w:u w:val="single" w:color="auto"/>
          <w:color w:val="000000"/>
        </w:rPr>
        <w:t>‘</w:t>
      </w:r>
      <w:r>
        <w:rPr>
          <w:rFonts w:ascii="Arial" w:cs="Arial" w:eastAsia="Arial" w:hAnsi="Arial"/>
          <w:sz w:val="22"/>
          <w:szCs w:val="22"/>
          <w:color w:val="000000"/>
        </w:rPr>
        <w:t>include,’ etc.,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01" w:right="339" w:bottom="1440" w:gutter="0" w:footer="0" w:header="0"/>
        </w:sectPr>
      </w:pPr>
    </w:p>
    <w:bookmarkStart w:id="367" w:name="page368"/>
    <w:bookmarkEnd w:id="367"/>
    <w:p>
      <w:pPr>
        <w:ind w:left="640"/>
        <w:spacing w:after="0" w:line="232" w:lineRule="auto"/>
        <w:rPr>
          <w:sz w:val="20"/>
          <w:szCs w:val="20"/>
          <w:color w:val="auto"/>
        </w:rPr>
      </w:pPr>
      <w:r>
        <w:rPr>
          <w:rFonts w:ascii="Arial" w:cs="Arial" w:eastAsia="Arial" w:hAnsi="Arial"/>
          <w:sz w:val="22"/>
          <w:szCs w:val="22"/>
          <w:color w:val="0F0F0F"/>
        </w:rPr>
        <w:t>limitation</w:t>
      </w:r>
      <w:r>
        <w:rPr>
          <w:rFonts w:ascii="Arial" w:cs="Arial" w:eastAsia="Arial" w:hAnsi="Arial"/>
          <w:sz w:val="22"/>
          <w:szCs w:val="22"/>
          <w:color w:val="383838"/>
        </w:rPr>
        <w:t>.”</w:t>
      </w:r>
      <w:r>
        <w:rPr>
          <w:rFonts w:ascii="Arial" w:cs="Arial" w:eastAsia="Arial" w:hAnsi="Arial"/>
          <w:sz w:val="22"/>
          <w:szCs w:val="22"/>
          <w:color w:val="0F0F0F"/>
        </w:rPr>
        <w:t xml:space="preserve"> The </w:t>
      </w:r>
      <w:r>
        <w:rPr>
          <w:rFonts w:ascii="Arial" w:cs="Arial" w:eastAsia="Arial" w:hAnsi="Arial"/>
          <w:sz w:val="22"/>
          <w:szCs w:val="22"/>
          <w:color w:val="000000"/>
        </w:rPr>
        <w:t>section headings of</w:t>
      </w:r>
      <w:r>
        <w:rPr>
          <w:rFonts w:ascii="Arial" w:cs="Arial" w:eastAsia="Arial" w:hAnsi="Arial"/>
          <w:sz w:val="22"/>
          <w:szCs w:val="22"/>
          <w:color w:val="0F0F0F"/>
        </w:rPr>
        <w:t xml:space="preserve"> this </w:t>
      </w:r>
      <w:r>
        <w:rPr>
          <w:rFonts w:ascii="Arial" w:cs="Arial" w:eastAsia="Arial" w:hAnsi="Arial"/>
          <w:sz w:val="22"/>
          <w:szCs w:val="22"/>
          <w:color w:val="383838"/>
        </w:rPr>
        <w:t>Lease</w:t>
      </w:r>
      <w:r>
        <w:rPr>
          <w:rFonts w:ascii="Arial" w:cs="Arial" w:eastAsia="Arial" w:hAnsi="Arial"/>
          <w:sz w:val="22"/>
          <w:szCs w:val="22"/>
          <w:color w:val="0F0F0F"/>
        </w:rPr>
        <w:t xml:space="preserve"> </w:t>
      </w:r>
      <w:r>
        <w:rPr>
          <w:rFonts w:ascii="Arial" w:cs="Arial" w:eastAsia="Arial" w:hAnsi="Arial"/>
          <w:sz w:val="22"/>
          <w:szCs w:val="22"/>
          <w:color w:val="000000"/>
        </w:rPr>
        <w:t>are</w:t>
      </w:r>
      <w:r>
        <w:rPr>
          <w:rFonts w:ascii="Arial" w:cs="Arial" w:eastAsia="Arial" w:hAnsi="Arial"/>
          <w:sz w:val="22"/>
          <w:szCs w:val="22"/>
          <w:color w:val="0F0F0F"/>
        </w:rPr>
        <w:t xml:space="preserve"> not </w:t>
      </w:r>
      <w:r>
        <w:rPr>
          <w:rFonts w:ascii="Arial" w:cs="Arial" w:eastAsia="Arial" w:hAnsi="Arial"/>
          <w:sz w:val="22"/>
          <w:szCs w:val="22"/>
          <w:color w:val="000000"/>
        </w:rPr>
        <w:t>a part of</w:t>
      </w:r>
      <w:r>
        <w:rPr>
          <w:rFonts w:ascii="Arial" w:cs="Arial" w:eastAsia="Arial" w:hAnsi="Arial"/>
          <w:sz w:val="22"/>
          <w:szCs w:val="22"/>
          <w:color w:val="0F0F0F"/>
        </w:rPr>
        <w:t xml:space="preserve"> </w:t>
      </w:r>
      <w:r>
        <w:rPr>
          <w:rFonts w:ascii="Arial" w:cs="Arial" w:eastAsia="Arial" w:hAnsi="Arial"/>
          <w:sz w:val="22"/>
          <w:szCs w:val="22"/>
          <w:color w:val="383838"/>
        </w:rPr>
        <w:t>t</w:t>
      </w:r>
      <w:r>
        <w:rPr>
          <w:rFonts w:ascii="Arial" w:cs="Arial" w:eastAsia="Arial" w:hAnsi="Arial"/>
          <w:sz w:val="22"/>
          <w:szCs w:val="22"/>
          <w:color w:val="0F0F0F"/>
        </w:rPr>
        <w:t>hi</w:t>
      </w:r>
      <w:r>
        <w:rPr>
          <w:rFonts w:ascii="Arial" w:cs="Arial" w:eastAsia="Arial" w:hAnsi="Arial"/>
          <w:sz w:val="22"/>
          <w:szCs w:val="22"/>
          <w:color w:val="383838"/>
        </w:rPr>
        <w:t>s</w:t>
      </w:r>
      <w:r>
        <w:rPr>
          <w:rFonts w:ascii="Arial" w:cs="Arial" w:eastAsia="Arial" w:hAnsi="Arial"/>
          <w:sz w:val="22"/>
          <w:szCs w:val="22"/>
          <w:color w:val="0F0F0F"/>
        </w:rPr>
        <w:t xml:space="preserve"> Lease </w:t>
      </w:r>
      <w:r>
        <w:rPr>
          <w:rFonts w:ascii="Arial" w:cs="Arial" w:eastAsia="Arial" w:hAnsi="Arial"/>
          <w:sz w:val="22"/>
          <w:szCs w:val="22"/>
          <w:color w:val="000000"/>
        </w:rPr>
        <w:t>and shall</w:t>
      </w:r>
      <w:r>
        <w:rPr>
          <w:rFonts w:ascii="Arial" w:cs="Arial" w:eastAsia="Arial" w:hAnsi="Arial"/>
          <w:sz w:val="22"/>
          <w:szCs w:val="22"/>
          <w:color w:val="0F0F0F"/>
        </w:rPr>
        <w:t xml:space="preserve"> have </w:t>
      </w:r>
      <w:r>
        <w:rPr>
          <w:rFonts w:ascii="Arial" w:cs="Arial" w:eastAsia="Arial" w:hAnsi="Arial"/>
          <w:sz w:val="22"/>
          <w:szCs w:val="22"/>
          <w:color w:val="000000"/>
        </w:rPr>
        <w:t>no effect upon</w:t>
      </w:r>
      <w:r>
        <w:rPr>
          <w:rFonts w:ascii="Arial" w:cs="Arial" w:eastAsia="Arial" w:hAnsi="Arial"/>
          <w:sz w:val="22"/>
          <w:szCs w:val="22"/>
          <w:color w:val="0F0F0F"/>
        </w:rPr>
        <w:t xml:space="preserve"> the </w:t>
      </w:r>
      <w:r>
        <w:rPr>
          <w:rFonts w:ascii="Arial" w:cs="Arial" w:eastAsia="Arial" w:hAnsi="Arial"/>
          <w:sz w:val="22"/>
          <w:szCs w:val="22"/>
          <w:color w:val="000000"/>
        </w:rPr>
        <w:t xml:space="preserve">construction or interpretation of any </w:t>
      </w:r>
      <w:r>
        <w:rPr>
          <w:rFonts w:ascii="Arial" w:cs="Arial" w:eastAsia="Arial" w:hAnsi="Arial"/>
          <w:sz w:val="22"/>
          <w:szCs w:val="22"/>
          <w:color w:val="0F0F0F"/>
        </w:rPr>
        <w:t>part hereof.</w:t>
      </w:r>
    </w:p>
    <w:p>
      <w:pPr>
        <w:spacing w:after="0" w:line="159" w:lineRule="exact"/>
        <w:rPr>
          <w:sz w:val="20"/>
          <w:szCs w:val="20"/>
          <w:color w:val="auto"/>
        </w:rPr>
      </w:pPr>
    </w:p>
    <w:p>
      <w:pPr>
        <w:jc w:val="both"/>
        <w:ind w:left="640" w:hanging="647"/>
        <w:spacing w:after="0" w:line="218" w:lineRule="auto"/>
        <w:tabs>
          <w:tab w:leader="none" w:pos="620" w:val="left"/>
        </w:tabs>
        <w:rPr>
          <w:sz w:val="20"/>
          <w:szCs w:val="20"/>
          <w:color w:val="auto"/>
        </w:rPr>
      </w:pPr>
      <w:r>
        <w:rPr>
          <w:rFonts w:ascii="Arial" w:cs="Arial" w:eastAsia="Arial" w:hAnsi="Arial"/>
          <w:sz w:val="22"/>
          <w:szCs w:val="22"/>
          <w:color w:val="auto"/>
        </w:rPr>
        <w:t>41.5</w:t>
      </w:r>
      <w:r>
        <w:rPr>
          <w:rFonts w:ascii="Arial" w:cs="Arial" w:eastAsia="Arial" w:hAnsi="Arial"/>
          <w:sz w:val="22"/>
          <w:szCs w:val="22"/>
          <w:color w:val="0F0F0F"/>
        </w:rPr>
        <w:tab/>
        <w:t xml:space="preserve">If </w:t>
      </w:r>
      <w:r>
        <w:rPr>
          <w:rFonts w:ascii="Arial" w:cs="Arial" w:eastAsia="Arial" w:hAnsi="Arial"/>
          <w:sz w:val="22"/>
          <w:szCs w:val="22"/>
          <w:color w:val="000000"/>
        </w:rPr>
        <w:t>either</w:t>
      </w:r>
      <w:r>
        <w:rPr>
          <w:rFonts w:ascii="Arial" w:cs="Arial" w:eastAsia="Arial" w:hAnsi="Arial"/>
          <w:sz w:val="22"/>
          <w:szCs w:val="22"/>
          <w:color w:val="0F0F0F"/>
        </w:rPr>
        <w:t xml:space="preserve"> party </w:t>
      </w:r>
      <w:r>
        <w:rPr>
          <w:rFonts w:ascii="Arial" w:cs="Arial" w:eastAsia="Arial" w:hAnsi="Arial"/>
          <w:sz w:val="22"/>
          <w:szCs w:val="22"/>
          <w:color w:val="000000"/>
        </w:rPr>
        <w:t>commences an action against the other</w:t>
      </w:r>
      <w:r>
        <w:rPr>
          <w:rFonts w:ascii="Arial" w:cs="Arial" w:eastAsia="Arial" w:hAnsi="Arial"/>
          <w:sz w:val="22"/>
          <w:szCs w:val="22"/>
          <w:color w:val="0F0F0F"/>
        </w:rPr>
        <w:t xml:space="preserve"> p</w:t>
      </w:r>
      <w:r>
        <w:rPr>
          <w:rFonts w:ascii="Arial" w:cs="Arial" w:eastAsia="Arial" w:hAnsi="Arial"/>
          <w:sz w:val="22"/>
          <w:szCs w:val="22"/>
          <w:color w:val="383838"/>
        </w:rPr>
        <w:t>arty</w:t>
      </w:r>
      <w:r>
        <w:rPr>
          <w:rFonts w:ascii="Arial" w:cs="Arial" w:eastAsia="Arial" w:hAnsi="Arial"/>
          <w:sz w:val="22"/>
          <w:szCs w:val="22"/>
          <w:color w:val="0F0F0F"/>
        </w:rPr>
        <w:t xml:space="preserve"> </w:t>
      </w:r>
      <w:r>
        <w:rPr>
          <w:rFonts w:ascii="Arial" w:cs="Arial" w:eastAsia="Arial" w:hAnsi="Arial"/>
          <w:sz w:val="22"/>
          <w:szCs w:val="22"/>
          <w:color w:val="000000"/>
        </w:rPr>
        <w:t>arising out</w:t>
      </w:r>
      <w:r>
        <w:rPr>
          <w:rFonts w:ascii="Arial" w:cs="Arial" w:eastAsia="Arial" w:hAnsi="Arial"/>
          <w:sz w:val="22"/>
          <w:szCs w:val="22"/>
          <w:color w:val="0F0F0F"/>
        </w:rPr>
        <w:t xml:space="preserve"> o</w:t>
      </w:r>
      <w:r>
        <w:rPr>
          <w:rFonts w:ascii="Arial" w:cs="Arial" w:eastAsia="Arial" w:hAnsi="Arial"/>
          <w:sz w:val="22"/>
          <w:szCs w:val="22"/>
          <w:color w:val="383838"/>
        </w:rPr>
        <w:t>f</w:t>
      </w:r>
      <w:r>
        <w:rPr>
          <w:rFonts w:ascii="Arial" w:cs="Arial" w:eastAsia="Arial" w:hAnsi="Arial"/>
          <w:sz w:val="22"/>
          <w:szCs w:val="22"/>
          <w:color w:val="0F0F0F"/>
        </w:rPr>
        <w:t xml:space="preserve"> or in </w:t>
      </w:r>
      <w:r>
        <w:rPr>
          <w:rFonts w:ascii="Arial" w:cs="Arial" w:eastAsia="Arial" w:hAnsi="Arial"/>
          <w:sz w:val="22"/>
          <w:szCs w:val="22"/>
          <w:color w:val="000000"/>
        </w:rPr>
        <w:t>connection with</w:t>
      </w:r>
      <w:r>
        <w:rPr>
          <w:rFonts w:ascii="Arial" w:cs="Arial" w:eastAsia="Arial" w:hAnsi="Arial"/>
          <w:sz w:val="22"/>
          <w:szCs w:val="22"/>
          <w:color w:val="0F0F0F"/>
        </w:rPr>
        <w:t xml:space="preserve"> this </w:t>
      </w:r>
      <w:r>
        <w:rPr>
          <w:rFonts w:ascii="Arial" w:cs="Arial" w:eastAsia="Arial" w:hAnsi="Arial"/>
          <w:sz w:val="22"/>
          <w:szCs w:val="22"/>
          <w:color w:val="000000"/>
        </w:rPr>
        <w:t>Lease, then the</w:t>
      </w:r>
      <w:r>
        <w:rPr>
          <w:rFonts w:ascii="Arial" w:cs="Arial" w:eastAsia="Arial" w:hAnsi="Arial"/>
          <w:sz w:val="22"/>
          <w:szCs w:val="22"/>
          <w:color w:val="0F0F0F"/>
        </w:rPr>
        <w:t xml:space="preserve"> </w:t>
      </w:r>
      <w:r>
        <w:rPr>
          <w:rFonts w:ascii="Arial" w:cs="Arial" w:eastAsia="Arial" w:hAnsi="Arial"/>
          <w:sz w:val="22"/>
          <w:szCs w:val="22"/>
          <w:color w:val="000000"/>
        </w:rPr>
        <w:t xml:space="preserve">substantially prevailing </w:t>
      </w:r>
      <w:r>
        <w:rPr>
          <w:rFonts w:ascii="Arial" w:cs="Arial" w:eastAsia="Arial" w:hAnsi="Arial"/>
          <w:sz w:val="22"/>
          <w:szCs w:val="22"/>
          <w:color w:val="0F0F0F"/>
        </w:rPr>
        <w:t>party</w:t>
      </w:r>
      <w:r>
        <w:rPr>
          <w:rFonts w:ascii="Arial" w:cs="Arial" w:eastAsia="Arial" w:hAnsi="Arial"/>
          <w:sz w:val="22"/>
          <w:szCs w:val="22"/>
          <w:color w:val="000000"/>
        </w:rPr>
        <w:t xml:space="preserve"> shall </w:t>
      </w:r>
      <w:r>
        <w:rPr>
          <w:rFonts w:ascii="Arial" w:cs="Arial" w:eastAsia="Arial" w:hAnsi="Arial"/>
          <w:sz w:val="22"/>
          <w:szCs w:val="22"/>
          <w:color w:val="0F0F0F"/>
        </w:rPr>
        <w:t>be</w:t>
      </w:r>
      <w:r>
        <w:rPr>
          <w:rFonts w:ascii="Arial" w:cs="Arial" w:eastAsia="Arial" w:hAnsi="Arial"/>
          <w:sz w:val="22"/>
          <w:szCs w:val="22"/>
          <w:color w:val="000000"/>
        </w:rPr>
        <w:t xml:space="preserve"> reimbursed </w:t>
      </w:r>
      <w:r>
        <w:rPr>
          <w:rFonts w:ascii="Arial" w:cs="Arial" w:eastAsia="Arial" w:hAnsi="Arial"/>
          <w:sz w:val="22"/>
          <w:szCs w:val="22"/>
          <w:color w:val="0F0F0F"/>
        </w:rPr>
        <w:t>by</w:t>
      </w:r>
      <w:r>
        <w:rPr>
          <w:rFonts w:ascii="Arial" w:cs="Arial" w:eastAsia="Arial" w:hAnsi="Arial"/>
          <w:sz w:val="22"/>
          <w:szCs w:val="22"/>
          <w:color w:val="000000"/>
        </w:rPr>
        <w:t xml:space="preserve"> </w:t>
      </w:r>
      <w:r>
        <w:rPr>
          <w:rFonts w:ascii="Arial" w:cs="Arial" w:eastAsia="Arial" w:hAnsi="Arial"/>
          <w:sz w:val="22"/>
          <w:szCs w:val="22"/>
          <w:color w:val="383838"/>
        </w:rPr>
        <w:t>the</w:t>
      </w:r>
      <w:r>
        <w:rPr>
          <w:rFonts w:ascii="Arial" w:cs="Arial" w:eastAsia="Arial" w:hAnsi="Arial"/>
          <w:sz w:val="22"/>
          <w:szCs w:val="22"/>
          <w:color w:val="000000"/>
        </w:rPr>
        <w:t xml:space="preserve"> other party for </w:t>
      </w:r>
      <w:r>
        <w:rPr>
          <w:rFonts w:ascii="Arial" w:cs="Arial" w:eastAsia="Arial" w:hAnsi="Arial"/>
          <w:sz w:val="22"/>
          <w:szCs w:val="22"/>
          <w:color w:val="0F0F0F"/>
        </w:rPr>
        <w:t>all rea</w:t>
      </w:r>
      <w:r>
        <w:rPr>
          <w:rFonts w:ascii="Arial" w:cs="Arial" w:eastAsia="Arial" w:hAnsi="Arial"/>
          <w:sz w:val="22"/>
          <w:szCs w:val="22"/>
          <w:color w:val="383838"/>
        </w:rPr>
        <w:t>so</w:t>
      </w:r>
      <w:r>
        <w:rPr>
          <w:rFonts w:ascii="Arial" w:cs="Arial" w:eastAsia="Arial" w:hAnsi="Arial"/>
          <w:sz w:val="22"/>
          <w:szCs w:val="22"/>
          <w:color w:val="0F0F0F"/>
        </w:rPr>
        <w:t>nable</w:t>
      </w:r>
      <w:r>
        <w:rPr>
          <w:rFonts w:ascii="Arial" w:cs="Arial" w:eastAsia="Arial" w:hAnsi="Arial"/>
          <w:sz w:val="22"/>
          <w:szCs w:val="22"/>
          <w:color w:val="000000"/>
        </w:rPr>
        <w:t xml:space="preserve"> costs and </w:t>
      </w:r>
      <w:r>
        <w:rPr>
          <w:rFonts w:ascii="Arial" w:cs="Arial" w:eastAsia="Arial" w:hAnsi="Arial"/>
          <w:sz w:val="22"/>
          <w:szCs w:val="22"/>
          <w:color w:val="383838"/>
        </w:rPr>
        <w:t>e</w:t>
      </w:r>
      <w:r>
        <w:rPr>
          <w:rFonts w:ascii="Arial" w:cs="Arial" w:eastAsia="Arial" w:hAnsi="Arial"/>
          <w:sz w:val="22"/>
          <w:szCs w:val="22"/>
          <w:color w:val="0F0F0F"/>
        </w:rPr>
        <w:t>xpense</w:t>
      </w:r>
      <w:r>
        <w:rPr>
          <w:rFonts w:ascii="Arial" w:cs="Arial" w:eastAsia="Arial" w:hAnsi="Arial"/>
          <w:sz w:val="22"/>
          <w:szCs w:val="22"/>
          <w:color w:val="383838"/>
        </w:rPr>
        <w:t>s,</w:t>
      </w:r>
      <w:r>
        <w:rPr>
          <w:rFonts w:ascii="Arial" w:cs="Arial" w:eastAsia="Arial" w:hAnsi="Arial"/>
          <w:sz w:val="22"/>
          <w:szCs w:val="22"/>
          <w:color w:val="000000"/>
        </w:rPr>
        <w:t xml:space="preserve"> </w:t>
      </w:r>
      <w:r>
        <w:rPr>
          <w:rFonts w:ascii="Arial" w:cs="Arial" w:eastAsia="Arial" w:hAnsi="Arial"/>
          <w:sz w:val="22"/>
          <w:szCs w:val="22"/>
          <w:color w:val="0F0F0F"/>
        </w:rPr>
        <w:t>in</w:t>
      </w:r>
      <w:r>
        <w:rPr>
          <w:rFonts w:ascii="Arial" w:cs="Arial" w:eastAsia="Arial" w:hAnsi="Arial"/>
          <w:sz w:val="22"/>
          <w:szCs w:val="22"/>
          <w:color w:val="383838"/>
        </w:rPr>
        <w:t>cl</w:t>
      </w:r>
      <w:r>
        <w:rPr>
          <w:rFonts w:ascii="Arial" w:cs="Arial" w:eastAsia="Arial" w:hAnsi="Arial"/>
          <w:sz w:val="22"/>
          <w:szCs w:val="22"/>
          <w:color w:val="0F0F0F"/>
        </w:rPr>
        <w:t>uding r</w:t>
      </w:r>
      <w:r>
        <w:rPr>
          <w:rFonts w:ascii="Arial" w:cs="Arial" w:eastAsia="Arial" w:hAnsi="Arial"/>
          <w:sz w:val="22"/>
          <w:szCs w:val="22"/>
          <w:color w:val="383838"/>
        </w:rPr>
        <w:t>eason</w:t>
      </w:r>
      <w:r>
        <w:rPr>
          <w:rFonts w:ascii="Arial" w:cs="Arial" w:eastAsia="Arial" w:hAnsi="Arial"/>
          <w:sz w:val="22"/>
          <w:szCs w:val="22"/>
          <w:color w:val="0F0F0F"/>
        </w:rPr>
        <w:t>abl</w:t>
      </w:r>
      <w:r>
        <w:rPr>
          <w:rFonts w:ascii="Arial" w:cs="Arial" w:eastAsia="Arial" w:hAnsi="Arial"/>
          <w:sz w:val="22"/>
          <w:szCs w:val="22"/>
          <w:color w:val="383838"/>
        </w:rPr>
        <w:t>e</w:t>
      </w:r>
      <w:r>
        <w:rPr>
          <w:rFonts w:ascii="Arial" w:cs="Arial" w:eastAsia="Arial" w:hAnsi="Arial"/>
          <w:sz w:val="22"/>
          <w:szCs w:val="22"/>
          <w:color w:val="0F0F0F"/>
        </w:rPr>
        <w:t xml:space="preserve"> </w:t>
      </w:r>
      <w:r>
        <w:rPr>
          <w:rFonts w:ascii="Arial" w:cs="Arial" w:eastAsia="Arial" w:hAnsi="Arial"/>
          <w:sz w:val="22"/>
          <w:szCs w:val="22"/>
          <w:color w:val="000000"/>
        </w:rPr>
        <w:t>attorneys’</w:t>
      </w:r>
      <w:r>
        <w:rPr>
          <w:rFonts w:ascii="Arial" w:cs="Arial" w:eastAsia="Arial" w:hAnsi="Arial"/>
          <w:sz w:val="22"/>
          <w:szCs w:val="22"/>
          <w:color w:val="0F0F0F"/>
        </w:rPr>
        <w:t xml:space="preserve"> fee</w:t>
      </w:r>
      <w:r>
        <w:rPr>
          <w:rFonts w:ascii="Arial" w:cs="Arial" w:eastAsia="Arial" w:hAnsi="Arial"/>
          <w:sz w:val="22"/>
          <w:szCs w:val="22"/>
          <w:color w:val="383838"/>
        </w:rPr>
        <w:t>s</w:t>
      </w:r>
      <w:r>
        <w:rPr>
          <w:rFonts w:ascii="Arial" w:cs="Arial" w:eastAsia="Arial" w:hAnsi="Arial"/>
          <w:sz w:val="22"/>
          <w:szCs w:val="22"/>
          <w:color w:val="0F0F0F"/>
        </w:rPr>
        <w:t xml:space="preserve"> </w:t>
      </w:r>
      <w:r>
        <w:rPr>
          <w:rFonts w:ascii="Arial" w:cs="Arial" w:eastAsia="Arial" w:hAnsi="Arial"/>
          <w:sz w:val="22"/>
          <w:szCs w:val="22"/>
          <w:color w:val="000000"/>
        </w:rPr>
        <w:t>and expenses,</w:t>
      </w:r>
      <w:r>
        <w:rPr>
          <w:rFonts w:ascii="Arial" w:cs="Arial" w:eastAsia="Arial" w:hAnsi="Arial"/>
          <w:sz w:val="22"/>
          <w:szCs w:val="22"/>
          <w:color w:val="0F0F0F"/>
        </w:rPr>
        <w:t xml:space="preserve"> incurred </w:t>
      </w:r>
      <w:r>
        <w:rPr>
          <w:rFonts w:ascii="Arial" w:cs="Arial" w:eastAsia="Arial" w:hAnsi="Arial"/>
          <w:sz w:val="22"/>
          <w:szCs w:val="22"/>
          <w:color w:val="000000"/>
        </w:rPr>
        <w:t>by the</w:t>
      </w:r>
      <w:r>
        <w:rPr>
          <w:rFonts w:ascii="Arial" w:cs="Arial" w:eastAsia="Arial" w:hAnsi="Arial"/>
          <w:sz w:val="22"/>
          <w:szCs w:val="22"/>
          <w:color w:val="0F0F0F"/>
        </w:rPr>
        <w:t xml:space="preserve"> </w:t>
      </w:r>
      <w:r>
        <w:rPr>
          <w:rFonts w:ascii="Arial" w:cs="Arial" w:eastAsia="Arial" w:hAnsi="Arial"/>
          <w:sz w:val="22"/>
          <w:szCs w:val="22"/>
          <w:color w:val="383838"/>
        </w:rPr>
        <w:t>s</w:t>
      </w:r>
      <w:r>
        <w:rPr>
          <w:rFonts w:ascii="Arial" w:cs="Arial" w:eastAsia="Arial" w:hAnsi="Arial"/>
          <w:sz w:val="22"/>
          <w:szCs w:val="22"/>
          <w:color w:val="0F0F0F"/>
        </w:rPr>
        <w:t>ub</w:t>
      </w:r>
      <w:r>
        <w:rPr>
          <w:rFonts w:ascii="Arial" w:cs="Arial" w:eastAsia="Arial" w:hAnsi="Arial"/>
          <w:sz w:val="22"/>
          <w:szCs w:val="22"/>
          <w:color w:val="383838"/>
        </w:rPr>
        <w:t>s</w:t>
      </w:r>
      <w:r>
        <w:rPr>
          <w:rFonts w:ascii="Arial" w:cs="Arial" w:eastAsia="Arial" w:hAnsi="Arial"/>
          <w:sz w:val="22"/>
          <w:szCs w:val="22"/>
          <w:color w:val="0F0F0F"/>
        </w:rPr>
        <w:t>tanti</w:t>
      </w:r>
      <w:r>
        <w:rPr>
          <w:rFonts w:ascii="Arial" w:cs="Arial" w:eastAsia="Arial" w:hAnsi="Arial"/>
          <w:sz w:val="22"/>
          <w:szCs w:val="22"/>
          <w:color w:val="383838"/>
        </w:rPr>
        <w:t>a</w:t>
      </w:r>
      <w:r>
        <w:rPr>
          <w:rFonts w:ascii="Arial" w:cs="Arial" w:eastAsia="Arial" w:hAnsi="Arial"/>
          <w:sz w:val="22"/>
          <w:szCs w:val="22"/>
          <w:color w:val="0F0F0F"/>
        </w:rPr>
        <w:t xml:space="preserve">lly prevailing party </w:t>
      </w:r>
      <w:r>
        <w:rPr>
          <w:rFonts w:ascii="Arial" w:cs="Arial" w:eastAsia="Arial" w:hAnsi="Arial"/>
          <w:sz w:val="22"/>
          <w:szCs w:val="22"/>
          <w:color w:val="000000"/>
        </w:rPr>
        <w:t>in</w:t>
      </w:r>
      <w:r>
        <w:rPr>
          <w:rFonts w:ascii="Arial" w:cs="Arial" w:eastAsia="Arial" w:hAnsi="Arial"/>
          <w:sz w:val="22"/>
          <w:szCs w:val="22"/>
          <w:color w:val="0F0F0F"/>
        </w:rPr>
        <w:t xml:space="preserve"> </w:t>
      </w:r>
      <w:r>
        <w:rPr>
          <w:rFonts w:ascii="Arial" w:cs="Arial" w:eastAsia="Arial" w:hAnsi="Arial"/>
          <w:sz w:val="22"/>
          <w:szCs w:val="22"/>
          <w:color w:val="383838"/>
        </w:rPr>
        <w:t>such</w:t>
      </w:r>
      <w:r>
        <w:rPr>
          <w:rFonts w:ascii="Arial" w:cs="Arial" w:eastAsia="Arial" w:hAnsi="Arial"/>
          <w:sz w:val="22"/>
          <w:szCs w:val="22"/>
          <w:color w:val="0F0F0F"/>
        </w:rPr>
        <w:t xml:space="preserve"> </w:t>
      </w:r>
      <w:r>
        <w:rPr>
          <w:rFonts w:ascii="Arial" w:cs="Arial" w:eastAsia="Arial" w:hAnsi="Arial"/>
          <w:sz w:val="22"/>
          <w:szCs w:val="22"/>
          <w:color w:val="000000"/>
        </w:rPr>
        <w:t>action or</w:t>
      </w:r>
      <w:r>
        <w:rPr>
          <w:rFonts w:ascii="Arial" w:cs="Arial" w:eastAsia="Arial" w:hAnsi="Arial"/>
          <w:sz w:val="22"/>
          <w:szCs w:val="22"/>
          <w:color w:val="0F0F0F"/>
        </w:rPr>
        <w:t xml:space="preserve"> </w:t>
      </w:r>
      <w:r>
        <w:rPr>
          <w:rFonts w:ascii="Arial" w:cs="Arial" w:eastAsia="Arial" w:hAnsi="Arial"/>
          <w:sz w:val="22"/>
          <w:szCs w:val="22"/>
          <w:color w:val="000000"/>
        </w:rPr>
        <w:t xml:space="preserve">proceeding and </w:t>
      </w:r>
      <w:r>
        <w:rPr>
          <w:rFonts w:ascii="Arial" w:cs="Arial" w:eastAsia="Arial" w:hAnsi="Arial"/>
          <w:sz w:val="22"/>
          <w:szCs w:val="22"/>
          <w:color w:val="0F0F0F"/>
        </w:rPr>
        <w:t>in</w:t>
      </w:r>
      <w:r>
        <w:rPr>
          <w:rFonts w:ascii="Arial" w:cs="Arial" w:eastAsia="Arial" w:hAnsi="Arial"/>
          <w:sz w:val="22"/>
          <w:szCs w:val="22"/>
          <w:color w:val="000000"/>
        </w:rPr>
        <w:t xml:space="preserve"> any appeal </w:t>
      </w:r>
      <w:r>
        <w:rPr>
          <w:rFonts w:ascii="Arial" w:cs="Arial" w:eastAsia="Arial" w:hAnsi="Arial"/>
          <w:sz w:val="22"/>
          <w:szCs w:val="22"/>
          <w:color w:val="0F0F0F"/>
        </w:rPr>
        <w:t>i</w:t>
      </w:r>
      <w:r>
        <w:rPr>
          <w:rFonts w:ascii="Arial" w:cs="Arial" w:eastAsia="Arial" w:hAnsi="Arial"/>
          <w:sz w:val="22"/>
          <w:szCs w:val="22"/>
          <w:color w:val="383838"/>
        </w:rPr>
        <w:t>n</w:t>
      </w:r>
      <w:r>
        <w:rPr>
          <w:rFonts w:ascii="Arial" w:cs="Arial" w:eastAsia="Arial" w:hAnsi="Arial"/>
          <w:sz w:val="22"/>
          <w:szCs w:val="22"/>
          <w:color w:val="000000"/>
        </w:rPr>
        <w:t xml:space="preserve"> connection </w:t>
      </w:r>
      <w:r>
        <w:rPr>
          <w:rFonts w:ascii="Arial" w:cs="Arial" w:eastAsia="Arial" w:hAnsi="Arial"/>
          <w:sz w:val="22"/>
          <w:szCs w:val="22"/>
          <w:color w:val="0F0F0F"/>
        </w:rPr>
        <w:t>therewith.</w:t>
      </w:r>
    </w:p>
    <w:p>
      <w:pPr>
        <w:spacing w:after="0" w:line="161" w:lineRule="exact"/>
        <w:rPr>
          <w:sz w:val="20"/>
          <w:szCs w:val="20"/>
          <w:color w:val="auto"/>
        </w:rPr>
      </w:pPr>
    </w:p>
    <w:p>
      <w:pPr>
        <w:jc w:val="both"/>
        <w:ind w:left="640" w:hanging="647"/>
        <w:spacing w:after="0" w:line="223" w:lineRule="auto"/>
        <w:tabs>
          <w:tab w:leader="none" w:pos="620" w:val="left"/>
        </w:tabs>
        <w:rPr>
          <w:sz w:val="20"/>
          <w:szCs w:val="20"/>
          <w:color w:val="auto"/>
        </w:rPr>
      </w:pPr>
      <w:r>
        <w:rPr>
          <w:rFonts w:ascii="Arial" w:cs="Arial" w:eastAsia="Arial" w:hAnsi="Arial"/>
          <w:sz w:val="22"/>
          <w:szCs w:val="22"/>
          <w:color w:val="auto"/>
        </w:rPr>
        <w:t>41.6</w:t>
        <w:tab/>
        <w:t>Submission of this instrument for examination or signature by Tenant does not constitute a reservation of or option for a lease, and shall not be effective as a lease or otherwise until execution by and delivery to both Landlord and Tenant.</w:t>
      </w:r>
    </w:p>
    <w:p>
      <w:pPr>
        <w:spacing w:after="0" w:line="159" w:lineRule="exact"/>
        <w:rPr>
          <w:sz w:val="20"/>
          <w:szCs w:val="20"/>
          <w:color w:val="auto"/>
        </w:rPr>
      </w:pPr>
    </w:p>
    <w:p>
      <w:pPr>
        <w:jc w:val="both"/>
        <w:ind w:left="640" w:hanging="647"/>
        <w:spacing w:after="0" w:line="232" w:lineRule="auto"/>
        <w:tabs>
          <w:tab w:leader="none" w:pos="620" w:val="left"/>
        </w:tabs>
        <w:rPr>
          <w:sz w:val="20"/>
          <w:szCs w:val="20"/>
          <w:color w:val="auto"/>
        </w:rPr>
      </w:pPr>
      <w:r>
        <w:rPr>
          <w:rFonts w:ascii="Arial" w:cs="Arial" w:eastAsia="Arial" w:hAnsi="Arial"/>
          <w:sz w:val="22"/>
          <w:szCs w:val="22"/>
          <w:color w:val="auto"/>
        </w:rPr>
        <w:t>41.7</w:t>
        <w:tab/>
        <w:t>Time is of the essence with respect to the performance of every provision of this Lease in which time of performance is a factor.</w:t>
      </w:r>
    </w:p>
    <w:p>
      <w:pPr>
        <w:spacing w:after="0" w:line="15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41.8</w:t>
      </w:r>
      <w:r>
        <w:rPr>
          <w:sz w:val="20"/>
          <w:szCs w:val="20"/>
          <w:color w:val="auto"/>
        </w:rPr>
        <w:tab/>
      </w:r>
      <w:r>
        <w:rPr>
          <w:rFonts w:ascii="Arial" w:cs="Arial" w:eastAsia="Arial" w:hAnsi="Arial"/>
          <w:sz w:val="19"/>
          <w:szCs w:val="19"/>
          <w:color w:val="auto"/>
        </w:rPr>
        <w:t>Each provision of this Lease performable by Tenant shall be deemed both a covenant and a condition.</w:t>
      </w:r>
    </w:p>
    <w:p>
      <w:pPr>
        <w:spacing w:after="0" w:line="179" w:lineRule="exact"/>
        <w:rPr>
          <w:sz w:val="20"/>
          <w:szCs w:val="20"/>
          <w:color w:val="auto"/>
        </w:rPr>
      </w:pPr>
    </w:p>
    <w:p>
      <w:pPr>
        <w:jc w:val="both"/>
        <w:ind w:left="640" w:hanging="647"/>
        <w:spacing w:after="0" w:line="232" w:lineRule="auto"/>
        <w:tabs>
          <w:tab w:leader="none" w:pos="620" w:val="left"/>
        </w:tabs>
        <w:rPr>
          <w:sz w:val="20"/>
          <w:szCs w:val="20"/>
          <w:color w:val="auto"/>
        </w:rPr>
      </w:pPr>
      <w:r>
        <w:rPr>
          <w:rFonts w:ascii="Arial" w:cs="Arial" w:eastAsia="Arial" w:hAnsi="Arial"/>
          <w:sz w:val="22"/>
          <w:szCs w:val="22"/>
          <w:color w:val="auto"/>
        </w:rPr>
        <w:t>41.9</w:t>
        <w:tab/>
        <w:t>Whenever consent or approval of either party is required, that party shall not unreasonably withhold, condition or delay such consent or approval, except as may be expressly set forth to the contrary.</w:t>
      </w:r>
    </w:p>
    <w:p>
      <w:pPr>
        <w:spacing w:after="0" w:line="159" w:lineRule="exact"/>
        <w:rPr>
          <w:sz w:val="20"/>
          <w:szCs w:val="20"/>
          <w:color w:val="auto"/>
        </w:rPr>
      </w:pPr>
    </w:p>
    <w:p>
      <w:pPr>
        <w:jc w:val="both"/>
        <w:ind w:left="640" w:hanging="647"/>
        <w:spacing w:after="0" w:line="223" w:lineRule="auto"/>
        <w:rPr>
          <w:sz w:val="20"/>
          <w:szCs w:val="20"/>
          <w:color w:val="auto"/>
        </w:rPr>
      </w:pPr>
      <w:r>
        <w:rPr>
          <w:rFonts w:ascii="Arial" w:cs="Arial" w:eastAsia="Arial" w:hAnsi="Arial"/>
          <w:sz w:val="22"/>
          <w:szCs w:val="22"/>
          <w:color w:val="auto"/>
        </w:rPr>
        <w:t>41.10 The terms of this Lease are intended by the parties as a final expression of their agreement with respect to the terms as are included herein, and may not be contradicted by evidence of any prior or contemporaneous agreement.</w:t>
      </w:r>
    </w:p>
    <w:p>
      <w:pPr>
        <w:spacing w:after="0" w:line="159" w:lineRule="exact"/>
        <w:rPr>
          <w:sz w:val="20"/>
          <w:szCs w:val="20"/>
          <w:color w:val="auto"/>
        </w:rPr>
      </w:pPr>
    </w:p>
    <w:p>
      <w:pPr>
        <w:jc w:val="both"/>
        <w:ind w:left="640" w:right="20" w:hanging="647"/>
        <w:spacing w:after="0" w:line="223" w:lineRule="auto"/>
        <w:rPr>
          <w:sz w:val="20"/>
          <w:szCs w:val="20"/>
          <w:color w:val="auto"/>
        </w:rPr>
      </w:pPr>
      <w:r>
        <w:rPr>
          <w:rFonts w:ascii="Arial" w:cs="Arial" w:eastAsia="Arial" w:hAnsi="Arial"/>
          <w:sz w:val="22"/>
          <w:szCs w:val="22"/>
          <w:color w:val="auto"/>
        </w:rPr>
        <w:t>41.11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159" w:lineRule="exact"/>
        <w:rPr>
          <w:sz w:val="20"/>
          <w:szCs w:val="20"/>
          <w:color w:val="auto"/>
        </w:rPr>
      </w:pPr>
    </w:p>
    <w:p>
      <w:pPr>
        <w:jc w:val="both"/>
        <w:ind w:left="640" w:hanging="647"/>
        <w:spacing w:after="0" w:line="221" w:lineRule="auto"/>
        <w:rPr>
          <w:sz w:val="20"/>
          <w:szCs w:val="20"/>
          <w:color w:val="auto"/>
        </w:rPr>
      </w:pPr>
      <w:r>
        <w:rPr>
          <w:rFonts w:ascii="Arial" w:cs="Arial" w:eastAsia="Arial" w:hAnsi="Arial"/>
          <w:sz w:val="21"/>
          <w:szCs w:val="21"/>
          <w:color w:val="auto"/>
        </w:rPr>
        <w:t>41.12 Landlord or Tenant may, but shall not be obligated to, record a short form or memorandum hereof without the other party’s consent but such other party shall execute such short form or memorandum if requested to do so. Upon either party’s request, Landlord and Tenant shall execute, deliver and record such short form or memorandum in such form as mutually agreed to by the parties, along with an instrument signed by Tenant acknowledging the termination of this Lease to be held by Landlord until such termination actually occurs. Landlord shall not record the instrument acknowledging the termination of this Lease until the expiration or earlier termination of this Lease. Neither party shall record this Lease. The party asking to record such short form or memorandum shall be responsible for the cost of recording the same, including any transfer or other taxes incurred in connection with said recordation.</w:t>
      </w:r>
    </w:p>
    <w:p>
      <w:pPr>
        <w:spacing w:after="0" w:line="159" w:lineRule="exact"/>
        <w:rPr>
          <w:sz w:val="20"/>
          <w:szCs w:val="20"/>
          <w:color w:val="auto"/>
        </w:rPr>
      </w:pPr>
    </w:p>
    <w:p>
      <w:pPr>
        <w:jc w:val="both"/>
        <w:ind w:left="640" w:right="20" w:hanging="647"/>
        <w:spacing w:after="0" w:line="232" w:lineRule="auto"/>
        <w:rPr>
          <w:sz w:val="20"/>
          <w:szCs w:val="20"/>
          <w:color w:val="auto"/>
        </w:rPr>
      </w:pPr>
      <w:r>
        <w:rPr>
          <w:rFonts w:ascii="Arial" w:cs="Arial" w:eastAsia="Arial" w:hAnsi="Arial"/>
          <w:sz w:val="22"/>
          <w:szCs w:val="22"/>
          <w:color w:val="auto"/>
        </w:rPr>
        <w:t>41.13 The language in all parts of this Lease shall be in all cases construed as a whole according to its fair meaning and not strictly for or against either Landlord or Tenant.</w:t>
      </w:r>
    </w:p>
    <w:p>
      <w:pPr>
        <w:spacing w:after="0" w:line="159" w:lineRule="exact"/>
        <w:rPr>
          <w:sz w:val="20"/>
          <w:szCs w:val="20"/>
          <w:color w:val="auto"/>
        </w:rPr>
      </w:pPr>
    </w:p>
    <w:p>
      <w:pPr>
        <w:jc w:val="both"/>
        <w:ind w:left="640" w:hanging="647"/>
        <w:spacing w:after="0" w:line="218" w:lineRule="auto"/>
        <w:rPr>
          <w:sz w:val="20"/>
          <w:szCs w:val="20"/>
          <w:color w:val="auto"/>
        </w:rPr>
      </w:pPr>
      <w:r>
        <w:rPr>
          <w:rFonts w:ascii="Arial" w:cs="Arial" w:eastAsia="Arial" w:hAnsi="Arial"/>
          <w:sz w:val="22"/>
          <w:szCs w:val="22"/>
          <w:color w:val="auto"/>
        </w:rPr>
        <w:t>41.14 Each of the covenants, conditions and agreements herein contained shall inure to the benefit of and shall apply to and be binding upon the parties hereto and their respective heirs; legatees; devisees; executors; administrators; and permitted successors, assigns, sublessees. Nothing in this Section shall in any way alter the provisions of this Lease restricting assignment or subletting.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580"/>
          </w:cols>
          <w:pgMar w:left="980" w:top="1401" w:right="339" w:bottom="1440" w:gutter="0" w:footer="0" w:header="0"/>
        </w:sectPr>
      </w:pPr>
    </w:p>
    <w:bookmarkStart w:id="368" w:name="page369"/>
    <w:bookmarkEnd w:id="368"/>
    <w:p>
      <w:pPr>
        <w:jc w:val="both"/>
        <w:ind w:left="1300" w:hanging="647"/>
        <w:spacing w:after="0" w:line="232" w:lineRule="auto"/>
        <w:rPr>
          <w:sz w:val="20"/>
          <w:szCs w:val="20"/>
          <w:color w:val="auto"/>
        </w:rPr>
      </w:pPr>
      <w:r>
        <w:rPr>
          <w:rFonts w:ascii="Arial" w:cs="Arial" w:eastAsia="Arial" w:hAnsi="Arial"/>
          <w:sz w:val="22"/>
          <w:szCs w:val="22"/>
          <w:color w:val="auto"/>
        </w:rPr>
        <w:t>41.15 This Lease shall be governed by, construed and enforced in accordance with the laws of the state in which the Premises are located, without regard to such state’s conflict of law principles.</w:t>
      </w:r>
    </w:p>
    <w:p>
      <w:pPr>
        <w:spacing w:after="0" w:line="159" w:lineRule="exact"/>
        <w:rPr>
          <w:sz w:val="20"/>
          <w:szCs w:val="20"/>
          <w:color w:val="auto"/>
        </w:rPr>
      </w:pPr>
    </w:p>
    <w:p>
      <w:pPr>
        <w:jc w:val="both"/>
        <w:ind w:left="1300" w:hanging="647"/>
        <w:spacing w:after="0" w:line="247" w:lineRule="auto"/>
        <w:rPr>
          <w:sz w:val="20"/>
          <w:szCs w:val="20"/>
          <w:color w:val="auto"/>
        </w:rPr>
      </w:pPr>
      <w:r>
        <w:rPr>
          <w:rFonts w:ascii="Arial" w:cs="Arial" w:eastAsia="Arial" w:hAnsi="Arial"/>
          <w:sz w:val="19"/>
          <w:szCs w:val="19"/>
          <w:color w:val="auto"/>
        </w:rPr>
        <w:t xml:space="preserve">41.16 </w:t>
      </w:r>
      <w:r>
        <w:rPr>
          <w:rFonts w:ascii="Arial" w:cs="Arial" w:eastAsia="Arial" w:hAnsi="Arial"/>
          <w:sz w:val="19"/>
          <w:szCs w:val="19"/>
          <w:color w:val="131313"/>
        </w:rPr>
        <w:t>Tenant</w:t>
      </w:r>
      <w:r>
        <w:rPr>
          <w:rFonts w:ascii="Arial" w:cs="Arial" w:eastAsia="Arial" w:hAnsi="Arial"/>
          <w:sz w:val="19"/>
          <w:szCs w:val="19"/>
          <w:color w:val="auto"/>
        </w:rPr>
        <w:t xml:space="preserve"> guarantees, </w:t>
      </w:r>
      <w:r>
        <w:rPr>
          <w:rFonts w:ascii="Arial" w:cs="Arial" w:eastAsia="Arial" w:hAnsi="Arial"/>
          <w:sz w:val="19"/>
          <w:szCs w:val="19"/>
          <w:color w:val="131313"/>
        </w:rPr>
        <w:t>warrants and represents that</w:t>
      </w:r>
      <w:r>
        <w:rPr>
          <w:rFonts w:ascii="Arial" w:cs="Arial" w:eastAsia="Arial" w:hAnsi="Arial"/>
          <w:sz w:val="19"/>
          <w:szCs w:val="19"/>
          <w:color w:val="auto"/>
        </w:rPr>
        <w:t xml:space="preserve"> the </w:t>
      </w:r>
      <w:r>
        <w:rPr>
          <w:rFonts w:ascii="Arial" w:cs="Arial" w:eastAsia="Arial" w:hAnsi="Arial"/>
          <w:sz w:val="19"/>
          <w:szCs w:val="19"/>
          <w:color w:val="343434"/>
        </w:rPr>
        <w:t>individual</w:t>
      </w:r>
      <w:r>
        <w:rPr>
          <w:rFonts w:ascii="Arial" w:cs="Arial" w:eastAsia="Arial" w:hAnsi="Arial"/>
          <w:sz w:val="19"/>
          <w:szCs w:val="19"/>
          <w:color w:val="auto"/>
        </w:rPr>
        <w:t xml:space="preserve"> or individuals </w:t>
      </w:r>
      <w:r>
        <w:rPr>
          <w:rFonts w:ascii="Arial" w:cs="Arial" w:eastAsia="Arial" w:hAnsi="Arial"/>
          <w:sz w:val="19"/>
          <w:szCs w:val="19"/>
          <w:color w:val="343434"/>
        </w:rPr>
        <w:t>signing</w:t>
      </w:r>
      <w:r>
        <w:rPr>
          <w:rFonts w:ascii="Arial" w:cs="Arial" w:eastAsia="Arial" w:hAnsi="Arial"/>
          <w:sz w:val="19"/>
          <w:szCs w:val="19"/>
          <w:color w:val="auto"/>
        </w:rPr>
        <w:t xml:space="preserve"> this </w:t>
      </w:r>
      <w:r>
        <w:rPr>
          <w:rFonts w:ascii="Arial" w:cs="Arial" w:eastAsia="Arial" w:hAnsi="Arial"/>
          <w:sz w:val="19"/>
          <w:szCs w:val="19"/>
          <w:color w:val="131313"/>
        </w:rPr>
        <w:t>Lease on its behalf</w:t>
      </w:r>
      <w:r>
        <w:rPr>
          <w:rFonts w:ascii="Arial" w:cs="Arial" w:eastAsia="Arial" w:hAnsi="Arial"/>
          <w:sz w:val="19"/>
          <w:szCs w:val="19"/>
          <w:color w:val="auto"/>
        </w:rPr>
        <w:t xml:space="preserve"> have the power, authority </w:t>
      </w:r>
      <w:r>
        <w:rPr>
          <w:rFonts w:ascii="Arial" w:cs="Arial" w:eastAsia="Arial" w:hAnsi="Arial"/>
          <w:sz w:val="19"/>
          <w:szCs w:val="19"/>
          <w:color w:val="343434"/>
        </w:rPr>
        <w:t>and</w:t>
      </w:r>
      <w:r>
        <w:rPr>
          <w:rFonts w:ascii="Arial" w:cs="Arial" w:eastAsia="Arial" w:hAnsi="Arial"/>
          <w:sz w:val="19"/>
          <w:szCs w:val="19"/>
          <w:color w:val="auto"/>
        </w:rPr>
        <w:t xml:space="preserve"> </w:t>
      </w:r>
      <w:r>
        <w:rPr>
          <w:rFonts w:ascii="Arial" w:cs="Arial" w:eastAsia="Arial" w:hAnsi="Arial"/>
          <w:sz w:val="19"/>
          <w:szCs w:val="19"/>
          <w:color w:val="131313"/>
        </w:rPr>
        <w:t>legal</w:t>
      </w:r>
      <w:r>
        <w:rPr>
          <w:rFonts w:ascii="Arial" w:cs="Arial" w:eastAsia="Arial" w:hAnsi="Arial"/>
          <w:sz w:val="19"/>
          <w:szCs w:val="19"/>
          <w:color w:val="auto"/>
        </w:rPr>
        <w:t xml:space="preserve"> capacity </w:t>
      </w:r>
      <w:r>
        <w:rPr>
          <w:rFonts w:ascii="Arial" w:cs="Arial" w:eastAsia="Arial" w:hAnsi="Arial"/>
          <w:sz w:val="19"/>
          <w:szCs w:val="19"/>
          <w:color w:val="131313"/>
        </w:rPr>
        <w:t>to</w:t>
      </w:r>
      <w:r>
        <w:rPr>
          <w:rFonts w:ascii="Arial" w:cs="Arial" w:eastAsia="Arial" w:hAnsi="Arial"/>
          <w:sz w:val="19"/>
          <w:szCs w:val="19"/>
          <w:color w:val="auto"/>
        </w:rPr>
        <w:t xml:space="preserve"> </w:t>
      </w:r>
      <w:r>
        <w:rPr>
          <w:rFonts w:ascii="Arial" w:cs="Arial" w:eastAsia="Arial" w:hAnsi="Arial"/>
          <w:sz w:val="19"/>
          <w:szCs w:val="19"/>
          <w:color w:val="343434"/>
        </w:rPr>
        <w:t>sign this</w:t>
      </w:r>
      <w:r>
        <w:rPr>
          <w:rFonts w:ascii="Arial" w:cs="Arial" w:eastAsia="Arial" w:hAnsi="Arial"/>
          <w:sz w:val="19"/>
          <w:szCs w:val="19"/>
          <w:color w:val="auto"/>
        </w:rPr>
        <w:t xml:space="preserve"> Lease </w:t>
      </w:r>
      <w:r>
        <w:rPr>
          <w:rFonts w:ascii="Arial" w:cs="Arial" w:eastAsia="Arial" w:hAnsi="Arial"/>
          <w:sz w:val="19"/>
          <w:szCs w:val="19"/>
          <w:color w:val="131313"/>
        </w:rPr>
        <w:t>on behalf</w:t>
      </w:r>
      <w:r>
        <w:rPr>
          <w:rFonts w:ascii="Arial" w:cs="Arial" w:eastAsia="Arial" w:hAnsi="Arial"/>
          <w:sz w:val="19"/>
          <w:szCs w:val="19"/>
          <w:color w:val="auto"/>
        </w:rPr>
        <w:t xml:space="preserve"> of </w:t>
      </w:r>
      <w:r>
        <w:rPr>
          <w:rFonts w:ascii="Arial" w:cs="Arial" w:eastAsia="Arial" w:hAnsi="Arial"/>
          <w:sz w:val="19"/>
          <w:szCs w:val="19"/>
          <w:color w:val="131313"/>
        </w:rPr>
        <w:t>and</w:t>
      </w:r>
      <w:r>
        <w:rPr>
          <w:rFonts w:ascii="Arial" w:cs="Arial" w:eastAsia="Arial" w:hAnsi="Arial"/>
          <w:sz w:val="19"/>
          <w:szCs w:val="19"/>
          <w:color w:val="auto"/>
        </w:rPr>
        <w:t xml:space="preserve"> to </w:t>
      </w:r>
      <w:r>
        <w:rPr>
          <w:rFonts w:ascii="Arial" w:cs="Arial" w:eastAsia="Arial" w:hAnsi="Arial"/>
          <w:sz w:val="19"/>
          <w:szCs w:val="19"/>
          <w:color w:val="131313"/>
        </w:rPr>
        <w:t>bind</w:t>
      </w:r>
      <w:r>
        <w:rPr>
          <w:rFonts w:ascii="Arial" w:cs="Arial" w:eastAsia="Arial" w:hAnsi="Arial"/>
          <w:sz w:val="19"/>
          <w:szCs w:val="19"/>
          <w:color w:val="auto"/>
        </w:rPr>
        <w:t xml:space="preserve"> all entities, corporations, partnerships, </w:t>
      </w:r>
      <w:r>
        <w:rPr>
          <w:rFonts w:ascii="Arial" w:cs="Arial" w:eastAsia="Arial" w:hAnsi="Arial"/>
          <w:sz w:val="19"/>
          <w:szCs w:val="19"/>
          <w:color w:val="131313"/>
        </w:rPr>
        <w:t>limited liability</w:t>
      </w:r>
      <w:r>
        <w:rPr>
          <w:rFonts w:ascii="Arial" w:cs="Arial" w:eastAsia="Arial" w:hAnsi="Arial"/>
          <w:sz w:val="19"/>
          <w:szCs w:val="19"/>
          <w:color w:val="auto"/>
        </w:rPr>
        <w:t xml:space="preserve"> companies, joint venturers or other organizations and entities </w:t>
      </w:r>
      <w:r>
        <w:rPr>
          <w:rFonts w:ascii="Arial" w:cs="Arial" w:eastAsia="Arial" w:hAnsi="Arial"/>
          <w:sz w:val="19"/>
          <w:szCs w:val="19"/>
          <w:color w:val="343434"/>
        </w:rPr>
        <w:t>on</w:t>
      </w:r>
      <w:r>
        <w:rPr>
          <w:rFonts w:ascii="Arial" w:cs="Arial" w:eastAsia="Arial" w:hAnsi="Arial"/>
          <w:sz w:val="19"/>
          <w:szCs w:val="19"/>
          <w:color w:val="auto"/>
        </w:rPr>
        <w:t xml:space="preserve"> whose </w:t>
      </w:r>
      <w:r>
        <w:rPr>
          <w:rFonts w:ascii="Arial" w:cs="Arial" w:eastAsia="Arial" w:hAnsi="Arial"/>
          <w:sz w:val="19"/>
          <w:szCs w:val="19"/>
          <w:color w:val="131313"/>
        </w:rPr>
        <w:t>behalf</w:t>
      </w:r>
      <w:r>
        <w:rPr>
          <w:rFonts w:ascii="Arial" w:cs="Arial" w:eastAsia="Arial" w:hAnsi="Arial"/>
          <w:sz w:val="19"/>
          <w:szCs w:val="19"/>
          <w:color w:val="auto"/>
        </w:rPr>
        <w:t xml:space="preserve"> said </w:t>
      </w:r>
      <w:r>
        <w:rPr>
          <w:rFonts w:ascii="Arial" w:cs="Arial" w:eastAsia="Arial" w:hAnsi="Arial"/>
          <w:sz w:val="19"/>
          <w:szCs w:val="19"/>
          <w:color w:val="131313"/>
        </w:rPr>
        <w:t xml:space="preserve">individual or individuals have </w:t>
      </w:r>
      <w:r>
        <w:rPr>
          <w:rFonts w:ascii="Arial" w:cs="Arial" w:eastAsia="Arial" w:hAnsi="Arial"/>
          <w:sz w:val="19"/>
          <w:szCs w:val="19"/>
          <w:color w:val="343434"/>
        </w:rPr>
        <w:t>signed. Landlord</w:t>
      </w:r>
      <w:r>
        <w:rPr>
          <w:rFonts w:ascii="Arial" w:cs="Arial" w:eastAsia="Arial" w:hAnsi="Arial"/>
          <w:sz w:val="19"/>
          <w:szCs w:val="19"/>
          <w:color w:val="131313"/>
        </w:rPr>
        <w:t xml:space="preserve"> guarantees, </w:t>
      </w:r>
      <w:r>
        <w:rPr>
          <w:rFonts w:ascii="Arial" w:cs="Arial" w:eastAsia="Arial" w:hAnsi="Arial"/>
          <w:sz w:val="19"/>
          <w:szCs w:val="19"/>
          <w:color w:val="000000"/>
        </w:rPr>
        <w:t>warrants and</w:t>
      </w:r>
      <w:r>
        <w:rPr>
          <w:rFonts w:ascii="Arial" w:cs="Arial" w:eastAsia="Arial" w:hAnsi="Arial"/>
          <w:sz w:val="19"/>
          <w:szCs w:val="19"/>
          <w:color w:val="131313"/>
        </w:rPr>
        <w:t xml:space="preserve"> represents that the individual </w:t>
      </w:r>
      <w:r>
        <w:rPr>
          <w:rFonts w:ascii="Arial" w:cs="Arial" w:eastAsia="Arial" w:hAnsi="Arial"/>
          <w:sz w:val="19"/>
          <w:szCs w:val="19"/>
          <w:color w:val="000000"/>
        </w:rPr>
        <w:t>or</w:t>
      </w:r>
      <w:r>
        <w:rPr>
          <w:rFonts w:ascii="Arial" w:cs="Arial" w:eastAsia="Arial" w:hAnsi="Arial"/>
          <w:sz w:val="19"/>
          <w:szCs w:val="19"/>
          <w:color w:val="131313"/>
        </w:rPr>
        <w:t xml:space="preserve"> </w:t>
      </w:r>
      <w:r>
        <w:rPr>
          <w:rFonts w:ascii="Arial" w:cs="Arial" w:eastAsia="Arial" w:hAnsi="Arial"/>
          <w:sz w:val="19"/>
          <w:szCs w:val="19"/>
          <w:color w:val="343434"/>
        </w:rPr>
        <w:t xml:space="preserve">individuals </w:t>
      </w:r>
      <w:r>
        <w:rPr>
          <w:rFonts w:ascii="Arial" w:cs="Arial" w:eastAsia="Arial" w:hAnsi="Arial"/>
          <w:sz w:val="19"/>
          <w:szCs w:val="19"/>
          <w:color w:val="000000"/>
        </w:rPr>
        <w:t>signing this</w:t>
      </w:r>
      <w:r>
        <w:rPr>
          <w:rFonts w:ascii="Arial" w:cs="Arial" w:eastAsia="Arial" w:hAnsi="Arial"/>
          <w:sz w:val="19"/>
          <w:szCs w:val="19"/>
          <w:color w:val="343434"/>
        </w:rPr>
        <w:t xml:space="preserve"> </w:t>
      </w:r>
      <w:r>
        <w:rPr>
          <w:rFonts w:ascii="Arial" w:cs="Arial" w:eastAsia="Arial" w:hAnsi="Arial"/>
          <w:sz w:val="19"/>
          <w:szCs w:val="19"/>
          <w:color w:val="131313"/>
        </w:rPr>
        <w:t>Lease</w:t>
      </w:r>
      <w:r>
        <w:rPr>
          <w:rFonts w:ascii="Arial" w:cs="Arial" w:eastAsia="Arial" w:hAnsi="Arial"/>
          <w:sz w:val="19"/>
          <w:szCs w:val="19"/>
          <w:color w:val="343434"/>
        </w:rPr>
        <w:t xml:space="preserve"> </w:t>
      </w:r>
      <w:r>
        <w:rPr>
          <w:rFonts w:ascii="Arial" w:cs="Arial" w:eastAsia="Arial" w:hAnsi="Arial"/>
          <w:sz w:val="19"/>
          <w:szCs w:val="19"/>
          <w:color w:val="000000"/>
        </w:rPr>
        <w:t>on its</w:t>
      </w:r>
      <w:r>
        <w:rPr>
          <w:rFonts w:ascii="Arial" w:cs="Arial" w:eastAsia="Arial" w:hAnsi="Arial"/>
          <w:sz w:val="19"/>
          <w:szCs w:val="19"/>
          <w:color w:val="343434"/>
        </w:rPr>
        <w:t xml:space="preserve"> </w:t>
      </w:r>
      <w:r>
        <w:rPr>
          <w:rFonts w:ascii="Arial" w:cs="Arial" w:eastAsia="Arial" w:hAnsi="Arial"/>
          <w:sz w:val="19"/>
          <w:szCs w:val="19"/>
          <w:color w:val="131313"/>
        </w:rPr>
        <w:t>behalf have</w:t>
      </w:r>
      <w:r>
        <w:rPr>
          <w:rFonts w:ascii="Arial" w:cs="Arial" w:eastAsia="Arial" w:hAnsi="Arial"/>
          <w:sz w:val="19"/>
          <w:szCs w:val="19"/>
          <w:color w:val="343434"/>
        </w:rPr>
        <w:t xml:space="preserve"> </w:t>
      </w:r>
      <w:r>
        <w:rPr>
          <w:rFonts w:ascii="Arial" w:cs="Arial" w:eastAsia="Arial" w:hAnsi="Arial"/>
          <w:sz w:val="19"/>
          <w:szCs w:val="19"/>
          <w:color w:val="000000"/>
        </w:rPr>
        <w:t>the</w:t>
      </w:r>
      <w:r>
        <w:rPr>
          <w:rFonts w:ascii="Arial" w:cs="Arial" w:eastAsia="Arial" w:hAnsi="Arial"/>
          <w:sz w:val="19"/>
          <w:szCs w:val="19"/>
          <w:color w:val="343434"/>
        </w:rPr>
        <w:t xml:space="preserve"> </w:t>
      </w:r>
      <w:r>
        <w:rPr>
          <w:rFonts w:ascii="Arial" w:cs="Arial" w:eastAsia="Arial" w:hAnsi="Arial"/>
          <w:sz w:val="19"/>
          <w:szCs w:val="19"/>
          <w:color w:val="131313"/>
        </w:rPr>
        <w:t>power,</w:t>
      </w:r>
      <w:r>
        <w:rPr>
          <w:rFonts w:ascii="Arial" w:cs="Arial" w:eastAsia="Arial" w:hAnsi="Arial"/>
          <w:sz w:val="19"/>
          <w:szCs w:val="19"/>
          <w:color w:val="343434"/>
        </w:rPr>
        <w:t xml:space="preserve"> authority </w:t>
      </w:r>
      <w:r>
        <w:rPr>
          <w:rFonts w:ascii="Arial" w:cs="Arial" w:eastAsia="Arial" w:hAnsi="Arial"/>
          <w:sz w:val="19"/>
          <w:szCs w:val="19"/>
          <w:color w:val="131313"/>
        </w:rPr>
        <w:t>and</w:t>
      </w:r>
      <w:r>
        <w:rPr>
          <w:rFonts w:ascii="Arial" w:cs="Arial" w:eastAsia="Arial" w:hAnsi="Arial"/>
          <w:sz w:val="19"/>
          <w:szCs w:val="19"/>
          <w:color w:val="343434"/>
        </w:rPr>
        <w:t xml:space="preserve"> legal </w:t>
      </w:r>
      <w:r>
        <w:rPr>
          <w:rFonts w:ascii="Arial" w:cs="Arial" w:eastAsia="Arial" w:hAnsi="Arial"/>
          <w:sz w:val="19"/>
          <w:szCs w:val="19"/>
          <w:color w:val="131313"/>
        </w:rPr>
        <w:t>capacity</w:t>
      </w:r>
      <w:r>
        <w:rPr>
          <w:rFonts w:ascii="Arial" w:cs="Arial" w:eastAsia="Arial" w:hAnsi="Arial"/>
          <w:sz w:val="19"/>
          <w:szCs w:val="19"/>
          <w:color w:val="343434"/>
        </w:rPr>
        <w:t xml:space="preserve"> to sign </w:t>
      </w:r>
      <w:r>
        <w:rPr>
          <w:rFonts w:ascii="Arial" w:cs="Arial" w:eastAsia="Arial" w:hAnsi="Arial"/>
          <w:sz w:val="19"/>
          <w:szCs w:val="19"/>
          <w:color w:val="131313"/>
        </w:rPr>
        <w:t>this</w:t>
      </w:r>
      <w:r>
        <w:rPr>
          <w:rFonts w:ascii="Arial" w:cs="Arial" w:eastAsia="Arial" w:hAnsi="Arial"/>
          <w:sz w:val="19"/>
          <w:szCs w:val="19"/>
          <w:color w:val="343434"/>
        </w:rPr>
        <w:t xml:space="preserve"> </w:t>
      </w:r>
      <w:r>
        <w:rPr>
          <w:rFonts w:ascii="Arial" w:cs="Arial" w:eastAsia="Arial" w:hAnsi="Arial"/>
          <w:sz w:val="19"/>
          <w:szCs w:val="19"/>
          <w:color w:val="000000"/>
        </w:rPr>
        <w:t>Lease on</w:t>
      </w:r>
      <w:r>
        <w:rPr>
          <w:rFonts w:ascii="Arial" w:cs="Arial" w:eastAsia="Arial" w:hAnsi="Arial"/>
          <w:sz w:val="19"/>
          <w:szCs w:val="19"/>
          <w:color w:val="343434"/>
        </w:rPr>
        <w:t xml:space="preserve"> </w:t>
      </w:r>
      <w:r>
        <w:rPr>
          <w:rFonts w:ascii="Arial" w:cs="Arial" w:eastAsia="Arial" w:hAnsi="Arial"/>
          <w:sz w:val="19"/>
          <w:szCs w:val="19"/>
          <w:color w:val="131313"/>
        </w:rPr>
        <w:t xml:space="preserve">behalf </w:t>
      </w:r>
      <w:r>
        <w:rPr>
          <w:rFonts w:ascii="Arial" w:cs="Arial" w:eastAsia="Arial" w:hAnsi="Arial"/>
          <w:sz w:val="19"/>
          <w:szCs w:val="19"/>
          <w:color w:val="000000"/>
        </w:rPr>
        <w:t>of and</w:t>
      </w:r>
      <w:r>
        <w:rPr>
          <w:rFonts w:ascii="Arial" w:cs="Arial" w:eastAsia="Arial" w:hAnsi="Arial"/>
          <w:sz w:val="19"/>
          <w:szCs w:val="19"/>
          <w:color w:val="131313"/>
        </w:rPr>
        <w:t xml:space="preserve"> to bind </w:t>
      </w:r>
      <w:r>
        <w:rPr>
          <w:rFonts w:ascii="Arial" w:cs="Arial" w:eastAsia="Arial" w:hAnsi="Arial"/>
          <w:sz w:val="19"/>
          <w:szCs w:val="19"/>
          <w:color w:val="000000"/>
        </w:rPr>
        <w:t>all entities, corporations, partnerships,</w:t>
      </w:r>
      <w:r>
        <w:rPr>
          <w:rFonts w:ascii="Arial" w:cs="Arial" w:eastAsia="Arial" w:hAnsi="Arial"/>
          <w:sz w:val="19"/>
          <w:szCs w:val="19"/>
          <w:color w:val="131313"/>
        </w:rPr>
        <w:t xml:space="preserve"> </w:t>
      </w:r>
      <w:r>
        <w:rPr>
          <w:rFonts w:ascii="Arial" w:cs="Arial" w:eastAsia="Arial" w:hAnsi="Arial"/>
          <w:sz w:val="19"/>
          <w:szCs w:val="19"/>
          <w:color w:val="343434"/>
        </w:rPr>
        <w:t>limited</w:t>
      </w:r>
      <w:r>
        <w:rPr>
          <w:rFonts w:ascii="Arial" w:cs="Arial" w:eastAsia="Arial" w:hAnsi="Arial"/>
          <w:sz w:val="19"/>
          <w:szCs w:val="19"/>
          <w:color w:val="131313"/>
        </w:rPr>
        <w:t xml:space="preserve"> liability companies, joint </w:t>
      </w:r>
      <w:r>
        <w:rPr>
          <w:rFonts w:ascii="Arial" w:cs="Arial" w:eastAsia="Arial" w:hAnsi="Arial"/>
          <w:sz w:val="19"/>
          <w:szCs w:val="19"/>
          <w:color w:val="000000"/>
        </w:rPr>
        <w:t>venturers or other</w:t>
      </w:r>
      <w:r>
        <w:rPr>
          <w:rFonts w:ascii="Arial" w:cs="Arial" w:eastAsia="Arial" w:hAnsi="Arial"/>
          <w:sz w:val="19"/>
          <w:szCs w:val="19"/>
          <w:color w:val="131313"/>
        </w:rPr>
        <w:t xml:space="preserve"> </w:t>
      </w:r>
      <w:r>
        <w:rPr>
          <w:rFonts w:ascii="Arial" w:cs="Arial" w:eastAsia="Arial" w:hAnsi="Arial"/>
          <w:sz w:val="19"/>
          <w:szCs w:val="19"/>
          <w:color w:val="343434"/>
        </w:rPr>
        <w:t xml:space="preserve">organizations </w:t>
      </w:r>
      <w:r>
        <w:rPr>
          <w:rFonts w:ascii="Arial" w:cs="Arial" w:eastAsia="Arial" w:hAnsi="Arial"/>
          <w:sz w:val="19"/>
          <w:szCs w:val="19"/>
          <w:color w:val="000000"/>
        </w:rPr>
        <w:t>and</w:t>
      </w:r>
      <w:r>
        <w:rPr>
          <w:rFonts w:ascii="Arial" w:cs="Arial" w:eastAsia="Arial" w:hAnsi="Arial"/>
          <w:sz w:val="19"/>
          <w:szCs w:val="19"/>
          <w:color w:val="343434"/>
        </w:rPr>
        <w:t xml:space="preserve"> entities </w:t>
      </w:r>
      <w:r>
        <w:rPr>
          <w:rFonts w:ascii="Arial" w:cs="Arial" w:eastAsia="Arial" w:hAnsi="Arial"/>
          <w:sz w:val="19"/>
          <w:szCs w:val="19"/>
          <w:color w:val="131313"/>
        </w:rPr>
        <w:t>on</w:t>
      </w:r>
      <w:r>
        <w:rPr>
          <w:rFonts w:ascii="Arial" w:cs="Arial" w:eastAsia="Arial" w:hAnsi="Arial"/>
          <w:sz w:val="19"/>
          <w:szCs w:val="19"/>
          <w:color w:val="343434"/>
        </w:rPr>
        <w:t xml:space="preserve"> </w:t>
      </w:r>
      <w:r>
        <w:rPr>
          <w:rFonts w:ascii="Arial" w:cs="Arial" w:eastAsia="Arial" w:hAnsi="Arial"/>
          <w:sz w:val="19"/>
          <w:szCs w:val="19"/>
          <w:color w:val="000000"/>
        </w:rPr>
        <w:t>whose behalf</w:t>
      </w:r>
      <w:r>
        <w:rPr>
          <w:rFonts w:ascii="Arial" w:cs="Arial" w:eastAsia="Arial" w:hAnsi="Arial"/>
          <w:sz w:val="19"/>
          <w:szCs w:val="19"/>
          <w:color w:val="343434"/>
        </w:rPr>
        <w:t xml:space="preserve"> said individual </w:t>
      </w:r>
      <w:r>
        <w:rPr>
          <w:rFonts w:ascii="Arial" w:cs="Arial" w:eastAsia="Arial" w:hAnsi="Arial"/>
          <w:sz w:val="19"/>
          <w:szCs w:val="19"/>
          <w:color w:val="000000"/>
        </w:rPr>
        <w:t>or individuals</w:t>
      </w:r>
      <w:r>
        <w:rPr>
          <w:rFonts w:ascii="Arial" w:cs="Arial" w:eastAsia="Arial" w:hAnsi="Arial"/>
          <w:sz w:val="19"/>
          <w:szCs w:val="19"/>
          <w:color w:val="343434"/>
        </w:rPr>
        <w:t xml:space="preserve"> </w:t>
      </w:r>
      <w:r>
        <w:rPr>
          <w:rFonts w:ascii="Arial" w:cs="Arial" w:eastAsia="Arial" w:hAnsi="Arial"/>
          <w:sz w:val="19"/>
          <w:szCs w:val="19"/>
          <w:color w:val="131313"/>
        </w:rPr>
        <w:t>have</w:t>
      </w:r>
      <w:r>
        <w:rPr>
          <w:rFonts w:ascii="Arial" w:cs="Arial" w:eastAsia="Arial" w:hAnsi="Arial"/>
          <w:sz w:val="19"/>
          <w:szCs w:val="19"/>
          <w:color w:val="343434"/>
        </w:rPr>
        <w:t xml:space="preserve"> </w:t>
      </w:r>
      <w:r>
        <w:rPr>
          <w:rFonts w:ascii="Arial" w:cs="Arial" w:eastAsia="Arial" w:hAnsi="Arial"/>
          <w:sz w:val="19"/>
          <w:szCs w:val="19"/>
          <w:color w:val="000000"/>
        </w:rPr>
        <w:t>signed.</w:t>
      </w:r>
    </w:p>
    <w:p>
      <w:pPr>
        <w:spacing w:after="0" w:line="154" w:lineRule="exact"/>
        <w:rPr>
          <w:sz w:val="20"/>
          <w:szCs w:val="20"/>
          <w:color w:val="auto"/>
        </w:rPr>
      </w:pPr>
    </w:p>
    <w:p>
      <w:pPr>
        <w:jc w:val="both"/>
        <w:ind w:left="1300" w:hanging="647"/>
        <w:spacing w:after="0" w:line="232" w:lineRule="auto"/>
        <w:rPr>
          <w:sz w:val="20"/>
          <w:szCs w:val="20"/>
          <w:color w:val="auto"/>
        </w:rPr>
      </w:pPr>
      <w:r>
        <w:rPr>
          <w:rFonts w:ascii="Arial" w:cs="Arial" w:eastAsia="Arial" w:hAnsi="Arial"/>
          <w:sz w:val="22"/>
          <w:szCs w:val="22"/>
          <w:color w:val="auto"/>
        </w:rPr>
        <w:t xml:space="preserve">41.17 This Lease </w:t>
      </w:r>
      <w:r>
        <w:rPr>
          <w:rFonts w:ascii="Arial" w:cs="Arial" w:eastAsia="Arial" w:hAnsi="Arial"/>
          <w:sz w:val="22"/>
          <w:szCs w:val="22"/>
          <w:color w:val="232323"/>
        </w:rPr>
        <w:t>may</w:t>
      </w:r>
      <w:r>
        <w:rPr>
          <w:rFonts w:ascii="Arial" w:cs="Arial" w:eastAsia="Arial" w:hAnsi="Arial"/>
          <w:sz w:val="22"/>
          <w:szCs w:val="22"/>
          <w:color w:val="auto"/>
        </w:rPr>
        <w:t xml:space="preserve"> be executed in one </w:t>
      </w:r>
      <w:r>
        <w:rPr>
          <w:rFonts w:ascii="Arial" w:cs="Arial" w:eastAsia="Arial" w:hAnsi="Arial"/>
          <w:sz w:val="22"/>
          <w:szCs w:val="22"/>
          <w:color w:val="232323"/>
        </w:rPr>
        <w:t>or</w:t>
      </w:r>
      <w:r>
        <w:rPr>
          <w:rFonts w:ascii="Arial" w:cs="Arial" w:eastAsia="Arial" w:hAnsi="Arial"/>
          <w:sz w:val="22"/>
          <w:szCs w:val="22"/>
          <w:color w:val="auto"/>
        </w:rPr>
        <w:t xml:space="preserve"> more </w:t>
      </w:r>
      <w:r>
        <w:rPr>
          <w:rFonts w:ascii="Arial" w:cs="Arial" w:eastAsia="Arial" w:hAnsi="Arial"/>
          <w:sz w:val="22"/>
          <w:szCs w:val="22"/>
          <w:color w:val="232323"/>
        </w:rPr>
        <w:t>counterparts, each</w:t>
      </w:r>
      <w:r>
        <w:rPr>
          <w:rFonts w:ascii="Arial" w:cs="Arial" w:eastAsia="Arial" w:hAnsi="Arial"/>
          <w:sz w:val="22"/>
          <w:szCs w:val="22"/>
          <w:color w:val="auto"/>
        </w:rPr>
        <w:t xml:space="preserve"> </w:t>
      </w:r>
      <w:r>
        <w:rPr>
          <w:rFonts w:ascii="Arial" w:cs="Arial" w:eastAsia="Arial" w:hAnsi="Arial"/>
          <w:sz w:val="22"/>
          <w:szCs w:val="22"/>
          <w:color w:val="343434"/>
        </w:rPr>
        <w:t>of</w:t>
      </w:r>
      <w:r>
        <w:rPr>
          <w:rFonts w:ascii="Arial" w:cs="Arial" w:eastAsia="Arial" w:hAnsi="Arial"/>
          <w:sz w:val="22"/>
          <w:szCs w:val="22"/>
          <w:color w:val="auto"/>
        </w:rPr>
        <w:t xml:space="preserve"> </w:t>
      </w:r>
      <w:r>
        <w:rPr>
          <w:rFonts w:ascii="Arial" w:cs="Arial" w:eastAsia="Arial" w:hAnsi="Arial"/>
          <w:sz w:val="22"/>
          <w:szCs w:val="22"/>
          <w:color w:val="232323"/>
        </w:rPr>
        <w:t>which,</w:t>
      </w:r>
      <w:r>
        <w:rPr>
          <w:rFonts w:ascii="Arial" w:cs="Arial" w:eastAsia="Arial" w:hAnsi="Arial"/>
          <w:sz w:val="22"/>
          <w:szCs w:val="22"/>
          <w:color w:val="auto"/>
        </w:rPr>
        <w:t xml:space="preserve"> when taken together, </w:t>
      </w:r>
      <w:r>
        <w:rPr>
          <w:rFonts w:ascii="Arial" w:cs="Arial" w:eastAsia="Arial" w:hAnsi="Arial"/>
          <w:sz w:val="22"/>
          <w:szCs w:val="22"/>
          <w:color w:val="232323"/>
        </w:rPr>
        <w:t>shall</w:t>
      </w:r>
      <w:r>
        <w:rPr>
          <w:rFonts w:ascii="Arial" w:cs="Arial" w:eastAsia="Arial" w:hAnsi="Arial"/>
          <w:sz w:val="22"/>
          <w:szCs w:val="22"/>
          <w:color w:val="auto"/>
        </w:rPr>
        <w:t xml:space="preserve"> constitute one </w:t>
      </w:r>
      <w:r>
        <w:rPr>
          <w:rFonts w:ascii="Arial" w:cs="Arial" w:eastAsia="Arial" w:hAnsi="Arial"/>
          <w:sz w:val="22"/>
          <w:szCs w:val="22"/>
          <w:color w:val="232323"/>
        </w:rPr>
        <w:t xml:space="preserve">and </w:t>
      </w:r>
      <w:r>
        <w:rPr>
          <w:rFonts w:ascii="Arial" w:cs="Arial" w:eastAsia="Arial" w:hAnsi="Arial"/>
          <w:sz w:val="22"/>
          <w:szCs w:val="22"/>
          <w:color w:val="000000"/>
        </w:rPr>
        <w:t>the</w:t>
      </w:r>
      <w:r>
        <w:rPr>
          <w:rFonts w:ascii="Arial" w:cs="Arial" w:eastAsia="Arial" w:hAnsi="Arial"/>
          <w:sz w:val="22"/>
          <w:szCs w:val="22"/>
          <w:color w:val="232323"/>
        </w:rPr>
        <w:t xml:space="preserve"> same </w:t>
      </w:r>
      <w:r>
        <w:rPr>
          <w:rFonts w:ascii="Arial" w:cs="Arial" w:eastAsia="Arial" w:hAnsi="Arial"/>
          <w:sz w:val="22"/>
          <w:szCs w:val="22"/>
          <w:color w:val="000000"/>
        </w:rPr>
        <w:t>document.</w:t>
      </w:r>
    </w:p>
    <w:p>
      <w:pPr>
        <w:spacing w:after="0" w:line="159" w:lineRule="exact"/>
        <w:rPr>
          <w:sz w:val="20"/>
          <w:szCs w:val="20"/>
          <w:color w:val="auto"/>
        </w:rPr>
      </w:pPr>
    </w:p>
    <w:p>
      <w:pPr>
        <w:jc w:val="both"/>
        <w:ind w:left="1300" w:hanging="647"/>
        <w:spacing w:after="0" w:line="218" w:lineRule="auto"/>
        <w:rPr>
          <w:sz w:val="20"/>
          <w:szCs w:val="20"/>
          <w:color w:val="auto"/>
        </w:rPr>
      </w:pPr>
      <w:r>
        <w:rPr>
          <w:rFonts w:ascii="Arial" w:cs="Arial" w:eastAsia="Arial" w:hAnsi="Arial"/>
          <w:sz w:val="22"/>
          <w:szCs w:val="22"/>
          <w:color w:val="auto"/>
        </w:rPr>
        <w:t xml:space="preserve">41.18 </w:t>
      </w:r>
      <w:r>
        <w:rPr>
          <w:rFonts w:ascii="Arial" w:cs="Arial" w:eastAsia="Arial" w:hAnsi="Arial"/>
          <w:sz w:val="22"/>
          <w:szCs w:val="22"/>
          <w:color w:val="343434"/>
        </w:rPr>
        <w:t>No provision</w:t>
      </w:r>
      <w:r>
        <w:rPr>
          <w:rFonts w:ascii="Arial" w:cs="Arial" w:eastAsia="Arial" w:hAnsi="Arial"/>
          <w:sz w:val="22"/>
          <w:szCs w:val="22"/>
          <w:color w:val="auto"/>
        </w:rPr>
        <w:t xml:space="preserve"> of this </w:t>
      </w:r>
      <w:r>
        <w:rPr>
          <w:rFonts w:ascii="Arial" w:cs="Arial" w:eastAsia="Arial" w:hAnsi="Arial"/>
          <w:sz w:val="22"/>
          <w:szCs w:val="22"/>
          <w:color w:val="131313"/>
        </w:rPr>
        <w:t>Lease</w:t>
      </w:r>
      <w:r>
        <w:rPr>
          <w:rFonts w:ascii="Arial" w:cs="Arial" w:eastAsia="Arial" w:hAnsi="Arial"/>
          <w:sz w:val="22"/>
          <w:szCs w:val="22"/>
          <w:color w:val="auto"/>
        </w:rPr>
        <w:t xml:space="preserve"> may be </w:t>
      </w:r>
      <w:r>
        <w:rPr>
          <w:rFonts w:ascii="Arial" w:cs="Arial" w:eastAsia="Arial" w:hAnsi="Arial"/>
          <w:sz w:val="22"/>
          <w:szCs w:val="22"/>
          <w:color w:val="131313"/>
        </w:rPr>
        <w:t>modified,</w:t>
      </w:r>
      <w:r>
        <w:rPr>
          <w:rFonts w:ascii="Arial" w:cs="Arial" w:eastAsia="Arial" w:hAnsi="Arial"/>
          <w:sz w:val="22"/>
          <w:szCs w:val="22"/>
          <w:color w:val="auto"/>
        </w:rPr>
        <w:t xml:space="preserve"> amended or supplemented except by an </w:t>
      </w:r>
      <w:r>
        <w:rPr>
          <w:rFonts w:ascii="Arial" w:cs="Arial" w:eastAsia="Arial" w:hAnsi="Arial"/>
          <w:sz w:val="22"/>
          <w:szCs w:val="22"/>
          <w:color w:val="131313"/>
        </w:rPr>
        <w:t>agreement</w:t>
      </w:r>
      <w:r>
        <w:rPr>
          <w:rFonts w:ascii="Arial" w:cs="Arial" w:eastAsia="Arial" w:hAnsi="Arial"/>
          <w:sz w:val="22"/>
          <w:szCs w:val="22"/>
          <w:color w:val="auto"/>
        </w:rPr>
        <w:t xml:space="preserve"> in writing signed </w:t>
      </w:r>
      <w:r>
        <w:rPr>
          <w:rFonts w:ascii="Arial" w:cs="Arial" w:eastAsia="Arial" w:hAnsi="Arial"/>
          <w:sz w:val="22"/>
          <w:szCs w:val="22"/>
          <w:color w:val="131313"/>
        </w:rPr>
        <w:t xml:space="preserve">by </w:t>
      </w:r>
      <w:r>
        <w:rPr>
          <w:rFonts w:ascii="Arial" w:cs="Arial" w:eastAsia="Arial" w:hAnsi="Arial"/>
          <w:sz w:val="22"/>
          <w:szCs w:val="22"/>
          <w:color w:val="343434"/>
        </w:rPr>
        <w:t>Landlord</w:t>
      </w:r>
      <w:r>
        <w:rPr>
          <w:rFonts w:ascii="Arial" w:cs="Arial" w:eastAsia="Arial" w:hAnsi="Arial"/>
          <w:sz w:val="22"/>
          <w:szCs w:val="22"/>
          <w:color w:val="131313"/>
        </w:rPr>
        <w:t xml:space="preserve"> and Tenant. The </w:t>
      </w:r>
      <w:r>
        <w:rPr>
          <w:rFonts w:ascii="Arial" w:cs="Arial" w:eastAsia="Arial" w:hAnsi="Arial"/>
          <w:sz w:val="22"/>
          <w:szCs w:val="22"/>
          <w:color w:val="000000"/>
        </w:rPr>
        <w:t>waiver</w:t>
      </w:r>
      <w:r>
        <w:rPr>
          <w:rFonts w:ascii="Arial" w:cs="Arial" w:eastAsia="Arial" w:hAnsi="Arial"/>
          <w:sz w:val="22"/>
          <w:szCs w:val="22"/>
          <w:color w:val="131313"/>
        </w:rPr>
        <w:t xml:space="preserve"> by Landlord </w:t>
      </w:r>
      <w:r>
        <w:rPr>
          <w:rFonts w:ascii="Arial" w:cs="Arial" w:eastAsia="Arial" w:hAnsi="Arial"/>
          <w:sz w:val="22"/>
          <w:szCs w:val="22"/>
          <w:color w:val="000000"/>
        </w:rPr>
        <w:t>or Tenant</w:t>
      </w:r>
      <w:r>
        <w:rPr>
          <w:rFonts w:ascii="Arial" w:cs="Arial" w:eastAsia="Arial" w:hAnsi="Arial"/>
          <w:sz w:val="22"/>
          <w:szCs w:val="22"/>
          <w:color w:val="131313"/>
        </w:rPr>
        <w:t xml:space="preserve"> of any breach by </w:t>
      </w:r>
      <w:r>
        <w:rPr>
          <w:rFonts w:ascii="Arial" w:cs="Arial" w:eastAsia="Arial" w:hAnsi="Arial"/>
          <w:sz w:val="22"/>
          <w:szCs w:val="22"/>
          <w:color w:val="343434"/>
        </w:rPr>
        <w:t>Tenant or Landlord</w:t>
      </w:r>
      <w:r>
        <w:rPr>
          <w:rFonts w:ascii="Arial" w:cs="Arial" w:eastAsia="Arial" w:hAnsi="Arial"/>
          <w:sz w:val="22"/>
          <w:szCs w:val="22"/>
          <w:color w:val="131313"/>
        </w:rPr>
        <w:t xml:space="preserve"> </w:t>
      </w:r>
      <w:r>
        <w:rPr>
          <w:rFonts w:ascii="Arial" w:cs="Arial" w:eastAsia="Arial" w:hAnsi="Arial"/>
          <w:sz w:val="22"/>
          <w:szCs w:val="22"/>
          <w:color w:val="000000"/>
        </w:rPr>
        <w:t>of any term,</w:t>
      </w:r>
      <w:r>
        <w:rPr>
          <w:rFonts w:ascii="Arial" w:cs="Arial" w:eastAsia="Arial" w:hAnsi="Arial"/>
          <w:sz w:val="22"/>
          <w:szCs w:val="22"/>
          <w:color w:val="131313"/>
        </w:rPr>
        <w:t xml:space="preserve"> </w:t>
      </w:r>
      <w:r>
        <w:rPr>
          <w:rFonts w:ascii="Arial" w:cs="Arial" w:eastAsia="Arial" w:hAnsi="Arial"/>
          <w:sz w:val="22"/>
          <w:szCs w:val="22"/>
          <w:color w:val="343434"/>
        </w:rPr>
        <w:t xml:space="preserve">covenant or </w:t>
      </w:r>
      <w:r>
        <w:rPr>
          <w:rFonts w:ascii="Arial" w:cs="Arial" w:eastAsia="Arial" w:hAnsi="Arial"/>
          <w:sz w:val="22"/>
          <w:szCs w:val="22"/>
          <w:color w:val="131313"/>
        </w:rPr>
        <w:t>condition</w:t>
      </w:r>
      <w:r>
        <w:rPr>
          <w:rFonts w:ascii="Arial" w:cs="Arial" w:eastAsia="Arial" w:hAnsi="Arial"/>
          <w:sz w:val="22"/>
          <w:szCs w:val="22"/>
          <w:color w:val="343434"/>
        </w:rPr>
        <w:t xml:space="preserve"> </w:t>
      </w:r>
      <w:r>
        <w:rPr>
          <w:rFonts w:ascii="Arial" w:cs="Arial" w:eastAsia="Arial" w:hAnsi="Arial"/>
          <w:sz w:val="22"/>
          <w:szCs w:val="22"/>
          <w:color w:val="000000"/>
        </w:rPr>
        <w:t>herein contained</w:t>
      </w:r>
      <w:r>
        <w:rPr>
          <w:rFonts w:ascii="Arial" w:cs="Arial" w:eastAsia="Arial" w:hAnsi="Arial"/>
          <w:sz w:val="22"/>
          <w:szCs w:val="22"/>
          <w:color w:val="343434"/>
        </w:rPr>
        <w:t xml:space="preserve"> shall </w:t>
      </w:r>
      <w:r>
        <w:rPr>
          <w:rFonts w:ascii="Arial" w:cs="Arial" w:eastAsia="Arial" w:hAnsi="Arial"/>
          <w:sz w:val="22"/>
          <w:szCs w:val="22"/>
          <w:color w:val="131313"/>
        </w:rPr>
        <w:t>not</w:t>
      </w:r>
      <w:r>
        <w:rPr>
          <w:rFonts w:ascii="Arial" w:cs="Arial" w:eastAsia="Arial" w:hAnsi="Arial"/>
          <w:sz w:val="22"/>
          <w:szCs w:val="22"/>
          <w:color w:val="343434"/>
        </w:rPr>
        <w:t xml:space="preserve"> </w:t>
      </w:r>
      <w:r>
        <w:rPr>
          <w:rFonts w:ascii="Arial" w:cs="Arial" w:eastAsia="Arial" w:hAnsi="Arial"/>
          <w:sz w:val="22"/>
          <w:szCs w:val="22"/>
          <w:color w:val="000000"/>
        </w:rPr>
        <w:t>be deemed</w:t>
      </w:r>
      <w:r>
        <w:rPr>
          <w:rFonts w:ascii="Arial" w:cs="Arial" w:eastAsia="Arial" w:hAnsi="Arial"/>
          <w:sz w:val="22"/>
          <w:szCs w:val="22"/>
          <w:color w:val="343434"/>
        </w:rPr>
        <w:t xml:space="preserve"> </w:t>
      </w:r>
      <w:r>
        <w:rPr>
          <w:rFonts w:ascii="Arial" w:cs="Arial" w:eastAsia="Arial" w:hAnsi="Arial"/>
          <w:sz w:val="22"/>
          <w:szCs w:val="22"/>
          <w:color w:val="131313"/>
        </w:rPr>
        <w:t>to be</w:t>
      </w:r>
      <w:r>
        <w:rPr>
          <w:rFonts w:ascii="Arial" w:cs="Arial" w:eastAsia="Arial" w:hAnsi="Arial"/>
          <w:sz w:val="22"/>
          <w:szCs w:val="22"/>
          <w:color w:val="343434"/>
        </w:rPr>
        <w:t xml:space="preserve"> </w:t>
      </w:r>
      <w:r>
        <w:rPr>
          <w:rFonts w:ascii="Arial" w:cs="Arial" w:eastAsia="Arial" w:hAnsi="Arial"/>
          <w:sz w:val="22"/>
          <w:szCs w:val="22"/>
          <w:color w:val="000000"/>
        </w:rPr>
        <w:t>a waiver of any</w:t>
      </w:r>
      <w:r>
        <w:rPr>
          <w:rFonts w:ascii="Arial" w:cs="Arial" w:eastAsia="Arial" w:hAnsi="Arial"/>
          <w:sz w:val="22"/>
          <w:szCs w:val="22"/>
          <w:color w:val="343434"/>
        </w:rPr>
        <w:t xml:space="preserve"> subsequent </w:t>
      </w:r>
      <w:r>
        <w:rPr>
          <w:rFonts w:ascii="Arial" w:cs="Arial" w:eastAsia="Arial" w:hAnsi="Arial"/>
          <w:sz w:val="22"/>
          <w:szCs w:val="22"/>
          <w:color w:val="000000"/>
        </w:rPr>
        <w:t>breach of the</w:t>
      </w:r>
      <w:r>
        <w:rPr>
          <w:rFonts w:ascii="Arial" w:cs="Arial" w:eastAsia="Arial" w:hAnsi="Arial"/>
          <w:sz w:val="22"/>
          <w:szCs w:val="22"/>
          <w:color w:val="343434"/>
        </w:rPr>
        <w:t xml:space="preserve"> same </w:t>
      </w:r>
      <w:r>
        <w:rPr>
          <w:rFonts w:ascii="Arial" w:cs="Arial" w:eastAsia="Arial" w:hAnsi="Arial"/>
          <w:sz w:val="22"/>
          <w:szCs w:val="22"/>
          <w:color w:val="131313"/>
        </w:rPr>
        <w:t xml:space="preserve">or </w:t>
      </w:r>
      <w:r>
        <w:rPr>
          <w:rFonts w:ascii="Arial" w:cs="Arial" w:eastAsia="Arial" w:hAnsi="Arial"/>
          <w:sz w:val="22"/>
          <w:szCs w:val="22"/>
          <w:color w:val="343434"/>
        </w:rPr>
        <w:t>any</w:t>
      </w:r>
      <w:r>
        <w:rPr>
          <w:rFonts w:ascii="Arial" w:cs="Arial" w:eastAsia="Arial" w:hAnsi="Arial"/>
          <w:sz w:val="22"/>
          <w:szCs w:val="22"/>
          <w:color w:val="131313"/>
        </w:rPr>
        <w:t xml:space="preserve"> other </w:t>
      </w:r>
      <w:r>
        <w:rPr>
          <w:rFonts w:ascii="Arial" w:cs="Arial" w:eastAsia="Arial" w:hAnsi="Arial"/>
          <w:sz w:val="22"/>
          <w:szCs w:val="22"/>
          <w:color w:val="000000"/>
        </w:rPr>
        <w:t>term, covenant or condition</w:t>
      </w:r>
      <w:r>
        <w:rPr>
          <w:rFonts w:ascii="Arial" w:cs="Arial" w:eastAsia="Arial" w:hAnsi="Arial"/>
          <w:sz w:val="22"/>
          <w:szCs w:val="22"/>
          <w:color w:val="131313"/>
        </w:rPr>
        <w:t xml:space="preserve"> herein </w:t>
      </w:r>
      <w:r>
        <w:rPr>
          <w:rFonts w:ascii="Arial" w:cs="Arial" w:eastAsia="Arial" w:hAnsi="Arial"/>
          <w:sz w:val="22"/>
          <w:szCs w:val="22"/>
          <w:color w:val="000000"/>
        </w:rPr>
        <w:t>contained.</w:t>
      </w:r>
    </w:p>
    <w:p>
      <w:pPr>
        <w:spacing w:after="0" w:line="161" w:lineRule="exact"/>
        <w:rPr>
          <w:sz w:val="20"/>
          <w:szCs w:val="20"/>
          <w:color w:val="auto"/>
        </w:rPr>
      </w:pPr>
    </w:p>
    <w:p>
      <w:pPr>
        <w:jc w:val="both"/>
        <w:ind w:left="1300" w:hanging="647"/>
        <w:spacing w:after="0" w:line="218" w:lineRule="auto"/>
        <w:rPr>
          <w:sz w:val="20"/>
          <w:szCs w:val="20"/>
          <w:color w:val="auto"/>
        </w:rPr>
      </w:pPr>
      <w:r>
        <w:rPr>
          <w:rFonts w:ascii="Arial" w:cs="Arial" w:eastAsia="Arial" w:hAnsi="Arial"/>
          <w:sz w:val="22"/>
          <w:szCs w:val="22"/>
          <w:color w:val="auto"/>
        </w:rPr>
        <w:t xml:space="preserve">41.19 </w:t>
      </w:r>
      <w:r>
        <w:rPr>
          <w:rFonts w:ascii="Arial" w:cs="Arial" w:eastAsia="Arial" w:hAnsi="Arial"/>
          <w:sz w:val="22"/>
          <w:szCs w:val="22"/>
          <w:color w:val="131313"/>
        </w:rPr>
        <w:t>To</w:t>
      </w:r>
      <w:r>
        <w:rPr>
          <w:rFonts w:ascii="Arial" w:cs="Arial" w:eastAsia="Arial" w:hAnsi="Arial"/>
          <w:sz w:val="22"/>
          <w:szCs w:val="22"/>
          <w:color w:val="auto"/>
        </w:rPr>
        <w:t xml:space="preserve"> </w:t>
      </w:r>
      <w:r>
        <w:rPr>
          <w:rFonts w:ascii="Arial" w:cs="Arial" w:eastAsia="Arial" w:hAnsi="Arial"/>
          <w:sz w:val="22"/>
          <w:szCs w:val="22"/>
          <w:color w:val="343434"/>
        </w:rPr>
        <w:t>the</w:t>
      </w:r>
      <w:r>
        <w:rPr>
          <w:rFonts w:ascii="Arial" w:cs="Arial" w:eastAsia="Arial" w:hAnsi="Arial"/>
          <w:sz w:val="22"/>
          <w:szCs w:val="22"/>
          <w:color w:val="auto"/>
        </w:rPr>
        <w:t xml:space="preserve"> extent permitted </w:t>
      </w:r>
      <w:r>
        <w:rPr>
          <w:rFonts w:ascii="Arial" w:cs="Arial" w:eastAsia="Arial" w:hAnsi="Arial"/>
          <w:sz w:val="22"/>
          <w:szCs w:val="22"/>
          <w:color w:val="131313"/>
        </w:rPr>
        <w:t>by</w:t>
      </w:r>
      <w:r>
        <w:rPr>
          <w:rFonts w:ascii="Arial" w:cs="Arial" w:eastAsia="Arial" w:hAnsi="Arial"/>
          <w:sz w:val="22"/>
          <w:szCs w:val="22"/>
          <w:color w:val="auto"/>
        </w:rPr>
        <w:t xml:space="preserve"> Applicable Laws, </w:t>
      </w:r>
      <w:r>
        <w:rPr>
          <w:rFonts w:ascii="Arial" w:cs="Arial" w:eastAsia="Arial" w:hAnsi="Arial"/>
          <w:sz w:val="22"/>
          <w:szCs w:val="22"/>
          <w:color w:val="131313"/>
        </w:rPr>
        <w:t>the parties</w:t>
      </w:r>
      <w:r>
        <w:rPr>
          <w:rFonts w:ascii="Arial" w:cs="Arial" w:eastAsia="Arial" w:hAnsi="Arial"/>
          <w:sz w:val="22"/>
          <w:szCs w:val="22"/>
          <w:color w:val="auto"/>
        </w:rPr>
        <w:t xml:space="preserve"> waive </w:t>
      </w:r>
      <w:r>
        <w:rPr>
          <w:rFonts w:ascii="Arial" w:cs="Arial" w:eastAsia="Arial" w:hAnsi="Arial"/>
          <w:sz w:val="22"/>
          <w:szCs w:val="22"/>
          <w:color w:val="343434"/>
        </w:rPr>
        <w:t>t1ial</w:t>
      </w:r>
      <w:r>
        <w:rPr>
          <w:rFonts w:ascii="Arial" w:cs="Arial" w:eastAsia="Arial" w:hAnsi="Arial"/>
          <w:sz w:val="22"/>
          <w:szCs w:val="22"/>
          <w:color w:val="auto"/>
        </w:rPr>
        <w:t xml:space="preserve"> </w:t>
      </w:r>
      <w:r>
        <w:rPr>
          <w:rFonts w:ascii="Arial" w:cs="Arial" w:eastAsia="Arial" w:hAnsi="Arial"/>
          <w:sz w:val="22"/>
          <w:szCs w:val="22"/>
          <w:color w:val="131313"/>
        </w:rPr>
        <w:t>by jury</w:t>
      </w:r>
      <w:r>
        <w:rPr>
          <w:rFonts w:ascii="Arial" w:cs="Arial" w:eastAsia="Arial" w:hAnsi="Arial"/>
          <w:sz w:val="22"/>
          <w:szCs w:val="22"/>
          <w:color w:val="auto"/>
        </w:rPr>
        <w:t xml:space="preserve"> </w:t>
      </w:r>
      <w:r>
        <w:rPr>
          <w:rFonts w:ascii="Arial" w:cs="Arial" w:eastAsia="Arial" w:hAnsi="Arial"/>
          <w:sz w:val="22"/>
          <w:szCs w:val="22"/>
          <w:color w:val="343434"/>
        </w:rPr>
        <w:t>in</w:t>
      </w:r>
      <w:r>
        <w:rPr>
          <w:rFonts w:ascii="Arial" w:cs="Arial" w:eastAsia="Arial" w:hAnsi="Arial"/>
          <w:sz w:val="22"/>
          <w:szCs w:val="22"/>
          <w:color w:val="auto"/>
        </w:rPr>
        <w:t xml:space="preserve"> any </w:t>
      </w:r>
      <w:r>
        <w:rPr>
          <w:rFonts w:ascii="Arial" w:cs="Arial" w:eastAsia="Arial" w:hAnsi="Arial"/>
          <w:sz w:val="22"/>
          <w:szCs w:val="22"/>
          <w:color w:val="343434"/>
        </w:rPr>
        <w:t>action,</w:t>
      </w:r>
      <w:r>
        <w:rPr>
          <w:rFonts w:ascii="Arial" w:cs="Arial" w:eastAsia="Arial" w:hAnsi="Arial"/>
          <w:sz w:val="22"/>
          <w:szCs w:val="22"/>
          <w:color w:val="auto"/>
        </w:rPr>
        <w:t xml:space="preserve"> proceeding or </w:t>
      </w:r>
      <w:r>
        <w:rPr>
          <w:rFonts w:ascii="Arial" w:cs="Arial" w:eastAsia="Arial" w:hAnsi="Arial"/>
          <w:sz w:val="22"/>
          <w:szCs w:val="22"/>
          <w:color w:val="131313"/>
        </w:rPr>
        <w:t xml:space="preserve">counterclaim brought by </w:t>
      </w:r>
      <w:r>
        <w:rPr>
          <w:rFonts w:ascii="Arial" w:cs="Arial" w:eastAsia="Arial" w:hAnsi="Arial"/>
          <w:sz w:val="22"/>
          <w:szCs w:val="22"/>
          <w:color w:val="000000"/>
        </w:rPr>
        <w:t>the</w:t>
      </w:r>
      <w:r>
        <w:rPr>
          <w:rFonts w:ascii="Arial" w:cs="Arial" w:eastAsia="Arial" w:hAnsi="Arial"/>
          <w:sz w:val="22"/>
          <w:szCs w:val="22"/>
          <w:color w:val="131313"/>
        </w:rPr>
        <w:t xml:space="preserve"> other party </w:t>
      </w:r>
      <w:r>
        <w:rPr>
          <w:rFonts w:ascii="Arial" w:cs="Arial" w:eastAsia="Arial" w:hAnsi="Arial"/>
          <w:sz w:val="22"/>
          <w:szCs w:val="22"/>
          <w:color w:val="000000"/>
        </w:rPr>
        <w:t>hereto</w:t>
      </w:r>
      <w:r>
        <w:rPr>
          <w:rFonts w:ascii="Arial" w:cs="Arial" w:eastAsia="Arial" w:hAnsi="Arial"/>
          <w:sz w:val="22"/>
          <w:szCs w:val="22"/>
          <w:color w:val="131313"/>
        </w:rPr>
        <w:t xml:space="preserve"> related </w:t>
      </w:r>
      <w:r>
        <w:rPr>
          <w:rFonts w:ascii="Arial" w:cs="Arial" w:eastAsia="Arial" w:hAnsi="Arial"/>
          <w:sz w:val="22"/>
          <w:szCs w:val="22"/>
          <w:color w:val="343434"/>
        </w:rPr>
        <w:t>to</w:t>
      </w:r>
      <w:r>
        <w:rPr>
          <w:rFonts w:ascii="Arial" w:cs="Arial" w:eastAsia="Arial" w:hAnsi="Arial"/>
          <w:sz w:val="22"/>
          <w:szCs w:val="22"/>
          <w:color w:val="131313"/>
        </w:rPr>
        <w:t xml:space="preserve"> matters </w:t>
      </w:r>
      <w:r>
        <w:rPr>
          <w:rFonts w:ascii="Arial" w:cs="Arial" w:eastAsia="Arial" w:hAnsi="Arial"/>
          <w:sz w:val="22"/>
          <w:szCs w:val="22"/>
          <w:color w:val="343434"/>
        </w:rPr>
        <w:t>arising</w:t>
      </w:r>
      <w:r>
        <w:rPr>
          <w:rFonts w:ascii="Arial" w:cs="Arial" w:eastAsia="Arial" w:hAnsi="Arial"/>
          <w:sz w:val="22"/>
          <w:szCs w:val="22"/>
          <w:color w:val="131313"/>
        </w:rPr>
        <w:t xml:space="preserve"> </w:t>
      </w:r>
      <w:r>
        <w:rPr>
          <w:rFonts w:ascii="Arial" w:cs="Arial" w:eastAsia="Arial" w:hAnsi="Arial"/>
          <w:sz w:val="22"/>
          <w:szCs w:val="22"/>
          <w:color w:val="000000"/>
        </w:rPr>
        <w:t>out</w:t>
      </w:r>
      <w:r>
        <w:rPr>
          <w:rFonts w:ascii="Arial" w:cs="Arial" w:eastAsia="Arial" w:hAnsi="Arial"/>
          <w:sz w:val="22"/>
          <w:szCs w:val="22"/>
          <w:color w:val="131313"/>
        </w:rPr>
        <w:t xml:space="preserve"> of or in </w:t>
      </w:r>
      <w:r>
        <w:rPr>
          <w:rFonts w:ascii="Arial" w:cs="Arial" w:eastAsia="Arial" w:hAnsi="Arial"/>
          <w:sz w:val="22"/>
          <w:szCs w:val="22"/>
          <w:color w:val="000000"/>
        </w:rPr>
        <w:t>any way connected with</w:t>
      </w:r>
      <w:r>
        <w:rPr>
          <w:rFonts w:ascii="Arial" w:cs="Arial" w:eastAsia="Arial" w:hAnsi="Arial"/>
          <w:sz w:val="22"/>
          <w:szCs w:val="22"/>
          <w:color w:val="131313"/>
        </w:rPr>
        <w:t xml:space="preserve"> this </w:t>
      </w:r>
      <w:r>
        <w:rPr>
          <w:rFonts w:ascii="Arial" w:cs="Arial" w:eastAsia="Arial" w:hAnsi="Arial"/>
          <w:sz w:val="22"/>
          <w:szCs w:val="22"/>
          <w:color w:val="000000"/>
        </w:rPr>
        <w:t xml:space="preserve">Lease; </w:t>
      </w:r>
      <w:r>
        <w:rPr>
          <w:rFonts w:ascii="Arial" w:cs="Arial" w:eastAsia="Arial" w:hAnsi="Arial"/>
          <w:sz w:val="22"/>
          <w:szCs w:val="22"/>
          <w:color w:val="131313"/>
        </w:rPr>
        <w:t>the</w:t>
      </w:r>
      <w:r>
        <w:rPr>
          <w:rFonts w:ascii="Arial" w:cs="Arial" w:eastAsia="Arial" w:hAnsi="Arial"/>
          <w:sz w:val="22"/>
          <w:szCs w:val="22"/>
          <w:color w:val="000000"/>
        </w:rPr>
        <w:t xml:space="preserve"> relationship between </w:t>
      </w:r>
      <w:r>
        <w:rPr>
          <w:rFonts w:ascii="Arial" w:cs="Arial" w:eastAsia="Arial" w:hAnsi="Arial"/>
          <w:sz w:val="22"/>
          <w:szCs w:val="22"/>
          <w:color w:val="131313"/>
        </w:rPr>
        <w:t>Landlord</w:t>
      </w:r>
      <w:r>
        <w:rPr>
          <w:rFonts w:ascii="Arial" w:cs="Arial" w:eastAsia="Arial" w:hAnsi="Arial"/>
          <w:sz w:val="22"/>
          <w:szCs w:val="22"/>
          <w:color w:val="000000"/>
        </w:rPr>
        <w:t xml:space="preserve"> </w:t>
      </w:r>
      <w:r>
        <w:rPr>
          <w:rFonts w:ascii="Arial" w:cs="Arial" w:eastAsia="Arial" w:hAnsi="Arial"/>
          <w:sz w:val="22"/>
          <w:szCs w:val="22"/>
          <w:color w:val="343434"/>
        </w:rPr>
        <w:t>and</w:t>
      </w:r>
      <w:r>
        <w:rPr>
          <w:rFonts w:ascii="Arial" w:cs="Arial" w:eastAsia="Arial" w:hAnsi="Arial"/>
          <w:sz w:val="22"/>
          <w:szCs w:val="22"/>
          <w:color w:val="000000"/>
        </w:rPr>
        <w:t xml:space="preserve"> </w:t>
      </w:r>
      <w:r>
        <w:rPr>
          <w:rFonts w:ascii="Arial" w:cs="Arial" w:eastAsia="Arial" w:hAnsi="Arial"/>
          <w:sz w:val="22"/>
          <w:szCs w:val="22"/>
          <w:color w:val="131313"/>
        </w:rPr>
        <w:t>Tenant; Tenant’s use or occupancy</w:t>
      </w:r>
      <w:r>
        <w:rPr>
          <w:rFonts w:ascii="Arial" w:cs="Arial" w:eastAsia="Arial" w:hAnsi="Arial"/>
          <w:sz w:val="22"/>
          <w:szCs w:val="22"/>
          <w:color w:val="000000"/>
        </w:rPr>
        <w:t xml:space="preserve"> of </w:t>
      </w:r>
      <w:r>
        <w:rPr>
          <w:rFonts w:ascii="Arial" w:cs="Arial" w:eastAsia="Arial" w:hAnsi="Arial"/>
          <w:sz w:val="22"/>
          <w:szCs w:val="22"/>
          <w:color w:val="343434"/>
        </w:rPr>
        <w:t>the</w:t>
      </w:r>
      <w:r>
        <w:rPr>
          <w:rFonts w:ascii="Arial" w:cs="Arial" w:eastAsia="Arial" w:hAnsi="Arial"/>
          <w:sz w:val="22"/>
          <w:szCs w:val="22"/>
          <w:color w:val="000000"/>
        </w:rPr>
        <w:t xml:space="preserve"> Premises; or </w:t>
      </w:r>
      <w:r>
        <w:rPr>
          <w:rFonts w:ascii="Arial" w:cs="Arial" w:eastAsia="Arial" w:hAnsi="Arial"/>
          <w:sz w:val="22"/>
          <w:szCs w:val="22"/>
          <w:color w:val="131313"/>
        </w:rPr>
        <w:t>any</w:t>
      </w:r>
      <w:r>
        <w:rPr>
          <w:rFonts w:ascii="Arial" w:cs="Arial" w:eastAsia="Arial" w:hAnsi="Arial"/>
          <w:sz w:val="22"/>
          <w:szCs w:val="22"/>
          <w:color w:val="000000"/>
        </w:rPr>
        <w:t xml:space="preserve"> </w:t>
      </w:r>
      <w:r>
        <w:rPr>
          <w:rFonts w:ascii="Arial" w:cs="Arial" w:eastAsia="Arial" w:hAnsi="Arial"/>
          <w:sz w:val="22"/>
          <w:szCs w:val="22"/>
          <w:color w:val="343434"/>
        </w:rPr>
        <w:t>claim</w:t>
      </w:r>
      <w:r>
        <w:rPr>
          <w:rFonts w:ascii="Arial" w:cs="Arial" w:eastAsia="Arial" w:hAnsi="Arial"/>
          <w:sz w:val="22"/>
          <w:szCs w:val="22"/>
          <w:color w:val="000000"/>
        </w:rPr>
        <w:t xml:space="preserve"> </w:t>
      </w:r>
      <w:r>
        <w:rPr>
          <w:rFonts w:ascii="Arial" w:cs="Arial" w:eastAsia="Arial" w:hAnsi="Arial"/>
          <w:sz w:val="22"/>
          <w:szCs w:val="22"/>
          <w:color w:val="131313"/>
        </w:rPr>
        <w:t>of</w:t>
      </w:r>
      <w:r>
        <w:rPr>
          <w:rFonts w:ascii="Arial" w:cs="Arial" w:eastAsia="Arial" w:hAnsi="Arial"/>
          <w:sz w:val="22"/>
          <w:szCs w:val="22"/>
          <w:color w:val="000000"/>
        </w:rPr>
        <w:t xml:space="preserve"> </w:t>
      </w:r>
      <w:r>
        <w:rPr>
          <w:rFonts w:ascii="Arial" w:cs="Arial" w:eastAsia="Arial" w:hAnsi="Arial"/>
          <w:sz w:val="22"/>
          <w:szCs w:val="22"/>
          <w:color w:val="131313"/>
        </w:rPr>
        <w:t xml:space="preserve">injury </w:t>
      </w:r>
      <w:r>
        <w:rPr>
          <w:rFonts w:ascii="Arial" w:cs="Arial" w:eastAsia="Arial" w:hAnsi="Arial"/>
          <w:sz w:val="22"/>
          <w:szCs w:val="22"/>
          <w:color w:val="000000"/>
        </w:rPr>
        <w:t>or</w:t>
      </w:r>
      <w:r>
        <w:rPr>
          <w:rFonts w:ascii="Arial" w:cs="Arial" w:eastAsia="Arial" w:hAnsi="Arial"/>
          <w:sz w:val="22"/>
          <w:szCs w:val="22"/>
          <w:color w:val="131313"/>
        </w:rPr>
        <w:t xml:space="preserve"> damage related to </w:t>
      </w:r>
      <w:r>
        <w:rPr>
          <w:rFonts w:ascii="Arial" w:cs="Arial" w:eastAsia="Arial" w:hAnsi="Arial"/>
          <w:sz w:val="22"/>
          <w:szCs w:val="22"/>
          <w:color w:val="000000"/>
        </w:rPr>
        <w:t>this</w:t>
      </w:r>
      <w:r>
        <w:rPr>
          <w:rFonts w:ascii="Arial" w:cs="Arial" w:eastAsia="Arial" w:hAnsi="Arial"/>
          <w:sz w:val="22"/>
          <w:szCs w:val="22"/>
          <w:color w:val="131313"/>
        </w:rPr>
        <w:t xml:space="preserve"> </w:t>
      </w:r>
      <w:r>
        <w:rPr>
          <w:rFonts w:ascii="Arial" w:cs="Arial" w:eastAsia="Arial" w:hAnsi="Arial"/>
          <w:sz w:val="22"/>
          <w:szCs w:val="22"/>
          <w:color w:val="343434"/>
        </w:rPr>
        <w:t>Lease</w:t>
      </w:r>
      <w:r>
        <w:rPr>
          <w:rFonts w:ascii="Arial" w:cs="Arial" w:eastAsia="Arial" w:hAnsi="Arial"/>
          <w:sz w:val="22"/>
          <w:szCs w:val="22"/>
          <w:color w:val="131313"/>
        </w:rPr>
        <w:t xml:space="preserve"> </w:t>
      </w:r>
      <w:r>
        <w:rPr>
          <w:rFonts w:ascii="Arial" w:cs="Arial" w:eastAsia="Arial" w:hAnsi="Arial"/>
          <w:sz w:val="22"/>
          <w:szCs w:val="22"/>
          <w:color w:val="000000"/>
        </w:rPr>
        <w:t>or</w:t>
      </w:r>
      <w:r>
        <w:rPr>
          <w:rFonts w:ascii="Arial" w:cs="Arial" w:eastAsia="Arial" w:hAnsi="Arial"/>
          <w:sz w:val="22"/>
          <w:szCs w:val="22"/>
          <w:color w:val="131313"/>
        </w:rPr>
        <w:t xml:space="preserve"> the </w:t>
      </w:r>
      <w:r>
        <w:rPr>
          <w:rFonts w:ascii="Arial" w:cs="Arial" w:eastAsia="Arial" w:hAnsi="Arial"/>
          <w:sz w:val="22"/>
          <w:szCs w:val="22"/>
          <w:color w:val="000000"/>
        </w:rPr>
        <w:t>Premises.</w:t>
      </w:r>
    </w:p>
    <w:p>
      <w:pPr>
        <w:spacing w:after="0" w:line="161" w:lineRule="exact"/>
        <w:rPr>
          <w:sz w:val="20"/>
          <w:szCs w:val="20"/>
          <w:color w:val="auto"/>
        </w:rPr>
      </w:pPr>
    </w:p>
    <w:p>
      <w:pPr>
        <w:jc w:val="both"/>
        <w:ind w:left="1300" w:right="20" w:hanging="647"/>
        <w:spacing w:after="0" w:line="232" w:lineRule="auto"/>
        <w:rPr>
          <w:sz w:val="20"/>
          <w:szCs w:val="20"/>
          <w:color w:val="auto"/>
        </w:rPr>
      </w:pPr>
      <w:r>
        <w:rPr>
          <w:rFonts w:ascii="Arial" w:cs="Arial" w:eastAsia="Arial" w:hAnsi="Arial"/>
          <w:sz w:val="22"/>
          <w:szCs w:val="22"/>
          <w:color w:val="auto"/>
        </w:rPr>
        <w:t xml:space="preserve">41.20 </w:t>
      </w:r>
      <w:r>
        <w:rPr>
          <w:rFonts w:ascii="Arial" w:cs="Arial" w:eastAsia="Arial" w:hAnsi="Arial"/>
          <w:sz w:val="22"/>
          <w:szCs w:val="22"/>
          <w:color w:val="232323"/>
        </w:rPr>
        <w:t>As</w:t>
      </w:r>
      <w:r>
        <w:rPr>
          <w:rFonts w:ascii="Arial" w:cs="Arial" w:eastAsia="Arial" w:hAnsi="Arial"/>
          <w:sz w:val="22"/>
          <w:szCs w:val="22"/>
          <w:color w:val="auto"/>
        </w:rPr>
        <w:t xml:space="preserve"> between </w:t>
      </w:r>
      <w:r>
        <w:rPr>
          <w:rFonts w:ascii="Arial" w:cs="Arial" w:eastAsia="Arial" w:hAnsi="Arial"/>
          <w:sz w:val="22"/>
          <w:szCs w:val="22"/>
          <w:color w:val="343434"/>
        </w:rPr>
        <w:t>Landlord</w:t>
      </w:r>
      <w:r>
        <w:rPr>
          <w:rFonts w:ascii="Arial" w:cs="Arial" w:eastAsia="Arial" w:hAnsi="Arial"/>
          <w:sz w:val="22"/>
          <w:szCs w:val="22"/>
          <w:color w:val="auto"/>
        </w:rPr>
        <w:t xml:space="preserve"> and Tenant, Tenant </w:t>
      </w:r>
      <w:r>
        <w:rPr>
          <w:rFonts w:ascii="Arial" w:cs="Arial" w:eastAsia="Arial" w:hAnsi="Arial"/>
          <w:sz w:val="22"/>
          <w:szCs w:val="22"/>
          <w:color w:val="232323"/>
        </w:rPr>
        <w:t>shall</w:t>
      </w:r>
      <w:r>
        <w:rPr>
          <w:rFonts w:ascii="Arial" w:cs="Arial" w:eastAsia="Arial" w:hAnsi="Arial"/>
          <w:sz w:val="22"/>
          <w:szCs w:val="22"/>
          <w:color w:val="auto"/>
        </w:rPr>
        <w:t xml:space="preserve"> have the exclusive right to its name: </w:t>
      </w:r>
      <w:r>
        <w:rPr>
          <w:rFonts w:ascii="Arial" w:cs="Arial" w:eastAsia="Arial" w:hAnsi="Arial"/>
          <w:sz w:val="22"/>
          <w:szCs w:val="22"/>
          <w:color w:val="343434"/>
        </w:rPr>
        <w:t>the</w:t>
      </w:r>
      <w:r>
        <w:rPr>
          <w:rFonts w:ascii="Arial" w:cs="Arial" w:eastAsia="Arial" w:hAnsi="Arial"/>
          <w:sz w:val="22"/>
          <w:szCs w:val="22"/>
          <w:color w:val="auto"/>
        </w:rPr>
        <w:t xml:space="preserve"> J. </w:t>
      </w:r>
      <w:r>
        <w:rPr>
          <w:rFonts w:ascii="Arial" w:cs="Arial" w:eastAsia="Arial" w:hAnsi="Arial"/>
          <w:sz w:val="22"/>
          <w:szCs w:val="22"/>
          <w:color w:val="343434"/>
        </w:rPr>
        <w:t>Craig</w:t>
      </w:r>
      <w:r>
        <w:rPr>
          <w:rFonts w:ascii="Arial" w:cs="Arial" w:eastAsia="Arial" w:hAnsi="Arial"/>
          <w:sz w:val="22"/>
          <w:szCs w:val="22"/>
          <w:color w:val="auto"/>
        </w:rPr>
        <w:t xml:space="preserve"> </w:t>
      </w:r>
      <w:r>
        <w:rPr>
          <w:rFonts w:ascii="Arial" w:cs="Arial" w:eastAsia="Arial" w:hAnsi="Arial"/>
          <w:sz w:val="22"/>
          <w:szCs w:val="22"/>
          <w:color w:val="232323"/>
        </w:rPr>
        <w:t>Venter</w:t>
      </w:r>
      <w:r>
        <w:rPr>
          <w:rFonts w:ascii="Arial" w:cs="Arial" w:eastAsia="Arial" w:hAnsi="Arial"/>
          <w:sz w:val="22"/>
          <w:szCs w:val="22"/>
          <w:color w:val="auto"/>
        </w:rPr>
        <w:t xml:space="preserve"> Institute, Inc.</w:t>
      </w:r>
    </w:p>
    <w:p>
      <w:pPr>
        <w:spacing w:after="0" w:line="159" w:lineRule="exact"/>
        <w:rPr>
          <w:sz w:val="20"/>
          <w:szCs w:val="20"/>
          <w:color w:val="auto"/>
        </w:rPr>
      </w:pPr>
    </w:p>
    <w:p>
      <w:pPr>
        <w:jc w:val="both"/>
        <w:ind w:left="660" w:hanging="652"/>
        <w:spacing w:after="0" w:line="247" w:lineRule="auto"/>
        <w:tabs>
          <w:tab w:leader="none" w:pos="660"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Options</w:t>
      </w:r>
      <w:r>
        <w:rPr>
          <w:rFonts w:ascii="Arial" w:cs="Arial" w:eastAsia="Arial" w:hAnsi="Arial"/>
          <w:sz w:val="19"/>
          <w:szCs w:val="19"/>
          <w:color w:val="auto"/>
        </w:rPr>
        <w:t xml:space="preserve"> </w:t>
      </w:r>
      <w:r>
        <w:rPr>
          <w:rFonts w:ascii="Arial" w:cs="Arial" w:eastAsia="Arial" w:hAnsi="Arial"/>
          <w:sz w:val="19"/>
          <w:szCs w:val="19"/>
          <w:u w:val="single" w:color="auto"/>
          <w:color w:val="131313"/>
        </w:rPr>
        <w:t>to Extend Term</w:t>
      </w:r>
      <w:r>
        <w:rPr>
          <w:rFonts w:ascii="Arial" w:cs="Arial" w:eastAsia="Arial" w:hAnsi="Arial"/>
          <w:sz w:val="19"/>
          <w:szCs w:val="19"/>
          <w:color w:val="131313"/>
        </w:rPr>
        <w:t>. Tenant</w:t>
      </w:r>
      <w:r>
        <w:rPr>
          <w:rFonts w:ascii="Arial" w:cs="Arial" w:eastAsia="Arial" w:hAnsi="Arial"/>
          <w:sz w:val="19"/>
          <w:szCs w:val="19"/>
          <w:color w:val="auto"/>
        </w:rPr>
        <w:t xml:space="preserve"> shall </w:t>
      </w:r>
      <w:r>
        <w:rPr>
          <w:rFonts w:ascii="Arial" w:cs="Arial" w:eastAsia="Arial" w:hAnsi="Arial"/>
          <w:sz w:val="19"/>
          <w:szCs w:val="19"/>
          <w:color w:val="131313"/>
        </w:rPr>
        <w:t>have two</w:t>
      </w:r>
      <w:r>
        <w:rPr>
          <w:rFonts w:ascii="Arial" w:cs="Arial" w:eastAsia="Arial" w:hAnsi="Arial"/>
          <w:sz w:val="19"/>
          <w:szCs w:val="19"/>
          <w:color w:val="auto"/>
        </w:rPr>
        <w:t xml:space="preserve"> </w:t>
      </w:r>
      <w:r>
        <w:rPr>
          <w:rFonts w:ascii="Arial" w:cs="Arial" w:eastAsia="Arial" w:hAnsi="Arial"/>
          <w:sz w:val="19"/>
          <w:szCs w:val="19"/>
          <w:color w:val="343434"/>
        </w:rPr>
        <w:t>options</w:t>
      </w:r>
      <w:r>
        <w:rPr>
          <w:rFonts w:ascii="Arial" w:cs="Arial" w:eastAsia="Arial" w:hAnsi="Arial"/>
          <w:sz w:val="19"/>
          <w:szCs w:val="19"/>
          <w:color w:val="auto"/>
        </w:rPr>
        <w:t xml:space="preserve"> </w:t>
      </w:r>
      <w:r>
        <w:rPr>
          <w:rFonts w:ascii="Arial" w:cs="Arial" w:eastAsia="Arial" w:hAnsi="Arial"/>
          <w:sz w:val="19"/>
          <w:szCs w:val="19"/>
          <w:color w:val="131313"/>
        </w:rPr>
        <w:t>(each,</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Option</w:t>
      </w:r>
      <w:r>
        <w:rPr>
          <w:rFonts w:ascii="Arial" w:cs="Arial" w:eastAsia="Arial" w:hAnsi="Arial"/>
          <w:sz w:val="19"/>
          <w:szCs w:val="19"/>
          <w:color w:val="auto"/>
        </w:rPr>
        <w:t xml:space="preserve">”) </w:t>
      </w:r>
      <w:r>
        <w:rPr>
          <w:rFonts w:ascii="Arial" w:cs="Arial" w:eastAsia="Arial" w:hAnsi="Arial"/>
          <w:sz w:val="19"/>
          <w:szCs w:val="19"/>
          <w:color w:val="131313"/>
        </w:rPr>
        <w:t>to</w:t>
      </w:r>
      <w:r>
        <w:rPr>
          <w:rFonts w:ascii="Arial" w:cs="Arial" w:eastAsia="Arial" w:hAnsi="Arial"/>
          <w:sz w:val="19"/>
          <w:szCs w:val="19"/>
          <w:color w:val="auto"/>
        </w:rPr>
        <w:t xml:space="preserve"> extend </w:t>
      </w:r>
      <w:r>
        <w:rPr>
          <w:rFonts w:ascii="Arial" w:cs="Arial" w:eastAsia="Arial" w:hAnsi="Arial"/>
          <w:sz w:val="19"/>
          <w:szCs w:val="19"/>
          <w:color w:val="131313"/>
        </w:rPr>
        <w:t>the</w:t>
      </w:r>
      <w:r>
        <w:rPr>
          <w:rFonts w:ascii="Arial" w:cs="Arial" w:eastAsia="Arial" w:hAnsi="Arial"/>
          <w:sz w:val="19"/>
          <w:szCs w:val="19"/>
          <w:color w:val="auto"/>
        </w:rPr>
        <w:t xml:space="preserve"> Term, </w:t>
      </w:r>
      <w:r>
        <w:rPr>
          <w:rFonts w:ascii="Arial" w:cs="Arial" w:eastAsia="Arial" w:hAnsi="Arial"/>
          <w:sz w:val="19"/>
          <w:szCs w:val="19"/>
          <w:color w:val="131313"/>
        </w:rPr>
        <w:t>in</w:t>
      </w:r>
      <w:r>
        <w:rPr>
          <w:rFonts w:ascii="Arial" w:cs="Arial" w:eastAsia="Arial" w:hAnsi="Arial"/>
          <w:sz w:val="19"/>
          <w:szCs w:val="19"/>
          <w:color w:val="auto"/>
        </w:rPr>
        <w:t xml:space="preserve"> each case </w:t>
      </w:r>
      <w:r>
        <w:rPr>
          <w:rFonts w:ascii="Arial" w:cs="Arial" w:eastAsia="Arial" w:hAnsi="Arial"/>
          <w:sz w:val="19"/>
          <w:szCs w:val="19"/>
          <w:color w:val="131313"/>
        </w:rPr>
        <w:t>by</w:t>
      </w:r>
      <w:r>
        <w:rPr>
          <w:rFonts w:ascii="Arial" w:cs="Arial" w:eastAsia="Arial" w:hAnsi="Arial"/>
          <w:sz w:val="19"/>
          <w:szCs w:val="19"/>
          <w:color w:val="auto"/>
        </w:rPr>
        <w:t xml:space="preserve"> an additional </w:t>
      </w:r>
      <w:r>
        <w:rPr>
          <w:rFonts w:ascii="Arial" w:cs="Arial" w:eastAsia="Arial" w:hAnsi="Arial"/>
          <w:sz w:val="19"/>
          <w:szCs w:val="19"/>
          <w:u w:val="single" w:color="auto"/>
          <w:color w:val="auto"/>
        </w:rPr>
        <w:t>[***]</w:t>
      </w:r>
      <w:r>
        <w:rPr>
          <w:rFonts w:ascii="Arial" w:cs="Arial" w:eastAsia="Arial" w:hAnsi="Arial"/>
          <w:sz w:val="19"/>
          <w:szCs w:val="19"/>
          <w:color w:val="auto"/>
        </w:rPr>
        <w:t xml:space="preserve"> year </w:t>
      </w:r>
      <w:r>
        <w:rPr>
          <w:rFonts w:ascii="Arial" w:cs="Arial" w:eastAsia="Arial" w:hAnsi="Arial"/>
          <w:sz w:val="19"/>
          <w:szCs w:val="19"/>
          <w:color w:val="131313"/>
        </w:rPr>
        <w:t>period</w:t>
      </w:r>
      <w:r>
        <w:rPr>
          <w:rFonts w:ascii="Arial" w:cs="Arial" w:eastAsia="Arial" w:hAnsi="Arial"/>
          <w:sz w:val="19"/>
          <w:szCs w:val="19"/>
          <w:color w:val="auto"/>
        </w:rPr>
        <w:t xml:space="preserve"> (i.e., </w:t>
      </w:r>
      <w:r>
        <w:rPr>
          <w:rFonts w:ascii="Arial" w:cs="Arial" w:eastAsia="Arial" w:hAnsi="Arial"/>
          <w:sz w:val="19"/>
          <w:szCs w:val="19"/>
          <w:color w:val="343434"/>
        </w:rPr>
        <w:t>for</w:t>
      </w:r>
      <w:r>
        <w:rPr>
          <w:rFonts w:ascii="Arial" w:cs="Arial" w:eastAsia="Arial" w:hAnsi="Arial"/>
          <w:sz w:val="19"/>
          <w:szCs w:val="19"/>
          <w:color w:val="auto"/>
        </w:rPr>
        <w:t xml:space="preserve"> a </w:t>
      </w:r>
      <w:r>
        <w:rPr>
          <w:rFonts w:ascii="Arial" w:cs="Arial" w:eastAsia="Arial" w:hAnsi="Arial"/>
          <w:sz w:val="19"/>
          <w:szCs w:val="19"/>
          <w:color w:val="131313"/>
        </w:rPr>
        <w:t>total,</w:t>
      </w:r>
      <w:r>
        <w:rPr>
          <w:rFonts w:ascii="Arial" w:cs="Arial" w:eastAsia="Arial" w:hAnsi="Arial"/>
          <w:sz w:val="19"/>
          <w:szCs w:val="19"/>
          <w:color w:val="auto"/>
        </w:rPr>
        <w:t xml:space="preserve"> if both </w:t>
      </w:r>
      <w:r>
        <w:rPr>
          <w:rFonts w:ascii="Arial" w:cs="Arial" w:eastAsia="Arial" w:hAnsi="Arial"/>
          <w:sz w:val="19"/>
          <w:szCs w:val="19"/>
          <w:color w:val="343434"/>
        </w:rPr>
        <w:t>such</w:t>
      </w:r>
      <w:r>
        <w:rPr>
          <w:rFonts w:ascii="Arial" w:cs="Arial" w:eastAsia="Arial" w:hAnsi="Arial"/>
          <w:sz w:val="19"/>
          <w:szCs w:val="19"/>
          <w:color w:val="auto"/>
        </w:rPr>
        <w:t xml:space="preserve"> </w:t>
      </w:r>
      <w:r>
        <w:rPr>
          <w:rFonts w:ascii="Arial" w:cs="Arial" w:eastAsia="Arial" w:hAnsi="Arial"/>
          <w:sz w:val="19"/>
          <w:szCs w:val="19"/>
          <w:color w:val="131313"/>
        </w:rPr>
        <w:t>options</w:t>
      </w:r>
      <w:r>
        <w:rPr>
          <w:rFonts w:ascii="Arial" w:cs="Arial" w:eastAsia="Arial" w:hAnsi="Arial"/>
          <w:sz w:val="19"/>
          <w:szCs w:val="19"/>
          <w:color w:val="auto"/>
        </w:rPr>
        <w:t xml:space="preserve"> are exercised as </w:t>
      </w:r>
      <w:r>
        <w:rPr>
          <w:rFonts w:ascii="Arial" w:cs="Arial" w:eastAsia="Arial" w:hAnsi="Arial"/>
          <w:sz w:val="19"/>
          <w:szCs w:val="19"/>
          <w:color w:val="131313"/>
        </w:rPr>
        <w:t>provided</w:t>
      </w:r>
      <w:r>
        <w:rPr>
          <w:rFonts w:ascii="Arial" w:cs="Arial" w:eastAsia="Arial" w:hAnsi="Arial"/>
          <w:sz w:val="19"/>
          <w:szCs w:val="19"/>
          <w:color w:val="auto"/>
        </w:rPr>
        <w:t xml:space="preserve"> herein, of </w:t>
      </w:r>
      <w:r>
        <w:rPr>
          <w:rFonts w:ascii="Arial" w:cs="Arial" w:eastAsia="Arial" w:hAnsi="Arial"/>
          <w:sz w:val="19"/>
          <w:szCs w:val="19"/>
          <w:u w:val="single" w:color="auto"/>
          <w:color w:val="auto"/>
        </w:rPr>
        <w:t>[***]</w:t>
      </w:r>
      <w:r>
        <w:rPr>
          <w:rFonts w:ascii="Arial" w:cs="Arial" w:eastAsia="Arial" w:hAnsi="Arial"/>
          <w:sz w:val="19"/>
          <w:szCs w:val="19"/>
          <w:color w:val="auto"/>
        </w:rPr>
        <w:t xml:space="preserve"> successive years </w:t>
      </w:r>
      <w:r>
        <w:rPr>
          <w:rFonts w:ascii="Arial" w:cs="Arial" w:eastAsia="Arial" w:hAnsi="Arial"/>
          <w:sz w:val="19"/>
          <w:szCs w:val="19"/>
          <w:color w:val="131313"/>
        </w:rPr>
        <w:t>beyond the original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343434"/>
        </w:rPr>
        <w:t>year</w:t>
      </w:r>
      <w:r>
        <w:rPr>
          <w:rFonts w:ascii="Arial" w:cs="Arial" w:eastAsia="Arial" w:hAnsi="Arial"/>
          <w:sz w:val="19"/>
          <w:szCs w:val="19"/>
          <w:color w:val="auto"/>
        </w:rPr>
        <w:t xml:space="preserve"> Term) as </w:t>
      </w:r>
      <w:r>
        <w:rPr>
          <w:rFonts w:ascii="Arial" w:cs="Arial" w:eastAsia="Arial" w:hAnsi="Arial"/>
          <w:sz w:val="19"/>
          <w:szCs w:val="19"/>
          <w:color w:val="131313"/>
        </w:rPr>
        <w:t>to the</w:t>
      </w:r>
      <w:r>
        <w:rPr>
          <w:rFonts w:ascii="Arial" w:cs="Arial" w:eastAsia="Arial" w:hAnsi="Arial"/>
          <w:sz w:val="19"/>
          <w:szCs w:val="19"/>
          <w:color w:val="auto"/>
        </w:rPr>
        <w:t xml:space="preserve"> entire Premises and </w:t>
      </w:r>
      <w:r>
        <w:rPr>
          <w:rFonts w:ascii="Arial" w:cs="Arial" w:eastAsia="Arial" w:hAnsi="Arial"/>
          <w:sz w:val="19"/>
          <w:szCs w:val="19"/>
          <w:color w:val="131313"/>
        </w:rPr>
        <w:t>no less than the entire Premises (each</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131313"/>
        </w:rPr>
        <w:t>year</w:t>
      </w:r>
      <w:r>
        <w:rPr>
          <w:rFonts w:ascii="Arial" w:cs="Arial" w:eastAsia="Arial" w:hAnsi="Arial"/>
          <w:sz w:val="19"/>
          <w:szCs w:val="19"/>
          <w:color w:val="auto"/>
        </w:rPr>
        <w:t xml:space="preserve"> period </w:t>
      </w:r>
      <w:r>
        <w:rPr>
          <w:rFonts w:ascii="Arial" w:cs="Arial" w:eastAsia="Arial" w:hAnsi="Arial"/>
          <w:sz w:val="19"/>
          <w:szCs w:val="19"/>
          <w:color w:val="131313"/>
        </w:rPr>
        <w:t>being referred</w:t>
      </w:r>
      <w:r>
        <w:rPr>
          <w:rFonts w:ascii="Arial" w:cs="Arial" w:eastAsia="Arial" w:hAnsi="Arial"/>
          <w:sz w:val="19"/>
          <w:szCs w:val="19"/>
          <w:color w:val="auto"/>
        </w:rPr>
        <w:t xml:space="preserve"> to herein as </w:t>
      </w:r>
      <w:r>
        <w:rPr>
          <w:rFonts w:ascii="Arial" w:cs="Arial" w:eastAsia="Arial" w:hAnsi="Arial"/>
          <w:sz w:val="19"/>
          <w:szCs w:val="19"/>
          <w:color w:val="131313"/>
        </w:rPr>
        <w:t>an “</w:t>
      </w:r>
      <w:r>
        <w:rPr>
          <w:rFonts w:ascii="Arial" w:cs="Arial" w:eastAsia="Arial" w:hAnsi="Arial"/>
          <w:sz w:val="19"/>
          <w:szCs w:val="19"/>
          <w:u w:val="single" w:color="auto"/>
          <w:color w:val="131313"/>
        </w:rPr>
        <w:t>Extension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w:t>
      </w:r>
      <w:r>
        <w:rPr>
          <w:rFonts w:ascii="Arial" w:cs="Arial" w:eastAsia="Arial" w:hAnsi="Arial"/>
          <w:sz w:val="19"/>
          <w:szCs w:val="19"/>
          <w:color w:val="131313"/>
        </w:rPr>
        <w:t>upon the following</w:t>
      </w:r>
      <w:r>
        <w:rPr>
          <w:rFonts w:ascii="Arial" w:cs="Arial" w:eastAsia="Arial" w:hAnsi="Arial"/>
          <w:sz w:val="19"/>
          <w:szCs w:val="19"/>
          <w:color w:val="auto"/>
        </w:rPr>
        <w:t xml:space="preserve"> </w:t>
      </w:r>
      <w:r>
        <w:rPr>
          <w:rFonts w:ascii="Arial" w:cs="Arial" w:eastAsia="Arial" w:hAnsi="Arial"/>
          <w:sz w:val="19"/>
          <w:szCs w:val="19"/>
          <w:color w:val="343434"/>
        </w:rPr>
        <w:t>terms</w:t>
      </w:r>
      <w:r>
        <w:rPr>
          <w:rFonts w:ascii="Arial" w:cs="Arial" w:eastAsia="Arial" w:hAnsi="Arial"/>
          <w:sz w:val="19"/>
          <w:szCs w:val="19"/>
          <w:color w:val="auto"/>
        </w:rPr>
        <w:t xml:space="preserve"> and conditions. All </w:t>
      </w:r>
      <w:r>
        <w:rPr>
          <w:rFonts w:ascii="Arial" w:cs="Arial" w:eastAsia="Arial" w:hAnsi="Arial"/>
          <w:sz w:val="19"/>
          <w:szCs w:val="19"/>
          <w:color w:val="131313"/>
        </w:rPr>
        <w:t>provisions</w:t>
      </w:r>
      <w:r>
        <w:rPr>
          <w:rFonts w:ascii="Arial" w:cs="Arial" w:eastAsia="Arial" w:hAnsi="Arial"/>
          <w:sz w:val="19"/>
          <w:szCs w:val="19"/>
          <w:color w:val="auto"/>
        </w:rPr>
        <w:t xml:space="preserve"> of </w:t>
      </w:r>
      <w:r>
        <w:rPr>
          <w:rFonts w:ascii="Arial" w:cs="Arial" w:eastAsia="Arial" w:hAnsi="Arial"/>
          <w:sz w:val="19"/>
          <w:szCs w:val="19"/>
          <w:color w:val="131313"/>
        </w:rPr>
        <w:t>this</w:t>
      </w:r>
      <w:r>
        <w:rPr>
          <w:rFonts w:ascii="Arial" w:cs="Arial" w:eastAsia="Arial" w:hAnsi="Arial"/>
          <w:sz w:val="19"/>
          <w:szCs w:val="19"/>
          <w:color w:val="auto"/>
        </w:rPr>
        <w:t xml:space="preserve"> Lease </w:t>
      </w:r>
      <w:r>
        <w:rPr>
          <w:rFonts w:ascii="Arial" w:cs="Arial" w:eastAsia="Arial" w:hAnsi="Arial"/>
          <w:sz w:val="19"/>
          <w:szCs w:val="19"/>
          <w:color w:val="343434"/>
        </w:rPr>
        <w:t>shall</w:t>
      </w:r>
      <w:r>
        <w:rPr>
          <w:rFonts w:ascii="Arial" w:cs="Arial" w:eastAsia="Arial" w:hAnsi="Arial"/>
          <w:sz w:val="19"/>
          <w:szCs w:val="19"/>
          <w:color w:val="auto"/>
        </w:rPr>
        <w:t xml:space="preserve"> </w:t>
      </w:r>
      <w:r>
        <w:rPr>
          <w:rFonts w:ascii="Arial" w:cs="Arial" w:eastAsia="Arial" w:hAnsi="Arial"/>
          <w:sz w:val="19"/>
          <w:szCs w:val="19"/>
          <w:color w:val="131313"/>
        </w:rPr>
        <w:t>be</w:t>
      </w:r>
      <w:r>
        <w:rPr>
          <w:rFonts w:ascii="Arial" w:cs="Arial" w:eastAsia="Arial" w:hAnsi="Arial"/>
          <w:sz w:val="19"/>
          <w:szCs w:val="19"/>
          <w:color w:val="auto"/>
        </w:rPr>
        <w:t xml:space="preserve"> applicable </w:t>
      </w:r>
      <w:r>
        <w:rPr>
          <w:rFonts w:ascii="Arial" w:cs="Arial" w:eastAsia="Arial" w:hAnsi="Arial"/>
          <w:sz w:val="19"/>
          <w:szCs w:val="19"/>
          <w:color w:val="131313"/>
        </w:rPr>
        <w:t>during</w:t>
      </w:r>
      <w:r>
        <w:rPr>
          <w:rFonts w:ascii="Arial" w:cs="Arial" w:eastAsia="Arial" w:hAnsi="Arial"/>
          <w:sz w:val="19"/>
          <w:szCs w:val="19"/>
          <w:color w:val="auto"/>
        </w:rPr>
        <w:t xml:space="preserve"> each </w:t>
      </w:r>
      <w:r>
        <w:rPr>
          <w:rFonts w:ascii="Arial" w:cs="Arial" w:eastAsia="Arial" w:hAnsi="Arial"/>
          <w:sz w:val="19"/>
          <w:szCs w:val="19"/>
          <w:color w:val="343434"/>
        </w:rPr>
        <w:t>such Extension</w:t>
      </w:r>
      <w:r>
        <w:rPr>
          <w:rFonts w:ascii="Arial" w:cs="Arial" w:eastAsia="Arial" w:hAnsi="Arial"/>
          <w:sz w:val="19"/>
          <w:szCs w:val="19"/>
          <w:color w:val="auto"/>
        </w:rPr>
        <w:t xml:space="preserve"> Term except </w:t>
      </w:r>
      <w:r>
        <w:rPr>
          <w:rFonts w:ascii="Arial" w:cs="Arial" w:eastAsia="Arial" w:hAnsi="Arial"/>
          <w:sz w:val="19"/>
          <w:szCs w:val="19"/>
          <w:color w:val="131313"/>
        </w:rPr>
        <w:t>that:</w:t>
      </w:r>
      <w:r>
        <w:rPr>
          <w:rFonts w:ascii="Arial" w:cs="Arial" w:eastAsia="Arial" w:hAnsi="Arial"/>
          <w:sz w:val="19"/>
          <w:szCs w:val="19"/>
          <w:color w:val="auto"/>
        </w:rPr>
        <w:t xml:space="preserve"> (i) </w:t>
      </w:r>
      <w:r>
        <w:rPr>
          <w:rFonts w:ascii="Arial" w:cs="Arial" w:eastAsia="Arial" w:hAnsi="Arial"/>
          <w:sz w:val="19"/>
          <w:szCs w:val="19"/>
          <w:color w:val="131313"/>
        </w:rPr>
        <w:t>Tenant</w:t>
      </w:r>
      <w:r>
        <w:rPr>
          <w:rFonts w:ascii="Arial" w:cs="Arial" w:eastAsia="Arial" w:hAnsi="Arial"/>
          <w:sz w:val="19"/>
          <w:szCs w:val="19"/>
          <w:color w:val="auto"/>
        </w:rPr>
        <w:t xml:space="preserve"> </w:t>
      </w:r>
      <w:r>
        <w:rPr>
          <w:rFonts w:ascii="Arial" w:cs="Arial" w:eastAsia="Arial" w:hAnsi="Arial"/>
          <w:sz w:val="19"/>
          <w:szCs w:val="19"/>
          <w:color w:val="343434"/>
        </w:rPr>
        <w:t>shall</w:t>
      </w:r>
      <w:r>
        <w:rPr>
          <w:rFonts w:ascii="Arial" w:cs="Arial" w:eastAsia="Arial" w:hAnsi="Arial"/>
          <w:sz w:val="19"/>
          <w:szCs w:val="19"/>
          <w:color w:val="auto"/>
        </w:rPr>
        <w:t xml:space="preserve"> </w:t>
      </w:r>
      <w:r>
        <w:rPr>
          <w:rFonts w:ascii="Arial" w:cs="Arial" w:eastAsia="Arial" w:hAnsi="Arial"/>
          <w:sz w:val="19"/>
          <w:szCs w:val="19"/>
          <w:color w:val="131313"/>
        </w:rPr>
        <w:t>have no option to</w:t>
      </w:r>
      <w:r>
        <w:rPr>
          <w:rFonts w:ascii="Arial" w:cs="Arial" w:eastAsia="Arial" w:hAnsi="Arial"/>
          <w:sz w:val="19"/>
          <w:szCs w:val="19"/>
          <w:color w:val="auto"/>
        </w:rPr>
        <w:t xml:space="preserve"> </w:t>
      </w:r>
      <w:r>
        <w:rPr>
          <w:rFonts w:ascii="Arial" w:cs="Arial" w:eastAsia="Arial" w:hAnsi="Arial"/>
          <w:sz w:val="19"/>
          <w:szCs w:val="19"/>
          <w:color w:val="343434"/>
        </w:rPr>
        <w:t>extend</w:t>
      </w:r>
      <w:r>
        <w:rPr>
          <w:rFonts w:ascii="Arial" w:cs="Arial" w:eastAsia="Arial" w:hAnsi="Arial"/>
          <w:sz w:val="19"/>
          <w:szCs w:val="19"/>
          <w:color w:val="auto"/>
        </w:rPr>
        <w:t xml:space="preserve"> </w:t>
      </w:r>
      <w:r>
        <w:rPr>
          <w:rFonts w:ascii="Arial" w:cs="Arial" w:eastAsia="Arial" w:hAnsi="Arial"/>
          <w:sz w:val="19"/>
          <w:szCs w:val="19"/>
          <w:color w:val="131313"/>
        </w:rPr>
        <w:t>the Term</w:t>
      </w:r>
      <w:r>
        <w:rPr>
          <w:rFonts w:ascii="Arial" w:cs="Arial" w:eastAsia="Arial" w:hAnsi="Arial"/>
          <w:sz w:val="19"/>
          <w:szCs w:val="19"/>
          <w:color w:val="auto"/>
        </w:rPr>
        <w:t xml:space="preserve"> of this Lease </w:t>
      </w:r>
      <w:r>
        <w:rPr>
          <w:rFonts w:ascii="Arial" w:cs="Arial" w:eastAsia="Arial" w:hAnsi="Arial"/>
          <w:sz w:val="19"/>
          <w:szCs w:val="19"/>
          <w:color w:val="131313"/>
        </w:rPr>
        <w:t>beyond the</w:t>
      </w:r>
      <w:r>
        <w:rPr>
          <w:rFonts w:ascii="Arial" w:cs="Arial" w:eastAsia="Arial" w:hAnsi="Arial"/>
          <w:sz w:val="19"/>
          <w:szCs w:val="19"/>
          <w:color w:val="auto"/>
        </w:rPr>
        <w:t xml:space="preserve"> </w:t>
      </w:r>
      <w:r>
        <w:rPr>
          <w:rFonts w:ascii="Arial" w:cs="Arial" w:eastAsia="Arial" w:hAnsi="Arial"/>
          <w:sz w:val="19"/>
          <w:szCs w:val="19"/>
          <w:color w:val="343434"/>
        </w:rPr>
        <w:t>second</w:t>
      </w:r>
      <w:r>
        <w:rPr>
          <w:rFonts w:ascii="Arial" w:cs="Arial" w:eastAsia="Arial" w:hAnsi="Arial"/>
          <w:sz w:val="19"/>
          <w:szCs w:val="19"/>
          <w:color w:val="auto"/>
        </w:rPr>
        <w:t xml:space="preserve"> Extension Term; </w:t>
      </w:r>
      <w:r>
        <w:rPr>
          <w:rFonts w:ascii="Arial" w:cs="Arial" w:eastAsia="Arial" w:hAnsi="Arial"/>
          <w:sz w:val="19"/>
          <w:szCs w:val="19"/>
          <w:color w:val="131313"/>
        </w:rPr>
        <w:t>(ii) the</w:t>
      </w:r>
      <w:r>
        <w:rPr>
          <w:rFonts w:ascii="Arial" w:cs="Arial" w:eastAsia="Arial" w:hAnsi="Arial"/>
          <w:sz w:val="19"/>
          <w:szCs w:val="19"/>
          <w:color w:val="auto"/>
        </w:rPr>
        <w:t xml:space="preserve"> Base Rent </w:t>
      </w:r>
      <w:r>
        <w:rPr>
          <w:rFonts w:ascii="Arial" w:cs="Arial" w:eastAsia="Arial" w:hAnsi="Arial"/>
          <w:sz w:val="19"/>
          <w:szCs w:val="19"/>
          <w:color w:val="343434"/>
        </w:rPr>
        <w:t>for</w:t>
      </w:r>
      <w:r>
        <w:rPr>
          <w:rFonts w:ascii="Arial" w:cs="Arial" w:eastAsia="Arial" w:hAnsi="Arial"/>
          <w:sz w:val="19"/>
          <w:szCs w:val="19"/>
          <w:color w:val="auto"/>
        </w:rPr>
        <w:t xml:space="preserve"> each Extension Term </w:t>
      </w:r>
      <w:r>
        <w:rPr>
          <w:rFonts w:ascii="Arial" w:cs="Arial" w:eastAsia="Arial" w:hAnsi="Arial"/>
          <w:sz w:val="19"/>
          <w:szCs w:val="19"/>
          <w:color w:val="343434"/>
        </w:rPr>
        <w:t>s</w:t>
      </w:r>
      <w:r>
        <w:rPr>
          <w:rFonts w:ascii="Arial" w:cs="Arial" w:eastAsia="Arial" w:hAnsi="Arial"/>
          <w:sz w:val="19"/>
          <w:szCs w:val="19"/>
          <w:color w:val="131313"/>
        </w:rPr>
        <w:t>hall</w:t>
      </w:r>
      <w:r>
        <w:rPr>
          <w:rFonts w:ascii="Arial" w:cs="Arial" w:eastAsia="Arial" w:hAnsi="Arial"/>
          <w:sz w:val="19"/>
          <w:szCs w:val="19"/>
          <w:color w:val="auto"/>
        </w:rPr>
        <w:t xml:space="preserve"> be determined in accordance with </w:t>
      </w:r>
      <w:r>
        <w:rPr>
          <w:rFonts w:ascii="Arial" w:cs="Arial" w:eastAsia="Arial" w:hAnsi="Arial"/>
          <w:sz w:val="19"/>
          <w:szCs w:val="19"/>
          <w:color w:val="131313"/>
        </w:rPr>
        <w:t>this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343434"/>
        </w:rPr>
        <w:t>42</w:t>
      </w:r>
      <w:r>
        <w:rPr>
          <w:rFonts w:ascii="Arial" w:cs="Arial" w:eastAsia="Arial" w:hAnsi="Arial"/>
          <w:sz w:val="19"/>
          <w:szCs w:val="19"/>
          <w:color w:val="343434"/>
        </w:rPr>
        <w:t>);</w:t>
      </w:r>
      <w:r>
        <w:rPr>
          <w:rFonts w:ascii="Arial" w:cs="Arial" w:eastAsia="Arial" w:hAnsi="Arial"/>
          <w:sz w:val="19"/>
          <w:szCs w:val="19"/>
          <w:color w:val="auto"/>
        </w:rPr>
        <w:t xml:space="preserve"> and </w:t>
      </w:r>
      <w:r>
        <w:rPr>
          <w:rFonts w:ascii="Arial" w:cs="Arial" w:eastAsia="Arial" w:hAnsi="Arial"/>
          <w:sz w:val="19"/>
          <w:szCs w:val="19"/>
          <w:color w:val="131313"/>
        </w:rPr>
        <w:t>(iii)</w:t>
      </w:r>
      <w:r>
        <w:rPr>
          <w:rFonts w:ascii="Arial" w:cs="Arial" w:eastAsia="Arial" w:hAnsi="Arial"/>
          <w:sz w:val="19"/>
          <w:szCs w:val="19"/>
          <w:color w:val="auto"/>
        </w:rPr>
        <w:t xml:space="preserve"> as otherwise </w:t>
      </w:r>
      <w:r>
        <w:rPr>
          <w:rFonts w:ascii="Arial" w:cs="Arial" w:eastAsia="Arial" w:hAnsi="Arial"/>
          <w:sz w:val="19"/>
          <w:szCs w:val="19"/>
          <w:color w:val="131313"/>
        </w:rPr>
        <w:t>provided in</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131313"/>
        </w:rPr>
        <w:t>42</w:t>
      </w:r>
      <w:r>
        <w:rPr>
          <w:rFonts w:ascii="Arial" w:cs="Arial" w:eastAsia="Arial" w:hAnsi="Arial"/>
          <w:sz w:val="19"/>
          <w:szCs w:val="19"/>
          <w:color w:val="131313"/>
        </w:rPr>
        <w:t>.</w:t>
      </w:r>
    </w:p>
    <w:p>
      <w:pPr>
        <w:spacing w:after="0" w:line="146" w:lineRule="exact"/>
        <w:rPr>
          <w:rFonts w:ascii="Arial" w:cs="Arial" w:eastAsia="Arial" w:hAnsi="Arial"/>
          <w:sz w:val="19"/>
          <w:szCs w:val="19"/>
          <w:color w:val="auto"/>
        </w:rPr>
      </w:pPr>
    </w:p>
    <w:p>
      <w:pPr>
        <w:ind w:left="1300" w:hanging="648"/>
        <w:spacing w:after="0" w:line="225" w:lineRule="auto"/>
        <w:rPr>
          <w:rFonts w:ascii="Arial" w:cs="Arial" w:eastAsia="Arial" w:hAnsi="Arial"/>
          <w:sz w:val="19"/>
          <w:szCs w:val="19"/>
          <w:color w:val="auto"/>
        </w:rPr>
      </w:pPr>
      <w:r>
        <w:rPr>
          <w:rFonts w:ascii="Arial" w:cs="Arial" w:eastAsia="Arial" w:hAnsi="Arial"/>
          <w:sz w:val="20"/>
          <w:szCs w:val="20"/>
          <w:color w:val="auto"/>
        </w:rPr>
        <w:t xml:space="preserve">42.1 On </w:t>
      </w:r>
      <w:r>
        <w:rPr>
          <w:rFonts w:ascii="Arial" w:cs="Arial" w:eastAsia="Arial" w:hAnsi="Arial"/>
          <w:sz w:val="20"/>
          <w:szCs w:val="20"/>
          <w:color w:val="131313"/>
        </w:rPr>
        <w:t>the first</w:t>
      </w:r>
      <w:r>
        <w:rPr>
          <w:rFonts w:ascii="Arial" w:cs="Arial" w:eastAsia="Arial" w:hAnsi="Arial"/>
          <w:sz w:val="20"/>
          <w:szCs w:val="20"/>
          <w:color w:val="auto"/>
        </w:rPr>
        <w:t xml:space="preserv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w:t>
      </w:r>
      <w:r>
        <w:rPr>
          <w:rFonts w:ascii="Arial" w:cs="Arial" w:eastAsia="Arial" w:hAnsi="Arial"/>
          <w:sz w:val="20"/>
          <w:szCs w:val="20"/>
          <w:color w:val="131313"/>
        </w:rPr>
        <w:t>day</w:t>
      </w:r>
      <w:r>
        <w:rPr>
          <w:rFonts w:ascii="Arial" w:cs="Arial" w:eastAsia="Arial" w:hAnsi="Arial"/>
          <w:sz w:val="20"/>
          <w:szCs w:val="20"/>
          <w:color w:val="auto"/>
        </w:rPr>
        <w:t xml:space="preserve"> of each </w:t>
      </w:r>
      <w:r>
        <w:rPr>
          <w:rFonts w:ascii="Arial" w:cs="Arial" w:eastAsia="Arial" w:hAnsi="Arial"/>
          <w:sz w:val="20"/>
          <w:szCs w:val="20"/>
          <w:color w:val="343434"/>
        </w:rPr>
        <w:t>Extension</w:t>
      </w:r>
      <w:r>
        <w:rPr>
          <w:rFonts w:ascii="Arial" w:cs="Arial" w:eastAsia="Arial" w:hAnsi="Arial"/>
          <w:sz w:val="20"/>
          <w:szCs w:val="20"/>
          <w:color w:val="auto"/>
        </w:rPr>
        <w:t xml:space="preserve"> Term, Base Rent </w:t>
      </w:r>
      <w:r>
        <w:rPr>
          <w:rFonts w:ascii="Arial" w:cs="Arial" w:eastAsia="Arial" w:hAnsi="Arial"/>
          <w:sz w:val="20"/>
          <w:szCs w:val="20"/>
          <w:color w:val="343434"/>
        </w:rPr>
        <w:t>shall</w:t>
      </w:r>
      <w:r>
        <w:rPr>
          <w:rFonts w:ascii="Arial" w:cs="Arial" w:eastAsia="Arial" w:hAnsi="Arial"/>
          <w:sz w:val="20"/>
          <w:szCs w:val="20"/>
          <w:color w:val="auto"/>
        </w:rPr>
        <w:t xml:space="preserve"> </w:t>
      </w:r>
      <w:r>
        <w:rPr>
          <w:rFonts w:ascii="Arial" w:cs="Arial" w:eastAsia="Arial" w:hAnsi="Arial"/>
          <w:sz w:val="20"/>
          <w:szCs w:val="20"/>
          <w:color w:val="131313"/>
        </w:rPr>
        <w:t>be</w:t>
      </w:r>
      <w:r>
        <w:rPr>
          <w:rFonts w:ascii="Arial" w:cs="Arial" w:eastAsia="Arial" w:hAnsi="Arial"/>
          <w:sz w:val="20"/>
          <w:szCs w:val="20"/>
          <w:color w:val="auto"/>
        </w:rPr>
        <w:t xml:space="preserve"> equal to </w:t>
      </w:r>
      <w:r>
        <w:rPr>
          <w:rFonts w:ascii="Arial" w:cs="Arial" w:eastAsia="Arial" w:hAnsi="Arial"/>
          <w:sz w:val="20"/>
          <w:szCs w:val="20"/>
          <w:u w:val="single" w:color="auto"/>
          <w:color w:val="auto"/>
        </w:rPr>
        <w:t>[***]</w:t>
      </w:r>
      <w:r>
        <w:rPr>
          <w:rFonts w:ascii="Arial" w:cs="Arial" w:eastAsia="Arial" w:hAnsi="Arial"/>
          <w:sz w:val="20"/>
          <w:szCs w:val="20"/>
          <w:color w:val="auto"/>
        </w:rPr>
        <w:t xml:space="preserve">%) of </w:t>
      </w:r>
      <w:r>
        <w:rPr>
          <w:rFonts w:ascii="Arial" w:cs="Arial" w:eastAsia="Arial" w:hAnsi="Arial"/>
          <w:sz w:val="20"/>
          <w:szCs w:val="20"/>
          <w:color w:val="131313"/>
        </w:rPr>
        <w:t>the Fair</w:t>
      </w:r>
      <w:r>
        <w:rPr>
          <w:rFonts w:ascii="Arial" w:cs="Arial" w:eastAsia="Arial" w:hAnsi="Arial"/>
          <w:sz w:val="20"/>
          <w:szCs w:val="20"/>
          <w:color w:val="auto"/>
        </w:rPr>
        <w:t xml:space="preserve"> Market Rent </w:t>
      </w:r>
      <w:r>
        <w:rPr>
          <w:rFonts w:ascii="Arial" w:cs="Arial" w:eastAsia="Arial" w:hAnsi="Arial"/>
          <w:sz w:val="20"/>
          <w:szCs w:val="20"/>
          <w:color w:val="131313"/>
        </w:rPr>
        <w:t>(as</w:t>
      </w:r>
      <w:r>
        <w:rPr>
          <w:rFonts w:ascii="Arial" w:cs="Arial" w:eastAsia="Arial" w:hAnsi="Arial"/>
          <w:sz w:val="20"/>
          <w:szCs w:val="20"/>
          <w:color w:val="auto"/>
        </w:rPr>
        <w:t xml:space="preserve"> defined below) of </w:t>
      </w:r>
      <w:r>
        <w:rPr>
          <w:rFonts w:ascii="Arial" w:cs="Arial" w:eastAsia="Arial" w:hAnsi="Arial"/>
          <w:sz w:val="20"/>
          <w:szCs w:val="20"/>
          <w:color w:val="131313"/>
        </w:rPr>
        <w:t>the</w:t>
      </w:r>
      <w:r>
        <w:rPr>
          <w:rFonts w:ascii="Arial" w:cs="Arial" w:eastAsia="Arial" w:hAnsi="Arial"/>
          <w:sz w:val="20"/>
          <w:szCs w:val="20"/>
          <w:color w:val="auto"/>
        </w:rPr>
        <w:t xml:space="preserve"> Premises, </w:t>
      </w:r>
      <w:r>
        <w:rPr>
          <w:rFonts w:ascii="Arial" w:cs="Arial" w:eastAsia="Arial" w:hAnsi="Arial"/>
          <w:sz w:val="20"/>
          <w:szCs w:val="20"/>
          <w:color w:val="343434"/>
        </w:rPr>
        <w:t>as</w:t>
      </w:r>
      <w:r>
        <w:rPr>
          <w:rFonts w:ascii="Arial" w:cs="Arial" w:eastAsia="Arial" w:hAnsi="Arial"/>
          <w:sz w:val="20"/>
          <w:szCs w:val="20"/>
          <w:color w:val="auto"/>
        </w:rPr>
        <w:t xml:space="preserve"> </w:t>
      </w:r>
      <w:r>
        <w:rPr>
          <w:rFonts w:ascii="Arial" w:cs="Arial" w:eastAsia="Arial" w:hAnsi="Arial"/>
          <w:sz w:val="20"/>
          <w:szCs w:val="20"/>
          <w:color w:val="131313"/>
        </w:rPr>
        <w:t>determined in</w:t>
      </w:r>
      <w:r>
        <w:rPr>
          <w:rFonts w:ascii="Arial" w:cs="Arial" w:eastAsia="Arial" w:hAnsi="Arial"/>
          <w:sz w:val="20"/>
          <w:szCs w:val="20"/>
          <w:color w:val="auto"/>
        </w:rPr>
        <w:t xml:space="preserve"> accordance </w:t>
      </w:r>
      <w:r>
        <w:rPr>
          <w:rFonts w:ascii="Arial" w:cs="Arial" w:eastAsia="Arial" w:hAnsi="Arial"/>
          <w:sz w:val="20"/>
          <w:szCs w:val="20"/>
          <w:color w:val="131313"/>
        </w:rPr>
        <w:t>with</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131313"/>
        </w:rPr>
        <w:t>42.7</w:t>
      </w:r>
      <w:r>
        <w:rPr>
          <w:rFonts w:ascii="Arial" w:cs="Arial" w:eastAsia="Arial" w:hAnsi="Arial"/>
          <w:sz w:val="20"/>
          <w:szCs w:val="20"/>
          <w:color w:val="auto"/>
        </w:rPr>
        <w:t xml:space="preserve"> </w:t>
      </w:r>
      <w:r>
        <w:rPr>
          <w:rFonts w:ascii="Arial" w:cs="Arial" w:eastAsia="Arial" w:hAnsi="Arial"/>
          <w:sz w:val="20"/>
          <w:szCs w:val="20"/>
          <w:color w:val="131313"/>
        </w:rPr>
        <w:t>through</w:t>
      </w:r>
      <w:r>
        <w:rPr>
          <w:rFonts w:ascii="Arial" w:cs="Arial" w:eastAsia="Arial" w:hAnsi="Arial"/>
          <w:sz w:val="20"/>
          <w:szCs w:val="20"/>
          <w:color w:val="auto"/>
        </w:rPr>
        <w:t xml:space="preserve"> </w:t>
      </w:r>
      <w:r>
        <w:rPr>
          <w:rFonts w:ascii="Arial" w:cs="Arial" w:eastAsia="Arial" w:hAnsi="Arial"/>
          <w:sz w:val="20"/>
          <w:szCs w:val="20"/>
          <w:u w:val="single" w:color="auto"/>
          <w:color w:val="131313"/>
        </w:rPr>
        <w:t>42.10</w:t>
      </w:r>
      <w:r>
        <w:rPr>
          <w:rFonts w:ascii="Arial" w:cs="Arial" w:eastAsia="Arial" w:hAnsi="Arial"/>
          <w:sz w:val="20"/>
          <w:szCs w:val="20"/>
          <w:color w:val="131313"/>
        </w:rPr>
        <w:t>, inclusive, below,</w:t>
      </w:r>
      <w:r>
        <w:rPr>
          <w:rFonts w:ascii="Arial" w:cs="Arial" w:eastAsia="Arial" w:hAnsi="Arial"/>
          <w:sz w:val="20"/>
          <w:szCs w:val="20"/>
          <w:color w:val="auto"/>
        </w:rPr>
        <w:t xml:space="preserve"> </w:t>
      </w:r>
      <w:r>
        <w:rPr>
          <w:rFonts w:ascii="Arial" w:cs="Arial" w:eastAsia="Arial" w:hAnsi="Arial"/>
          <w:sz w:val="20"/>
          <w:szCs w:val="20"/>
          <w:color w:val="131313"/>
        </w:rPr>
        <w:t xml:space="preserve">provided in </w:t>
      </w:r>
      <w:r>
        <w:rPr>
          <w:rFonts w:ascii="Arial" w:cs="Arial" w:eastAsia="Arial" w:hAnsi="Arial"/>
          <w:sz w:val="20"/>
          <w:szCs w:val="20"/>
          <w:color w:val="343434"/>
        </w:rPr>
        <w:t>no</w:t>
      </w:r>
      <w:r>
        <w:rPr>
          <w:rFonts w:ascii="Arial" w:cs="Arial" w:eastAsia="Arial" w:hAnsi="Arial"/>
          <w:sz w:val="20"/>
          <w:szCs w:val="20"/>
          <w:color w:val="131313"/>
        </w:rPr>
        <w:t xml:space="preserve"> </w:t>
      </w:r>
      <w:r>
        <w:rPr>
          <w:rFonts w:ascii="Arial" w:cs="Arial" w:eastAsia="Arial" w:hAnsi="Arial"/>
          <w:sz w:val="20"/>
          <w:szCs w:val="20"/>
          <w:color w:val="000000"/>
        </w:rPr>
        <w:t>event shall</w:t>
      </w:r>
      <w:r>
        <w:rPr>
          <w:rFonts w:ascii="Arial" w:cs="Arial" w:eastAsia="Arial" w:hAnsi="Arial"/>
          <w:sz w:val="20"/>
          <w:szCs w:val="20"/>
          <w:color w:val="131313"/>
        </w:rPr>
        <w:t xml:space="preserve"> the Base Rent be less than </w:t>
      </w:r>
      <w:r>
        <w:rPr>
          <w:rFonts w:ascii="Arial" w:cs="Arial" w:eastAsia="Arial" w:hAnsi="Arial"/>
          <w:sz w:val="20"/>
          <w:szCs w:val="20"/>
          <w:color w:val="000000"/>
        </w:rPr>
        <w:t>the</w:t>
      </w:r>
      <w:r>
        <w:rPr>
          <w:rFonts w:ascii="Arial" w:cs="Arial" w:eastAsia="Arial" w:hAnsi="Arial"/>
          <w:sz w:val="20"/>
          <w:szCs w:val="20"/>
          <w:color w:val="131313"/>
        </w:rPr>
        <w:t xml:space="preserve"> </w:t>
      </w:r>
      <w:r>
        <w:rPr>
          <w:rFonts w:ascii="Arial" w:cs="Arial" w:eastAsia="Arial" w:hAnsi="Arial"/>
          <w:sz w:val="20"/>
          <w:szCs w:val="20"/>
          <w:color w:val="343434"/>
        </w:rPr>
        <w:t>Base</w:t>
      </w:r>
      <w:r>
        <w:rPr>
          <w:rFonts w:ascii="Arial" w:cs="Arial" w:eastAsia="Arial" w:hAnsi="Arial"/>
          <w:sz w:val="20"/>
          <w:szCs w:val="20"/>
          <w:color w:val="131313"/>
        </w:rPr>
        <w:t xml:space="preserve"> </w:t>
      </w:r>
      <w:r>
        <w:rPr>
          <w:rFonts w:ascii="Arial" w:cs="Arial" w:eastAsia="Arial" w:hAnsi="Arial"/>
          <w:sz w:val="20"/>
          <w:szCs w:val="20"/>
          <w:color w:val="000000"/>
        </w:rPr>
        <w:t>Rent in effect</w:t>
      </w:r>
      <w:r>
        <w:rPr>
          <w:rFonts w:ascii="Arial" w:cs="Arial" w:eastAsia="Arial" w:hAnsi="Arial"/>
          <w:sz w:val="20"/>
          <w:szCs w:val="20"/>
          <w:color w:val="131313"/>
        </w:rPr>
        <w:t xml:space="preserve"> immediately prior to </w:t>
      </w:r>
      <w:r>
        <w:rPr>
          <w:rFonts w:ascii="Arial" w:cs="Arial" w:eastAsia="Arial" w:hAnsi="Arial"/>
          <w:sz w:val="20"/>
          <w:szCs w:val="20"/>
          <w:color w:val="343434"/>
        </w:rPr>
        <w:t>such</w:t>
      </w:r>
      <w:r>
        <w:rPr>
          <w:rFonts w:ascii="Arial" w:cs="Arial" w:eastAsia="Arial" w:hAnsi="Arial"/>
          <w:sz w:val="20"/>
          <w:szCs w:val="20"/>
          <w:color w:val="131313"/>
        </w:rPr>
        <w:t xml:space="preserve"> date, </w:t>
      </w:r>
      <w:r>
        <w:rPr>
          <w:rFonts w:ascii="Arial" w:cs="Arial" w:eastAsia="Arial" w:hAnsi="Arial"/>
          <w:sz w:val="20"/>
          <w:szCs w:val="20"/>
          <w:color w:val="000000"/>
        </w:rPr>
        <w:t>and</w:t>
      </w:r>
      <w:r>
        <w:rPr>
          <w:rFonts w:ascii="Arial" w:cs="Arial" w:eastAsia="Arial" w:hAnsi="Arial"/>
          <w:sz w:val="20"/>
          <w:szCs w:val="20"/>
          <w:color w:val="131313"/>
        </w:rPr>
        <w:t xml:space="preserve"> </w:t>
      </w:r>
      <w:r>
        <w:rPr>
          <w:rFonts w:ascii="Arial" w:cs="Arial" w:eastAsia="Arial" w:hAnsi="Arial"/>
          <w:sz w:val="20"/>
          <w:szCs w:val="20"/>
          <w:color w:val="000000"/>
        </w:rPr>
        <w:t xml:space="preserve">shall </w:t>
      </w:r>
      <w:r>
        <w:rPr>
          <w:rFonts w:ascii="Arial" w:cs="Arial" w:eastAsia="Arial" w:hAnsi="Arial"/>
          <w:sz w:val="20"/>
          <w:szCs w:val="20"/>
          <w:color w:val="131313"/>
        </w:rPr>
        <w:t>thereafter be adjusted</w:t>
      </w:r>
      <w:r>
        <w:rPr>
          <w:rFonts w:ascii="Arial" w:cs="Arial" w:eastAsia="Arial" w:hAnsi="Arial"/>
          <w:sz w:val="20"/>
          <w:szCs w:val="20"/>
          <w:color w:val="000000"/>
        </w:rPr>
        <w:t xml:space="preserve"> on each annual </w:t>
      </w:r>
      <w:r>
        <w:rPr>
          <w:rFonts w:ascii="Arial" w:cs="Arial" w:eastAsia="Arial" w:hAnsi="Arial"/>
          <w:sz w:val="20"/>
          <w:szCs w:val="20"/>
          <w:color w:val="131313"/>
        </w:rPr>
        <w:t>anniversary date thereof in</w:t>
      </w:r>
      <w:r>
        <w:rPr>
          <w:rFonts w:ascii="Arial" w:cs="Arial" w:eastAsia="Arial" w:hAnsi="Arial"/>
          <w:sz w:val="20"/>
          <w:szCs w:val="20"/>
          <w:color w:val="000000"/>
        </w:rPr>
        <w:t xml:space="preserve"> accordance </w:t>
      </w:r>
      <w:r>
        <w:rPr>
          <w:rFonts w:ascii="Arial" w:cs="Arial" w:eastAsia="Arial" w:hAnsi="Arial"/>
          <w:sz w:val="20"/>
          <w:szCs w:val="20"/>
          <w:color w:val="131313"/>
        </w:rPr>
        <w:t>with</w:t>
      </w:r>
      <w:r>
        <w:rPr>
          <w:rFonts w:ascii="Arial" w:cs="Arial" w:eastAsia="Arial" w:hAnsi="Arial"/>
          <w:sz w:val="20"/>
          <w:szCs w:val="20"/>
          <w:color w:val="000000"/>
        </w:rPr>
        <w:t xml:space="preserve"> </w:t>
      </w:r>
      <w:r>
        <w:rPr>
          <w:rFonts w:ascii="Arial" w:cs="Arial" w:eastAsia="Arial" w:hAnsi="Arial"/>
          <w:sz w:val="20"/>
          <w:szCs w:val="20"/>
          <w:u w:val="single" w:color="auto"/>
          <w:color w:val="131313"/>
        </w:rPr>
        <w:t>Article</w:t>
      </w:r>
      <w:r>
        <w:rPr>
          <w:rFonts w:ascii="Arial" w:cs="Arial" w:eastAsia="Arial" w:hAnsi="Arial"/>
          <w:sz w:val="20"/>
          <w:szCs w:val="20"/>
          <w:color w:val="000000"/>
        </w:rPr>
        <w:t xml:space="preserve"> </w:t>
      </w:r>
      <w:r>
        <w:rPr>
          <w:rFonts w:ascii="Arial" w:cs="Arial" w:eastAsia="Arial" w:hAnsi="Arial"/>
          <w:sz w:val="20"/>
          <w:szCs w:val="20"/>
          <w:u w:val="single" w:color="auto"/>
          <w:color w:val="343434"/>
        </w:rPr>
        <w:t>8</w:t>
      </w:r>
      <w:r>
        <w:rPr>
          <w:rFonts w:ascii="Arial" w:cs="Arial" w:eastAsia="Arial" w:hAnsi="Arial"/>
          <w:sz w:val="20"/>
          <w:szCs w:val="20"/>
          <w:color w:val="343434"/>
        </w:rPr>
        <w:t>.</w:t>
      </w:r>
    </w:p>
    <w:p>
      <w:pPr>
        <w:spacing w:after="0" w:line="160"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 xml:space="preserve">42.2   No </w:t>
      </w:r>
      <w:r>
        <w:rPr>
          <w:rFonts w:ascii="Arial" w:cs="Arial" w:eastAsia="Arial" w:hAnsi="Arial"/>
          <w:sz w:val="22"/>
          <w:szCs w:val="22"/>
          <w:color w:val="131313"/>
        </w:rPr>
        <w:t>Option is</w:t>
      </w:r>
      <w:r>
        <w:rPr>
          <w:rFonts w:ascii="Arial" w:cs="Arial" w:eastAsia="Arial" w:hAnsi="Arial"/>
          <w:sz w:val="22"/>
          <w:szCs w:val="22"/>
          <w:color w:val="auto"/>
        </w:rPr>
        <w:t xml:space="preserve"> assignable </w:t>
      </w:r>
      <w:r>
        <w:rPr>
          <w:rFonts w:ascii="Arial" w:cs="Arial" w:eastAsia="Arial" w:hAnsi="Arial"/>
          <w:sz w:val="22"/>
          <w:szCs w:val="22"/>
          <w:color w:val="343434"/>
        </w:rPr>
        <w:t>separate</w:t>
      </w:r>
      <w:r>
        <w:rPr>
          <w:rFonts w:ascii="Arial" w:cs="Arial" w:eastAsia="Arial" w:hAnsi="Arial"/>
          <w:sz w:val="22"/>
          <w:szCs w:val="22"/>
          <w:color w:val="auto"/>
        </w:rPr>
        <w:t xml:space="preserve"> and apart from this </w:t>
      </w:r>
      <w:r>
        <w:rPr>
          <w:rFonts w:ascii="Arial" w:cs="Arial" w:eastAsia="Arial" w:hAnsi="Arial"/>
          <w:sz w:val="22"/>
          <w:szCs w:val="22"/>
          <w:color w:val="131313"/>
        </w:rPr>
        <w:t>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01" w:right="339" w:bottom="1440" w:gutter="0" w:footer="0" w:header="0"/>
        </w:sectPr>
      </w:pPr>
    </w:p>
    <w:bookmarkStart w:id="369" w:name="page370"/>
    <w:bookmarkEnd w:id="369"/>
    <w:p>
      <w:pPr>
        <w:jc w:val="both"/>
        <w:ind w:left="180" w:hanging="647"/>
        <w:spacing w:after="0" w:line="216" w:lineRule="auto"/>
        <w:tabs>
          <w:tab w:leader="none" w:pos="160" w:val="left"/>
        </w:tabs>
        <w:rPr>
          <w:sz w:val="20"/>
          <w:szCs w:val="20"/>
          <w:color w:val="auto"/>
        </w:rPr>
      </w:pPr>
      <w:r>
        <w:rPr>
          <w:rFonts w:ascii="Arial" w:cs="Arial" w:eastAsia="Arial" w:hAnsi="Arial"/>
          <w:sz w:val="22"/>
          <w:szCs w:val="22"/>
          <w:color w:val="auto"/>
        </w:rPr>
        <w:t>42.3</w:t>
        <w:tab/>
        <w:t xml:space="preserve">Bach Option is conditional upon Tenant giving Landlord written notice of its election to exercise such Option at least </w:t>
      </w:r>
      <w:r>
        <w:rPr>
          <w:rFonts w:ascii="Arial" w:cs="Arial" w:eastAsia="Arial" w:hAnsi="Arial"/>
          <w:sz w:val="22"/>
          <w:szCs w:val="22"/>
          <w:u w:val="single" w:color="auto"/>
          <w:color w:val="auto"/>
        </w:rPr>
        <w:t>[***]</w:t>
      </w:r>
      <w:r>
        <w:rPr>
          <w:rFonts w:ascii="Arial" w:cs="Arial" w:eastAsia="Arial" w:hAnsi="Arial"/>
          <w:sz w:val="22"/>
          <w:szCs w:val="22"/>
          <w:color w:val="auto"/>
        </w:rPr>
        <w:t xml:space="preserve"> months prior </w:t>
      </w:r>
      <w:r>
        <w:rPr>
          <w:rFonts w:ascii="Arial" w:cs="Arial" w:eastAsia="Arial" w:hAnsi="Arial"/>
          <w:sz w:val="22"/>
          <w:szCs w:val="22"/>
          <w:color w:val="2F2F2F"/>
        </w:rPr>
        <w:t>to</w:t>
      </w:r>
      <w:r>
        <w:rPr>
          <w:rFonts w:ascii="Arial" w:cs="Arial" w:eastAsia="Arial" w:hAnsi="Arial"/>
          <w:sz w:val="22"/>
          <w:szCs w:val="22"/>
          <w:color w:val="auto"/>
        </w:rPr>
        <w:t xml:space="preserve"> the end </w:t>
      </w:r>
      <w:r>
        <w:rPr>
          <w:rFonts w:ascii="Arial" w:cs="Arial" w:eastAsia="Arial" w:hAnsi="Arial"/>
          <w:sz w:val="22"/>
          <w:szCs w:val="22"/>
          <w:color w:val="2F2F2F"/>
        </w:rPr>
        <w:t>of</w:t>
      </w:r>
      <w:r>
        <w:rPr>
          <w:rFonts w:ascii="Arial" w:cs="Arial" w:eastAsia="Arial" w:hAnsi="Arial"/>
          <w:sz w:val="22"/>
          <w:szCs w:val="22"/>
          <w:color w:val="auto"/>
        </w:rPr>
        <w:t xml:space="preserve"> the expiration of the then-current Term. Time </w:t>
      </w:r>
      <w:r>
        <w:rPr>
          <w:rFonts w:ascii="Arial" w:cs="Arial" w:eastAsia="Arial" w:hAnsi="Arial"/>
          <w:sz w:val="22"/>
          <w:szCs w:val="22"/>
          <w:color w:val="2F2F2F"/>
        </w:rPr>
        <w:t>shall</w:t>
      </w:r>
      <w:r>
        <w:rPr>
          <w:rFonts w:ascii="Arial" w:cs="Arial" w:eastAsia="Arial" w:hAnsi="Arial"/>
          <w:sz w:val="22"/>
          <w:szCs w:val="22"/>
          <w:color w:val="auto"/>
        </w:rPr>
        <w:t xml:space="preserve"> be of the </w:t>
      </w:r>
      <w:r>
        <w:rPr>
          <w:rFonts w:ascii="Arial" w:cs="Arial" w:eastAsia="Arial" w:hAnsi="Arial"/>
          <w:sz w:val="22"/>
          <w:szCs w:val="22"/>
          <w:color w:val="2F2F2F"/>
        </w:rPr>
        <w:t>essence</w:t>
      </w:r>
      <w:r>
        <w:rPr>
          <w:rFonts w:ascii="Arial" w:cs="Arial" w:eastAsia="Arial" w:hAnsi="Arial"/>
          <w:sz w:val="22"/>
          <w:szCs w:val="22"/>
          <w:color w:val="auto"/>
        </w:rPr>
        <w:t xml:space="preserve"> as to Tenant’s exercise of </w:t>
      </w:r>
      <w:r>
        <w:rPr>
          <w:rFonts w:ascii="Arial" w:cs="Arial" w:eastAsia="Arial" w:hAnsi="Arial"/>
          <w:sz w:val="22"/>
          <w:szCs w:val="22"/>
          <w:color w:val="2F2F2F"/>
        </w:rPr>
        <w:t>an</w:t>
      </w:r>
      <w:r>
        <w:rPr>
          <w:rFonts w:ascii="Arial" w:cs="Arial" w:eastAsia="Arial" w:hAnsi="Arial"/>
          <w:sz w:val="22"/>
          <w:szCs w:val="22"/>
          <w:color w:val="auto"/>
        </w:rPr>
        <w:t xml:space="preserve"> Option. Tenant </w:t>
      </w:r>
      <w:r>
        <w:rPr>
          <w:rFonts w:ascii="Arial" w:cs="Arial" w:eastAsia="Arial" w:hAnsi="Arial"/>
          <w:sz w:val="22"/>
          <w:szCs w:val="22"/>
          <w:color w:val="2F2F2F"/>
        </w:rPr>
        <w:t>assumes</w:t>
      </w:r>
      <w:r>
        <w:rPr>
          <w:rFonts w:ascii="Arial" w:cs="Arial" w:eastAsia="Arial" w:hAnsi="Arial"/>
          <w:sz w:val="22"/>
          <w:szCs w:val="22"/>
          <w:color w:val="auto"/>
        </w:rPr>
        <w:t xml:space="preserve"> full responsibility for </w:t>
      </w:r>
      <w:r>
        <w:rPr>
          <w:rFonts w:ascii="Arial" w:cs="Arial" w:eastAsia="Arial" w:hAnsi="Arial"/>
          <w:sz w:val="22"/>
          <w:szCs w:val="22"/>
          <w:color w:val="2F2F2F"/>
        </w:rPr>
        <w:t>maintaining</w:t>
      </w:r>
      <w:r>
        <w:rPr>
          <w:rFonts w:ascii="Arial" w:cs="Arial" w:eastAsia="Arial" w:hAnsi="Arial"/>
          <w:sz w:val="22"/>
          <w:szCs w:val="22"/>
          <w:color w:val="auto"/>
        </w:rPr>
        <w:t xml:space="preserve"> a record of </w:t>
      </w:r>
      <w:r>
        <w:rPr>
          <w:rFonts w:ascii="Arial" w:cs="Arial" w:eastAsia="Arial" w:hAnsi="Arial"/>
          <w:sz w:val="22"/>
          <w:szCs w:val="22"/>
          <w:color w:val="2F2F2F"/>
        </w:rPr>
        <w:t>the</w:t>
      </w:r>
      <w:r>
        <w:rPr>
          <w:rFonts w:ascii="Arial" w:cs="Arial" w:eastAsia="Arial" w:hAnsi="Arial"/>
          <w:sz w:val="22"/>
          <w:szCs w:val="22"/>
          <w:color w:val="auto"/>
        </w:rPr>
        <w:t xml:space="preserve"> deadlines to </w:t>
      </w:r>
      <w:r>
        <w:rPr>
          <w:rFonts w:ascii="Arial" w:cs="Arial" w:eastAsia="Arial" w:hAnsi="Arial"/>
          <w:sz w:val="22"/>
          <w:szCs w:val="22"/>
          <w:color w:val="2F2F2F"/>
        </w:rPr>
        <w:t xml:space="preserve">exercise </w:t>
      </w:r>
      <w:r>
        <w:rPr>
          <w:rFonts w:ascii="Arial" w:cs="Arial" w:eastAsia="Arial" w:hAnsi="Arial"/>
          <w:sz w:val="22"/>
          <w:szCs w:val="22"/>
          <w:color w:val="000000"/>
        </w:rPr>
        <w:t>an Option. Tenant acknowledges that</w:t>
      </w:r>
      <w:r>
        <w:rPr>
          <w:rFonts w:ascii="Arial" w:cs="Arial" w:eastAsia="Arial" w:hAnsi="Arial"/>
          <w:sz w:val="22"/>
          <w:szCs w:val="22"/>
          <w:color w:val="2F2F2F"/>
        </w:rPr>
        <w:t xml:space="preserve"> it </w:t>
      </w:r>
      <w:r>
        <w:rPr>
          <w:rFonts w:ascii="Arial" w:cs="Arial" w:eastAsia="Arial" w:hAnsi="Arial"/>
          <w:sz w:val="22"/>
          <w:szCs w:val="22"/>
          <w:color w:val="000000"/>
        </w:rPr>
        <w:t>would be inequitable to require Landlord to</w:t>
      </w:r>
      <w:r>
        <w:rPr>
          <w:rFonts w:ascii="Arial" w:cs="Arial" w:eastAsia="Arial" w:hAnsi="Arial"/>
          <w:sz w:val="22"/>
          <w:szCs w:val="22"/>
          <w:color w:val="2F2F2F"/>
        </w:rPr>
        <w:t xml:space="preserve"> accept </w:t>
      </w:r>
      <w:r>
        <w:rPr>
          <w:rFonts w:ascii="Arial" w:cs="Arial" w:eastAsia="Arial" w:hAnsi="Arial"/>
          <w:sz w:val="22"/>
          <w:szCs w:val="22"/>
          <w:color w:val="000000"/>
        </w:rPr>
        <w:t>any</w:t>
      </w:r>
      <w:r>
        <w:rPr>
          <w:rFonts w:ascii="Arial" w:cs="Arial" w:eastAsia="Arial" w:hAnsi="Arial"/>
          <w:sz w:val="22"/>
          <w:szCs w:val="22"/>
          <w:color w:val="2F2F2F"/>
        </w:rPr>
        <w:t xml:space="preserve"> exercise of </w:t>
      </w:r>
      <w:r>
        <w:rPr>
          <w:rFonts w:ascii="Arial" w:cs="Arial" w:eastAsia="Arial" w:hAnsi="Arial"/>
          <w:sz w:val="22"/>
          <w:szCs w:val="22"/>
          <w:color w:val="000000"/>
        </w:rPr>
        <w:t xml:space="preserve">an Option </w:t>
      </w:r>
      <w:r>
        <w:rPr>
          <w:rFonts w:ascii="Arial" w:cs="Arial" w:eastAsia="Arial" w:hAnsi="Arial"/>
          <w:sz w:val="22"/>
          <w:szCs w:val="22"/>
          <w:color w:val="2F2F2F"/>
        </w:rPr>
        <w:t>after</w:t>
      </w:r>
      <w:r>
        <w:rPr>
          <w:rFonts w:ascii="Arial" w:cs="Arial" w:eastAsia="Arial" w:hAnsi="Arial"/>
          <w:sz w:val="22"/>
          <w:szCs w:val="22"/>
          <w:color w:val="000000"/>
        </w:rPr>
        <w:t xml:space="preserve"> the date provided for in this </w:t>
      </w:r>
      <w:r>
        <w:rPr>
          <w:rFonts w:ascii="Arial" w:cs="Arial" w:eastAsia="Arial" w:hAnsi="Arial"/>
          <w:sz w:val="22"/>
          <w:szCs w:val="22"/>
          <w:color w:val="2F2F2F"/>
        </w:rPr>
        <w:t>Section.</w:t>
      </w:r>
    </w:p>
    <w:p>
      <w:pPr>
        <w:spacing w:after="0" w:line="158" w:lineRule="exact"/>
        <w:rPr>
          <w:sz w:val="20"/>
          <w:szCs w:val="20"/>
          <w:color w:val="auto"/>
        </w:rPr>
      </w:pPr>
    </w:p>
    <w:p>
      <w:pPr>
        <w:jc w:val="both"/>
        <w:ind w:left="180" w:hanging="647"/>
        <w:spacing w:after="0" w:line="232" w:lineRule="auto"/>
        <w:tabs>
          <w:tab w:leader="none" w:pos="160" w:val="left"/>
        </w:tabs>
        <w:rPr>
          <w:sz w:val="20"/>
          <w:szCs w:val="20"/>
          <w:color w:val="auto"/>
        </w:rPr>
      </w:pPr>
      <w:r>
        <w:rPr>
          <w:rFonts w:ascii="Arial" w:cs="Arial" w:eastAsia="Arial" w:hAnsi="Arial"/>
          <w:sz w:val="22"/>
          <w:szCs w:val="22"/>
          <w:color w:val="auto"/>
        </w:rPr>
        <w:t>42.4</w:t>
        <w:tab/>
        <w:t xml:space="preserve">Notwithstanding anything </w:t>
      </w:r>
      <w:r>
        <w:rPr>
          <w:rFonts w:ascii="Arial" w:cs="Arial" w:eastAsia="Arial" w:hAnsi="Arial"/>
          <w:sz w:val="22"/>
          <w:szCs w:val="22"/>
          <w:color w:val="2F2F2F"/>
        </w:rPr>
        <w:t>contained</w:t>
      </w:r>
      <w:r>
        <w:rPr>
          <w:rFonts w:ascii="Arial" w:cs="Arial" w:eastAsia="Arial" w:hAnsi="Arial"/>
          <w:sz w:val="22"/>
          <w:szCs w:val="22"/>
          <w:color w:val="auto"/>
        </w:rPr>
        <w:t xml:space="preserve"> in </w:t>
      </w:r>
      <w:r>
        <w:rPr>
          <w:rFonts w:ascii="Arial" w:cs="Arial" w:eastAsia="Arial" w:hAnsi="Arial"/>
          <w:sz w:val="22"/>
          <w:szCs w:val="22"/>
          <w:color w:val="2F2F2F"/>
        </w:rPr>
        <w:t>this</w:t>
      </w:r>
      <w:r>
        <w:rPr>
          <w:rFonts w:ascii="Arial" w:cs="Arial" w:eastAsia="Arial" w:hAnsi="Arial"/>
          <w:sz w:val="22"/>
          <w:szCs w:val="22"/>
          <w:color w:val="auto"/>
        </w:rPr>
        <w:t xml:space="preserve"> Article to the contrary, Tenant </w:t>
      </w:r>
      <w:r>
        <w:rPr>
          <w:rFonts w:ascii="Arial" w:cs="Arial" w:eastAsia="Arial" w:hAnsi="Arial"/>
          <w:sz w:val="22"/>
          <w:szCs w:val="22"/>
          <w:color w:val="2F2F2F"/>
        </w:rPr>
        <w:t>sha</w:t>
      </w:r>
      <w:r>
        <w:rPr>
          <w:rFonts w:ascii="Arial" w:cs="Arial" w:eastAsia="Arial" w:hAnsi="Arial"/>
          <w:sz w:val="22"/>
          <w:szCs w:val="22"/>
          <w:color w:val="030303"/>
        </w:rPr>
        <w:t>ll</w:t>
      </w:r>
      <w:r>
        <w:rPr>
          <w:rFonts w:ascii="Arial" w:cs="Arial" w:eastAsia="Arial" w:hAnsi="Arial"/>
          <w:sz w:val="22"/>
          <w:szCs w:val="22"/>
          <w:color w:val="auto"/>
        </w:rPr>
        <w:t xml:space="preserve"> not have </w:t>
      </w:r>
      <w:r>
        <w:rPr>
          <w:rFonts w:ascii="Arial" w:cs="Arial" w:eastAsia="Arial" w:hAnsi="Arial"/>
          <w:sz w:val="22"/>
          <w:szCs w:val="22"/>
          <w:color w:val="2F2F2F"/>
        </w:rPr>
        <w:t>the</w:t>
      </w:r>
      <w:r>
        <w:rPr>
          <w:rFonts w:ascii="Arial" w:cs="Arial" w:eastAsia="Arial" w:hAnsi="Arial"/>
          <w:sz w:val="22"/>
          <w:szCs w:val="22"/>
          <w:color w:val="auto"/>
        </w:rPr>
        <w:t xml:space="preserve"> right </w:t>
      </w:r>
      <w:r>
        <w:rPr>
          <w:rFonts w:ascii="Arial" w:cs="Arial" w:eastAsia="Arial" w:hAnsi="Arial"/>
          <w:sz w:val="22"/>
          <w:szCs w:val="22"/>
          <w:color w:val="3F3F3F"/>
        </w:rPr>
        <w:t>to</w:t>
      </w:r>
      <w:r>
        <w:rPr>
          <w:rFonts w:ascii="Arial" w:cs="Arial" w:eastAsia="Arial" w:hAnsi="Arial"/>
          <w:sz w:val="22"/>
          <w:szCs w:val="22"/>
          <w:color w:val="auto"/>
        </w:rPr>
        <w:t xml:space="preserve"> exercise an Option or to </w:t>
      </w:r>
      <w:r>
        <w:rPr>
          <w:rFonts w:ascii="Arial" w:cs="Arial" w:eastAsia="Arial" w:hAnsi="Arial"/>
          <w:sz w:val="22"/>
          <w:szCs w:val="22"/>
          <w:color w:val="2F2F2F"/>
        </w:rPr>
        <w:t>commence an Extension</w:t>
      </w:r>
      <w:r>
        <w:rPr>
          <w:rFonts w:ascii="Arial" w:cs="Arial" w:eastAsia="Arial" w:hAnsi="Arial"/>
          <w:sz w:val="22"/>
          <w:szCs w:val="22"/>
          <w:color w:val="auto"/>
        </w:rPr>
        <w:t xml:space="preserve"> Term unless Tenant </w:t>
      </w:r>
      <w:r>
        <w:rPr>
          <w:rFonts w:ascii="Arial" w:cs="Arial" w:eastAsia="Arial" w:hAnsi="Arial"/>
          <w:sz w:val="22"/>
          <w:szCs w:val="22"/>
          <w:color w:val="2F2F2F"/>
        </w:rPr>
        <w:t>is</w:t>
      </w:r>
      <w:r>
        <w:rPr>
          <w:rFonts w:ascii="Arial" w:cs="Arial" w:eastAsia="Arial" w:hAnsi="Arial"/>
          <w:sz w:val="22"/>
          <w:szCs w:val="22"/>
          <w:color w:val="auto"/>
        </w:rPr>
        <w:t xml:space="preserve"> not </w:t>
      </w:r>
      <w:r>
        <w:rPr>
          <w:rFonts w:ascii="Arial" w:cs="Arial" w:eastAsia="Arial" w:hAnsi="Arial"/>
          <w:sz w:val="22"/>
          <w:szCs w:val="22"/>
          <w:color w:val="3F3F3F"/>
        </w:rPr>
        <w:t>then</w:t>
      </w:r>
      <w:r>
        <w:rPr>
          <w:rFonts w:ascii="Arial" w:cs="Arial" w:eastAsia="Arial" w:hAnsi="Arial"/>
          <w:sz w:val="22"/>
          <w:szCs w:val="22"/>
          <w:color w:val="auto"/>
        </w:rPr>
        <w:t xml:space="preserve"> </w:t>
      </w:r>
      <w:r>
        <w:rPr>
          <w:rFonts w:ascii="Arial" w:cs="Arial" w:eastAsia="Arial" w:hAnsi="Arial"/>
          <w:sz w:val="22"/>
          <w:szCs w:val="22"/>
          <w:color w:val="2F2F2F"/>
        </w:rPr>
        <w:t>in</w:t>
      </w:r>
      <w:r>
        <w:rPr>
          <w:rFonts w:ascii="Arial" w:cs="Arial" w:eastAsia="Arial" w:hAnsi="Arial"/>
          <w:sz w:val="22"/>
          <w:szCs w:val="22"/>
          <w:color w:val="auto"/>
        </w:rPr>
        <w:t xml:space="preserve"> Default.</w:t>
      </w:r>
    </w:p>
    <w:p>
      <w:pPr>
        <w:spacing w:after="0" w:line="159" w:lineRule="exact"/>
        <w:rPr>
          <w:sz w:val="20"/>
          <w:szCs w:val="20"/>
          <w:color w:val="auto"/>
        </w:rPr>
      </w:pPr>
    </w:p>
    <w:p>
      <w:pPr>
        <w:jc w:val="both"/>
        <w:ind w:left="180" w:hanging="647"/>
        <w:spacing w:after="0" w:line="232" w:lineRule="auto"/>
        <w:tabs>
          <w:tab w:leader="none" w:pos="160" w:val="left"/>
        </w:tabs>
        <w:rPr>
          <w:sz w:val="20"/>
          <w:szCs w:val="20"/>
          <w:color w:val="auto"/>
        </w:rPr>
      </w:pPr>
      <w:r>
        <w:rPr>
          <w:rFonts w:ascii="Arial" w:cs="Arial" w:eastAsia="Arial" w:hAnsi="Arial"/>
          <w:sz w:val="22"/>
          <w:szCs w:val="22"/>
          <w:color w:val="auto"/>
        </w:rPr>
        <w:t>42.5</w:t>
        <w:tab/>
        <w:t xml:space="preserve">The period of time within </w:t>
      </w:r>
      <w:r>
        <w:rPr>
          <w:rFonts w:ascii="Arial" w:cs="Arial" w:eastAsia="Arial" w:hAnsi="Arial"/>
          <w:sz w:val="22"/>
          <w:szCs w:val="22"/>
          <w:color w:val="2F2F2F"/>
        </w:rPr>
        <w:t>which</w:t>
      </w:r>
      <w:r>
        <w:rPr>
          <w:rFonts w:ascii="Arial" w:cs="Arial" w:eastAsia="Arial" w:hAnsi="Arial"/>
          <w:sz w:val="22"/>
          <w:szCs w:val="22"/>
          <w:color w:val="auto"/>
        </w:rPr>
        <w:t xml:space="preserve"> Tenant may exercise an Option </w:t>
      </w:r>
      <w:r>
        <w:rPr>
          <w:rFonts w:ascii="Arial" w:cs="Arial" w:eastAsia="Arial" w:hAnsi="Arial"/>
          <w:sz w:val="22"/>
          <w:szCs w:val="22"/>
          <w:color w:val="2F2F2F"/>
        </w:rPr>
        <w:t>shall not</w:t>
      </w:r>
      <w:r>
        <w:rPr>
          <w:rFonts w:ascii="Arial" w:cs="Arial" w:eastAsia="Arial" w:hAnsi="Arial"/>
          <w:sz w:val="22"/>
          <w:szCs w:val="22"/>
          <w:color w:val="auto"/>
        </w:rPr>
        <w:t xml:space="preserve"> be extended or </w:t>
      </w:r>
      <w:r>
        <w:rPr>
          <w:rFonts w:ascii="Arial" w:cs="Arial" w:eastAsia="Arial" w:hAnsi="Arial"/>
          <w:sz w:val="22"/>
          <w:szCs w:val="22"/>
          <w:color w:val="2F2F2F"/>
        </w:rPr>
        <w:t>enlarged</w:t>
      </w:r>
      <w:r>
        <w:rPr>
          <w:rFonts w:ascii="Arial" w:cs="Arial" w:eastAsia="Arial" w:hAnsi="Arial"/>
          <w:sz w:val="22"/>
          <w:szCs w:val="22"/>
          <w:color w:val="auto"/>
        </w:rPr>
        <w:t xml:space="preserve"> by </w:t>
      </w:r>
      <w:r>
        <w:rPr>
          <w:rFonts w:ascii="Arial" w:cs="Arial" w:eastAsia="Arial" w:hAnsi="Arial"/>
          <w:sz w:val="22"/>
          <w:szCs w:val="22"/>
          <w:color w:val="2F2F2F"/>
        </w:rPr>
        <w:t>reason</w:t>
      </w:r>
      <w:r>
        <w:rPr>
          <w:rFonts w:ascii="Arial" w:cs="Arial" w:eastAsia="Arial" w:hAnsi="Arial"/>
          <w:sz w:val="22"/>
          <w:szCs w:val="22"/>
          <w:color w:val="auto"/>
        </w:rPr>
        <w:t xml:space="preserve"> of Tenant’s inability to exercise </w:t>
      </w:r>
      <w:r>
        <w:rPr>
          <w:rFonts w:ascii="Arial" w:cs="Arial" w:eastAsia="Arial" w:hAnsi="Arial"/>
          <w:sz w:val="22"/>
          <w:szCs w:val="22"/>
          <w:color w:val="2F2F2F"/>
        </w:rPr>
        <w:t>such</w:t>
      </w:r>
      <w:r>
        <w:rPr>
          <w:rFonts w:ascii="Arial" w:cs="Arial" w:eastAsia="Arial" w:hAnsi="Arial"/>
          <w:sz w:val="22"/>
          <w:szCs w:val="22"/>
          <w:color w:val="auto"/>
        </w:rPr>
        <w:t xml:space="preserve"> Option </w:t>
      </w:r>
      <w:r>
        <w:rPr>
          <w:rFonts w:ascii="Arial" w:cs="Arial" w:eastAsia="Arial" w:hAnsi="Arial"/>
          <w:sz w:val="22"/>
          <w:szCs w:val="22"/>
          <w:color w:val="2F2F2F"/>
        </w:rPr>
        <w:t>because</w:t>
      </w:r>
      <w:r>
        <w:rPr>
          <w:rFonts w:ascii="Arial" w:cs="Arial" w:eastAsia="Arial" w:hAnsi="Arial"/>
          <w:sz w:val="22"/>
          <w:szCs w:val="22"/>
          <w:color w:val="auto"/>
        </w:rPr>
        <w:t xml:space="preserve"> of the provisions </w:t>
      </w:r>
      <w:r>
        <w:rPr>
          <w:rFonts w:ascii="Arial" w:cs="Arial" w:eastAsia="Arial" w:hAnsi="Arial"/>
          <w:sz w:val="22"/>
          <w:szCs w:val="22"/>
          <w:color w:val="2F2F2F"/>
        </w:rPr>
        <w:t>of</w:t>
      </w:r>
      <w:r>
        <w:rPr>
          <w:rFonts w:ascii="Arial" w:cs="Arial" w:eastAsia="Arial" w:hAnsi="Arial"/>
          <w:sz w:val="22"/>
          <w:szCs w:val="22"/>
          <w:color w:val="auto"/>
        </w:rPr>
        <w:t xml:space="preserve"> </w:t>
      </w:r>
      <w:r>
        <w:rPr>
          <w:rFonts w:ascii="Arial" w:cs="Arial" w:eastAsia="Arial" w:hAnsi="Arial"/>
          <w:sz w:val="22"/>
          <w:szCs w:val="22"/>
          <w:u w:val="single" w:color="auto"/>
          <w:color w:val="2F2F2F"/>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42.4</w:t>
      </w:r>
      <w:r>
        <w:rPr>
          <w:rFonts w:ascii="Arial" w:cs="Arial" w:eastAsia="Arial" w:hAnsi="Arial"/>
          <w:sz w:val="22"/>
          <w:szCs w:val="22"/>
          <w:color w:val="auto"/>
        </w:rPr>
        <w:t>.</w:t>
      </w:r>
    </w:p>
    <w:p>
      <w:pPr>
        <w:spacing w:after="0" w:line="159" w:lineRule="exact"/>
        <w:rPr>
          <w:sz w:val="20"/>
          <w:szCs w:val="20"/>
          <w:color w:val="auto"/>
        </w:rPr>
      </w:pPr>
    </w:p>
    <w:p>
      <w:pPr>
        <w:jc w:val="both"/>
        <w:ind w:left="180" w:hanging="647"/>
        <w:spacing w:after="0" w:line="223" w:lineRule="auto"/>
        <w:tabs>
          <w:tab w:leader="none" w:pos="160" w:val="left"/>
        </w:tabs>
        <w:rPr>
          <w:sz w:val="20"/>
          <w:szCs w:val="20"/>
          <w:color w:val="auto"/>
        </w:rPr>
      </w:pPr>
      <w:r>
        <w:rPr>
          <w:rFonts w:ascii="Arial" w:cs="Arial" w:eastAsia="Arial" w:hAnsi="Arial"/>
          <w:sz w:val="22"/>
          <w:szCs w:val="22"/>
          <w:color w:val="auto"/>
        </w:rPr>
        <w:t>42.6</w:t>
        <w:tab/>
        <w:t xml:space="preserve">Landlord </w:t>
      </w:r>
      <w:r>
        <w:rPr>
          <w:rFonts w:ascii="Arial" w:cs="Arial" w:eastAsia="Arial" w:hAnsi="Arial"/>
          <w:sz w:val="22"/>
          <w:szCs w:val="22"/>
          <w:color w:val="2F2F2F"/>
        </w:rPr>
        <w:t>may</w:t>
      </w:r>
      <w:r>
        <w:rPr>
          <w:rFonts w:ascii="Arial" w:cs="Arial" w:eastAsia="Arial" w:hAnsi="Arial"/>
          <w:sz w:val="22"/>
          <w:szCs w:val="22"/>
          <w:color w:val="auto"/>
        </w:rPr>
        <w:t xml:space="preserve"> reject </w:t>
      </w:r>
      <w:r>
        <w:rPr>
          <w:rFonts w:ascii="Arial" w:cs="Arial" w:eastAsia="Arial" w:hAnsi="Arial"/>
          <w:sz w:val="22"/>
          <w:szCs w:val="22"/>
          <w:color w:val="2F2F2F"/>
        </w:rPr>
        <w:t>either or</w:t>
      </w:r>
      <w:r>
        <w:rPr>
          <w:rFonts w:ascii="Arial" w:cs="Arial" w:eastAsia="Arial" w:hAnsi="Arial"/>
          <w:sz w:val="22"/>
          <w:szCs w:val="22"/>
          <w:color w:val="auto"/>
        </w:rPr>
        <w:t xml:space="preserve"> both of </w:t>
      </w:r>
      <w:r>
        <w:rPr>
          <w:rFonts w:ascii="Arial" w:cs="Arial" w:eastAsia="Arial" w:hAnsi="Arial"/>
          <w:sz w:val="22"/>
          <w:szCs w:val="22"/>
          <w:color w:val="2F2F2F"/>
        </w:rPr>
        <w:t>Tenant’s</w:t>
      </w:r>
      <w:r>
        <w:rPr>
          <w:rFonts w:ascii="Arial" w:cs="Arial" w:eastAsia="Arial" w:hAnsi="Arial"/>
          <w:sz w:val="22"/>
          <w:szCs w:val="22"/>
          <w:color w:val="auto"/>
        </w:rPr>
        <w:t xml:space="preserve"> Options hereunder if; </w:t>
      </w:r>
      <w:r>
        <w:rPr>
          <w:rFonts w:ascii="Arial" w:cs="Arial" w:eastAsia="Arial" w:hAnsi="Arial"/>
          <w:sz w:val="22"/>
          <w:szCs w:val="22"/>
          <w:color w:val="2F2F2F"/>
        </w:rPr>
        <w:t>within</w:t>
      </w:r>
      <w:r>
        <w:rPr>
          <w:rFonts w:ascii="Arial" w:cs="Arial" w:eastAsia="Arial" w:hAnsi="Arial"/>
          <w:sz w:val="22"/>
          <w:szCs w:val="22"/>
          <w:color w:val="auto"/>
        </w:rPr>
        <w:t xml:space="preserve"> the twenty </w:t>
      </w:r>
      <w:r>
        <w:rPr>
          <w:rFonts w:ascii="Arial" w:cs="Arial" w:eastAsia="Arial" w:hAnsi="Arial"/>
          <w:sz w:val="22"/>
          <w:szCs w:val="22"/>
          <w:color w:val="2F2F2F"/>
        </w:rPr>
        <w:t>four (24)</w:t>
      </w:r>
      <w:r>
        <w:rPr>
          <w:rFonts w:ascii="Arial" w:cs="Arial" w:eastAsia="Arial" w:hAnsi="Arial"/>
          <w:sz w:val="22"/>
          <w:szCs w:val="22"/>
          <w:color w:val="auto"/>
        </w:rPr>
        <w:t xml:space="preserve"> months immediately preceding the date </w:t>
      </w:r>
      <w:r>
        <w:rPr>
          <w:rFonts w:ascii="Arial" w:cs="Arial" w:eastAsia="Arial" w:hAnsi="Arial"/>
          <w:sz w:val="22"/>
          <w:szCs w:val="22"/>
          <w:color w:val="3F3F3F"/>
        </w:rPr>
        <w:t>that</w:t>
      </w:r>
      <w:r>
        <w:rPr>
          <w:rFonts w:ascii="Arial" w:cs="Arial" w:eastAsia="Arial" w:hAnsi="Arial"/>
          <w:sz w:val="22"/>
          <w:szCs w:val="22"/>
          <w:color w:val="auto"/>
        </w:rPr>
        <w:t xml:space="preserve"> a </w:t>
      </w:r>
      <w:r>
        <w:rPr>
          <w:rFonts w:ascii="Arial" w:cs="Arial" w:eastAsia="Arial" w:hAnsi="Arial"/>
          <w:sz w:val="22"/>
          <w:szCs w:val="22"/>
          <w:color w:val="2F2F2F"/>
        </w:rPr>
        <w:t>notice</w:t>
      </w:r>
      <w:r>
        <w:rPr>
          <w:rFonts w:ascii="Arial" w:cs="Arial" w:eastAsia="Arial" w:hAnsi="Arial"/>
          <w:sz w:val="22"/>
          <w:szCs w:val="22"/>
          <w:color w:val="auto"/>
        </w:rPr>
        <w:t xml:space="preserve"> of Option </w:t>
      </w:r>
      <w:r>
        <w:rPr>
          <w:rFonts w:ascii="Arial" w:cs="Arial" w:eastAsia="Arial" w:hAnsi="Arial"/>
          <w:sz w:val="22"/>
          <w:szCs w:val="22"/>
          <w:color w:val="2F2F2F"/>
        </w:rPr>
        <w:t>is</w:t>
      </w:r>
      <w:r>
        <w:rPr>
          <w:rFonts w:ascii="Arial" w:cs="Arial" w:eastAsia="Arial" w:hAnsi="Arial"/>
          <w:sz w:val="22"/>
          <w:szCs w:val="22"/>
          <w:color w:val="auto"/>
        </w:rPr>
        <w:t xml:space="preserve"> due, </w:t>
      </w:r>
      <w:r>
        <w:rPr>
          <w:rFonts w:ascii="Arial" w:cs="Arial" w:eastAsia="Arial" w:hAnsi="Arial"/>
          <w:sz w:val="22"/>
          <w:szCs w:val="22"/>
          <w:color w:val="2F2F2F"/>
        </w:rPr>
        <w:t>Tenant</w:t>
      </w:r>
      <w:r>
        <w:rPr>
          <w:rFonts w:ascii="Arial" w:cs="Arial" w:eastAsia="Arial" w:hAnsi="Arial"/>
          <w:sz w:val="22"/>
          <w:szCs w:val="22"/>
          <w:color w:val="auto"/>
        </w:rPr>
        <w:t xml:space="preserve"> has Defaulted under this </w:t>
      </w:r>
      <w:r>
        <w:rPr>
          <w:rFonts w:ascii="Arial" w:cs="Arial" w:eastAsia="Arial" w:hAnsi="Arial"/>
          <w:sz w:val="22"/>
          <w:szCs w:val="22"/>
          <w:color w:val="3F3F3F"/>
        </w:rPr>
        <w:t>Lease</w:t>
      </w:r>
      <w:r>
        <w:rPr>
          <w:rFonts w:ascii="Arial" w:cs="Arial" w:eastAsia="Arial" w:hAnsi="Arial"/>
          <w:sz w:val="22"/>
          <w:szCs w:val="22"/>
          <w:color w:val="auto"/>
        </w:rPr>
        <w:t xml:space="preserve"> three (3) </w:t>
      </w:r>
      <w:r>
        <w:rPr>
          <w:rFonts w:ascii="Arial" w:cs="Arial" w:eastAsia="Arial" w:hAnsi="Arial"/>
          <w:sz w:val="22"/>
          <w:szCs w:val="22"/>
          <w:color w:val="2F2F2F"/>
        </w:rPr>
        <w:t>or</w:t>
      </w:r>
      <w:r>
        <w:rPr>
          <w:rFonts w:ascii="Arial" w:cs="Arial" w:eastAsia="Arial" w:hAnsi="Arial"/>
          <w:sz w:val="22"/>
          <w:szCs w:val="22"/>
          <w:color w:val="auto"/>
        </w:rPr>
        <w:t xml:space="preserve"> more times, </w:t>
      </w:r>
      <w:r>
        <w:rPr>
          <w:rFonts w:ascii="Arial" w:cs="Arial" w:eastAsia="Arial" w:hAnsi="Arial"/>
          <w:sz w:val="22"/>
          <w:szCs w:val="22"/>
          <w:color w:val="2F2F2F"/>
        </w:rPr>
        <w:t>whether</w:t>
      </w:r>
      <w:r>
        <w:rPr>
          <w:rFonts w:ascii="Arial" w:cs="Arial" w:eastAsia="Arial" w:hAnsi="Arial"/>
          <w:sz w:val="22"/>
          <w:szCs w:val="22"/>
          <w:color w:val="auto"/>
        </w:rPr>
        <w:t xml:space="preserve"> or not Tenant has </w:t>
      </w:r>
      <w:r>
        <w:rPr>
          <w:rFonts w:ascii="Arial" w:cs="Arial" w:eastAsia="Arial" w:hAnsi="Arial"/>
          <w:sz w:val="22"/>
          <w:szCs w:val="22"/>
          <w:color w:val="2F2F2F"/>
        </w:rPr>
        <w:t>cured such</w:t>
      </w:r>
      <w:r>
        <w:rPr>
          <w:rFonts w:ascii="Arial" w:cs="Arial" w:eastAsia="Arial" w:hAnsi="Arial"/>
          <w:sz w:val="22"/>
          <w:szCs w:val="22"/>
          <w:color w:val="auto"/>
        </w:rPr>
        <w:t xml:space="preserve"> Defaults.</w:t>
      </w:r>
    </w:p>
    <w:p>
      <w:pPr>
        <w:spacing w:after="0" w:line="159" w:lineRule="exact"/>
        <w:rPr>
          <w:sz w:val="20"/>
          <w:szCs w:val="20"/>
          <w:color w:val="auto"/>
        </w:rPr>
      </w:pPr>
    </w:p>
    <w:p>
      <w:pPr>
        <w:jc w:val="both"/>
        <w:ind w:left="180" w:hanging="647"/>
        <w:spacing w:after="0"/>
        <w:tabs>
          <w:tab w:leader="none" w:pos="160" w:val="left"/>
        </w:tabs>
        <w:rPr>
          <w:sz w:val="20"/>
          <w:szCs w:val="20"/>
          <w:color w:val="auto"/>
        </w:rPr>
      </w:pPr>
      <w:r>
        <w:rPr>
          <w:rFonts w:ascii="Arial" w:cs="Arial" w:eastAsia="Arial" w:hAnsi="Arial"/>
          <w:sz w:val="22"/>
          <w:szCs w:val="22"/>
          <w:color w:val="auto"/>
        </w:rPr>
        <w:t>42.7</w:t>
      </w:r>
      <w:r>
        <w:rPr>
          <w:sz w:val="20"/>
          <w:szCs w:val="20"/>
          <w:color w:val="auto"/>
        </w:rPr>
        <w:tab/>
      </w:r>
      <w:r>
        <w:rPr>
          <w:rFonts w:ascii="Arial" w:cs="Arial" w:eastAsia="Arial" w:hAnsi="Arial"/>
          <w:sz w:val="19"/>
          <w:szCs w:val="19"/>
          <w:color w:val="2F2F2F"/>
        </w:rPr>
        <w:t xml:space="preserve">Subject to </w:t>
      </w:r>
      <w:r>
        <w:rPr>
          <w:rFonts w:ascii="Arial" w:cs="Arial" w:eastAsia="Arial" w:hAnsi="Arial"/>
          <w:sz w:val="19"/>
          <w:szCs w:val="19"/>
          <w:color w:val="000000"/>
        </w:rPr>
        <w:t>the provisions of</w:t>
      </w:r>
      <w:r>
        <w:rPr>
          <w:rFonts w:ascii="Arial" w:cs="Arial" w:eastAsia="Arial" w:hAnsi="Arial"/>
          <w:sz w:val="19"/>
          <w:szCs w:val="19"/>
          <w:color w:val="2F2F2F"/>
        </w:rPr>
        <w:t xml:space="preserve"> </w:t>
      </w:r>
      <w:r>
        <w:rPr>
          <w:rFonts w:ascii="Arial" w:cs="Arial" w:eastAsia="Arial" w:hAnsi="Arial"/>
          <w:sz w:val="19"/>
          <w:szCs w:val="19"/>
          <w:u w:val="single" w:color="auto"/>
          <w:color w:val="000000"/>
        </w:rPr>
        <w:t>Section 42.9</w:t>
      </w:r>
      <w:r>
        <w:rPr>
          <w:rFonts w:ascii="Arial" w:cs="Arial" w:eastAsia="Arial" w:hAnsi="Arial"/>
          <w:sz w:val="19"/>
          <w:szCs w:val="19"/>
          <w:color w:val="2F2F2F"/>
        </w:rPr>
        <w:t xml:space="preserve"> </w:t>
      </w:r>
      <w:r>
        <w:rPr>
          <w:rFonts w:ascii="Arial" w:cs="Arial" w:eastAsia="Arial" w:hAnsi="Arial"/>
          <w:sz w:val="19"/>
          <w:szCs w:val="19"/>
          <w:color w:val="000000"/>
        </w:rPr>
        <w:t>and</w:t>
      </w:r>
      <w:r>
        <w:rPr>
          <w:rFonts w:ascii="Arial" w:cs="Arial" w:eastAsia="Arial" w:hAnsi="Arial"/>
          <w:sz w:val="19"/>
          <w:szCs w:val="19"/>
          <w:color w:val="2F2F2F"/>
        </w:rPr>
        <w:t xml:space="preserve"> </w:t>
      </w:r>
      <w:r>
        <w:rPr>
          <w:rFonts w:ascii="Arial" w:cs="Arial" w:eastAsia="Arial" w:hAnsi="Arial"/>
          <w:sz w:val="19"/>
          <w:szCs w:val="19"/>
          <w:u w:val="single" w:color="auto"/>
          <w:color w:val="000000"/>
        </w:rPr>
        <w:t>42.10</w:t>
      </w:r>
      <w:r>
        <w:rPr>
          <w:rFonts w:ascii="Arial" w:cs="Arial" w:eastAsia="Arial" w:hAnsi="Arial"/>
          <w:sz w:val="19"/>
          <w:szCs w:val="19"/>
          <w:color w:val="2F2F2F"/>
        </w:rPr>
        <w:t xml:space="preserve"> </w:t>
      </w:r>
      <w:r>
        <w:rPr>
          <w:rFonts w:ascii="Arial" w:cs="Arial" w:eastAsia="Arial" w:hAnsi="Arial"/>
          <w:sz w:val="19"/>
          <w:szCs w:val="19"/>
          <w:color w:val="000000"/>
        </w:rPr>
        <w:t>below, in</w:t>
      </w:r>
      <w:r>
        <w:rPr>
          <w:rFonts w:ascii="Arial" w:cs="Arial" w:eastAsia="Arial" w:hAnsi="Arial"/>
          <w:sz w:val="19"/>
          <w:szCs w:val="19"/>
          <w:color w:val="2F2F2F"/>
        </w:rPr>
        <w:t xml:space="preserve"> order </w:t>
      </w:r>
      <w:r>
        <w:rPr>
          <w:rFonts w:ascii="Arial" w:cs="Arial" w:eastAsia="Arial" w:hAnsi="Arial"/>
          <w:sz w:val="19"/>
          <w:szCs w:val="19"/>
          <w:color w:val="000000"/>
        </w:rPr>
        <w:t>to</w:t>
      </w:r>
      <w:r>
        <w:rPr>
          <w:rFonts w:ascii="Arial" w:cs="Arial" w:eastAsia="Arial" w:hAnsi="Arial"/>
          <w:sz w:val="19"/>
          <w:szCs w:val="19"/>
          <w:color w:val="2F2F2F"/>
        </w:rPr>
        <w:t xml:space="preserve"> determine </w:t>
      </w:r>
      <w:r>
        <w:rPr>
          <w:rFonts w:ascii="Arial" w:cs="Arial" w:eastAsia="Arial" w:hAnsi="Arial"/>
          <w:sz w:val="19"/>
          <w:szCs w:val="19"/>
          <w:color w:val="000000"/>
        </w:rPr>
        <w:t>the</w:t>
      </w:r>
      <w:r>
        <w:rPr>
          <w:rFonts w:ascii="Arial" w:cs="Arial" w:eastAsia="Arial" w:hAnsi="Arial"/>
          <w:sz w:val="19"/>
          <w:szCs w:val="19"/>
          <w:color w:val="2F2F2F"/>
        </w:rPr>
        <w:t xml:space="preserve"> </w:t>
      </w:r>
      <w:r>
        <w:rPr>
          <w:rFonts w:ascii="Arial" w:cs="Arial" w:eastAsia="Arial" w:hAnsi="Arial"/>
          <w:sz w:val="19"/>
          <w:szCs w:val="19"/>
          <w:color w:val="3F3F3F"/>
        </w:rPr>
        <w:t>Fair</w:t>
      </w:r>
      <w:r>
        <w:rPr>
          <w:rFonts w:ascii="Arial" w:cs="Arial" w:eastAsia="Arial" w:hAnsi="Arial"/>
          <w:sz w:val="19"/>
          <w:szCs w:val="19"/>
          <w:color w:val="2F2F2F"/>
        </w:rPr>
        <w:t xml:space="preserve"> </w:t>
      </w:r>
      <w:r>
        <w:rPr>
          <w:rFonts w:ascii="Arial" w:cs="Arial" w:eastAsia="Arial" w:hAnsi="Arial"/>
          <w:sz w:val="19"/>
          <w:szCs w:val="19"/>
          <w:color w:val="000000"/>
        </w:rPr>
        <w:t>Market Rent</w:t>
      </w:r>
      <w:r>
        <w:rPr>
          <w:rFonts w:ascii="Arial" w:cs="Arial" w:eastAsia="Arial" w:hAnsi="Arial"/>
          <w:sz w:val="19"/>
          <w:szCs w:val="19"/>
          <w:color w:val="2F2F2F"/>
        </w:rPr>
        <w:t xml:space="preserve"> for </w:t>
      </w:r>
      <w:r>
        <w:rPr>
          <w:rFonts w:ascii="Arial" w:cs="Arial" w:eastAsia="Arial" w:hAnsi="Arial"/>
          <w:sz w:val="19"/>
          <w:szCs w:val="19"/>
          <w:color w:val="000000"/>
        </w:rPr>
        <w:t>purposes</w:t>
      </w:r>
      <w:r>
        <w:rPr>
          <w:rFonts w:ascii="Arial" w:cs="Arial" w:eastAsia="Arial" w:hAnsi="Arial"/>
          <w:sz w:val="19"/>
          <w:szCs w:val="19"/>
          <w:color w:val="2F2F2F"/>
        </w:rPr>
        <w:t xml:space="preserve"> of calculating </w:t>
      </w:r>
      <w:r>
        <w:rPr>
          <w:rFonts w:ascii="Arial" w:cs="Arial" w:eastAsia="Arial" w:hAnsi="Arial"/>
          <w:sz w:val="19"/>
          <w:szCs w:val="19"/>
          <w:color w:val="000000"/>
        </w:rPr>
        <w:t>the Base</w:t>
      </w:r>
      <w:r>
        <w:rPr>
          <w:rFonts w:ascii="Arial" w:cs="Arial" w:eastAsia="Arial" w:hAnsi="Arial"/>
          <w:sz w:val="19"/>
          <w:szCs w:val="19"/>
          <w:color w:val="2F2F2F"/>
        </w:rPr>
        <w:t xml:space="preserve"> Rent for </w:t>
      </w:r>
      <w:r>
        <w:rPr>
          <w:rFonts w:ascii="Arial" w:cs="Arial" w:eastAsia="Arial" w:hAnsi="Arial"/>
          <w:sz w:val="19"/>
          <w:szCs w:val="19"/>
          <w:color w:val="000000"/>
        </w:rPr>
        <w:t>an</w:t>
      </w:r>
      <w:r>
        <w:rPr>
          <w:rFonts w:ascii="Arial" w:cs="Arial" w:eastAsia="Arial" w:hAnsi="Arial"/>
          <w:sz w:val="19"/>
          <w:szCs w:val="19"/>
          <w:color w:val="2F2F2F"/>
        </w:rPr>
        <w:t xml:space="preserve"> Extension </w:t>
      </w:r>
      <w:r>
        <w:rPr>
          <w:rFonts w:ascii="Arial" w:cs="Arial" w:eastAsia="Arial" w:hAnsi="Arial"/>
          <w:sz w:val="19"/>
          <w:szCs w:val="19"/>
          <w:color w:val="000000"/>
        </w:rPr>
        <w:t>Term, Tenant and Landlord</w:t>
      </w:r>
      <w:r>
        <w:rPr>
          <w:rFonts w:ascii="Arial" w:cs="Arial" w:eastAsia="Arial" w:hAnsi="Arial"/>
          <w:sz w:val="19"/>
          <w:szCs w:val="19"/>
          <w:color w:val="2F2F2F"/>
        </w:rPr>
        <w:t xml:space="preserve"> shall eac</w:t>
      </w:r>
      <w:r>
        <w:rPr>
          <w:rFonts w:ascii="Arial" w:cs="Arial" w:eastAsia="Arial" w:hAnsi="Arial"/>
          <w:sz w:val="19"/>
          <w:szCs w:val="19"/>
          <w:color w:val="030303"/>
        </w:rPr>
        <w:t>h</w:t>
      </w:r>
      <w:r>
        <w:rPr>
          <w:rFonts w:ascii="Arial" w:cs="Arial" w:eastAsia="Arial" w:hAnsi="Arial"/>
          <w:sz w:val="19"/>
          <w:szCs w:val="19"/>
          <w:color w:val="2F2F2F"/>
        </w:rPr>
        <w:t xml:space="preserve"> </w:t>
      </w:r>
      <w:r>
        <w:rPr>
          <w:rFonts w:ascii="Arial" w:cs="Arial" w:eastAsia="Arial" w:hAnsi="Arial"/>
          <w:sz w:val="19"/>
          <w:szCs w:val="19"/>
          <w:color w:val="000000"/>
        </w:rPr>
        <w:t>deliver to</w:t>
      </w:r>
      <w:r>
        <w:rPr>
          <w:rFonts w:ascii="Arial" w:cs="Arial" w:eastAsia="Arial" w:hAnsi="Arial"/>
          <w:sz w:val="19"/>
          <w:szCs w:val="19"/>
          <w:color w:val="2F2F2F"/>
        </w:rPr>
        <w:t xml:space="preserve"> t</w:t>
      </w:r>
      <w:r>
        <w:rPr>
          <w:rFonts w:ascii="Arial" w:cs="Arial" w:eastAsia="Arial" w:hAnsi="Arial"/>
          <w:sz w:val="19"/>
          <w:szCs w:val="19"/>
          <w:color w:val="030303"/>
        </w:rPr>
        <w:t>h</w:t>
      </w:r>
      <w:r>
        <w:rPr>
          <w:rFonts w:ascii="Arial" w:cs="Arial" w:eastAsia="Arial" w:hAnsi="Arial"/>
          <w:sz w:val="19"/>
          <w:szCs w:val="19"/>
          <w:color w:val="2F2F2F"/>
        </w:rPr>
        <w:t xml:space="preserve">e </w:t>
      </w:r>
      <w:r>
        <w:rPr>
          <w:rFonts w:ascii="Arial" w:cs="Arial" w:eastAsia="Arial" w:hAnsi="Arial"/>
          <w:sz w:val="19"/>
          <w:szCs w:val="19"/>
          <w:color w:val="000000"/>
        </w:rPr>
        <w:t>other their</w:t>
      </w:r>
      <w:r>
        <w:rPr>
          <w:rFonts w:ascii="Arial" w:cs="Arial" w:eastAsia="Arial" w:hAnsi="Arial"/>
          <w:sz w:val="19"/>
          <w:szCs w:val="19"/>
          <w:color w:val="2F2F2F"/>
        </w:rPr>
        <w:t xml:space="preserve"> </w:t>
      </w:r>
      <w:r>
        <w:rPr>
          <w:rFonts w:ascii="Arial" w:cs="Arial" w:eastAsia="Arial" w:hAnsi="Arial"/>
          <w:sz w:val="19"/>
          <w:szCs w:val="19"/>
          <w:color w:val="000000"/>
        </w:rPr>
        <w:t xml:space="preserve">respective determinations of </w:t>
      </w:r>
      <w:r>
        <w:rPr>
          <w:rFonts w:ascii="Arial" w:cs="Arial" w:eastAsia="Arial" w:hAnsi="Arial"/>
          <w:sz w:val="19"/>
          <w:szCs w:val="19"/>
          <w:color w:val="2F2F2F"/>
        </w:rPr>
        <w:t>the Fai</w:t>
      </w:r>
      <w:r>
        <w:rPr>
          <w:rFonts w:ascii="Arial" w:cs="Arial" w:eastAsia="Arial" w:hAnsi="Arial"/>
          <w:sz w:val="19"/>
          <w:szCs w:val="19"/>
          <w:color w:val="030303"/>
        </w:rPr>
        <w:t>r</w:t>
      </w:r>
      <w:r>
        <w:rPr>
          <w:rFonts w:ascii="Arial" w:cs="Arial" w:eastAsia="Arial" w:hAnsi="Arial"/>
          <w:sz w:val="19"/>
          <w:szCs w:val="19"/>
          <w:color w:val="000000"/>
        </w:rPr>
        <w:t xml:space="preserve"> Market Rent (hereinafter respectively referred to </w:t>
      </w:r>
      <w:r>
        <w:rPr>
          <w:rFonts w:ascii="Arial" w:cs="Arial" w:eastAsia="Arial" w:hAnsi="Arial"/>
          <w:sz w:val="19"/>
          <w:szCs w:val="19"/>
          <w:color w:val="2F2F2F"/>
        </w:rPr>
        <w:t>as</w:t>
      </w:r>
      <w:r>
        <w:rPr>
          <w:rFonts w:ascii="Arial" w:cs="Arial" w:eastAsia="Arial" w:hAnsi="Arial"/>
          <w:sz w:val="19"/>
          <w:szCs w:val="19"/>
          <w:color w:val="000000"/>
        </w:rPr>
        <w:t xml:space="preserve"> the “</w:t>
      </w:r>
      <w:r>
        <w:rPr>
          <w:rFonts w:ascii="Arial" w:cs="Arial" w:eastAsia="Arial" w:hAnsi="Arial"/>
          <w:sz w:val="19"/>
          <w:szCs w:val="19"/>
          <w:u w:val="single" w:color="auto"/>
          <w:color w:val="000000"/>
        </w:rPr>
        <w:t>Landlord’s</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Determination</w:t>
      </w:r>
      <w:r>
        <w:rPr>
          <w:rFonts w:ascii="Arial" w:cs="Arial" w:eastAsia="Arial" w:hAnsi="Arial"/>
          <w:sz w:val="19"/>
          <w:szCs w:val="19"/>
          <w:color w:val="000000"/>
        </w:rPr>
        <w:t xml:space="preserve">” and </w:t>
      </w:r>
      <w:r>
        <w:rPr>
          <w:rFonts w:ascii="Arial" w:cs="Arial" w:eastAsia="Arial" w:hAnsi="Arial"/>
          <w:sz w:val="19"/>
          <w:szCs w:val="19"/>
          <w:color w:val="2F2F2F"/>
        </w:rPr>
        <w:t>“</w:t>
      </w:r>
      <w:r>
        <w:rPr>
          <w:rFonts w:ascii="Arial" w:cs="Arial" w:eastAsia="Arial" w:hAnsi="Arial"/>
          <w:sz w:val="19"/>
          <w:szCs w:val="19"/>
          <w:u w:val="single" w:color="auto"/>
          <w:color w:val="2F2F2F"/>
        </w:rPr>
        <w:t>Tenant’s</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Determination</w:t>
      </w:r>
      <w:r>
        <w:rPr>
          <w:rFonts w:ascii="Arial" w:cs="Arial" w:eastAsia="Arial" w:hAnsi="Arial"/>
          <w:sz w:val="19"/>
          <w:szCs w:val="19"/>
          <w:color w:val="000000"/>
        </w:rPr>
        <w:t xml:space="preserve">”) </w:t>
      </w:r>
      <w:r>
        <w:rPr>
          <w:rFonts w:ascii="Arial" w:cs="Arial" w:eastAsia="Arial" w:hAnsi="Arial"/>
          <w:sz w:val="19"/>
          <w:szCs w:val="19"/>
          <w:color w:val="2F2F2F"/>
        </w:rPr>
        <w:t>no later</w:t>
      </w:r>
      <w:r>
        <w:rPr>
          <w:rFonts w:ascii="Arial" w:cs="Arial" w:eastAsia="Arial" w:hAnsi="Arial"/>
          <w:sz w:val="19"/>
          <w:szCs w:val="19"/>
          <w:color w:val="000000"/>
        </w:rPr>
        <w:t xml:space="preserve"> than the date that is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prior </w:t>
      </w:r>
      <w:r>
        <w:rPr>
          <w:rFonts w:ascii="Arial" w:cs="Arial" w:eastAsia="Arial" w:hAnsi="Arial"/>
          <w:sz w:val="19"/>
          <w:szCs w:val="19"/>
          <w:color w:val="2F2F2F"/>
        </w:rPr>
        <w:t>to</w:t>
      </w:r>
      <w:r>
        <w:rPr>
          <w:rFonts w:ascii="Arial" w:cs="Arial" w:eastAsia="Arial" w:hAnsi="Arial"/>
          <w:sz w:val="19"/>
          <w:szCs w:val="19"/>
          <w:color w:val="000000"/>
        </w:rPr>
        <w:t xml:space="preserve"> the </w:t>
      </w:r>
      <w:r>
        <w:rPr>
          <w:rFonts w:ascii="Arial" w:cs="Arial" w:eastAsia="Arial" w:hAnsi="Arial"/>
          <w:sz w:val="19"/>
          <w:szCs w:val="19"/>
          <w:color w:val="2F2F2F"/>
        </w:rPr>
        <w:t>scheduled</w:t>
      </w:r>
      <w:r>
        <w:rPr>
          <w:rFonts w:ascii="Arial" w:cs="Arial" w:eastAsia="Arial" w:hAnsi="Arial"/>
          <w:sz w:val="19"/>
          <w:szCs w:val="19"/>
          <w:color w:val="000000"/>
        </w:rPr>
        <w:t xml:space="preserve"> </w:t>
      </w:r>
      <w:r>
        <w:rPr>
          <w:rFonts w:ascii="Arial" w:cs="Arial" w:eastAsia="Arial" w:hAnsi="Arial"/>
          <w:sz w:val="19"/>
          <w:szCs w:val="19"/>
          <w:color w:val="2F2F2F"/>
        </w:rPr>
        <w:t xml:space="preserve">commencement date </w:t>
      </w:r>
      <w:r>
        <w:rPr>
          <w:rFonts w:ascii="Arial" w:cs="Arial" w:eastAsia="Arial" w:hAnsi="Arial"/>
          <w:sz w:val="19"/>
          <w:szCs w:val="19"/>
          <w:color w:val="000000"/>
        </w:rPr>
        <w:t>of</w:t>
      </w:r>
      <w:r>
        <w:rPr>
          <w:rFonts w:ascii="Arial" w:cs="Arial" w:eastAsia="Arial" w:hAnsi="Arial"/>
          <w:sz w:val="19"/>
          <w:szCs w:val="19"/>
          <w:color w:val="2F2F2F"/>
        </w:rPr>
        <w:t xml:space="preserve"> </w:t>
      </w:r>
      <w:r>
        <w:rPr>
          <w:rFonts w:ascii="Arial" w:cs="Arial" w:eastAsia="Arial" w:hAnsi="Arial"/>
          <w:sz w:val="19"/>
          <w:szCs w:val="19"/>
          <w:color w:val="3F3F3F"/>
        </w:rPr>
        <w:t>the</w:t>
      </w:r>
      <w:r>
        <w:rPr>
          <w:rFonts w:ascii="Arial" w:cs="Arial" w:eastAsia="Arial" w:hAnsi="Arial"/>
          <w:sz w:val="19"/>
          <w:szCs w:val="19"/>
          <w:color w:val="2F2F2F"/>
        </w:rPr>
        <w:t xml:space="preserve"> </w:t>
      </w:r>
      <w:r>
        <w:rPr>
          <w:rFonts w:ascii="Arial" w:cs="Arial" w:eastAsia="Arial" w:hAnsi="Arial"/>
          <w:sz w:val="19"/>
          <w:szCs w:val="19"/>
          <w:color w:val="000000"/>
        </w:rPr>
        <w:t>applicable Extension Term. If Tenant’s Determination is lower than Landlord’s</w:t>
      </w:r>
      <w:r>
        <w:rPr>
          <w:rFonts w:ascii="Arial" w:cs="Arial" w:eastAsia="Arial" w:hAnsi="Arial"/>
          <w:sz w:val="19"/>
          <w:szCs w:val="19"/>
          <w:color w:val="2F2F2F"/>
        </w:rPr>
        <w:t xml:space="preserve"> </w:t>
      </w:r>
      <w:r>
        <w:rPr>
          <w:rFonts w:ascii="Arial" w:cs="Arial" w:eastAsia="Arial" w:hAnsi="Arial"/>
          <w:sz w:val="19"/>
          <w:szCs w:val="19"/>
          <w:color w:val="000000"/>
        </w:rPr>
        <w:t xml:space="preserve">Determination, then Landlord </w:t>
      </w:r>
      <w:r>
        <w:rPr>
          <w:rFonts w:ascii="Arial" w:cs="Arial" w:eastAsia="Arial" w:hAnsi="Arial"/>
          <w:sz w:val="19"/>
          <w:szCs w:val="19"/>
          <w:color w:val="2F2F2F"/>
        </w:rPr>
        <w:t>and</w:t>
      </w:r>
      <w:r>
        <w:rPr>
          <w:rFonts w:ascii="Arial" w:cs="Arial" w:eastAsia="Arial" w:hAnsi="Arial"/>
          <w:sz w:val="19"/>
          <w:szCs w:val="19"/>
          <w:color w:val="000000"/>
        </w:rPr>
        <w:t xml:space="preserve"> Tenant </w:t>
      </w:r>
      <w:r>
        <w:rPr>
          <w:rFonts w:ascii="Arial" w:cs="Arial" w:eastAsia="Arial" w:hAnsi="Arial"/>
          <w:sz w:val="19"/>
          <w:szCs w:val="19"/>
          <w:color w:val="2F2F2F"/>
        </w:rPr>
        <w:t>shall</w:t>
      </w:r>
      <w:r>
        <w:rPr>
          <w:rFonts w:ascii="Arial" w:cs="Arial" w:eastAsia="Arial" w:hAnsi="Arial"/>
          <w:sz w:val="19"/>
          <w:szCs w:val="19"/>
          <w:color w:val="000000"/>
        </w:rPr>
        <w:t xml:space="preserve"> attempt </w:t>
      </w:r>
      <w:r>
        <w:rPr>
          <w:rFonts w:ascii="Arial" w:cs="Arial" w:eastAsia="Arial" w:hAnsi="Arial"/>
          <w:sz w:val="19"/>
          <w:szCs w:val="19"/>
          <w:color w:val="2F2F2F"/>
        </w:rPr>
        <w:t>in</w:t>
      </w:r>
      <w:r>
        <w:rPr>
          <w:rFonts w:ascii="Arial" w:cs="Arial" w:eastAsia="Arial" w:hAnsi="Arial"/>
          <w:sz w:val="19"/>
          <w:szCs w:val="19"/>
          <w:color w:val="000000"/>
        </w:rPr>
        <w:t xml:space="preserve"> good faith </w:t>
      </w:r>
      <w:r>
        <w:rPr>
          <w:rFonts w:ascii="Arial" w:cs="Arial" w:eastAsia="Arial" w:hAnsi="Arial"/>
          <w:sz w:val="19"/>
          <w:szCs w:val="19"/>
          <w:color w:val="3F3F3F"/>
        </w:rPr>
        <w:t>to</w:t>
      </w:r>
      <w:r>
        <w:rPr>
          <w:rFonts w:ascii="Arial" w:cs="Arial" w:eastAsia="Arial" w:hAnsi="Arial"/>
          <w:sz w:val="19"/>
          <w:szCs w:val="19"/>
          <w:color w:val="000000"/>
        </w:rPr>
        <w:t xml:space="preserve"> agree upon </w:t>
      </w:r>
      <w:r>
        <w:rPr>
          <w:rFonts w:ascii="Arial" w:cs="Arial" w:eastAsia="Arial" w:hAnsi="Arial"/>
          <w:sz w:val="19"/>
          <w:szCs w:val="19"/>
          <w:color w:val="2F2F2F"/>
        </w:rPr>
        <w:t>the</w:t>
      </w:r>
      <w:r>
        <w:rPr>
          <w:rFonts w:ascii="Arial" w:cs="Arial" w:eastAsia="Arial" w:hAnsi="Arial"/>
          <w:sz w:val="19"/>
          <w:szCs w:val="19"/>
          <w:color w:val="000000"/>
        </w:rPr>
        <w:t xml:space="preserve"> Fair Market Rent for </w:t>
      </w:r>
      <w:r>
        <w:rPr>
          <w:rFonts w:ascii="Arial" w:cs="Arial" w:eastAsia="Arial" w:hAnsi="Arial"/>
          <w:sz w:val="19"/>
          <w:szCs w:val="19"/>
          <w:color w:val="2F2F2F"/>
        </w:rPr>
        <w:t>a</w:t>
      </w:r>
      <w:r>
        <w:rPr>
          <w:rFonts w:ascii="Arial" w:cs="Arial" w:eastAsia="Arial" w:hAnsi="Arial"/>
          <w:sz w:val="19"/>
          <w:szCs w:val="19"/>
          <w:color w:val="000000"/>
        </w:rPr>
        <w:t xml:space="preserve"> </w:t>
      </w:r>
      <w:r>
        <w:rPr>
          <w:rFonts w:ascii="Arial" w:cs="Arial" w:eastAsia="Arial" w:hAnsi="Arial"/>
          <w:sz w:val="19"/>
          <w:szCs w:val="19"/>
          <w:color w:val="2F2F2F"/>
        </w:rPr>
        <w:t xml:space="preserve">period </w:t>
      </w:r>
      <w:r>
        <w:rPr>
          <w:rFonts w:ascii="Arial" w:cs="Arial" w:eastAsia="Arial" w:hAnsi="Arial"/>
          <w:sz w:val="19"/>
          <w:szCs w:val="19"/>
          <w:color w:val="000000"/>
        </w:rPr>
        <w:t>of</w:t>
      </w:r>
      <w:r>
        <w:rPr>
          <w:rFonts w:ascii="Arial" w:cs="Arial" w:eastAsia="Arial" w:hAnsi="Arial"/>
          <w:sz w:val="19"/>
          <w:szCs w:val="19"/>
          <w:color w:val="2F2F2F"/>
        </w:rPr>
        <w:t xml:space="preserve"> </w:t>
      </w:r>
      <w:r>
        <w:rPr>
          <w:rFonts w:ascii="Arial" w:cs="Arial" w:eastAsia="Arial" w:hAnsi="Arial"/>
          <w:sz w:val="19"/>
          <w:szCs w:val="19"/>
          <w:u w:val="single" w:color="auto"/>
          <w:color w:val="000000"/>
        </w:rPr>
        <w:t>[***]</w:t>
      </w:r>
      <w:r>
        <w:rPr>
          <w:rFonts w:ascii="Arial" w:cs="Arial" w:eastAsia="Arial" w:hAnsi="Arial"/>
          <w:sz w:val="19"/>
          <w:szCs w:val="19"/>
          <w:color w:val="2F2F2F"/>
        </w:rPr>
        <w:t xml:space="preserve"> days </w:t>
      </w:r>
      <w:r>
        <w:rPr>
          <w:rFonts w:ascii="Arial" w:cs="Arial" w:eastAsia="Arial" w:hAnsi="Arial"/>
          <w:sz w:val="19"/>
          <w:szCs w:val="19"/>
          <w:color w:val="000000"/>
        </w:rPr>
        <w:t>after the date</w:t>
      </w:r>
      <w:r>
        <w:rPr>
          <w:rFonts w:ascii="Arial" w:cs="Arial" w:eastAsia="Arial" w:hAnsi="Arial"/>
          <w:sz w:val="19"/>
          <w:szCs w:val="19"/>
          <w:color w:val="2F2F2F"/>
        </w:rPr>
        <w:t xml:space="preserve"> on </w:t>
      </w:r>
      <w:r>
        <w:rPr>
          <w:rFonts w:ascii="Arial" w:cs="Arial" w:eastAsia="Arial" w:hAnsi="Arial"/>
          <w:sz w:val="19"/>
          <w:szCs w:val="19"/>
          <w:color w:val="000000"/>
        </w:rPr>
        <w:t>which both</w:t>
      </w:r>
      <w:r>
        <w:rPr>
          <w:rFonts w:ascii="Arial" w:cs="Arial" w:eastAsia="Arial" w:hAnsi="Arial"/>
          <w:sz w:val="19"/>
          <w:szCs w:val="19"/>
          <w:color w:val="2F2F2F"/>
        </w:rPr>
        <w:t xml:space="preserve"> the </w:t>
      </w:r>
      <w:r>
        <w:rPr>
          <w:rFonts w:ascii="Arial" w:cs="Arial" w:eastAsia="Arial" w:hAnsi="Arial"/>
          <w:sz w:val="19"/>
          <w:szCs w:val="19"/>
          <w:color w:val="000000"/>
        </w:rPr>
        <w:t>Landlord’s Determination and</w:t>
      </w:r>
      <w:r>
        <w:rPr>
          <w:rFonts w:ascii="Arial" w:cs="Arial" w:eastAsia="Arial" w:hAnsi="Arial"/>
          <w:sz w:val="19"/>
          <w:szCs w:val="19"/>
          <w:color w:val="2F2F2F"/>
        </w:rPr>
        <w:t xml:space="preserve"> the Tenant’s </w:t>
      </w:r>
      <w:r>
        <w:rPr>
          <w:rFonts w:ascii="Arial" w:cs="Arial" w:eastAsia="Arial" w:hAnsi="Arial"/>
          <w:sz w:val="19"/>
          <w:szCs w:val="19"/>
          <w:color w:val="000000"/>
        </w:rPr>
        <w:t>Determination</w:t>
      </w:r>
      <w:r>
        <w:rPr>
          <w:rFonts w:ascii="Arial" w:cs="Arial" w:eastAsia="Arial" w:hAnsi="Arial"/>
          <w:sz w:val="19"/>
          <w:szCs w:val="19"/>
          <w:color w:val="2F2F2F"/>
        </w:rPr>
        <w:t xml:space="preserve"> </w:t>
      </w:r>
      <w:r>
        <w:rPr>
          <w:rFonts w:ascii="Arial" w:cs="Arial" w:eastAsia="Arial" w:hAnsi="Arial"/>
          <w:sz w:val="19"/>
          <w:szCs w:val="19"/>
          <w:color w:val="000000"/>
        </w:rPr>
        <w:t xml:space="preserve">have been duly delivered </w:t>
      </w:r>
      <w:r>
        <w:rPr>
          <w:rFonts w:ascii="Arial" w:cs="Arial" w:eastAsia="Arial" w:hAnsi="Arial"/>
          <w:sz w:val="19"/>
          <w:szCs w:val="19"/>
          <w:color w:val="2F2F2F"/>
        </w:rPr>
        <w:t>(the</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Determination Delivery Date</w:t>
      </w:r>
      <w:r>
        <w:rPr>
          <w:rFonts w:ascii="Arial" w:cs="Arial" w:eastAsia="Arial" w:hAnsi="Arial"/>
          <w:sz w:val="19"/>
          <w:szCs w:val="19"/>
          <w:color w:val="000000"/>
        </w:rPr>
        <w:t xml:space="preserve">”). </w:t>
      </w:r>
      <w:r>
        <w:rPr>
          <w:rFonts w:ascii="Arial" w:cs="Arial" w:eastAsia="Arial" w:hAnsi="Arial"/>
          <w:sz w:val="19"/>
          <w:szCs w:val="19"/>
          <w:color w:val="2F2F2F"/>
        </w:rPr>
        <w:t>If</w:t>
      </w:r>
      <w:r>
        <w:rPr>
          <w:rFonts w:ascii="Arial" w:cs="Arial" w:eastAsia="Arial" w:hAnsi="Arial"/>
          <w:sz w:val="19"/>
          <w:szCs w:val="19"/>
          <w:color w:val="000000"/>
        </w:rPr>
        <w:t xml:space="preserve"> Tenant’s Determination is higher </w:t>
      </w:r>
      <w:r>
        <w:rPr>
          <w:rFonts w:ascii="Arial" w:cs="Arial" w:eastAsia="Arial" w:hAnsi="Arial"/>
          <w:sz w:val="19"/>
          <w:szCs w:val="19"/>
          <w:color w:val="2F2F2F"/>
        </w:rPr>
        <w:t>than</w:t>
      </w:r>
      <w:r>
        <w:rPr>
          <w:rFonts w:ascii="Arial" w:cs="Arial" w:eastAsia="Arial" w:hAnsi="Arial"/>
          <w:sz w:val="19"/>
          <w:szCs w:val="19"/>
          <w:color w:val="000000"/>
        </w:rPr>
        <w:t xml:space="preserve"> Landlord’s Determination, then the </w:t>
      </w:r>
      <w:r>
        <w:rPr>
          <w:rFonts w:ascii="Arial" w:cs="Arial" w:eastAsia="Arial" w:hAnsi="Arial"/>
          <w:sz w:val="19"/>
          <w:szCs w:val="19"/>
          <w:color w:val="3F3F3F"/>
        </w:rPr>
        <w:t>Fair</w:t>
      </w:r>
      <w:r>
        <w:rPr>
          <w:rFonts w:ascii="Arial" w:cs="Arial" w:eastAsia="Arial" w:hAnsi="Arial"/>
          <w:sz w:val="19"/>
          <w:szCs w:val="19"/>
          <w:color w:val="000000"/>
        </w:rPr>
        <w:t xml:space="preserve"> Market Rent for the Premises </w:t>
      </w:r>
      <w:r>
        <w:rPr>
          <w:rFonts w:ascii="Arial" w:cs="Arial" w:eastAsia="Arial" w:hAnsi="Arial"/>
          <w:sz w:val="19"/>
          <w:szCs w:val="19"/>
          <w:color w:val="2F2F2F"/>
        </w:rPr>
        <w:t>shall</w:t>
      </w:r>
      <w:r>
        <w:rPr>
          <w:rFonts w:ascii="Arial" w:cs="Arial" w:eastAsia="Arial" w:hAnsi="Arial"/>
          <w:sz w:val="19"/>
          <w:szCs w:val="19"/>
          <w:color w:val="000000"/>
        </w:rPr>
        <w:t xml:space="preserve"> be the </w:t>
      </w:r>
      <w:r>
        <w:rPr>
          <w:rFonts w:ascii="Arial" w:cs="Arial" w:eastAsia="Arial" w:hAnsi="Arial"/>
          <w:sz w:val="19"/>
          <w:szCs w:val="19"/>
          <w:color w:val="2F2F2F"/>
        </w:rPr>
        <w:t>Landlord’s</w:t>
      </w:r>
      <w:r>
        <w:rPr>
          <w:rFonts w:ascii="Arial" w:cs="Arial" w:eastAsia="Arial" w:hAnsi="Arial"/>
          <w:sz w:val="19"/>
          <w:szCs w:val="19"/>
          <w:color w:val="000000"/>
        </w:rPr>
        <w:t xml:space="preserve"> Determination. </w:t>
      </w:r>
      <w:r>
        <w:rPr>
          <w:rFonts w:ascii="Arial" w:cs="Arial" w:eastAsia="Arial" w:hAnsi="Arial"/>
          <w:sz w:val="19"/>
          <w:szCs w:val="19"/>
          <w:color w:val="2F2F2F"/>
        </w:rPr>
        <w:t>If</w:t>
      </w:r>
      <w:r>
        <w:rPr>
          <w:rFonts w:ascii="Arial" w:cs="Arial" w:eastAsia="Arial" w:hAnsi="Arial"/>
          <w:sz w:val="19"/>
          <w:szCs w:val="19"/>
          <w:color w:val="000000"/>
        </w:rPr>
        <w:t xml:space="preserve"> </w:t>
      </w:r>
      <w:r>
        <w:rPr>
          <w:rFonts w:ascii="Arial" w:cs="Arial" w:eastAsia="Arial" w:hAnsi="Arial"/>
          <w:sz w:val="19"/>
          <w:szCs w:val="19"/>
          <w:color w:val="2F2F2F"/>
        </w:rPr>
        <w:t xml:space="preserve">Landlord </w:t>
      </w:r>
      <w:r>
        <w:rPr>
          <w:rFonts w:ascii="Arial" w:cs="Arial" w:eastAsia="Arial" w:hAnsi="Arial"/>
          <w:sz w:val="19"/>
          <w:szCs w:val="19"/>
          <w:color w:val="000000"/>
        </w:rPr>
        <w:t>and Tenant do not agree</w:t>
      </w:r>
      <w:r>
        <w:rPr>
          <w:rFonts w:ascii="Arial" w:cs="Arial" w:eastAsia="Arial" w:hAnsi="Arial"/>
          <w:sz w:val="19"/>
          <w:szCs w:val="19"/>
          <w:color w:val="2F2F2F"/>
        </w:rPr>
        <w:t xml:space="preserve"> on </w:t>
      </w:r>
      <w:r>
        <w:rPr>
          <w:rFonts w:ascii="Arial" w:cs="Arial" w:eastAsia="Arial" w:hAnsi="Arial"/>
          <w:sz w:val="19"/>
          <w:szCs w:val="19"/>
          <w:color w:val="000000"/>
        </w:rPr>
        <w:t>the</w:t>
      </w:r>
      <w:r>
        <w:rPr>
          <w:rFonts w:ascii="Arial" w:cs="Arial" w:eastAsia="Arial" w:hAnsi="Arial"/>
          <w:sz w:val="19"/>
          <w:szCs w:val="19"/>
          <w:color w:val="2F2F2F"/>
        </w:rPr>
        <w:t xml:space="preserve"> </w:t>
      </w:r>
      <w:r>
        <w:rPr>
          <w:rFonts w:ascii="Arial" w:cs="Arial" w:eastAsia="Arial" w:hAnsi="Arial"/>
          <w:sz w:val="19"/>
          <w:szCs w:val="19"/>
          <w:color w:val="3F3F3F"/>
        </w:rPr>
        <w:t>Fair</w:t>
      </w:r>
      <w:r>
        <w:rPr>
          <w:rFonts w:ascii="Arial" w:cs="Arial" w:eastAsia="Arial" w:hAnsi="Arial"/>
          <w:sz w:val="19"/>
          <w:szCs w:val="19"/>
          <w:color w:val="2F2F2F"/>
        </w:rPr>
        <w:t xml:space="preserve"> Market </w:t>
      </w:r>
      <w:r>
        <w:rPr>
          <w:rFonts w:ascii="Arial" w:cs="Arial" w:eastAsia="Arial" w:hAnsi="Arial"/>
          <w:sz w:val="19"/>
          <w:szCs w:val="19"/>
          <w:color w:val="000000"/>
        </w:rPr>
        <w:t>Rent for the Premises within</w:t>
      </w:r>
      <w:r>
        <w:rPr>
          <w:rFonts w:ascii="Arial" w:cs="Arial" w:eastAsia="Arial" w:hAnsi="Arial"/>
          <w:sz w:val="19"/>
          <w:szCs w:val="19"/>
          <w:color w:val="2F2F2F"/>
        </w:rPr>
        <w:t xml:space="preserve"> </w:t>
      </w:r>
      <w:r>
        <w:rPr>
          <w:rFonts w:ascii="Arial" w:cs="Arial" w:eastAsia="Arial" w:hAnsi="Arial"/>
          <w:sz w:val="19"/>
          <w:szCs w:val="19"/>
          <w:u w:val="single" w:color="auto"/>
          <w:color w:val="000000"/>
        </w:rPr>
        <w:t>[***]</w:t>
      </w:r>
      <w:r>
        <w:rPr>
          <w:rFonts w:ascii="Arial" w:cs="Arial" w:eastAsia="Arial" w:hAnsi="Arial"/>
          <w:sz w:val="19"/>
          <w:szCs w:val="19"/>
          <w:color w:val="2F2F2F"/>
        </w:rPr>
        <w:t xml:space="preserve"> </w:t>
      </w:r>
      <w:r>
        <w:rPr>
          <w:rFonts w:ascii="Arial" w:cs="Arial" w:eastAsia="Arial" w:hAnsi="Arial"/>
          <w:sz w:val="19"/>
          <w:szCs w:val="19"/>
          <w:color w:val="000000"/>
        </w:rPr>
        <w:t>days</w:t>
      </w:r>
      <w:r>
        <w:rPr>
          <w:rFonts w:ascii="Arial" w:cs="Arial" w:eastAsia="Arial" w:hAnsi="Arial"/>
          <w:sz w:val="19"/>
          <w:szCs w:val="19"/>
          <w:color w:val="2F2F2F"/>
        </w:rPr>
        <w:t xml:space="preserve"> </w:t>
      </w:r>
      <w:r>
        <w:rPr>
          <w:rFonts w:ascii="Arial" w:cs="Arial" w:eastAsia="Arial" w:hAnsi="Arial"/>
          <w:sz w:val="19"/>
          <w:szCs w:val="19"/>
          <w:color w:val="3F3F3F"/>
        </w:rPr>
        <w:t>after</w:t>
      </w:r>
      <w:r>
        <w:rPr>
          <w:rFonts w:ascii="Arial" w:cs="Arial" w:eastAsia="Arial" w:hAnsi="Arial"/>
          <w:sz w:val="19"/>
          <w:szCs w:val="19"/>
          <w:color w:val="2F2F2F"/>
        </w:rPr>
        <w:t xml:space="preserve"> the </w:t>
      </w:r>
      <w:r>
        <w:rPr>
          <w:rFonts w:ascii="Arial" w:cs="Arial" w:eastAsia="Arial" w:hAnsi="Arial"/>
          <w:sz w:val="19"/>
          <w:szCs w:val="19"/>
          <w:color w:val="000000"/>
        </w:rPr>
        <w:t xml:space="preserve">Determination Delivery Date, then Tenant </w:t>
      </w:r>
      <w:r>
        <w:rPr>
          <w:rFonts w:ascii="Arial" w:cs="Arial" w:eastAsia="Arial" w:hAnsi="Arial"/>
          <w:sz w:val="19"/>
          <w:szCs w:val="19"/>
          <w:color w:val="2F2F2F"/>
        </w:rPr>
        <w:t>sha</w:t>
      </w:r>
      <w:r>
        <w:rPr>
          <w:rFonts w:ascii="Arial" w:cs="Arial" w:eastAsia="Arial" w:hAnsi="Arial"/>
          <w:sz w:val="19"/>
          <w:szCs w:val="19"/>
          <w:color w:val="030303"/>
        </w:rPr>
        <w:t>ll</w:t>
      </w:r>
      <w:r>
        <w:rPr>
          <w:rFonts w:ascii="Arial" w:cs="Arial" w:eastAsia="Arial" w:hAnsi="Arial"/>
          <w:sz w:val="19"/>
          <w:szCs w:val="19"/>
          <w:color w:val="000000"/>
        </w:rPr>
        <w:t xml:space="preserve"> have the tight </w:t>
      </w:r>
      <w:r>
        <w:rPr>
          <w:rFonts w:ascii="Arial" w:cs="Arial" w:eastAsia="Arial" w:hAnsi="Arial"/>
          <w:sz w:val="19"/>
          <w:szCs w:val="19"/>
          <w:color w:val="3F3F3F"/>
        </w:rPr>
        <w:t>to</w:t>
      </w:r>
      <w:r>
        <w:rPr>
          <w:rFonts w:ascii="Arial" w:cs="Arial" w:eastAsia="Arial" w:hAnsi="Arial"/>
          <w:sz w:val="19"/>
          <w:szCs w:val="19"/>
          <w:color w:val="000000"/>
        </w:rPr>
        <w:t xml:space="preserve"> rescind the exercise of the Option by written notice to </w:t>
      </w:r>
      <w:r>
        <w:rPr>
          <w:rFonts w:ascii="Arial" w:cs="Arial" w:eastAsia="Arial" w:hAnsi="Arial"/>
          <w:sz w:val="19"/>
          <w:szCs w:val="19"/>
          <w:color w:val="030303"/>
        </w:rPr>
        <w:t>Landl</w:t>
      </w:r>
      <w:r>
        <w:rPr>
          <w:rFonts w:ascii="Arial" w:cs="Arial" w:eastAsia="Arial" w:hAnsi="Arial"/>
          <w:sz w:val="19"/>
          <w:szCs w:val="19"/>
          <w:color w:val="2F2F2F"/>
        </w:rPr>
        <w:t>o</w:t>
      </w:r>
      <w:r>
        <w:rPr>
          <w:rFonts w:ascii="Arial" w:cs="Arial" w:eastAsia="Arial" w:hAnsi="Arial"/>
          <w:sz w:val="19"/>
          <w:szCs w:val="19"/>
          <w:color w:val="030303"/>
        </w:rPr>
        <w:t>rd</w:t>
      </w:r>
      <w:r>
        <w:rPr>
          <w:rFonts w:ascii="Arial" w:cs="Arial" w:eastAsia="Arial" w:hAnsi="Arial"/>
          <w:sz w:val="19"/>
          <w:szCs w:val="19"/>
          <w:color w:val="000000"/>
        </w:rPr>
        <w:t xml:space="preserve"> </w:t>
      </w:r>
      <w:r>
        <w:rPr>
          <w:rFonts w:ascii="Arial" w:cs="Arial" w:eastAsia="Arial" w:hAnsi="Arial"/>
          <w:sz w:val="19"/>
          <w:szCs w:val="19"/>
          <w:color w:val="2F2F2F"/>
        </w:rPr>
        <w:t>on</w:t>
      </w:r>
      <w:r>
        <w:rPr>
          <w:rFonts w:ascii="Arial" w:cs="Arial" w:eastAsia="Arial" w:hAnsi="Arial"/>
          <w:sz w:val="19"/>
          <w:szCs w:val="19"/>
          <w:color w:val="000000"/>
        </w:rPr>
        <w:t xml:space="preserve"> or before the date </w:t>
      </w:r>
      <w:r>
        <w:rPr>
          <w:rFonts w:ascii="Arial" w:cs="Arial" w:eastAsia="Arial" w:hAnsi="Arial"/>
          <w:sz w:val="19"/>
          <w:szCs w:val="19"/>
          <w:color w:val="2F2F2F"/>
        </w:rPr>
        <w:t>that</w:t>
      </w:r>
      <w:r>
        <w:rPr>
          <w:rFonts w:ascii="Arial" w:cs="Arial" w:eastAsia="Arial" w:hAnsi="Arial"/>
          <w:sz w:val="19"/>
          <w:szCs w:val="19"/>
          <w:color w:val="000000"/>
        </w:rPr>
        <w:t xml:space="preserve"> is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Business Days </w:t>
      </w:r>
      <w:r>
        <w:rPr>
          <w:rFonts w:ascii="Arial" w:cs="Arial" w:eastAsia="Arial" w:hAnsi="Arial"/>
          <w:sz w:val="19"/>
          <w:szCs w:val="19"/>
          <w:color w:val="2F2F2F"/>
        </w:rPr>
        <w:t>following</w:t>
      </w:r>
      <w:r>
        <w:rPr>
          <w:rFonts w:ascii="Arial" w:cs="Arial" w:eastAsia="Arial" w:hAnsi="Arial"/>
          <w:sz w:val="19"/>
          <w:szCs w:val="19"/>
          <w:color w:val="000000"/>
        </w:rPr>
        <w:t xml:space="preserve"> the expiration </w:t>
      </w:r>
      <w:r>
        <w:rPr>
          <w:rFonts w:ascii="Arial" w:cs="Arial" w:eastAsia="Arial" w:hAnsi="Arial"/>
          <w:sz w:val="19"/>
          <w:szCs w:val="19"/>
          <w:color w:val="2F2F2F"/>
        </w:rPr>
        <w:t>of such</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 period. In the event Tenant does not deliver </w:t>
      </w:r>
      <w:r>
        <w:rPr>
          <w:rFonts w:ascii="Arial" w:cs="Arial" w:eastAsia="Arial" w:hAnsi="Arial"/>
          <w:sz w:val="19"/>
          <w:szCs w:val="19"/>
          <w:color w:val="2F2F2F"/>
        </w:rPr>
        <w:t>a</w:t>
      </w:r>
      <w:r>
        <w:rPr>
          <w:rFonts w:ascii="Arial" w:cs="Arial" w:eastAsia="Arial" w:hAnsi="Arial"/>
          <w:sz w:val="19"/>
          <w:szCs w:val="19"/>
          <w:color w:val="000000"/>
        </w:rPr>
        <w:t xml:space="preserve"> rescission </w:t>
      </w:r>
      <w:r>
        <w:rPr>
          <w:rFonts w:ascii="Arial" w:cs="Arial" w:eastAsia="Arial" w:hAnsi="Arial"/>
          <w:sz w:val="19"/>
          <w:szCs w:val="19"/>
          <w:color w:val="030303"/>
        </w:rPr>
        <w:t>notice</w:t>
      </w:r>
      <w:r>
        <w:rPr>
          <w:rFonts w:ascii="Arial" w:cs="Arial" w:eastAsia="Arial" w:hAnsi="Arial"/>
          <w:sz w:val="19"/>
          <w:szCs w:val="19"/>
          <w:color w:val="000000"/>
        </w:rPr>
        <w:t xml:space="preserve"> to Landlord, Landlord and Tenant </w:t>
      </w:r>
      <w:r>
        <w:rPr>
          <w:rFonts w:ascii="Arial" w:cs="Arial" w:eastAsia="Arial" w:hAnsi="Arial"/>
          <w:sz w:val="19"/>
          <w:szCs w:val="19"/>
          <w:color w:val="2F2F2F"/>
        </w:rPr>
        <w:t>shall</w:t>
      </w:r>
      <w:r>
        <w:rPr>
          <w:rFonts w:ascii="Arial" w:cs="Arial" w:eastAsia="Arial" w:hAnsi="Arial"/>
          <w:sz w:val="19"/>
          <w:szCs w:val="19"/>
          <w:color w:val="000000"/>
        </w:rPr>
        <w:t xml:space="preserve"> jointly select </w:t>
      </w:r>
      <w:r>
        <w:rPr>
          <w:rFonts w:ascii="Arial" w:cs="Arial" w:eastAsia="Arial" w:hAnsi="Arial"/>
          <w:sz w:val="19"/>
          <w:szCs w:val="19"/>
          <w:color w:val="2F2F2F"/>
        </w:rPr>
        <w:t>an</w:t>
      </w:r>
      <w:r>
        <w:rPr>
          <w:rFonts w:ascii="Arial" w:cs="Arial" w:eastAsia="Arial" w:hAnsi="Arial"/>
          <w:sz w:val="19"/>
          <w:szCs w:val="19"/>
          <w:color w:val="000000"/>
        </w:rPr>
        <w:t xml:space="preserve"> independent </w:t>
      </w:r>
      <w:r>
        <w:rPr>
          <w:rFonts w:ascii="Arial" w:cs="Arial" w:eastAsia="Arial" w:hAnsi="Arial"/>
          <w:sz w:val="19"/>
          <w:szCs w:val="19"/>
          <w:color w:val="030303"/>
        </w:rPr>
        <w:t>re</w:t>
      </w:r>
      <w:r>
        <w:rPr>
          <w:rFonts w:ascii="Arial" w:cs="Arial" w:eastAsia="Arial" w:hAnsi="Arial"/>
          <w:sz w:val="19"/>
          <w:szCs w:val="19"/>
          <w:color w:val="2F2F2F"/>
        </w:rPr>
        <w:t>al</w:t>
      </w:r>
      <w:r>
        <w:rPr>
          <w:rFonts w:ascii="Arial" w:cs="Arial" w:eastAsia="Arial" w:hAnsi="Arial"/>
          <w:sz w:val="19"/>
          <w:szCs w:val="19"/>
          <w:color w:val="000000"/>
        </w:rPr>
        <w:t xml:space="preserve"> estate appraiser that (a) neither </w:t>
      </w:r>
      <w:r>
        <w:rPr>
          <w:rFonts w:ascii="Arial" w:cs="Arial" w:eastAsia="Arial" w:hAnsi="Arial"/>
          <w:sz w:val="19"/>
          <w:szCs w:val="19"/>
          <w:color w:val="2F2F2F"/>
        </w:rPr>
        <w:t>Landlord</w:t>
      </w:r>
      <w:r>
        <w:rPr>
          <w:rFonts w:ascii="Arial" w:cs="Arial" w:eastAsia="Arial" w:hAnsi="Arial"/>
          <w:sz w:val="19"/>
          <w:szCs w:val="19"/>
          <w:color w:val="000000"/>
        </w:rPr>
        <w:t xml:space="preserve"> nor Tenant, nor any of their respective affiliates, has </w:t>
      </w:r>
      <w:r>
        <w:rPr>
          <w:rFonts w:ascii="Arial" w:cs="Arial" w:eastAsia="Arial" w:hAnsi="Arial"/>
          <w:sz w:val="19"/>
          <w:szCs w:val="19"/>
          <w:color w:val="2F2F2F"/>
        </w:rPr>
        <w:t>engaged</w:t>
      </w:r>
      <w:r>
        <w:rPr>
          <w:rFonts w:ascii="Arial" w:cs="Arial" w:eastAsia="Arial" w:hAnsi="Arial"/>
          <w:sz w:val="19"/>
          <w:szCs w:val="19"/>
          <w:color w:val="000000"/>
        </w:rPr>
        <w:t xml:space="preserve"> during </w:t>
      </w:r>
      <w:r>
        <w:rPr>
          <w:rFonts w:ascii="Arial" w:cs="Arial" w:eastAsia="Arial" w:hAnsi="Arial"/>
          <w:sz w:val="19"/>
          <w:szCs w:val="19"/>
          <w:color w:val="3F3F3F"/>
        </w:rPr>
        <w:t>the</w:t>
      </w:r>
      <w:r>
        <w:rPr>
          <w:rFonts w:ascii="Arial" w:cs="Arial" w:eastAsia="Arial" w:hAnsi="Arial"/>
          <w:sz w:val="19"/>
          <w:szCs w:val="19"/>
          <w:color w:val="000000"/>
        </w:rPr>
        <w:t xml:space="preserve"> immediately </w:t>
      </w:r>
      <w:r>
        <w:rPr>
          <w:rFonts w:ascii="Arial" w:cs="Arial" w:eastAsia="Arial" w:hAnsi="Arial"/>
          <w:sz w:val="19"/>
          <w:szCs w:val="19"/>
          <w:color w:val="2F2F2F"/>
        </w:rPr>
        <w:t>preceding</w:t>
      </w:r>
      <w:r>
        <w:rPr>
          <w:rFonts w:ascii="Arial" w:cs="Arial" w:eastAsia="Arial" w:hAnsi="Arial"/>
          <w:sz w:val="19"/>
          <w:szCs w:val="19"/>
          <w:color w:val="000000"/>
        </w:rPr>
        <w:t xml:space="preserve"> period of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2F2F2F"/>
        </w:rPr>
        <w:t>years; and</w:t>
      </w:r>
      <w:r>
        <w:rPr>
          <w:rFonts w:ascii="Arial" w:cs="Arial" w:eastAsia="Arial" w:hAnsi="Arial"/>
          <w:sz w:val="19"/>
          <w:szCs w:val="19"/>
          <w:color w:val="000000"/>
        </w:rPr>
        <w:t xml:space="preserve"> (b) has </w:t>
      </w:r>
      <w:r>
        <w:rPr>
          <w:rFonts w:ascii="Arial" w:cs="Arial" w:eastAsia="Arial" w:hAnsi="Arial"/>
          <w:sz w:val="19"/>
          <w:szCs w:val="19"/>
          <w:color w:val="2F2F2F"/>
        </w:rPr>
        <w:t>at</w:t>
      </w:r>
      <w:r>
        <w:rPr>
          <w:rFonts w:ascii="Arial" w:cs="Arial" w:eastAsia="Arial" w:hAnsi="Arial"/>
          <w:sz w:val="19"/>
          <w:szCs w:val="19"/>
          <w:color w:val="000000"/>
        </w:rPr>
        <w:t xml:space="preserve"> </w:t>
      </w:r>
      <w:r>
        <w:rPr>
          <w:rFonts w:ascii="Arial" w:cs="Arial" w:eastAsia="Arial" w:hAnsi="Arial"/>
          <w:sz w:val="19"/>
          <w:szCs w:val="19"/>
          <w:color w:val="3F3F3F"/>
        </w:rPr>
        <w:t>least</w:t>
      </w:r>
      <w:r>
        <w:rPr>
          <w:rFonts w:ascii="Arial" w:cs="Arial" w:eastAsia="Arial" w:hAnsi="Arial"/>
          <w:sz w:val="19"/>
          <w:szCs w:val="19"/>
          <w:color w:val="000000"/>
        </w:rPr>
        <w:t xml:space="preserve"> ten (10) years of experience </w:t>
      </w:r>
      <w:r>
        <w:rPr>
          <w:rFonts w:ascii="Arial" w:cs="Arial" w:eastAsia="Arial" w:hAnsi="Arial"/>
          <w:sz w:val="19"/>
          <w:szCs w:val="19"/>
          <w:color w:val="030303"/>
        </w:rPr>
        <w:t>in</w:t>
      </w:r>
      <w:r>
        <w:rPr>
          <w:rFonts w:ascii="Arial" w:cs="Arial" w:eastAsia="Arial" w:hAnsi="Arial"/>
          <w:sz w:val="19"/>
          <w:szCs w:val="19"/>
          <w:color w:val="000000"/>
        </w:rPr>
        <w:t xml:space="preserve"> leasing first-class office properties </w:t>
      </w:r>
      <w:r>
        <w:rPr>
          <w:rFonts w:ascii="Arial" w:cs="Arial" w:eastAsia="Arial" w:hAnsi="Arial"/>
          <w:sz w:val="19"/>
          <w:szCs w:val="19"/>
          <w:color w:val="2F2F2F"/>
        </w:rPr>
        <w:t>located</w:t>
      </w:r>
      <w:r>
        <w:rPr>
          <w:rFonts w:ascii="Arial" w:cs="Arial" w:eastAsia="Arial" w:hAnsi="Arial"/>
          <w:sz w:val="19"/>
          <w:szCs w:val="19"/>
          <w:color w:val="000000"/>
        </w:rPr>
        <w:t xml:space="preserve"> in the Rockville, Maryland </w:t>
      </w:r>
      <w:r>
        <w:rPr>
          <w:rFonts w:ascii="Arial" w:cs="Arial" w:eastAsia="Arial" w:hAnsi="Arial"/>
          <w:sz w:val="19"/>
          <w:szCs w:val="19"/>
          <w:color w:val="2F2F2F"/>
        </w:rPr>
        <w:t>area</w:t>
      </w:r>
      <w:r>
        <w:rPr>
          <w:rFonts w:ascii="Arial" w:cs="Arial" w:eastAsia="Arial" w:hAnsi="Arial"/>
          <w:sz w:val="19"/>
          <w:szCs w:val="19"/>
          <w:color w:val="000000"/>
        </w:rPr>
        <w:t xml:space="preserve"> (such appraiser being referred to herein </w:t>
      </w:r>
      <w:r>
        <w:rPr>
          <w:rFonts w:ascii="Arial" w:cs="Arial" w:eastAsia="Arial" w:hAnsi="Arial"/>
          <w:sz w:val="19"/>
          <w:szCs w:val="19"/>
          <w:color w:val="2F2F2F"/>
        </w:rPr>
        <w:t>as the “</w:t>
      </w:r>
      <w:r>
        <w:rPr>
          <w:rFonts w:ascii="Arial" w:cs="Arial" w:eastAsia="Arial" w:hAnsi="Arial"/>
          <w:sz w:val="19"/>
          <w:szCs w:val="19"/>
          <w:u w:val="single" w:color="auto"/>
          <w:color w:val="2F2F2F"/>
        </w:rPr>
        <w:t>Appraiser</w:t>
      </w:r>
      <w:r>
        <w:rPr>
          <w:rFonts w:ascii="Arial" w:cs="Arial" w:eastAsia="Arial" w:hAnsi="Arial"/>
          <w:sz w:val="19"/>
          <w:szCs w:val="19"/>
          <w:color w:val="2F2F2F"/>
        </w:rPr>
        <w:t>”).</w:t>
      </w:r>
      <w:r>
        <w:rPr>
          <w:rFonts w:ascii="Arial" w:cs="Arial" w:eastAsia="Arial" w:hAnsi="Arial"/>
          <w:sz w:val="19"/>
          <w:szCs w:val="19"/>
          <w:color w:val="000000"/>
        </w:rPr>
        <w:t xml:space="preserve"> Landlord and Tenant </w:t>
      </w:r>
      <w:r>
        <w:rPr>
          <w:rFonts w:ascii="Arial" w:cs="Arial" w:eastAsia="Arial" w:hAnsi="Arial"/>
          <w:sz w:val="19"/>
          <w:szCs w:val="19"/>
          <w:color w:val="2F2F2F"/>
        </w:rPr>
        <w:t>shall each</w:t>
      </w:r>
      <w:r>
        <w:rPr>
          <w:rFonts w:ascii="Arial" w:cs="Arial" w:eastAsia="Arial" w:hAnsi="Arial"/>
          <w:sz w:val="19"/>
          <w:szCs w:val="19"/>
          <w:color w:val="000000"/>
        </w:rPr>
        <w:t xml:space="preserve"> pay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percent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of the Appraiser’s fee. If </w:t>
      </w:r>
      <w:r>
        <w:rPr>
          <w:rFonts w:ascii="Arial" w:cs="Arial" w:eastAsia="Arial" w:hAnsi="Arial"/>
          <w:sz w:val="19"/>
          <w:szCs w:val="19"/>
          <w:color w:val="2F2F2F"/>
        </w:rPr>
        <w:t>Landlord</w:t>
      </w:r>
      <w:r>
        <w:rPr>
          <w:rFonts w:ascii="Arial" w:cs="Arial" w:eastAsia="Arial" w:hAnsi="Arial"/>
          <w:sz w:val="19"/>
          <w:szCs w:val="19"/>
          <w:color w:val="000000"/>
        </w:rPr>
        <w:t xml:space="preserve"> and </w:t>
      </w:r>
      <w:r>
        <w:rPr>
          <w:rFonts w:ascii="Arial" w:cs="Arial" w:eastAsia="Arial" w:hAnsi="Arial"/>
          <w:sz w:val="19"/>
          <w:szCs w:val="19"/>
          <w:color w:val="2F2F2F"/>
        </w:rPr>
        <w:t>Tenant</w:t>
      </w:r>
      <w:r>
        <w:rPr>
          <w:rFonts w:ascii="Arial" w:cs="Arial" w:eastAsia="Arial" w:hAnsi="Arial"/>
          <w:sz w:val="19"/>
          <w:szCs w:val="19"/>
          <w:color w:val="000000"/>
        </w:rPr>
        <w:t xml:space="preserve"> do not agree on the </w:t>
      </w:r>
      <w:r>
        <w:rPr>
          <w:rFonts w:ascii="Arial" w:cs="Arial" w:eastAsia="Arial" w:hAnsi="Arial"/>
          <w:sz w:val="19"/>
          <w:szCs w:val="19"/>
          <w:color w:val="2F2F2F"/>
        </w:rPr>
        <w:t>App</w:t>
      </w:r>
      <w:r>
        <w:rPr>
          <w:rFonts w:ascii="Arial" w:cs="Arial" w:eastAsia="Arial" w:hAnsi="Arial"/>
          <w:sz w:val="19"/>
          <w:szCs w:val="19"/>
          <w:color w:val="030303"/>
        </w:rPr>
        <w:t>rai</w:t>
      </w:r>
      <w:r>
        <w:rPr>
          <w:rFonts w:ascii="Arial" w:cs="Arial" w:eastAsia="Arial" w:hAnsi="Arial"/>
          <w:sz w:val="19"/>
          <w:szCs w:val="19"/>
          <w:color w:val="3F3F3F"/>
        </w:rPr>
        <w:t>s</w:t>
      </w:r>
      <w:r>
        <w:rPr>
          <w:rFonts w:ascii="Arial" w:cs="Arial" w:eastAsia="Arial" w:hAnsi="Arial"/>
          <w:sz w:val="19"/>
          <w:szCs w:val="19"/>
          <w:color w:val="000000"/>
        </w:rPr>
        <w:t xml:space="preserve">er </w:t>
      </w:r>
      <w:r>
        <w:rPr>
          <w:rFonts w:ascii="Arial" w:cs="Arial" w:eastAsia="Arial" w:hAnsi="Arial"/>
          <w:sz w:val="19"/>
          <w:szCs w:val="19"/>
          <w:color w:val="2F2F2F"/>
        </w:rPr>
        <w:t>within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after the </w:t>
      </w:r>
      <w:r>
        <w:rPr>
          <w:rFonts w:ascii="Arial" w:cs="Arial" w:eastAsia="Arial" w:hAnsi="Arial"/>
          <w:sz w:val="19"/>
          <w:szCs w:val="19"/>
          <w:color w:val="030303"/>
        </w:rPr>
        <w:t>la</w:t>
      </w:r>
      <w:r>
        <w:rPr>
          <w:rFonts w:ascii="Arial" w:cs="Arial" w:eastAsia="Arial" w:hAnsi="Arial"/>
          <w:sz w:val="19"/>
          <w:szCs w:val="19"/>
          <w:color w:val="2F2F2F"/>
        </w:rPr>
        <w:t>st</w:t>
      </w:r>
      <w:r>
        <w:rPr>
          <w:rFonts w:ascii="Arial" w:cs="Arial" w:eastAsia="Arial" w:hAnsi="Arial"/>
          <w:sz w:val="19"/>
          <w:szCs w:val="19"/>
          <w:color w:val="000000"/>
        </w:rPr>
        <w:t xml:space="preserve"> day of </w:t>
      </w:r>
      <w:r>
        <w:rPr>
          <w:rFonts w:ascii="Arial" w:cs="Arial" w:eastAsia="Arial" w:hAnsi="Arial"/>
          <w:sz w:val="19"/>
          <w:szCs w:val="19"/>
          <w:color w:val="2F2F2F"/>
        </w:rPr>
        <w:t>such</w:t>
      </w:r>
      <w:r>
        <w:rPr>
          <w:rFonts w:ascii="Arial" w:cs="Arial" w:eastAsia="Arial" w:hAnsi="Arial"/>
          <w:sz w:val="19"/>
          <w:szCs w:val="19"/>
          <w:color w:val="000000"/>
        </w:rPr>
        <w:t xml:space="preserve"> period of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days, then the </w:t>
      </w:r>
      <w:r>
        <w:rPr>
          <w:rFonts w:ascii="Arial" w:cs="Arial" w:eastAsia="Arial" w:hAnsi="Arial"/>
          <w:sz w:val="19"/>
          <w:szCs w:val="19"/>
          <w:color w:val="2F2F2F"/>
        </w:rPr>
        <w:t>parties shall</w:t>
      </w:r>
      <w:r>
        <w:rPr>
          <w:rFonts w:ascii="Arial" w:cs="Arial" w:eastAsia="Arial" w:hAnsi="Arial"/>
          <w:sz w:val="19"/>
          <w:szCs w:val="19"/>
          <w:color w:val="000000"/>
        </w:rPr>
        <w:t xml:space="preserve"> request tha</w:t>
      </w:r>
      <w:r>
        <w:rPr>
          <w:rFonts w:ascii="Arial" w:cs="Arial" w:eastAsia="Arial" w:hAnsi="Arial"/>
          <w:sz w:val="19"/>
          <w:szCs w:val="19"/>
          <w:color w:val="3F3F3F"/>
        </w:rPr>
        <w:t>t</w:t>
      </w:r>
      <w:r>
        <w:rPr>
          <w:rFonts w:ascii="Arial" w:cs="Arial" w:eastAsia="Arial" w:hAnsi="Arial"/>
          <w:sz w:val="19"/>
          <w:szCs w:val="19"/>
          <w:color w:val="BFBFBF"/>
        </w:rPr>
        <w:t>.</w:t>
      </w:r>
      <w:r>
        <w:rPr>
          <w:rFonts w:ascii="Arial" w:cs="Arial" w:eastAsia="Arial" w:hAnsi="Arial"/>
          <w:sz w:val="19"/>
          <w:szCs w:val="19"/>
          <w:color w:val="000000"/>
        </w:rPr>
        <w:t xml:space="preserve"> the American Arbitration </w:t>
      </w:r>
      <w:r>
        <w:rPr>
          <w:rFonts w:ascii="Arial" w:cs="Arial" w:eastAsia="Arial" w:hAnsi="Arial"/>
          <w:sz w:val="19"/>
          <w:szCs w:val="19"/>
          <w:color w:val="2F2F2F"/>
        </w:rPr>
        <w:t>Association select</w:t>
      </w:r>
      <w:r>
        <w:rPr>
          <w:rFonts w:ascii="Arial" w:cs="Arial" w:eastAsia="Arial" w:hAnsi="Arial"/>
          <w:sz w:val="19"/>
          <w:szCs w:val="19"/>
          <w:color w:val="000000"/>
        </w:rPr>
        <w:t xml:space="preserve"> the </w:t>
      </w:r>
      <w:r>
        <w:rPr>
          <w:rFonts w:ascii="Arial" w:cs="Arial" w:eastAsia="Arial" w:hAnsi="Arial"/>
          <w:sz w:val="19"/>
          <w:szCs w:val="19"/>
          <w:color w:val="2F2F2F"/>
        </w:rPr>
        <w:t>Appraiser.</w:t>
      </w:r>
    </w:p>
    <w:p>
      <w:pPr>
        <w:spacing w:after="0" w:line="387" w:lineRule="exact"/>
        <w:rPr>
          <w:sz w:val="20"/>
          <w:szCs w:val="20"/>
          <w:color w:val="auto"/>
        </w:rPr>
      </w:pPr>
    </w:p>
    <w:p>
      <w:pPr>
        <w:jc w:val="both"/>
        <w:ind w:left="180" w:hanging="647"/>
        <w:spacing w:after="0" w:line="247" w:lineRule="auto"/>
        <w:tabs>
          <w:tab w:leader="none" w:pos="160" w:val="left"/>
        </w:tabs>
        <w:rPr>
          <w:sz w:val="20"/>
          <w:szCs w:val="20"/>
          <w:color w:val="auto"/>
        </w:rPr>
      </w:pPr>
      <w:r>
        <w:rPr>
          <w:rFonts w:ascii="Arial" w:cs="Arial" w:eastAsia="Arial" w:hAnsi="Arial"/>
          <w:sz w:val="22"/>
          <w:szCs w:val="22"/>
          <w:color w:val="auto"/>
        </w:rPr>
        <w:t>42.8</w:t>
      </w:r>
      <w:r>
        <w:rPr>
          <w:sz w:val="20"/>
          <w:szCs w:val="20"/>
          <w:color w:val="auto"/>
        </w:rPr>
        <w:tab/>
      </w:r>
      <w:r>
        <w:rPr>
          <w:rFonts w:ascii="Arial" w:cs="Arial" w:eastAsia="Arial" w:hAnsi="Arial"/>
          <w:sz w:val="19"/>
          <w:szCs w:val="19"/>
          <w:color w:val="auto"/>
        </w:rPr>
        <w:t xml:space="preserve">The parties </w:t>
      </w:r>
      <w:r>
        <w:rPr>
          <w:rFonts w:ascii="Arial" w:cs="Arial" w:eastAsia="Arial" w:hAnsi="Arial"/>
          <w:sz w:val="19"/>
          <w:szCs w:val="19"/>
          <w:color w:val="212121"/>
        </w:rPr>
        <w:t>shall</w:t>
      </w:r>
      <w:r>
        <w:rPr>
          <w:rFonts w:ascii="Arial" w:cs="Arial" w:eastAsia="Arial" w:hAnsi="Arial"/>
          <w:sz w:val="19"/>
          <w:szCs w:val="19"/>
          <w:color w:val="auto"/>
        </w:rPr>
        <w:t xml:space="preserve"> instruct the </w:t>
      </w:r>
      <w:r>
        <w:rPr>
          <w:rFonts w:ascii="Arial" w:cs="Arial" w:eastAsia="Arial" w:hAnsi="Arial"/>
          <w:sz w:val="19"/>
          <w:szCs w:val="19"/>
          <w:color w:val="212121"/>
        </w:rPr>
        <w:t>Appraiser</w:t>
      </w:r>
      <w:r>
        <w:rPr>
          <w:rFonts w:ascii="Arial" w:cs="Arial" w:eastAsia="Arial" w:hAnsi="Arial"/>
          <w:sz w:val="19"/>
          <w:szCs w:val="19"/>
          <w:color w:val="auto"/>
        </w:rPr>
        <w:t xml:space="preserve"> </w:t>
      </w:r>
      <w:r>
        <w:rPr>
          <w:rFonts w:ascii="Arial" w:cs="Arial" w:eastAsia="Arial" w:hAnsi="Arial"/>
          <w:sz w:val="19"/>
          <w:szCs w:val="19"/>
          <w:color w:val="313131"/>
        </w:rPr>
        <w:t>to</w:t>
      </w:r>
      <w:r>
        <w:rPr>
          <w:rFonts w:ascii="Arial" w:cs="Arial" w:eastAsia="Arial" w:hAnsi="Arial"/>
          <w:sz w:val="19"/>
          <w:szCs w:val="19"/>
          <w:color w:val="auto"/>
        </w:rPr>
        <w:t xml:space="preserve"> (a) conduct the </w:t>
      </w:r>
      <w:r>
        <w:rPr>
          <w:rFonts w:ascii="Arial" w:cs="Arial" w:eastAsia="Arial" w:hAnsi="Arial"/>
          <w:sz w:val="19"/>
          <w:szCs w:val="19"/>
          <w:color w:val="212121"/>
        </w:rPr>
        <w:t>hearings and</w:t>
      </w:r>
      <w:r>
        <w:rPr>
          <w:rFonts w:ascii="Arial" w:cs="Arial" w:eastAsia="Arial" w:hAnsi="Arial"/>
          <w:sz w:val="19"/>
          <w:szCs w:val="19"/>
          <w:color w:val="auto"/>
        </w:rPr>
        <w:t xml:space="preserve"> investigations </w:t>
      </w:r>
      <w:r>
        <w:rPr>
          <w:rFonts w:ascii="Arial" w:cs="Arial" w:eastAsia="Arial" w:hAnsi="Arial"/>
          <w:sz w:val="19"/>
          <w:szCs w:val="19"/>
          <w:color w:val="313131"/>
        </w:rPr>
        <w:t>that</w:t>
      </w:r>
      <w:r>
        <w:rPr>
          <w:rFonts w:ascii="Arial" w:cs="Arial" w:eastAsia="Arial" w:hAnsi="Arial"/>
          <w:sz w:val="19"/>
          <w:szCs w:val="19"/>
          <w:color w:val="auto"/>
        </w:rPr>
        <w:t xml:space="preserve"> he or </w:t>
      </w:r>
      <w:r>
        <w:rPr>
          <w:rFonts w:ascii="Arial" w:cs="Arial" w:eastAsia="Arial" w:hAnsi="Arial"/>
          <w:sz w:val="19"/>
          <w:szCs w:val="19"/>
          <w:color w:val="313131"/>
        </w:rPr>
        <w:t>she</w:t>
      </w:r>
      <w:r>
        <w:rPr>
          <w:rFonts w:ascii="Arial" w:cs="Arial" w:eastAsia="Arial" w:hAnsi="Arial"/>
          <w:sz w:val="19"/>
          <w:szCs w:val="19"/>
          <w:color w:val="auto"/>
        </w:rPr>
        <w:t xml:space="preserve"> deems </w:t>
      </w:r>
      <w:r>
        <w:rPr>
          <w:rFonts w:ascii="Arial" w:cs="Arial" w:eastAsia="Arial" w:hAnsi="Arial"/>
          <w:sz w:val="19"/>
          <w:szCs w:val="19"/>
          <w:color w:val="212121"/>
        </w:rPr>
        <w:t xml:space="preserve">appropriate, </w:t>
      </w:r>
      <w:r>
        <w:rPr>
          <w:rFonts w:ascii="Arial" w:cs="Arial" w:eastAsia="Arial" w:hAnsi="Arial"/>
          <w:sz w:val="19"/>
          <w:szCs w:val="19"/>
          <w:color w:val="000000"/>
        </w:rPr>
        <w:t>and</w:t>
      </w:r>
      <w:r>
        <w:rPr>
          <w:rFonts w:ascii="Arial" w:cs="Arial" w:eastAsia="Arial" w:hAnsi="Arial"/>
          <w:sz w:val="19"/>
          <w:szCs w:val="19"/>
          <w:color w:val="212121"/>
        </w:rPr>
        <w:t xml:space="preserve"> </w:t>
      </w:r>
      <w:r>
        <w:rPr>
          <w:rFonts w:ascii="Arial" w:cs="Arial" w:eastAsia="Arial" w:hAnsi="Arial"/>
          <w:sz w:val="19"/>
          <w:szCs w:val="19"/>
          <w:color w:val="424242"/>
        </w:rPr>
        <w:t>(</w:t>
      </w:r>
      <w:r>
        <w:rPr>
          <w:rFonts w:ascii="Arial" w:cs="Arial" w:eastAsia="Arial" w:hAnsi="Arial"/>
          <w:sz w:val="19"/>
          <w:szCs w:val="19"/>
          <w:color w:val="000000"/>
        </w:rPr>
        <w:t>b)</w:t>
      </w:r>
      <w:r>
        <w:rPr>
          <w:rFonts w:ascii="Arial" w:cs="Arial" w:eastAsia="Arial" w:hAnsi="Arial"/>
          <w:sz w:val="19"/>
          <w:szCs w:val="19"/>
          <w:color w:val="212121"/>
        </w:rPr>
        <w:t xml:space="preserve"> choose either </w:t>
      </w:r>
      <w:r>
        <w:rPr>
          <w:rFonts w:ascii="Arial" w:cs="Arial" w:eastAsia="Arial" w:hAnsi="Arial"/>
          <w:sz w:val="19"/>
          <w:szCs w:val="19"/>
          <w:color w:val="000000"/>
        </w:rPr>
        <w:t>Landlord’s Determination or</w:t>
      </w:r>
      <w:r>
        <w:rPr>
          <w:rFonts w:ascii="Arial" w:cs="Arial" w:eastAsia="Arial" w:hAnsi="Arial"/>
          <w:sz w:val="19"/>
          <w:szCs w:val="19"/>
          <w:color w:val="212121"/>
        </w:rPr>
        <w:t xml:space="preserve"> Tenant’s </w:t>
      </w:r>
      <w:r>
        <w:rPr>
          <w:rFonts w:ascii="Arial" w:cs="Arial" w:eastAsia="Arial" w:hAnsi="Arial"/>
          <w:sz w:val="19"/>
          <w:szCs w:val="19"/>
          <w:color w:val="000000"/>
        </w:rPr>
        <w:t>Determination</w:t>
      </w:r>
      <w:r>
        <w:rPr>
          <w:rFonts w:ascii="Arial" w:cs="Arial" w:eastAsia="Arial" w:hAnsi="Arial"/>
          <w:sz w:val="19"/>
          <w:szCs w:val="19"/>
          <w:color w:val="212121"/>
        </w:rPr>
        <w:t xml:space="preserve"> as </w:t>
      </w:r>
      <w:r>
        <w:rPr>
          <w:rFonts w:ascii="Arial" w:cs="Arial" w:eastAsia="Arial" w:hAnsi="Arial"/>
          <w:sz w:val="19"/>
          <w:szCs w:val="19"/>
          <w:color w:val="313131"/>
        </w:rPr>
        <w:t>the</w:t>
      </w:r>
      <w:r>
        <w:rPr>
          <w:rFonts w:ascii="Arial" w:cs="Arial" w:eastAsia="Arial" w:hAnsi="Arial"/>
          <w:sz w:val="19"/>
          <w:szCs w:val="19"/>
          <w:color w:val="212121"/>
        </w:rPr>
        <w:t xml:space="preserve"> </w:t>
      </w:r>
      <w:r>
        <w:rPr>
          <w:rFonts w:ascii="Arial" w:cs="Arial" w:eastAsia="Arial" w:hAnsi="Arial"/>
          <w:sz w:val="19"/>
          <w:szCs w:val="19"/>
          <w:color w:val="000000"/>
        </w:rPr>
        <w:t>better</w:t>
      </w:r>
      <w:r>
        <w:rPr>
          <w:rFonts w:ascii="Arial" w:cs="Arial" w:eastAsia="Arial" w:hAnsi="Arial"/>
          <w:sz w:val="19"/>
          <w:szCs w:val="19"/>
          <w:color w:val="212121"/>
        </w:rPr>
        <w:t xml:space="preserve"> estimate of</w:t>
      </w:r>
    </w:p>
    <w:p>
      <w:pPr>
        <w:ind w:left="180" w:right="20"/>
        <w:spacing w:after="0" w:line="224" w:lineRule="auto"/>
        <w:rPr>
          <w:sz w:val="20"/>
          <w:szCs w:val="20"/>
          <w:color w:val="auto"/>
        </w:rPr>
      </w:pPr>
      <w:r>
        <w:rPr>
          <w:rFonts w:ascii="Arial" w:cs="Arial" w:eastAsia="Arial" w:hAnsi="Arial"/>
          <w:sz w:val="22"/>
          <w:szCs w:val="22"/>
          <w:color w:val="424242"/>
        </w:rPr>
        <w:t xml:space="preserve">Fair </w:t>
      </w:r>
      <w:r>
        <w:rPr>
          <w:rFonts w:ascii="Arial" w:cs="Arial" w:eastAsia="Arial" w:hAnsi="Arial"/>
          <w:sz w:val="22"/>
          <w:szCs w:val="22"/>
          <w:color w:val="212121"/>
        </w:rPr>
        <w:t>Market</w:t>
      </w:r>
      <w:r>
        <w:rPr>
          <w:rFonts w:ascii="Arial" w:cs="Arial" w:eastAsia="Arial" w:hAnsi="Arial"/>
          <w:sz w:val="22"/>
          <w:szCs w:val="22"/>
          <w:color w:val="424242"/>
        </w:rPr>
        <w:t xml:space="preserve"> </w:t>
      </w:r>
      <w:r>
        <w:rPr>
          <w:rFonts w:ascii="Arial" w:cs="Arial" w:eastAsia="Arial" w:hAnsi="Arial"/>
          <w:sz w:val="22"/>
          <w:szCs w:val="22"/>
          <w:color w:val="000000"/>
        </w:rPr>
        <w:t>Rent for</w:t>
      </w:r>
      <w:r>
        <w:rPr>
          <w:rFonts w:ascii="Arial" w:cs="Arial" w:eastAsia="Arial" w:hAnsi="Arial"/>
          <w:sz w:val="22"/>
          <w:szCs w:val="22"/>
          <w:color w:val="424242"/>
        </w:rPr>
        <w:t xml:space="preserve"> </w:t>
      </w:r>
      <w:r>
        <w:rPr>
          <w:rFonts w:ascii="Arial" w:cs="Arial" w:eastAsia="Arial" w:hAnsi="Arial"/>
          <w:sz w:val="22"/>
          <w:szCs w:val="22"/>
          <w:color w:val="212121"/>
        </w:rPr>
        <w:t>the</w:t>
      </w:r>
      <w:r>
        <w:rPr>
          <w:rFonts w:ascii="Arial" w:cs="Arial" w:eastAsia="Arial" w:hAnsi="Arial"/>
          <w:sz w:val="22"/>
          <w:szCs w:val="22"/>
          <w:color w:val="424242"/>
        </w:rPr>
        <w:t xml:space="preserve"> </w:t>
      </w:r>
      <w:r>
        <w:rPr>
          <w:rFonts w:ascii="Arial" w:cs="Arial" w:eastAsia="Arial" w:hAnsi="Arial"/>
          <w:sz w:val="22"/>
          <w:szCs w:val="22"/>
          <w:color w:val="000000"/>
        </w:rPr>
        <w:t>Premises,</w:t>
      </w:r>
      <w:r>
        <w:rPr>
          <w:rFonts w:ascii="Arial" w:cs="Arial" w:eastAsia="Arial" w:hAnsi="Arial"/>
          <w:sz w:val="22"/>
          <w:szCs w:val="22"/>
          <w:color w:val="424242"/>
        </w:rPr>
        <w:t xml:space="preserve"> </w:t>
      </w:r>
      <w:r>
        <w:rPr>
          <w:rFonts w:ascii="Arial" w:cs="Arial" w:eastAsia="Arial" w:hAnsi="Arial"/>
          <w:sz w:val="22"/>
          <w:szCs w:val="22"/>
          <w:color w:val="212121"/>
        </w:rPr>
        <w:t xml:space="preserve">within </w:t>
      </w:r>
      <w:r>
        <w:rPr>
          <w:sz w:val="1"/>
          <w:szCs w:val="1"/>
          <w:color w:val="auto"/>
        </w:rPr>
        <w:drawing>
          <wp:inline distT="0" distB="0" distL="0" distR="0">
            <wp:extent cx="231775" cy="12382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231775" cy="123825"/>
                    </a:xfrm>
                    <a:prstGeom prst="rect">
                      <a:avLst/>
                    </a:prstGeom>
                    <a:noFill/>
                    <a:ln>
                      <a:noFill/>
                    </a:ln>
                  </pic:spPr>
                </pic:pic>
              </a:graphicData>
            </a:graphic>
          </wp:inline>
        </w:drawing>
      </w:r>
      <w:r>
        <w:rPr>
          <w:rFonts w:ascii="Arial" w:cs="Arial" w:eastAsia="Arial" w:hAnsi="Arial"/>
          <w:sz w:val="22"/>
          <w:szCs w:val="22"/>
          <w:color w:val="auto"/>
        </w:rPr>
        <w:t xml:space="preserve">[***] </w:t>
      </w:r>
      <w:r>
        <w:rPr>
          <w:rFonts w:ascii="Arial" w:cs="Arial" w:eastAsia="Arial" w:hAnsi="Arial"/>
          <w:sz w:val="22"/>
          <w:szCs w:val="22"/>
          <w:color w:val="212121"/>
        </w:rPr>
        <w:t>days</w:t>
      </w:r>
      <w:r>
        <w:rPr>
          <w:rFonts w:ascii="Arial" w:cs="Arial" w:eastAsia="Arial" w:hAnsi="Arial"/>
          <w:sz w:val="22"/>
          <w:szCs w:val="22"/>
          <w:color w:val="auto"/>
        </w:rPr>
        <w:t xml:space="preserve"> </w:t>
      </w:r>
      <w:r>
        <w:rPr>
          <w:rFonts w:ascii="Arial" w:cs="Arial" w:eastAsia="Arial" w:hAnsi="Arial"/>
          <w:sz w:val="22"/>
          <w:szCs w:val="22"/>
          <w:color w:val="313131"/>
        </w:rPr>
        <w:t>after</w:t>
      </w:r>
      <w:r>
        <w:rPr>
          <w:rFonts w:ascii="Arial" w:cs="Arial" w:eastAsia="Arial" w:hAnsi="Arial"/>
          <w:sz w:val="22"/>
          <w:szCs w:val="22"/>
          <w:color w:val="auto"/>
        </w:rPr>
        <w:t xml:space="preserve"> </w:t>
      </w:r>
      <w:r>
        <w:rPr>
          <w:rFonts w:ascii="Arial" w:cs="Arial" w:eastAsia="Arial" w:hAnsi="Arial"/>
          <w:sz w:val="22"/>
          <w:szCs w:val="22"/>
          <w:color w:val="212121"/>
        </w:rPr>
        <w:t>the</w:t>
      </w:r>
      <w:r>
        <w:rPr>
          <w:rFonts w:ascii="Arial" w:cs="Arial" w:eastAsia="Arial" w:hAnsi="Arial"/>
          <w:sz w:val="22"/>
          <w:szCs w:val="22"/>
          <w:color w:val="auto"/>
        </w:rPr>
        <w:t xml:space="preserve"> date that the </w:t>
      </w:r>
      <w:r>
        <w:rPr>
          <w:rFonts w:ascii="Arial" w:cs="Arial" w:eastAsia="Arial" w:hAnsi="Arial"/>
          <w:sz w:val="22"/>
          <w:szCs w:val="22"/>
          <w:color w:val="313131"/>
        </w:rPr>
        <w:t>Appraiser is</w:t>
      </w:r>
      <w:r>
        <w:rPr>
          <w:rFonts w:ascii="Arial" w:cs="Arial" w:eastAsia="Arial" w:hAnsi="Arial"/>
          <w:sz w:val="22"/>
          <w:szCs w:val="22"/>
          <w:color w:val="auto"/>
        </w:rPr>
        <w:t xml:space="preserve"> de</w:t>
      </w:r>
      <w:r>
        <w:rPr>
          <w:rFonts w:ascii="Arial" w:cs="Arial" w:eastAsia="Arial" w:hAnsi="Arial"/>
          <w:sz w:val="22"/>
          <w:szCs w:val="22"/>
          <w:color w:val="313131"/>
        </w:rPr>
        <w:t>signat</w:t>
      </w:r>
      <w:r>
        <w:rPr>
          <w:rFonts w:ascii="Arial" w:cs="Arial" w:eastAsia="Arial" w:hAnsi="Arial"/>
          <w:sz w:val="22"/>
          <w:szCs w:val="22"/>
          <w:color w:val="auto"/>
        </w:rPr>
        <w:t>ed</w:t>
      </w:r>
      <w:r>
        <w:rPr>
          <w:rFonts w:ascii="Arial" w:cs="Arial" w:eastAsia="Arial" w:hAnsi="Arial"/>
          <w:sz w:val="22"/>
          <w:szCs w:val="22"/>
          <w:color w:val="424242"/>
        </w:rPr>
        <w:t>.</w:t>
      </w:r>
      <w:r>
        <w:rPr>
          <w:rFonts w:ascii="Arial" w:cs="Arial" w:eastAsia="Arial" w:hAnsi="Arial"/>
          <w:sz w:val="22"/>
          <w:szCs w:val="22"/>
          <w:color w:val="auto"/>
        </w:rPr>
        <w:t xml:space="preserve"> </w:t>
      </w:r>
      <w:r>
        <w:rPr>
          <w:rFonts w:ascii="Arial" w:cs="Arial" w:eastAsia="Arial" w:hAnsi="Arial"/>
          <w:sz w:val="22"/>
          <w:szCs w:val="22"/>
          <w:color w:val="212121"/>
        </w:rPr>
        <w:t>The</w:t>
      </w:r>
      <w:r>
        <w:rPr>
          <w:rFonts w:ascii="Arial" w:cs="Arial" w:eastAsia="Arial" w:hAnsi="Arial"/>
          <w:sz w:val="22"/>
          <w:szCs w:val="22"/>
          <w:color w:val="auto"/>
        </w:rPr>
        <w:t xml:space="preserve"> </w:t>
      </w:r>
      <w:r>
        <w:rPr>
          <w:rFonts w:ascii="Arial" w:cs="Arial" w:eastAsia="Arial" w:hAnsi="Arial"/>
          <w:sz w:val="22"/>
          <w:szCs w:val="22"/>
          <w:color w:val="313131"/>
        </w:rPr>
        <w:t xml:space="preserve">Appraiser’s </w:t>
      </w:r>
      <w:r>
        <w:rPr>
          <w:rFonts w:ascii="Arial" w:cs="Arial" w:eastAsia="Arial" w:hAnsi="Arial"/>
          <w:sz w:val="22"/>
          <w:szCs w:val="22"/>
          <w:color w:val="212121"/>
        </w:rPr>
        <w:t>aforesaid choice</w:t>
      </w:r>
      <w:r>
        <w:rPr>
          <w:rFonts w:ascii="Arial" w:cs="Arial" w:eastAsia="Arial" w:hAnsi="Arial"/>
          <w:sz w:val="22"/>
          <w:szCs w:val="22"/>
          <w:color w:val="313131"/>
        </w:rPr>
        <w:t xml:space="preserve"> shall </w:t>
      </w:r>
      <w:r>
        <w:rPr>
          <w:rFonts w:ascii="Arial" w:cs="Arial" w:eastAsia="Arial" w:hAnsi="Arial"/>
          <w:sz w:val="22"/>
          <w:szCs w:val="22"/>
          <w:color w:val="000000"/>
        </w:rPr>
        <w:t>be conclusive</w:t>
      </w:r>
      <w:r>
        <w:rPr>
          <w:rFonts w:ascii="Arial" w:cs="Arial" w:eastAsia="Arial" w:hAnsi="Arial"/>
          <w:sz w:val="22"/>
          <w:szCs w:val="22"/>
          <w:color w:val="313131"/>
        </w:rPr>
        <w:t xml:space="preserve"> </w:t>
      </w:r>
      <w:r>
        <w:rPr>
          <w:rFonts w:ascii="Arial" w:cs="Arial" w:eastAsia="Arial" w:hAnsi="Arial"/>
          <w:sz w:val="22"/>
          <w:szCs w:val="22"/>
          <w:color w:val="212121"/>
        </w:rPr>
        <w:t>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-168275</wp:posOffset>
            </wp:positionV>
            <wp:extent cx="528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528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120"/>
          </w:cols>
          <w:pgMar w:left="1440" w:top="1401" w:right="339" w:bottom="1440" w:gutter="0" w:footer="0" w:header="0"/>
        </w:sectPr>
      </w:pPr>
    </w:p>
    <w:bookmarkStart w:id="370" w:name="page371"/>
    <w:bookmarkEnd w:id="370"/>
    <w:p>
      <w:pPr>
        <w:jc w:val="both"/>
        <w:ind w:left="1300"/>
        <w:spacing w:after="0" w:line="223" w:lineRule="auto"/>
        <w:rPr>
          <w:sz w:val="20"/>
          <w:szCs w:val="20"/>
          <w:color w:val="auto"/>
        </w:rPr>
      </w:pPr>
      <w:r>
        <w:rPr>
          <w:rFonts w:ascii="Arial" w:cs="Arial" w:eastAsia="Arial" w:hAnsi="Arial"/>
          <w:sz w:val="22"/>
          <w:szCs w:val="22"/>
          <w:color w:val="auto"/>
        </w:rPr>
        <w:t xml:space="preserve">upon Landlord </w:t>
      </w:r>
      <w:r>
        <w:rPr>
          <w:rFonts w:ascii="Arial" w:cs="Arial" w:eastAsia="Arial" w:hAnsi="Arial"/>
          <w:sz w:val="22"/>
          <w:szCs w:val="22"/>
          <w:color w:val="212121"/>
        </w:rPr>
        <w:t>and</w:t>
      </w:r>
      <w:r>
        <w:rPr>
          <w:rFonts w:ascii="Arial" w:cs="Arial" w:eastAsia="Arial" w:hAnsi="Arial"/>
          <w:sz w:val="22"/>
          <w:szCs w:val="22"/>
          <w:color w:val="auto"/>
        </w:rPr>
        <w:t xml:space="preserve"> Tenant. </w:t>
      </w:r>
      <w:r>
        <w:rPr>
          <w:rFonts w:ascii="Arial" w:cs="Arial" w:eastAsia="Arial" w:hAnsi="Arial"/>
          <w:sz w:val="22"/>
          <w:szCs w:val="22"/>
          <w:color w:val="313131"/>
        </w:rPr>
        <w:t>Each</w:t>
      </w:r>
      <w:r>
        <w:rPr>
          <w:rFonts w:ascii="Arial" w:cs="Arial" w:eastAsia="Arial" w:hAnsi="Arial"/>
          <w:sz w:val="22"/>
          <w:szCs w:val="22"/>
          <w:color w:val="auto"/>
        </w:rPr>
        <w:t xml:space="preserve"> party </w:t>
      </w:r>
      <w:r>
        <w:rPr>
          <w:rFonts w:ascii="Arial" w:cs="Arial" w:eastAsia="Arial" w:hAnsi="Arial"/>
          <w:sz w:val="22"/>
          <w:szCs w:val="22"/>
          <w:color w:val="313131"/>
        </w:rPr>
        <w:t>shall</w:t>
      </w:r>
      <w:r>
        <w:rPr>
          <w:rFonts w:ascii="Arial" w:cs="Arial" w:eastAsia="Arial" w:hAnsi="Arial"/>
          <w:sz w:val="22"/>
          <w:szCs w:val="22"/>
          <w:color w:val="auto"/>
        </w:rPr>
        <w:t xml:space="preserve"> pay </w:t>
      </w:r>
      <w:r>
        <w:rPr>
          <w:rFonts w:ascii="Arial" w:cs="Arial" w:eastAsia="Arial" w:hAnsi="Arial"/>
          <w:sz w:val="22"/>
          <w:szCs w:val="22"/>
          <w:color w:val="212121"/>
        </w:rPr>
        <w:t>its</w:t>
      </w:r>
      <w:r>
        <w:rPr>
          <w:rFonts w:ascii="Arial" w:cs="Arial" w:eastAsia="Arial" w:hAnsi="Arial"/>
          <w:sz w:val="22"/>
          <w:szCs w:val="22"/>
          <w:color w:val="auto"/>
        </w:rPr>
        <w:t xml:space="preserve"> own </w:t>
      </w:r>
      <w:r>
        <w:rPr>
          <w:rFonts w:ascii="Arial" w:cs="Arial" w:eastAsia="Arial" w:hAnsi="Arial"/>
          <w:sz w:val="22"/>
          <w:szCs w:val="22"/>
          <w:color w:val="212121"/>
        </w:rPr>
        <w:t>counsel</w:t>
      </w:r>
      <w:r>
        <w:rPr>
          <w:rFonts w:ascii="Arial" w:cs="Arial" w:eastAsia="Arial" w:hAnsi="Arial"/>
          <w:sz w:val="22"/>
          <w:szCs w:val="22"/>
          <w:color w:val="auto"/>
        </w:rPr>
        <w:t xml:space="preserve"> fees </w:t>
      </w:r>
      <w:r>
        <w:rPr>
          <w:rFonts w:ascii="Arial" w:cs="Arial" w:eastAsia="Arial" w:hAnsi="Arial"/>
          <w:sz w:val="22"/>
          <w:szCs w:val="22"/>
          <w:color w:val="212121"/>
        </w:rPr>
        <w:t>and</w:t>
      </w:r>
      <w:r>
        <w:rPr>
          <w:rFonts w:ascii="Arial" w:cs="Arial" w:eastAsia="Arial" w:hAnsi="Arial"/>
          <w:sz w:val="22"/>
          <w:szCs w:val="22"/>
          <w:color w:val="auto"/>
        </w:rPr>
        <w:t xml:space="preserve"> expenses, if </w:t>
      </w:r>
      <w:r>
        <w:rPr>
          <w:rFonts w:ascii="Arial" w:cs="Arial" w:eastAsia="Arial" w:hAnsi="Arial"/>
          <w:sz w:val="22"/>
          <w:szCs w:val="22"/>
          <w:color w:val="212121"/>
        </w:rPr>
        <w:t>any, in</w:t>
      </w:r>
      <w:r>
        <w:rPr>
          <w:rFonts w:ascii="Arial" w:cs="Arial" w:eastAsia="Arial" w:hAnsi="Arial"/>
          <w:sz w:val="22"/>
          <w:szCs w:val="22"/>
          <w:color w:val="auto"/>
        </w:rPr>
        <w:t xml:space="preserve"> connect</w:t>
      </w:r>
      <w:r>
        <w:rPr>
          <w:rFonts w:ascii="Arial" w:cs="Arial" w:eastAsia="Arial" w:hAnsi="Arial"/>
          <w:sz w:val="22"/>
          <w:szCs w:val="22"/>
          <w:color w:val="424242"/>
        </w:rPr>
        <w:t>i</w:t>
      </w:r>
      <w:r>
        <w:rPr>
          <w:rFonts w:ascii="Arial" w:cs="Arial" w:eastAsia="Arial" w:hAnsi="Arial"/>
          <w:sz w:val="22"/>
          <w:szCs w:val="22"/>
          <w:color w:val="auto"/>
        </w:rPr>
        <w:t xml:space="preserve">on </w:t>
      </w:r>
      <w:r>
        <w:rPr>
          <w:rFonts w:ascii="Arial" w:cs="Arial" w:eastAsia="Arial" w:hAnsi="Arial"/>
          <w:sz w:val="22"/>
          <w:szCs w:val="22"/>
          <w:color w:val="212121"/>
        </w:rPr>
        <w:t>with</w:t>
      </w:r>
      <w:r>
        <w:rPr>
          <w:rFonts w:ascii="Arial" w:cs="Arial" w:eastAsia="Arial" w:hAnsi="Arial"/>
          <w:sz w:val="22"/>
          <w:szCs w:val="22"/>
          <w:color w:val="auto"/>
        </w:rPr>
        <w:t xml:space="preserve"> the procedure </w:t>
      </w:r>
      <w:r>
        <w:rPr>
          <w:rFonts w:ascii="Arial" w:cs="Arial" w:eastAsia="Arial" w:hAnsi="Arial"/>
          <w:sz w:val="22"/>
          <w:szCs w:val="22"/>
          <w:color w:val="212121"/>
        </w:rPr>
        <w:t>described</w:t>
      </w:r>
      <w:r>
        <w:rPr>
          <w:rFonts w:ascii="Arial" w:cs="Arial" w:eastAsia="Arial" w:hAnsi="Arial"/>
          <w:sz w:val="22"/>
          <w:szCs w:val="22"/>
          <w:color w:val="auto"/>
        </w:rPr>
        <w:t xml:space="preserve"> </w:t>
      </w:r>
      <w:r>
        <w:rPr>
          <w:rFonts w:ascii="Arial" w:cs="Arial" w:eastAsia="Arial" w:hAnsi="Arial"/>
          <w:sz w:val="22"/>
          <w:szCs w:val="22"/>
          <w:color w:val="313131"/>
        </w:rPr>
        <w:t>in</w:t>
      </w:r>
      <w:r>
        <w:rPr>
          <w:rFonts w:ascii="Arial" w:cs="Arial" w:eastAsia="Arial" w:hAnsi="Arial"/>
          <w:sz w:val="22"/>
          <w:szCs w:val="22"/>
          <w:color w:val="auto"/>
        </w:rPr>
        <w:t xml:space="preserve"> </w:t>
      </w:r>
      <w:r>
        <w:rPr>
          <w:rFonts w:ascii="Arial" w:cs="Arial" w:eastAsia="Arial" w:hAnsi="Arial"/>
          <w:sz w:val="22"/>
          <w:szCs w:val="22"/>
          <w:color w:val="212121"/>
        </w:rPr>
        <w:t>this</w:t>
      </w:r>
      <w:r>
        <w:rPr>
          <w:rFonts w:ascii="Arial" w:cs="Arial" w:eastAsia="Arial" w:hAnsi="Arial"/>
          <w:sz w:val="22"/>
          <w:szCs w:val="22"/>
          <w:color w:val="auto"/>
        </w:rPr>
        <w:t xml:space="preserve"> </w:t>
      </w:r>
      <w:r>
        <w:rPr>
          <w:rFonts w:ascii="Arial" w:cs="Arial" w:eastAsia="Arial" w:hAnsi="Arial"/>
          <w:sz w:val="22"/>
          <w:szCs w:val="22"/>
          <w:u w:val="single" w:color="auto"/>
          <w:color w:val="313131"/>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212121"/>
        </w:rPr>
        <w:t>42.8</w:t>
      </w:r>
      <w:r>
        <w:rPr>
          <w:rFonts w:ascii="Arial" w:cs="Arial" w:eastAsia="Arial" w:hAnsi="Arial"/>
          <w:sz w:val="22"/>
          <w:szCs w:val="22"/>
          <w:color w:val="212121"/>
        </w:rPr>
        <w:t>.</w:t>
      </w:r>
      <w:r>
        <w:rPr>
          <w:rFonts w:ascii="Arial" w:cs="Arial" w:eastAsia="Arial" w:hAnsi="Arial"/>
          <w:sz w:val="22"/>
          <w:szCs w:val="22"/>
          <w:color w:val="auto"/>
        </w:rPr>
        <w:t xml:space="preserve"> The Appraiser </w:t>
      </w:r>
      <w:r>
        <w:rPr>
          <w:rFonts w:ascii="Arial" w:cs="Arial" w:eastAsia="Arial" w:hAnsi="Arial"/>
          <w:sz w:val="22"/>
          <w:szCs w:val="22"/>
          <w:color w:val="313131"/>
        </w:rPr>
        <w:t>shall</w:t>
      </w:r>
      <w:r>
        <w:rPr>
          <w:rFonts w:ascii="Arial" w:cs="Arial" w:eastAsia="Arial" w:hAnsi="Arial"/>
          <w:sz w:val="22"/>
          <w:szCs w:val="22"/>
          <w:color w:val="auto"/>
        </w:rPr>
        <w:t xml:space="preserve"> not have the power to </w:t>
      </w:r>
      <w:r>
        <w:rPr>
          <w:rFonts w:ascii="Arial" w:cs="Arial" w:eastAsia="Arial" w:hAnsi="Arial"/>
          <w:sz w:val="22"/>
          <w:szCs w:val="22"/>
          <w:color w:val="313131"/>
        </w:rPr>
        <w:t>supplement</w:t>
      </w:r>
      <w:r>
        <w:rPr>
          <w:rFonts w:ascii="Arial" w:cs="Arial" w:eastAsia="Arial" w:hAnsi="Arial"/>
          <w:sz w:val="22"/>
          <w:szCs w:val="22"/>
          <w:color w:val="auto"/>
        </w:rPr>
        <w:t xml:space="preserve"> </w:t>
      </w:r>
      <w:r>
        <w:rPr>
          <w:rFonts w:ascii="Arial" w:cs="Arial" w:eastAsia="Arial" w:hAnsi="Arial"/>
          <w:sz w:val="22"/>
          <w:szCs w:val="22"/>
          <w:color w:val="212121"/>
        </w:rPr>
        <w:t>or</w:t>
      </w:r>
      <w:r>
        <w:rPr>
          <w:rFonts w:ascii="Arial" w:cs="Arial" w:eastAsia="Arial" w:hAnsi="Arial"/>
          <w:sz w:val="22"/>
          <w:szCs w:val="22"/>
          <w:color w:val="auto"/>
        </w:rPr>
        <w:t xml:space="preserve"> modify any </w:t>
      </w:r>
      <w:r>
        <w:rPr>
          <w:rFonts w:ascii="Arial" w:cs="Arial" w:eastAsia="Arial" w:hAnsi="Arial"/>
          <w:sz w:val="22"/>
          <w:szCs w:val="22"/>
          <w:color w:val="212121"/>
        </w:rPr>
        <w:t>of</w:t>
      </w:r>
      <w:r>
        <w:rPr>
          <w:rFonts w:ascii="Arial" w:cs="Arial" w:eastAsia="Arial" w:hAnsi="Arial"/>
          <w:sz w:val="22"/>
          <w:szCs w:val="22"/>
          <w:color w:val="auto"/>
        </w:rPr>
        <w:t xml:space="preserve"> the provisions of thi</w:t>
      </w:r>
      <w:r>
        <w:rPr>
          <w:rFonts w:ascii="Arial" w:cs="Arial" w:eastAsia="Arial" w:hAnsi="Arial"/>
          <w:sz w:val="22"/>
          <w:szCs w:val="22"/>
          <w:color w:val="424242"/>
        </w:rPr>
        <w:t>s</w:t>
      </w:r>
      <w:r>
        <w:rPr>
          <w:rFonts w:ascii="Arial" w:cs="Arial" w:eastAsia="Arial" w:hAnsi="Arial"/>
          <w:sz w:val="22"/>
          <w:szCs w:val="22"/>
          <w:color w:val="auto"/>
        </w:rPr>
        <w:t xml:space="preserve"> </w:t>
      </w:r>
      <w:r>
        <w:rPr>
          <w:rFonts w:ascii="Arial" w:cs="Arial" w:eastAsia="Arial" w:hAnsi="Arial"/>
          <w:sz w:val="22"/>
          <w:szCs w:val="22"/>
          <w:color w:val="212121"/>
        </w:rPr>
        <w:t>Lease</w:t>
      </w:r>
      <w:r>
        <w:rPr>
          <w:rFonts w:ascii="Arial" w:cs="Arial" w:eastAsia="Arial" w:hAnsi="Arial"/>
          <w:sz w:val="22"/>
          <w:szCs w:val="22"/>
          <w:color w:val="575757"/>
        </w:rPr>
        <w:t>:</w:t>
      </w:r>
    </w:p>
    <w:p>
      <w:pPr>
        <w:spacing w:after="0" w:line="159"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22"/>
          <w:szCs w:val="22"/>
          <w:color w:val="auto"/>
        </w:rPr>
        <w:t>42.9</w:t>
      </w:r>
      <w:r>
        <w:rPr>
          <w:sz w:val="20"/>
          <w:szCs w:val="20"/>
          <w:color w:val="auto"/>
        </w:rPr>
        <w:tab/>
      </w:r>
      <w:r>
        <w:rPr>
          <w:rFonts w:ascii="Arial" w:cs="Arial" w:eastAsia="Arial" w:hAnsi="Arial"/>
          <w:sz w:val="19"/>
          <w:szCs w:val="19"/>
          <w:color w:val="313131"/>
        </w:rPr>
        <w:t xml:space="preserve">For </w:t>
      </w:r>
      <w:r>
        <w:rPr>
          <w:rFonts w:ascii="Arial" w:cs="Arial" w:eastAsia="Arial" w:hAnsi="Arial"/>
          <w:sz w:val="19"/>
          <w:szCs w:val="19"/>
          <w:color w:val="000000"/>
        </w:rPr>
        <w:t>purposes</w:t>
      </w:r>
      <w:r>
        <w:rPr>
          <w:rFonts w:ascii="Arial" w:cs="Arial" w:eastAsia="Arial" w:hAnsi="Arial"/>
          <w:sz w:val="19"/>
          <w:szCs w:val="19"/>
          <w:color w:val="313131"/>
        </w:rPr>
        <w:t xml:space="preserve"> </w:t>
      </w:r>
      <w:r>
        <w:rPr>
          <w:rFonts w:ascii="Arial" w:cs="Arial" w:eastAsia="Arial" w:hAnsi="Arial"/>
          <w:sz w:val="19"/>
          <w:szCs w:val="19"/>
          <w:color w:val="212121"/>
        </w:rPr>
        <w:t>of calculating</w:t>
      </w:r>
      <w:r>
        <w:rPr>
          <w:rFonts w:ascii="Arial" w:cs="Arial" w:eastAsia="Arial" w:hAnsi="Arial"/>
          <w:sz w:val="19"/>
          <w:szCs w:val="19"/>
          <w:color w:val="313131"/>
        </w:rPr>
        <w:t xml:space="preserve"> the Fair </w:t>
      </w:r>
      <w:r>
        <w:rPr>
          <w:rFonts w:ascii="Arial" w:cs="Arial" w:eastAsia="Arial" w:hAnsi="Arial"/>
          <w:sz w:val="19"/>
          <w:szCs w:val="19"/>
          <w:color w:val="212121"/>
        </w:rPr>
        <w:t>Market</w:t>
      </w:r>
      <w:r>
        <w:rPr>
          <w:rFonts w:ascii="Arial" w:cs="Arial" w:eastAsia="Arial" w:hAnsi="Arial"/>
          <w:sz w:val="19"/>
          <w:szCs w:val="19"/>
          <w:color w:val="313131"/>
        </w:rPr>
        <w:t xml:space="preserve"> </w:t>
      </w:r>
      <w:r>
        <w:rPr>
          <w:rFonts w:ascii="Arial" w:cs="Arial" w:eastAsia="Arial" w:hAnsi="Arial"/>
          <w:sz w:val="19"/>
          <w:szCs w:val="19"/>
          <w:color w:val="000000"/>
        </w:rPr>
        <w:t>Rent, the following presumptions</w:t>
      </w:r>
      <w:r>
        <w:rPr>
          <w:rFonts w:ascii="Arial" w:cs="Arial" w:eastAsia="Arial" w:hAnsi="Arial"/>
          <w:sz w:val="19"/>
          <w:szCs w:val="19"/>
          <w:color w:val="313131"/>
        </w:rPr>
        <w:t xml:space="preserve"> shall </w:t>
      </w:r>
      <w:r>
        <w:rPr>
          <w:rFonts w:ascii="Arial" w:cs="Arial" w:eastAsia="Arial" w:hAnsi="Arial"/>
          <w:sz w:val="19"/>
          <w:szCs w:val="19"/>
          <w:color w:val="000000"/>
        </w:rPr>
        <w:t>apply:</w:t>
      </w:r>
      <w:r>
        <w:rPr>
          <w:rFonts w:ascii="Arial" w:cs="Arial" w:eastAsia="Arial" w:hAnsi="Arial"/>
          <w:sz w:val="19"/>
          <w:szCs w:val="19"/>
          <w:color w:val="313131"/>
        </w:rPr>
        <w:t xml:space="preserve"> the </w:t>
      </w:r>
      <w:r>
        <w:rPr>
          <w:rFonts w:ascii="Arial" w:cs="Arial" w:eastAsia="Arial" w:hAnsi="Arial"/>
          <w:sz w:val="19"/>
          <w:szCs w:val="19"/>
          <w:color w:val="000000"/>
        </w:rPr>
        <w:t>Premises is free</w:t>
      </w:r>
      <w:r>
        <w:rPr>
          <w:rFonts w:ascii="Arial" w:cs="Arial" w:eastAsia="Arial" w:hAnsi="Arial"/>
          <w:sz w:val="19"/>
          <w:szCs w:val="19"/>
          <w:color w:val="313131"/>
        </w:rPr>
        <w:t xml:space="preserve"> </w:t>
      </w:r>
      <w:r>
        <w:rPr>
          <w:rFonts w:ascii="Arial" w:cs="Arial" w:eastAsia="Arial" w:hAnsi="Arial"/>
          <w:sz w:val="19"/>
          <w:szCs w:val="19"/>
          <w:color w:val="212121"/>
        </w:rPr>
        <w:t>and</w:t>
      </w:r>
      <w:r>
        <w:rPr>
          <w:rFonts w:ascii="Arial" w:cs="Arial" w:eastAsia="Arial" w:hAnsi="Arial"/>
          <w:sz w:val="19"/>
          <w:szCs w:val="19"/>
          <w:color w:val="313131"/>
        </w:rPr>
        <w:t xml:space="preserve"> </w:t>
      </w:r>
      <w:r>
        <w:rPr>
          <w:rFonts w:ascii="Arial" w:cs="Arial" w:eastAsia="Arial" w:hAnsi="Arial"/>
          <w:sz w:val="19"/>
          <w:szCs w:val="19"/>
          <w:color w:val="000000"/>
        </w:rPr>
        <w:t xml:space="preserve">clear </w:t>
      </w:r>
      <w:r>
        <w:rPr>
          <w:rFonts w:ascii="Arial" w:cs="Arial" w:eastAsia="Arial" w:hAnsi="Arial"/>
          <w:sz w:val="19"/>
          <w:szCs w:val="19"/>
          <w:color w:val="212121"/>
        </w:rPr>
        <w:t>of all</w:t>
      </w:r>
      <w:r>
        <w:rPr>
          <w:rFonts w:ascii="Arial" w:cs="Arial" w:eastAsia="Arial" w:hAnsi="Arial"/>
          <w:sz w:val="19"/>
          <w:szCs w:val="19"/>
          <w:color w:val="000000"/>
        </w:rPr>
        <w:t xml:space="preserve"> leases and </w:t>
      </w:r>
      <w:r>
        <w:rPr>
          <w:rFonts w:ascii="Arial" w:cs="Arial" w:eastAsia="Arial" w:hAnsi="Arial"/>
          <w:sz w:val="19"/>
          <w:szCs w:val="19"/>
          <w:color w:val="313131"/>
        </w:rPr>
        <w:t>tenancies</w:t>
      </w:r>
      <w:r>
        <w:rPr>
          <w:rFonts w:ascii="Arial" w:cs="Arial" w:eastAsia="Arial" w:hAnsi="Arial"/>
          <w:sz w:val="19"/>
          <w:szCs w:val="19"/>
          <w:color w:val="000000"/>
        </w:rPr>
        <w:t xml:space="preserve"> (including thi</w:t>
      </w:r>
      <w:r>
        <w:rPr>
          <w:rFonts w:ascii="Arial" w:cs="Arial" w:eastAsia="Arial" w:hAnsi="Arial"/>
          <w:sz w:val="19"/>
          <w:szCs w:val="19"/>
          <w:color w:val="424242"/>
        </w:rPr>
        <w:t>s</w:t>
      </w:r>
      <w:r>
        <w:rPr>
          <w:rFonts w:ascii="Arial" w:cs="Arial" w:eastAsia="Arial" w:hAnsi="Arial"/>
          <w:sz w:val="19"/>
          <w:szCs w:val="19"/>
          <w:color w:val="000000"/>
        </w:rPr>
        <w:t xml:space="preserve"> L</w:t>
      </w:r>
      <w:r>
        <w:rPr>
          <w:rFonts w:ascii="Arial" w:cs="Arial" w:eastAsia="Arial" w:hAnsi="Arial"/>
          <w:sz w:val="19"/>
          <w:szCs w:val="19"/>
          <w:color w:val="313131"/>
        </w:rPr>
        <w:t>eas</w:t>
      </w:r>
      <w:r>
        <w:rPr>
          <w:rFonts w:ascii="Arial" w:cs="Arial" w:eastAsia="Arial" w:hAnsi="Arial"/>
          <w:sz w:val="19"/>
          <w:szCs w:val="19"/>
          <w:color w:val="000000"/>
        </w:rPr>
        <w:t>e)</w:t>
      </w:r>
      <w:r>
        <w:rPr>
          <w:rFonts w:ascii="Arial" w:cs="Arial" w:eastAsia="Arial" w:hAnsi="Arial"/>
          <w:sz w:val="19"/>
          <w:szCs w:val="19"/>
          <w:color w:val="424242"/>
        </w:rPr>
        <w:t>,</w:t>
      </w:r>
      <w:r>
        <w:rPr>
          <w:rFonts w:ascii="Arial" w:cs="Arial" w:eastAsia="Arial" w:hAnsi="Arial"/>
          <w:sz w:val="19"/>
          <w:szCs w:val="19"/>
          <w:color w:val="000000"/>
        </w:rPr>
        <w:t xml:space="preserve"> the Premises is </w:t>
      </w:r>
      <w:r>
        <w:rPr>
          <w:rFonts w:ascii="Arial" w:cs="Arial" w:eastAsia="Arial" w:hAnsi="Arial"/>
          <w:sz w:val="19"/>
          <w:szCs w:val="19"/>
          <w:color w:val="212121"/>
        </w:rPr>
        <w:t>available for</w:t>
      </w:r>
      <w:r>
        <w:rPr>
          <w:rFonts w:ascii="Arial" w:cs="Arial" w:eastAsia="Arial" w:hAnsi="Arial"/>
          <w:sz w:val="19"/>
          <w:szCs w:val="19"/>
          <w:color w:val="000000"/>
        </w:rPr>
        <w:t xml:space="preserve"> the </w:t>
      </w:r>
      <w:r>
        <w:rPr>
          <w:rFonts w:ascii="Arial" w:cs="Arial" w:eastAsia="Arial" w:hAnsi="Arial"/>
          <w:sz w:val="19"/>
          <w:szCs w:val="19"/>
          <w:color w:val="313131"/>
        </w:rPr>
        <w:t>purposes</w:t>
      </w:r>
      <w:r>
        <w:rPr>
          <w:rFonts w:ascii="Arial" w:cs="Arial" w:eastAsia="Arial" w:hAnsi="Arial"/>
          <w:sz w:val="19"/>
          <w:szCs w:val="19"/>
          <w:color w:val="000000"/>
        </w:rPr>
        <w:t xml:space="preserve"> </w:t>
      </w:r>
      <w:r>
        <w:rPr>
          <w:rFonts w:ascii="Arial" w:cs="Arial" w:eastAsia="Arial" w:hAnsi="Arial"/>
          <w:sz w:val="19"/>
          <w:szCs w:val="19"/>
          <w:color w:val="212121"/>
        </w:rPr>
        <w:t>permitted</w:t>
      </w:r>
      <w:r>
        <w:rPr>
          <w:rFonts w:ascii="Arial" w:cs="Arial" w:eastAsia="Arial" w:hAnsi="Arial"/>
          <w:sz w:val="19"/>
          <w:szCs w:val="19"/>
          <w:color w:val="000000"/>
        </w:rPr>
        <w:t xml:space="preserve"> by </w:t>
      </w:r>
      <w:r>
        <w:rPr>
          <w:rFonts w:ascii="Arial" w:cs="Arial" w:eastAsia="Arial" w:hAnsi="Arial"/>
          <w:sz w:val="19"/>
          <w:szCs w:val="19"/>
          <w:color w:val="313131"/>
        </w:rPr>
        <w:t>this</w:t>
      </w:r>
      <w:r>
        <w:rPr>
          <w:rFonts w:ascii="Arial" w:cs="Arial" w:eastAsia="Arial" w:hAnsi="Arial"/>
          <w:sz w:val="19"/>
          <w:szCs w:val="19"/>
          <w:color w:val="000000"/>
        </w:rPr>
        <w:t xml:space="preserve"> Lease in the then rental mar</w:t>
      </w:r>
      <w:r>
        <w:rPr>
          <w:rFonts w:ascii="Arial" w:cs="Arial" w:eastAsia="Arial" w:hAnsi="Arial"/>
          <w:sz w:val="19"/>
          <w:szCs w:val="19"/>
          <w:color w:val="313131"/>
        </w:rPr>
        <w:t>ke</w:t>
      </w:r>
      <w:r>
        <w:rPr>
          <w:rFonts w:ascii="Arial" w:cs="Arial" w:eastAsia="Arial" w:hAnsi="Arial"/>
          <w:sz w:val="19"/>
          <w:szCs w:val="19"/>
          <w:color w:val="000000"/>
        </w:rPr>
        <w:t>t</w:t>
      </w:r>
      <w:r>
        <w:rPr>
          <w:rFonts w:ascii="Arial" w:cs="Arial" w:eastAsia="Arial" w:hAnsi="Arial"/>
          <w:sz w:val="19"/>
          <w:szCs w:val="19"/>
          <w:color w:val="424242"/>
        </w:rPr>
        <w:t>,</w:t>
      </w:r>
      <w:r>
        <w:rPr>
          <w:rFonts w:ascii="Arial" w:cs="Arial" w:eastAsia="Arial" w:hAnsi="Arial"/>
          <w:sz w:val="19"/>
          <w:szCs w:val="19"/>
          <w:color w:val="000000"/>
        </w:rPr>
        <w:t xml:space="preserve"> that Landlord has had </w:t>
      </w:r>
      <w:r>
        <w:rPr>
          <w:rFonts w:ascii="Arial" w:cs="Arial" w:eastAsia="Arial" w:hAnsi="Arial"/>
          <w:sz w:val="19"/>
          <w:szCs w:val="19"/>
          <w:color w:val="212121"/>
        </w:rPr>
        <w:t>a</w:t>
      </w:r>
      <w:r>
        <w:rPr>
          <w:rFonts w:ascii="Arial" w:cs="Arial" w:eastAsia="Arial" w:hAnsi="Arial"/>
          <w:sz w:val="19"/>
          <w:szCs w:val="19"/>
          <w:color w:val="000000"/>
        </w:rPr>
        <w:t xml:space="preserve"> reasonable </w:t>
      </w:r>
      <w:r>
        <w:rPr>
          <w:rFonts w:ascii="Arial" w:cs="Arial" w:eastAsia="Arial" w:hAnsi="Arial"/>
          <w:sz w:val="19"/>
          <w:szCs w:val="19"/>
          <w:color w:val="313131"/>
        </w:rPr>
        <w:t>time to locate</w:t>
      </w:r>
      <w:r>
        <w:rPr>
          <w:rFonts w:ascii="Arial" w:cs="Arial" w:eastAsia="Arial" w:hAnsi="Arial"/>
          <w:sz w:val="19"/>
          <w:szCs w:val="19"/>
          <w:color w:val="000000"/>
        </w:rPr>
        <w:t xml:space="preserve"> </w:t>
      </w:r>
      <w:r>
        <w:rPr>
          <w:rFonts w:ascii="Arial" w:cs="Arial" w:eastAsia="Arial" w:hAnsi="Arial"/>
          <w:sz w:val="19"/>
          <w:szCs w:val="19"/>
          <w:color w:val="212121"/>
        </w:rPr>
        <w:t>a</w:t>
      </w:r>
      <w:r>
        <w:rPr>
          <w:rFonts w:ascii="Arial" w:cs="Arial" w:eastAsia="Arial" w:hAnsi="Arial"/>
          <w:sz w:val="19"/>
          <w:szCs w:val="19"/>
          <w:color w:val="000000"/>
        </w:rPr>
        <w:t xml:space="preserve"> tenant, </w:t>
      </w:r>
      <w:r>
        <w:rPr>
          <w:rFonts w:ascii="Arial" w:cs="Arial" w:eastAsia="Arial" w:hAnsi="Arial"/>
          <w:sz w:val="19"/>
          <w:szCs w:val="19"/>
          <w:color w:val="313131"/>
        </w:rPr>
        <w:t>and</w:t>
      </w:r>
      <w:r>
        <w:rPr>
          <w:rFonts w:ascii="Arial" w:cs="Arial" w:eastAsia="Arial" w:hAnsi="Arial"/>
          <w:sz w:val="19"/>
          <w:szCs w:val="19"/>
          <w:color w:val="000000"/>
        </w:rPr>
        <w:t xml:space="preserve"> </w:t>
      </w:r>
      <w:r>
        <w:rPr>
          <w:rFonts w:ascii="Arial" w:cs="Arial" w:eastAsia="Arial" w:hAnsi="Arial"/>
          <w:sz w:val="19"/>
          <w:szCs w:val="19"/>
          <w:color w:val="424242"/>
        </w:rPr>
        <w:t>t</w:t>
      </w:r>
      <w:r>
        <w:rPr>
          <w:rFonts w:ascii="Arial" w:cs="Arial" w:eastAsia="Arial" w:hAnsi="Arial"/>
          <w:sz w:val="19"/>
          <w:szCs w:val="19"/>
          <w:color w:val="000000"/>
        </w:rPr>
        <w:t xml:space="preserve">hat </w:t>
      </w:r>
      <w:r>
        <w:rPr>
          <w:rFonts w:ascii="Arial" w:cs="Arial" w:eastAsia="Arial" w:hAnsi="Arial"/>
          <w:sz w:val="19"/>
          <w:szCs w:val="19"/>
          <w:color w:val="212121"/>
        </w:rPr>
        <w:t>neither</w:t>
      </w:r>
      <w:r>
        <w:rPr>
          <w:rFonts w:ascii="Arial" w:cs="Arial" w:eastAsia="Arial" w:hAnsi="Arial"/>
          <w:sz w:val="19"/>
          <w:szCs w:val="19"/>
          <w:color w:val="000000"/>
        </w:rPr>
        <w:t xml:space="preserve"> Landlord nor </w:t>
      </w:r>
      <w:r>
        <w:rPr>
          <w:rFonts w:ascii="Arial" w:cs="Arial" w:eastAsia="Arial" w:hAnsi="Arial"/>
          <w:sz w:val="19"/>
          <w:szCs w:val="19"/>
          <w:color w:val="212121"/>
        </w:rPr>
        <w:t>the</w:t>
      </w:r>
      <w:r>
        <w:rPr>
          <w:rFonts w:ascii="Arial" w:cs="Arial" w:eastAsia="Arial" w:hAnsi="Arial"/>
          <w:sz w:val="19"/>
          <w:szCs w:val="19"/>
          <w:color w:val="000000"/>
        </w:rPr>
        <w:t xml:space="preserve"> pro</w:t>
      </w:r>
      <w:r>
        <w:rPr>
          <w:rFonts w:ascii="Arial" w:cs="Arial" w:eastAsia="Arial" w:hAnsi="Arial"/>
          <w:sz w:val="19"/>
          <w:szCs w:val="19"/>
          <w:color w:val="424242"/>
        </w:rPr>
        <w:t>s</w:t>
      </w:r>
      <w:r>
        <w:rPr>
          <w:rFonts w:ascii="Arial" w:cs="Arial" w:eastAsia="Arial" w:hAnsi="Arial"/>
          <w:sz w:val="19"/>
          <w:szCs w:val="19"/>
          <w:color w:val="000000"/>
        </w:rPr>
        <w:t>pec</w:t>
      </w:r>
      <w:r>
        <w:rPr>
          <w:rFonts w:ascii="Arial" w:cs="Arial" w:eastAsia="Arial" w:hAnsi="Arial"/>
          <w:sz w:val="19"/>
          <w:szCs w:val="19"/>
          <w:color w:val="313131"/>
        </w:rPr>
        <w:t>tive</w:t>
      </w:r>
      <w:r>
        <w:rPr>
          <w:rFonts w:ascii="Arial" w:cs="Arial" w:eastAsia="Arial" w:hAnsi="Arial"/>
          <w:sz w:val="19"/>
          <w:szCs w:val="19"/>
          <w:color w:val="000000"/>
        </w:rPr>
        <w:t xml:space="preserve"> </w:t>
      </w:r>
      <w:r>
        <w:rPr>
          <w:rFonts w:ascii="Arial" w:cs="Arial" w:eastAsia="Arial" w:hAnsi="Arial"/>
          <w:sz w:val="19"/>
          <w:szCs w:val="19"/>
          <w:color w:val="212121"/>
        </w:rPr>
        <w:t>tenant</w:t>
      </w:r>
      <w:r>
        <w:rPr>
          <w:rFonts w:ascii="Arial" w:cs="Arial" w:eastAsia="Arial" w:hAnsi="Arial"/>
          <w:sz w:val="19"/>
          <w:szCs w:val="19"/>
          <w:color w:val="000000"/>
        </w:rPr>
        <w:t xml:space="preserve"> is </w:t>
      </w:r>
      <w:r>
        <w:rPr>
          <w:rFonts w:ascii="Arial" w:cs="Arial" w:eastAsia="Arial" w:hAnsi="Arial"/>
          <w:sz w:val="19"/>
          <w:szCs w:val="19"/>
          <w:color w:val="212121"/>
        </w:rPr>
        <w:t>under any compulsion</w:t>
      </w:r>
      <w:r>
        <w:rPr>
          <w:rFonts w:ascii="Arial" w:cs="Arial" w:eastAsia="Arial" w:hAnsi="Arial"/>
          <w:sz w:val="19"/>
          <w:szCs w:val="19"/>
          <w:color w:val="000000"/>
        </w:rPr>
        <w:t xml:space="preserve"> to </w:t>
      </w:r>
      <w:r>
        <w:rPr>
          <w:rFonts w:ascii="Arial" w:cs="Arial" w:eastAsia="Arial" w:hAnsi="Arial"/>
          <w:sz w:val="19"/>
          <w:szCs w:val="19"/>
          <w:color w:val="212121"/>
        </w:rPr>
        <w:t>rent, and</w:t>
      </w:r>
      <w:r>
        <w:rPr>
          <w:rFonts w:ascii="Arial" w:cs="Arial" w:eastAsia="Arial" w:hAnsi="Arial"/>
          <w:sz w:val="19"/>
          <w:szCs w:val="19"/>
          <w:color w:val="000000"/>
        </w:rPr>
        <w:t xml:space="preserve"> taking </w:t>
      </w:r>
      <w:r>
        <w:rPr>
          <w:rFonts w:ascii="Arial" w:cs="Arial" w:eastAsia="Arial" w:hAnsi="Arial"/>
          <w:sz w:val="19"/>
          <w:szCs w:val="19"/>
          <w:color w:val="313131"/>
        </w:rPr>
        <w:t>into</w:t>
      </w:r>
      <w:r>
        <w:rPr>
          <w:rFonts w:ascii="Arial" w:cs="Arial" w:eastAsia="Arial" w:hAnsi="Arial"/>
          <w:sz w:val="19"/>
          <w:szCs w:val="19"/>
          <w:color w:val="000000"/>
        </w:rPr>
        <w:t xml:space="preserve"> </w:t>
      </w:r>
      <w:r>
        <w:rPr>
          <w:rFonts w:ascii="Arial" w:cs="Arial" w:eastAsia="Arial" w:hAnsi="Arial"/>
          <w:sz w:val="19"/>
          <w:szCs w:val="19"/>
          <w:color w:val="212121"/>
        </w:rPr>
        <w:t>account all</w:t>
      </w:r>
      <w:r>
        <w:rPr>
          <w:rFonts w:ascii="Arial" w:cs="Arial" w:eastAsia="Arial" w:hAnsi="Arial"/>
          <w:sz w:val="19"/>
          <w:szCs w:val="19"/>
          <w:color w:val="000000"/>
        </w:rPr>
        <w:t xml:space="preserve"> relevant </w:t>
      </w:r>
      <w:r>
        <w:rPr>
          <w:rFonts w:ascii="Arial" w:cs="Arial" w:eastAsia="Arial" w:hAnsi="Arial"/>
          <w:sz w:val="19"/>
          <w:szCs w:val="19"/>
          <w:color w:val="212121"/>
        </w:rPr>
        <w:t>factors.</w:t>
      </w:r>
    </w:p>
    <w:p>
      <w:pPr>
        <w:spacing w:after="0" w:line="144" w:lineRule="exact"/>
        <w:rPr>
          <w:sz w:val="20"/>
          <w:szCs w:val="20"/>
          <w:color w:val="auto"/>
        </w:rPr>
      </w:pPr>
    </w:p>
    <w:p>
      <w:pPr>
        <w:jc w:val="both"/>
        <w:ind w:left="1300" w:hanging="647"/>
        <w:spacing w:after="0"/>
        <w:rPr>
          <w:sz w:val="20"/>
          <w:szCs w:val="20"/>
          <w:color w:val="auto"/>
        </w:rPr>
      </w:pPr>
      <w:r>
        <w:rPr>
          <w:rFonts w:ascii="Arial" w:cs="Arial" w:eastAsia="Arial" w:hAnsi="Arial"/>
          <w:sz w:val="19"/>
          <w:szCs w:val="19"/>
          <w:color w:val="auto"/>
        </w:rPr>
        <w:t xml:space="preserve">42.10 </w:t>
      </w:r>
      <w:r>
        <w:rPr>
          <w:rFonts w:ascii="Arial" w:cs="Arial" w:eastAsia="Arial" w:hAnsi="Arial"/>
          <w:sz w:val="19"/>
          <w:szCs w:val="19"/>
          <w:color w:val="212121"/>
        </w:rPr>
        <w:t>For</w:t>
      </w:r>
      <w:r>
        <w:rPr>
          <w:rFonts w:ascii="Arial" w:cs="Arial" w:eastAsia="Arial" w:hAnsi="Arial"/>
          <w:sz w:val="19"/>
          <w:szCs w:val="19"/>
          <w:color w:val="auto"/>
        </w:rPr>
        <w:t xml:space="preserve"> purposes </w:t>
      </w:r>
      <w:r>
        <w:rPr>
          <w:rFonts w:ascii="Arial" w:cs="Arial" w:eastAsia="Arial" w:hAnsi="Arial"/>
          <w:sz w:val="19"/>
          <w:szCs w:val="19"/>
          <w:color w:val="212121"/>
        </w:rPr>
        <w:t>of</w:t>
      </w:r>
      <w:r>
        <w:rPr>
          <w:rFonts w:ascii="Arial" w:cs="Arial" w:eastAsia="Arial" w:hAnsi="Arial"/>
          <w:sz w:val="19"/>
          <w:szCs w:val="19"/>
          <w:color w:val="auto"/>
        </w:rPr>
        <w:t xml:space="preserve"> this </w:t>
      </w:r>
      <w:r>
        <w:rPr>
          <w:rFonts w:ascii="Arial" w:cs="Arial" w:eastAsia="Arial" w:hAnsi="Arial"/>
          <w:sz w:val="19"/>
          <w:szCs w:val="19"/>
          <w:color w:val="212121"/>
        </w:rPr>
        <w:t>Lease,</w:t>
      </w:r>
      <w:r>
        <w:rPr>
          <w:rFonts w:ascii="Arial" w:cs="Arial" w:eastAsia="Arial" w:hAnsi="Arial"/>
          <w:sz w:val="19"/>
          <w:szCs w:val="19"/>
          <w:color w:val="auto"/>
        </w:rPr>
        <w:t xml:space="preserve"> </w:t>
      </w:r>
      <w:r>
        <w:rPr>
          <w:rFonts w:ascii="Arial" w:cs="Arial" w:eastAsia="Arial" w:hAnsi="Arial"/>
          <w:sz w:val="19"/>
          <w:szCs w:val="19"/>
          <w:color w:val="313131"/>
        </w:rPr>
        <w:t>“Fair</w:t>
      </w:r>
      <w:r>
        <w:rPr>
          <w:rFonts w:ascii="Arial" w:cs="Arial" w:eastAsia="Arial" w:hAnsi="Arial"/>
          <w:sz w:val="19"/>
          <w:szCs w:val="19"/>
          <w:color w:val="auto"/>
        </w:rPr>
        <w:t xml:space="preserve"> </w:t>
      </w:r>
      <w:r>
        <w:rPr>
          <w:rFonts w:ascii="Arial" w:cs="Arial" w:eastAsia="Arial" w:hAnsi="Arial"/>
          <w:sz w:val="19"/>
          <w:szCs w:val="19"/>
          <w:color w:val="212121"/>
        </w:rPr>
        <w:t>Market</w:t>
      </w:r>
      <w:r>
        <w:rPr>
          <w:rFonts w:ascii="Arial" w:cs="Arial" w:eastAsia="Arial" w:hAnsi="Arial"/>
          <w:sz w:val="19"/>
          <w:szCs w:val="19"/>
          <w:color w:val="auto"/>
        </w:rPr>
        <w:t xml:space="preserve"> Rent’’ for the Premises </w:t>
      </w:r>
      <w:r>
        <w:rPr>
          <w:rFonts w:ascii="Arial" w:cs="Arial" w:eastAsia="Arial" w:hAnsi="Arial"/>
          <w:sz w:val="19"/>
          <w:szCs w:val="19"/>
          <w:color w:val="313131"/>
        </w:rPr>
        <w:t>shall</w:t>
      </w:r>
      <w:r>
        <w:rPr>
          <w:rFonts w:ascii="Arial" w:cs="Arial" w:eastAsia="Arial" w:hAnsi="Arial"/>
          <w:sz w:val="19"/>
          <w:szCs w:val="19"/>
          <w:color w:val="auto"/>
        </w:rPr>
        <w:t xml:space="preserve"> be </w:t>
      </w:r>
      <w:r>
        <w:rPr>
          <w:rFonts w:ascii="Arial" w:cs="Arial" w:eastAsia="Arial" w:hAnsi="Arial"/>
          <w:sz w:val="19"/>
          <w:szCs w:val="19"/>
          <w:color w:val="212121"/>
        </w:rPr>
        <w:t>based on a</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212121"/>
        </w:rPr>
        <w:t>year extension</w:t>
      </w:r>
      <w:r>
        <w:rPr>
          <w:rFonts w:ascii="Arial" w:cs="Arial" w:eastAsia="Arial" w:hAnsi="Arial"/>
          <w:sz w:val="19"/>
          <w:szCs w:val="19"/>
          <w:color w:val="auto"/>
        </w:rPr>
        <w:t xml:space="preserve"> </w:t>
      </w:r>
      <w:r>
        <w:rPr>
          <w:rFonts w:ascii="Arial" w:cs="Arial" w:eastAsia="Arial" w:hAnsi="Arial"/>
          <w:sz w:val="19"/>
          <w:szCs w:val="19"/>
          <w:color w:val="424242"/>
        </w:rPr>
        <w:t>term</w:t>
      </w:r>
      <w:r>
        <w:rPr>
          <w:rFonts w:ascii="Arial" w:cs="Arial" w:eastAsia="Arial" w:hAnsi="Arial"/>
          <w:sz w:val="19"/>
          <w:szCs w:val="19"/>
          <w:color w:val="auto"/>
        </w:rPr>
        <w:t xml:space="preserve"> and </w:t>
      </w:r>
      <w:r>
        <w:rPr>
          <w:rFonts w:ascii="Arial" w:cs="Arial" w:eastAsia="Arial" w:hAnsi="Arial"/>
          <w:sz w:val="19"/>
          <w:szCs w:val="19"/>
          <w:color w:val="424242"/>
        </w:rPr>
        <w:t>s</w:t>
      </w:r>
      <w:r>
        <w:rPr>
          <w:rFonts w:ascii="Arial" w:cs="Arial" w:eastAsia="Arial" w:hAnsi="Arial"/>
          <w:sz w:val="19"/>
          <w:szCs w:val="19"/>
          <w:color w:val="000000"/>
        </w:rPr>
        <w:t>hall be</w:t>
      </w:r>
      <w:r>
        <w:rPr>
          <w:rFonts w:ascii="Arial" w:cs="Arial" w:eastAsia="Arial" w:hAnsi="Arial"/>
          <w:sz w:val="19"/>
          <w:szCs w:val="19"/>
          <w:color w:val="424242"/>
        </w:rPr>
        <w:t xml:space="preserve"> </w:t>
      </w:r>
      <w:r>
        <w:rPr>
          <w:rFonts w:ascii="Arial" w:cs="Arial" w:eastAsia="Arial" w:hAnsi="Arial"/>
          <w:sz w:val="19"/>
          <w:szCs w:val="19"/>
          <w:color w:val="313131"/>
        </w:rPr>
        <w:t>equal</w:t>
      </w:r>
      <w:r>
        <w:rPr>
          <w:rFonts w:ascii="Arial" w:cs="Arial" w:eastAsia="Arial" w:hAnsi="Arial"/>
          <w:sz w:val="19"/>
          <w:szCs w:val="19"/>
          <w:color w:val="424242"/>
        </w:rPr>
        <w:t xml:space="preserve"> </w:t>
      </w:r>
      <w:r>
        <w:rPr>
          <w:rFonts w:ascii="Arial" w:cs="Arial" w:eastAsia="Arial" w:hAnsi="Arial"/>
          <w:sz w:val="19"/>
          <w:szCs w:val="19"/>
          <w:color w:val="000000"/>
        </w:rPr>
        <w:t>to the monthly base rental rate (on</w:t>
      </w:r>
      <w:r>
        <w:rPr>
          <w:rFonts w:ascii="Arial" w:cs="Arial" w:eastAsia="Arial" w:hAnsi="Arial"/>
          <w:sz w:val="19"/>
          <w:szCs w:val="19"/>
          <w:color w:val="424242"/>
        </w:rPr>
        <w:t xml:space="preserve"> </w:t>
      </w:r>
      <w:r>
        <w:rPr>
          <w:rFonts w:ascii="Arial" w:cs="Arial" w:eastAsia="Arial" w:hAnsi="Arial"/>
          <w:sz w:val="19"/>
          <w:szCs w:val="19"/>
          <w:color w:val="212121"/>
        </w:rPr>
        <w:t>a</w:t>
      </w:r>
      <w:r>
        <w:rPr>
          <w:rFonts w:ascii="Arial" w:cs="Arial" w:eastAsia="Arial" w:hAnsi="Arial"/>
          <w:sz w:val="19"/>
          <w:szCs w:val="19"/>
          <w:color w:val="424242"/>
        </w:rPr>
        <w:t xml:space="preserve"> </w:t>
      </w:r>
      <w:r>
        <w:rPr>
          <w:rFonts w:ascii="Arial" w:cs="Arial" w:eastAsia="Arial" w:hAnsi="Arial"/>
          <w:sz w:val="19"/>
          <w:szCs w:val="19"/>
          <w:color w:val="000000"/>
        </w:rPr>
        <w:t>per</w:t>
      </w:r>
      <w:r>
        <w:rPr>
          <w:rFonts w:ascii="Arial" w:cs="Arial" w:eastAsia="Arial" w:hAnsi="Arial"/>
          <w:sz w:val="19"/>
          <w:szCs w:val="19"/>
          <w:color w:val="424242"/>
        </w:rPr>
        <w:t xml:space="preserve"> </w:t>
      </w:r>
      <w:r>
        <w:rPr>
          <w:rFonts w:ascii="Arial" w:cs="Arial" w:eastAsia="Arial" w:hAnsi="Arial"/>
          <w:sz w:val="19"/>
          <w:szCs w:val="19"/>
          <w:color w:val="313131"/>
        </w:rPr>
        <w:t>square</w:t>
      </w:r>
      <w:r>
        <w:rPr>
          <w:rFonts w:ascii="Arial" w:cs="Arial" w:eastAsia="Arial" w:hAnsi="Arial"/>
          <w:sz w:val="19"/>
          <w:szCs w:val="19"/>
          <w:color w:val="424242"/>
        </w:rPr>
        <w:t xml:space="preserve"> </w:t>
      </w:r>
      <w:r>
        <w:rPr>
          <w:rFonts w:ascii="Arial" w:cs="Arial" w:eastAsia="Arial" w:hAnsi="Arial"/>
          <w:sz w:val="19"/>
          <w:szCs w:val="19"/>
          <w:color w:val="212121"/>
        </w:rPr>
        <w:t>foot of</w:t>
      </w:r>
      <w:r>
        <w:rPr>
          <w:rFonts w:ascii="Arial" w:cs="Arial" w:eastAsia="Arial" w:hAnsi="Arial"/>
          <w:sz w:val="19"/>
          <w:szCs w:val="19"/>
          <w:color w:val="424242"/>
        </w:rPr>
        <w:t xml:space="preserve"> </w:t>
      </w:r>
      <w:r>
        <w:rPr>
          <w:rFonts w:ascii="Arial" w:cs="Arial" w:eastAsia="Arial" w:hAnsi="Arial"/>
          <w:sz w:val="19"/>
          <w:szCs w:val="19"/>
          <w:color w:val="000000"/>
        </w:rPr>
        <w:t>rentable</w:t>
      </w:r>
      <w:r>
        <w:rPr>
          <w:rFonts w:ascii="Arial" w:cs="Arial" w:eastAsia="Arial" w:hAnsi="Arial"/>
          <w:sz w:val="19"/>
          <w:szCs w:val="19"/>
          <w:color w:val="424242"/>
        </w:rPr>
        <w:t xml:space="preserve"> </w:t>
      </w:r>
      <w:r>
        <w:rPr>
          <w:rFonts w:ascii="Arial" w:cs="Arial" w:eastAsia="Arial" w:hAnsi="Arial"/>
          <w:sz w:val="19"/>
          <w:szCs w:val="19"/>
          <w:color w:val="212121"/>
        </w:rPr>
        <w:t>area</w:t>
      </w:r>
      <w:r>
        <w:rPr>
          <w:rFonts w:ascii="Arial" w:cs="Arial" w:eastAsia="Arial" w:hAnsi="Arial"/>
          <w:sz w:val="19"/>
          <w:szCs w:val="19"/>
          <w:color w:val="424242"/>
        </w:rPr>
        <w:t xml:space="preserve"> </w:t>
      </w:r>
      <w:r>
        <w:rPr>
          <w:rFonts w:ascii="Arial" w:cs="Arial" w:eastAsia="Arial" w:hAnsi="Arial"/>
          <w:sz w:val="19"/>
          <w:szCs w:val="19"/>
          <w:color w:val="000000"/>
        </w:rPr>
        <w:t>basis)</w:t>
      </w:r>
      <w:r>
        <w:rPr>
          <w:rFonts w:ascii="Arial" w:cs="Arial" w:eastAsia="Arial" w:hAnsi="Arial"/>
          <w:sz w:val="19"/>
          <w:szCs w:val="19"/>
          <w:color w:val="424242"/>
        </w:rPr>
        <w:t xml:space="preserve"> </w:t>
      </w:r>
      <w:r>
        <w:rPr>
          <w:rFonts w:ascii="Arial" w:cs="Arial" w:eastAsia="Arial" w:hAnsi="Arial"/>
          <w:sz w:val="19"/>
          <w:szCs w:val="19"/>
          <w:color w:val="212121"/>
        </w:rPr>
        <w:t>agreed</w:t>
      </w:r>
      <w:r>
        <w:rPr>
          <w:rFonts w:ascii="Arial" w:cs="Arial" w:eastAsia="Arial" w:hAnsi="Arial"/>
          <w:sz w:val="19"/>
          <w:szCs w:val="19"/>
          <w:color w:val="424242"/>
        </w:rPr>
        <w:t xml:space="preserve"> </w:t>
      </w:r>
      <w:r>
        <w:rPr>
          <w:rFonts w:ascii="Arial" w:cs="Arial" w:eastAsia="Arial" w:hAnsi="Arial"/>
          <w:sz w:val="19"/>
          <w:szCs w:val="19"/>
          <w:color w:val="000000"/>
        </w:rPr>
        <w:t>to</w:t>
      </w:r>
      <w:r>
        <w:rPr>
          <w:rFonts w:ascii="Arial" w:cs="Arial" w:eastAsia="Arial" w:hAnsi="Arial"/>
          <w:sz w:val="19"/>
          <w:szCs w:val="19"/>
          <w:color w:val="424242"/>
        </w:rPr>
        <w:t xml:space="preserve"> </w:t>
      </w:r>
      <w:r>
        <w:rPr>
          <w:rFonts w:ascii="Arial" w:cs="Arial" w:eastAsia="Arial" w:hAnsi="Arial"/>
          <w:sz w:val="19"/>
          <w:szCs w:val="19"/>
          <w:color w:val="212121"/>
        </w:rPr>
        <w:t>by willing</w:t>
      </w:r>
      <w:r>
        <w:rPr>
          <w:rFonts w:ascii="Arial" w:cs="Arial" w:eastAsia="Arial" w:hAnsi="Arial"/>
          <w:sz w:val="19"/>
          <w:szCs w:val="19"/>
          <w:color w:val="424242"/>
        </w:rPr>
        <w:t xml:space="preserve"> </w:t>
      </w:r>
      <w:r>
        <w:rPr>
          <w:rFonts w:ascii="Arial" w:cs="Arial" w:eastAsia="Arial" w:hAnsi="Arial"/>
          <w:sz w:val="19"/>
          <w:szCs w:val="19"/>
          <w:color w:val="212121"/>
        </w:rPr>
        <w:t xml:space="preserve">sophisticated </w:t>
      </w:r>
      <w:r>
        <w:rPr>
          <w:rFonts w:ascii="Arial" w:cs="Arial" w:eastAsia="Arial" w:hAnsi="Arial"/>
          <w:sz w:val="19"/>
          <w:szCs w:val="19"/>
          <w:color w:val="000000"/>
        </w:rPr>
        <w:t>tenants</w:t>
      </w:r>
      <w:r>
        <w:rPr>
          <w:rFonts w:ascii="Arial" w:cs="Arial" w:eastAsia="Arial" w:hAnsi="Arial"/>
          <w:sz w:val="19"/>
          <w:szCs w:val="19"/>
          <w:color w:val="212121"/>
        </w:rPr>
        <w:t xml:space="preserve"> and willing </w:t>
      </w:r>
      <w:r>
        <w:rPr>
          <w:rFonts w:ascii="Arial" w:cs="Arial" w:eastAsia="Arial" w:hAnsi="Arial"/>
          <w:sz w:val="19"/>
          <w:szCs w:val="19"/>
          <w:color w:val="313131"/>
        </w:rPr>
        <w:t>sophisticated landlords</w:t>
      </w:r>
      <w:r>
        <w:rPr>
          <w:rFonts w:ascii="Arial" w:cs="Arial" w:eastAsia="Arial" w:hAnsi="Arial"/>
          <w:sz w:val="19"/>
          <w:szCs w:val="19"/>
          <w:color w:val="212121"/>
        </w:rPr>
        <w:t xml:space="preserve"> </w:t>
      </w:r>
      <w:r>
        <w:rPr>
          <w:rFonts w:ascii="Arial" w:cs="Arial" w:eastAsia="Arial" w:hAnsi="Arial"/>
          <w:sz w:val="19"/>
          <w:szCs w:val="19"/>
          <w:color w:val="000000"/>
        </w:rPr>
        <w:t>in leasing</w:t>
      </w:r>
      <w:r>
        <w:rPr>
          <w:rFonts w:ascii="Arial" w:cs="Arial" w:eastAsia="Arial" w:hAnsi="Arial"/>
          <w:sz w:val="19"/>
          <w:szCs w:val="19"/>
          <w:color w:val="212121"/>
        </w:rPr>
        <w:t xml:space="preserve"> transactions (the </w:t>
      </w:r>
      <w:r>
        <w:rPr>
          <w:rFonts w:ascii="Arial" w:cs="Arial" w:eastAsia="Arial" w:hAnsi="Arial"/>
          <w:sz w:val="19"/>
          <w:szCs w:val="19"/>
          <w:color w:val="313131"/>
        </w:rPr>
        <w:t>“</w:t>
      </w:r>
      <w:r>
        <w:rPr>
          <w:rFonts w:ascii="Arial" w:cs="Arial" w:eastAsia="Arial" w:hAnsi="Arial"/>
          <w:sz w:val="19"/>
          <w:szCs w:val="19"/>
          <w:u w:val="single" w:color="auto"/>
          <w:color w:val="313131"/>
        </w:rPr>
        <w:t>Comparable Transactions</w:t>
      </w:r>
      <w:r>
        <w:rPr>
          <w:rFonts w:ascii="Arial" w:cs="Arial" w:eastAsia="Arial" w:hAnsi="Arial"/>
          <w:sz w:val="19"/>
          <w:szCs w:val="19"/>
          <w:color w:val="313131"/>
        </w:rPr>
        <w:t>”),</w:t>
      </w:r>
      <w:r>
        <w:rPr>
          <w:rFonts w:ascii="Arial" w:cs="Arial" w:eastAsia="Arial" w:hAnsi="Arial"/>
          <w:sz w:val="19"/>
          <w:szCs w:val="19"/>
          <w:color w:val="212121"/>
        </w:rPr>
        <w:t xml:space="preserve"> as of a particular </w:t>
      </w:r>
      <w:r>
        <w:rPr>
          <w:rFonts w:ascii="Arial" w:cs="Arial" w:eastAsia="Arial" w:hAnsi="Arial"/>
          <w:sz w:val="19"/>
          <w:szCs w:val="19"/>
          <w:color w:val="000000"/>
        </w:rPr>
        <w:t>t</w:t>
      </w:r>
      <w:r>
        <w:rPr>
          <w:rFonts w:ascii="Arial" w:cs="Arial" w:eastAsia="Arial" w:hAnsi="Arial"/>
          <w:sz w:val="19"/>
          <w:szCs w:val="19"/>
          <w:color w:val="313131"/>
        </w:rPr>
        <w:t>i</w:t>
      </w:r>
      <w:r>
        <w:rPr>
          <w:rFonts w:ascii="Arial" w:cs="Arial" w:eastAsia="Arial" w:hAnsi="Arial"/>
          <w:sz w:val="19"/>
          <w:szCs w:val="19"/>
          <w:color w:val="000000"/>
        </w:rPr>
        <w:t>me</w:t>
      </w:r>
      <w:r>
        <w:rPr>
          <w:rFonts w:ascii="Arial" w:cs="Arial" w:eastAsia="Arial" w:hAnsi="Arial"/>
          <w:sz w:val="19"/>
          <w:szCs w:val="19"/>
          <w:color w:val="424242"/>
        </w:rPr>
        <w:t>,</w:t>
      </w:r>
      <w:r>
        <w:rPr>
          <w:rFonts w:ascii="Arial" w:cs="Arial" w:eastAsia="Arial" w:hAnsi="Arial"/>
          <w:sz w:val="19"/>
          <w:szCs w:val="19"/>
          <w:color w:val="212121"/>
        </w:rPr>
        <w:t xml:space="preserve"> </w:t>
      </w:r>
      <w:r>
        <w:rPr>
          <w:rFonts w:ascii="Arial" w:cs="Arial" w:eastAsia="Arial" w:hAnsi="Arial"/>
          <w:sz w:val="19"/>
          <w:szCs w:val="19"/>
          <w:color w:val="000000"/>
        </w:rPr>
        <w:t>in</w:t>
      </w:r>
      <w:r>
        <w:rPr>
          <w:rFonts w:ascii="Arial" w:cs="Arial" w:eastAsia="Arial" w:hAnsi="Arial"/>
          <w:sz w:val="19"/>
          <w:szCs w:val="19"/>
          <w:color w:val="212121"/>
        </w:rPr>
        <w:t xml:space="preserve"> arms-length transactions for </w:t>
      </w:r>
      <w:r>
        <w:rPr>
          <w:rFonts w:ascii="Arial" w:cs="Arial" w:eastAsia="Arial" w:hAnsi="Arial"/>
          <w:sz w:val="19"/>
          <w:szCs w:val="19"/>
          <w:color w:val="000000"/>
        </w:rPr>
        <w:t>non</w:t>
      </w:r>
      <w:r>
        <w:rPr>
          <w:rFonts w:ascii="Arial" w:cs="Arial" w:eastAsia="Arial" w:hAnsi="Arial"/>
          <w:sz w:val="19"/>
          <w:szCs w:val="19"/>
          <w:color w:val="313131"/>
        </w:rPr>
        <w:t>-sub</w:t>
      </w:r>
      <w:r>
        <w:rPr>
          <w:rFonts w:ascii="Arial" w:cs="Arial" w:eastAsia="Arial" w:hAnsi="Arial"/>
          <w:sz w:val="19"/>
          <w:szCs w:val="19"/>
          <w:color w:val="000000"/>
        </w:rPr>
        <w:t>lea</w:t>
      </w:r>
      <w:r>
        <w:rPr>
          <w:rFonts w:ascii="Arial" w:cs="Arial" w:eastAsia="Arial" w:hAnsi="Arial"/>
          <w:sz w:val="19"/>
          <w:szCs w:val="19"/>
          <w:color w:val="313131"/>
        </w:rPr>
        <w:t>s</w:t>
      </w:r>
      <w:r>
        <w:rPr>
          <w:rFonts w:ascii="Arial" w:cs="Arial" w:eastAsia="Arial" w:hAnsi="Arial"/>
          <w:sz w:val="19"/>
          <w:szCs w:val="19"/>
          <w:color w:val="000000"/>
        </w:rPr>
        <w:t>e</w:t>
      </w:r>
      <w:r>
        <w:rPr>
          <w:rFonts w:ascii="Arial" w:cs="Arial" w:eastAsia="Arial" w:hAnsi="Arial"/>
          <w:sz w:val="19"/>
          <w:szCs w:val="19"/>
          <w:color w:val="424242"/>
        </w:rPr>
        <w:t>,</w:t>
      </w:r>
      <w:r>
        <w:rPr>
          <w:rFonts w:ascii="Arial" w:cs="Arial" w:eastAsia="Arial" w:hAnsi="Arial"/>
          <w:sz w:val="19"/>
          <w:szCs w:val="19"/>
          <w:color w:val="212121"/>
        </w:rPr>
        <w:t xml:space="preserve"> </w:t>
      </w:r>
      <w:r>
        <w:rPr>
          <w:rFonts w:ascii="Arial" w:cs="Arial" w:eastAsia="Arial" w:hAnsi="Arial"/>
          <w:sz w:val="19"/>
          <w:szCs w:val="19"/>
          <w:color w:val="000000"/>
        </w:rPr>
        <w:t>non-encumbered, non</w:t>
      </w:r>
      <w:r>
        <w:rPr>
          <w:rFonts w:ascii="Arial" w:cs="Arial" w:eastAsia="Arial" w:hAnsi="Arial"/>
          <w:sz w:val="19"/>
          <w:szCs w:val="19"/>
          <w:color w:val="212121"/>
        </w:rPr>
        <w:t xml:space="preserve"> equity, non-expansion, non-renewal </w:t>
      </w:r>
      <w:r>
        <w:rPr>
          <w:rFonts w:ascii="Arial" w:cs="Arial" w:eastAsia="Arial" w:hAnsi="Arial"/>
          <w:sz w:val="19"/>
          <w:szCs w:val="19"/>
          <w:color w:val="313131"/>
        </w:rPr>
        <w:t>space</w:t>
      </w:r>
      <w:r>
        <w:rPr>
          <w:rFonts w:ascii="Arial" w:cs="Arial" w:eastAsia="Arial" w:hAnsi="Arial"/>
          <w:sz w:val="19"/>
          <w:szCs w:val="19"/>
          <w:color w:val="212121"/>
        </w:rPr>
        <w:t xml:space="preserve"> comparable in </w:t>
      </w:r>
      <w:r>
        <w:rPr>
          <w:rFonts w:ascii="Arial" w:cs="Arial" w:eastAsia="Arial" w:hAnsi="Arial"/>
          <w:sz w:val="19"/>
          <w:szCs w:val="19"/>
          <w:color w:val="313131"/>
        </w:rPr>
        <w:t>size,</w:t>
      </w:r>
      <w:r>
        <w:rPr>
          <w:rFonts w:ascii="Arial" w:cs="Arial" w:eastAsia="Arial" w:hAnsi="Arial"/>
          <w:sz w:val="19"/>
          <w:szCs w:val="19"/>
          <w:color w:val="212121"/>
        </w:rPr>
        <w:t xml:space="preserve"> </w:t>
      </w:r>
      <w:r>
        <w:rPr>
          <w:rFonts w:ascii="Arial" w:cs="Arial" w:eastAsia="Arial" w:hAnsi="Arial"/>
          <w:sz w:val="19"/>
          <w:szCs w:val="19"/>
          <w:color w:val="000000"/>
        </w:rPr>
        <w:t>location, height and quality</w:t>
      </w:r>
      <w:r>
        <w:rPr>
          <w:rFonts w:ascii="Arial" w:cs="Arial" w:eastAsia="Arial" w:hAnsi="Arial"/>
          <w:sz w:val="19"/>
          <w:szCs w:val="19"/>
          <w:color w:val="212121"/>
        </w:rPr>
        <w:t xml:space="preserve"> </w:t>
      </w:r>
      <w:r>
        <w:rPr>
          <w:rFonts w:ascii="Arial" w:cs="Arial" w:eastAsia="Arial" w:hAnsi="Arial"/>
          <w:sz w:val="19"/>
          <w:szCs w:val="19"/>
          <w:color w:val="313131"/>
        </w:rPr>
        <w:t>to</w:t>
      </w:r>
      <w:r>
        <w:rPr>
          <w:rFonts w:ascii="Arial" w:cs="Arial" w:eastAsia="Arial" w:hAnsi="Arial"/>
          <w:sz w:val="19"/>
          <w:szCs w:val="19"/>
          <w:color w:val="212121"/>
        </w:rPr>
        <w:t xml:space="preserve"> the </w:t>
      </w:r>
      <w:r>
        <w:rPr>
          <w:rFonts w:ascii="Arial" w:cs="Arial" w:eastAsia="Arial" w:hAnsi="Arial"/>
          <w:sz w:val="19"/>
          <w:szCs w:val="19"/>
          <w:color w:val="000000"/>
        </w:rPr>
        <w:t>Premises,</w:t>
      </w:r>
      <w:r>
        <w:rPr>
          <w:rFonts w:ascii="Arial" w:cs="Arial" w:eastAsia="Arial" w:hAnsi="Arial"/>
          <w:sz w:val="19"/>
          <w:szCs w:val="19"/>
          <w:color w:val="212121"/>
        </w:rPr>
        <w:t xml:space="preserve"> with a commencement </w:t>
      </w:r>
      <w:r>
        <w:rPr>
          <w:rFonts w:ascii="Arial" w:cs="Arial" w:eastAsia="Arial" w:hAnsi="Arial"/>
          <w:sz w:val="19"/>
          <w:szCs w:val="19"/>
          <w:color w:val="000000"/>
        </w:rPr>
        <w:t>date</w:t>
      </w:r>
      <w:r>
        <w:rPr>
          <w:rFonts w:ascii="Arial" w:cs="Arial" w:eastAsia="Arial" w:hAnsi="Arial"/>
          <w:sz w:val="19"/>
          <w:szCs w:val="19"/>
          <w:color w:val="212121"/>
        </w:rPr>
        <w:t xml:space="preserve"> not </w:t>
      </w:r>
      <w:r>
        <w:rPr>
          <w:rFonts w:ascii="Arial" w:cs="Arial" w:eastAsia="Arial" w:hAnsi="Arial"/>
          <w:sz w:val="19"/>
          <w:szCs w:val="19"/>
          <w:color w:val="000000"/>
        </w:rPr>
        <w:t>more</w:t>
      </w:r>
      <w:r>
        <w:rPr>
          <w:rFonts w:ascii="Arial" w:cs="Arial" w:eastAsia="Arial" w:hAnsi="Arial"/>
          <w:sz w:val="19"/>
          <w:szCs w:val="19"/>
          <w:color w:val="212121"/>
        </w:rPr>
        <w:t xml:space="preserve"> </w:t>
      </w:r>
      <w:r>
        <w:rPr>
          <w:rFonts w:ascii="Arial" w:cs="Arial" w:eastAsia="Arial" w:hAnsi="Arial"/>
          <w:sz w:val="19"/>
          <w:szCs w:val="19"/>
          <w:color w:val="313131"/>
        </w:rPr>
        <w:t>than</w:t>
      </w:r>
      <w:r>
        <w:rPr>
          <w:rFonts w:ascii="Arial" w:cs="Arial" w:eastAsia="Arial" w:hAnsi="Arial"/>
          <w:sz w:val="19"/>
          <w:szCs w:val="19"/>
          <w:color w:val="212121"/>
        </w:rPr>
        <w:t xml:space="preserve"> </w:t>
      </w:r>
      <w:r>
        <w:rPr>
          <w:rFonts w:ascii="Arial" w:cs="Arial" w:eastAsia="Arial" w:hAnsi="Arial"/>
          <w:sz w:val="19"/>
          <w:szCs w:val="19"/>
          <w:u w:val="single" w:color="auto"/>
          <w:color w:val="000000"/>
        </w:rPr>
        <w:t>[***]</w:t>
      </w:r>
      <w:r>
        <w:rPr>
          <w:rFonts w:ascii="Arial" w:cs="Arial" w:eastAsia="Arial" w:hAnsi="Arial"/>
          <w:sz w:val="19"/>
          <w:szCs w:val="19"/>
          <w:color w:val="212121"/>
        </w:rPr>
        <w:t xml:space="preserve"> months </w:t>
      </w:r>
      <w:r>
        <w:rPr>
          <w:rFonts w:ascii="Arial" w:cs="Arial" w:eastAsia="Arial" w:hAnsi="Arial"/>
          <w:sz w:val="19"/>
          <w:szCs w:val="19"/>
          <w:color w:val="000000"/>
        </w:rPr>
        <w:t>prior to the</w:t>
      </w:r>
      <w:r>
        <w:rPr>
          <w:rFonts w:ascii="Arial" w:cs="Arial" w:eastAsia="Arial" w:hAnsi="Arial"/>
          <w:sz w:val="19"/>
          <w:szCs w:val="19"/>
          <w:color w:val="212121"/>
        </w:rPr>
        <w:t xml:space="preserve"> commencement date of the extension </w:t>
      </w:r>
      <w:r>
        <w:rPr>
          <w:rFonts w:ascii="Arial" w:cs="Arial" w:eastAsia="Arial" w:hAnsi="Arial"/>
          <w:sz w:val="19"/>
          <w:szCs w:val="19"/>
          <w:color w:val="000000"/>
        </w:rPr>
        <w:t>term,</w:t>
      </w:r>
      <w:r>
        <w:rPr>
          <w:rFonts w:ascii="Arial" w:cs="Arial" w:eastAsia="Arial" w:hAnsi="Arial"/>
          <w:sz w:val="19"/>
          <w:szCs w:val="19"/>
          <w:color w:val="212121"/>
        </w:rPr>
        <w:t xml:space="preserve"> </w:t>
      </w:r>
      <w:r>
        <w:rPr>
          <w:rFonts w:ascii="Arial" w:cs="Arial" w:eastAsia="Arial" w:hAnsi="Arial"/>
          <w:sz w:val="19"/>
          <w:szCs w:val="19"/>
          <w:color w:val="313131"/>
        </w:rPr>
        <w:t>or if</w:t>
      </w:r>
      <w:r>
        <w:rPr>
          <w:rFonts w:ascii="Arial" w:cs="Arial" w:eastAsia="Arial" w:hAnsi="Arial"/>
          <w:sz w:val="19"/>
          <w:szCs w:val="19"/>
          <w:color w:val="212121"/>
        </w:rPr>
        <w:t xml:space="preserve"> </w:t>
      </w:r>
      <w:r>
        <w:rPr>
          <w:rFonts w:ascii="Arial" w:cs="Arial" w:eastAsia="Arial" w:hAnsi="Arial"/>
          <w:sz w:val="19"/>
          <w:szCs w:val="19"/>
          <w:color w:val="000000"/>
        </w:rPr>
        <w:t>there</w:t>
      </w:r>
      <w:r>
        <w:rPr>
          <w:rFonts w:ascii="Arial" w:cs="Arial" w:eastAsia="Arial" w:hAnsi="Arial"/>
          <w:sz w:val="19"/>
          <w:szCs w:val="19"/>
          <w:color w:val="212121"/>
        </w:rPr>
        <w:t xml:space="preserve"> are </w:t>
      </w:r>
      <w:r>
        <w:rPr>
          <w:rFonts w:ascii="Arial" w:cs="Arial" w:eastAsia="Arial" w:hAnsi="Arial"/>
          <w:sz w:val="19"/>
          <w:szCs w:val="19"/>
          <w:color w:val="000000"/>
        </w:rPr>
        <w:t>no</w:t>
      </w:r>
      <w:r>
        <w:rPr>
          <w:rFonts w:ascii="Arial" w:cs="Arial" w:eastAsia="Arial" w:hAnsi="Arial"/>
          <w:sz w:val="19"/>
          <w:szCs w:val="19"/>
          <w:color w:val="212121"/>
        </w:rPr>
        <w:t xml:space="preserve"> Comparable </w:t>
      </w:r>
      <w:r>
        <w:rPr>
          <w:rFonts w:ascii="Arial" w:cs="Arial" w:eastAsia="Arial" w:hAnsi="Arial"/>
          <w:sz w:val="19"/>
          <w:szCs w:val="19"/>
          <w:color w:val="000000"/>
        </w:rPr>
        <w:t xml:space="preserve">Transactions, in </w:t>
      </w:r>
      <w:r>
        <w:rPr>
          <w:rFonts w:ascii="Arial" w:cs="Arial" w:eastAsia="Arial" w:hAnsi="Arial"/>
          <w:sz w:val="19"/>
          <w:szCs w:val="19"/>
          <w:color w:val="212121"/>
        </w:rPr>
        <w:t>other first-class combined office/laboratory facilities containing</w:t>
      </w:r>
      <w:r>
        <w:rPr>
          <w:rFonts w:ascii="Arial" w:cs="Arial" w:eastAsia="Arial" w:hAnsi="Arial"/>
          <w:sz w:val="19"/>
          <w:szCs w:val="19"/>
          <w:color w:val="000000"/>
        </w:rPr>
        <w:t xml:space="preserve"> located </w:t>
      </w:r>
      <w:r>
        <w:rPr>
          <w:rFonts w:ascii="Arial" w:cs="Arial" w:eastAsia="Arial" w:hAnsi="Arial"/>
          <w:sz w:val="19"/>
          <w:szCs w:val="19"/>
          <w:color w:val="313131"/>
        </w:rPr>
        <w:t>in the</w:t>
      </w:r>
      <w:r>
        <w:rPr>
          <w:rFonts w:ascii="Arial" w:cs="Arial" w:eastAsia="Arial" w:hAnsi="Arial"/>
          <w:sz w:val="19"/>
          <w:szCs w:val="19"/>
          <w:color w:val="000000"/>
        </w:rPr>
        <w:t xml:space="preserve"> Rockville</w:t>
      </w:r>
      <w:r>
        <w:rPr>
          <w:rFonts w:ascii="Arial" w:cs="Arial" w:eastAsia="Arial" w:hAnsi="Arial"/>
          <w:sz w:val="19"/>
          <w:szCs w:val="19"/>
          <w:color w:val="424242"/>
        </w:rPr>
        <w:t>,</w:t>
      </w:r>
      <w:r>
        <w:rPr>
          <w:rFonts w:ascii="Arial" w:cs="Arial" w:eastAsia="Arial" w:hAnsi="Arial"/>
          <w:sz w:val="19"/>
          <w:szCs w:val="19"/>
          <w:color w:val="000000"/>
        </w:rPr>
        <w:t xml:space="preserve"> Maryland area, </w:t>
      </w:r>
      <w:r>
        <w:rPr>
          <w:rFonts w:ascii="Arial" w:cs="Arial" w:eastAsia="Arial" w:hAnsi="Arial"/>
          <w:sz w:val="19"/>
          <w:szCs w:val="19"/>
          <w:color w:val="212121"/>
        </w:rPr>
        <w:t>with appropriate adjustments to</w:t>
      </w:r>
      <w:r>
        <w:rPr>
          <w:rFonts w:ascii="Arial" w:cs="Arial" w:eastAsia="Arial" w:hAnsi="Arial"/>
          <w:sz w:val="19"/>
          <w:szCs w:val="19"/>
          <w:color w:val="000000"/>
        </w:rPr>
        <w:t xml:space="preserve"> </w:t>
      </w:r>
      <w:r>
        <w:rPr>
          <w:rFonts w:ascii="Arial" w:cs="Arial" w:eastAsia="Arial" w:hAnsi="Arial"/>
          <w:sz w:val="19"/>
          <w:szCs w:val="19"/>
          <w:color w:val="313131"/>
        </w:rPr>
        <w:t>account</w:t>
      </w:r>
      <w:r>
        <w:rPr>
          <w:rFonts w:ascii="Arial" w:cs="Arial" w:eastAsia="Arial" w:hAnsi="Arial"/>
          <w:sz w:val="19"/>
          <w:szCs w:val="19"/>
          <w:color w:val="000000"/>
        </w:rPr>
        <w:t xml:space="preserve"> for </w:t>
      </w:r>
      <w:r>
        <w:rPr>
          <w:rFonts w:ascii="Arial" w:cs="Arial" w:eastAsia="Arial" w:hAnsi="Arial"/>
          <w:sz w:val="19"/>
          <w:szCs w:val="19"/>
          <w:color w:val="313131"/>
        </w:rPr>
        <w:t>differences in</w:t>
      </w:r>
      <w:r>
        <w:rPr>
          <w:rFonts w:ascii="Arial" w:cs="Arial" w:eastAsia="Arial" w:hAnsi="Arial"/>
          <w:sz w:val="19"/>
          <w:szCs w:val="19"/>
          <w:color w:val="000000"/>
        </w:rPr>
        <w:t xml:space="preserve"> </w:t>
      </w:r>
      <w:r>
        <w:rPr>
          <w:rFonts w:ascii="Arial" w:cs="Arial" w:eastAsia="Arial" w:hAnsi="Arial"/>
          <w:sz w:val="19"/>
          <w:szCs w:val="19"/>
          <w:color w:val="424242"/>
        </w:rPr>
        <w:t>the</w:t>
      </w:r>
      <w:r>
        <w:rPr>
          <w:rFonts w:ascii="Arial" w:cs="Arial" w:eastAsia="Arial" w:hAnsi="Arial"/>
          <w:sz w:val="19"/>
          <w:szCs w:val="19"/>
          <w:color w:val="000000"/>
        </w:rPr>
        <w:t xml:space="preserve"> </w:t>
      </w:r>
      <w:r>
        <w:rPr>
          <w:rFonts w:ascii="Arial" w:cs="Arial" w:eastAsia="Arial" w:hAnsi="Arial"/>
          <w:sz w:val="19"/>
          <w:szCs w:val="19"/>
          <w:color w:val="313131"/>
        </w:rPr>
        <w:t>Adjustment Factors</w:t>
      </w:r>
      <w:r>
        <w:rPr>
          <w:rFonts w:ascii="Arial" w:cs="Arial" w:eastAsia="Arial" w:hAnsi="Arial"/>
          <w:sz w:val="19"/>
          <w:szCs w:val="19"/>
          <w:color w:val="000000"/>
        </w:rPr>
        <w:t xml:space="preserve"> (as </w:t>
      </w:r>
      <w:r>
        <w:rPr>
          <w:rFonts w:ascii="Arial" w:cs="Arial" w:eastAsia="Arial" w:hAnsi="Arial"/>
          <w:sz w:val="19"/>
          <w:szCs w:val="19"/>
          <w:color w:val="212121"/>
        </w:rPr>
        <w:t>defined</w:t>
      </w:r>
      <w:r>
        <w:rPr>
          <w:rFonts w:ascii="Arial" w:cs="Arial" w:eastAsia="Arial" w:hAnsi="Arial"/>
          <w:sz w:val="19"/>
          <w:szCs w:val="19"/>
          <w:color w:val="000000"/>
        </w:rPr>
        <w:t xml:space="preserve"> below) and </w:t>
      </w:r>
      <w:r>
        <w:rPr>
          <w:rFonts w:ascii="Arial" w:cs="Arial" w:eastAsia="Arial" w:hAnsi="Arial"/>
          <w:sz w:val="19"/>
          <w:szCs w:val="19"/>
          <w:color w:val="212121"/>
        </w:rPr>
        <w:t>all</w:t>
      </w:r>
      <w:r>
        <w:rPr>
          <w:rFonts w:ascii="Arial" w:cs="Arial" w:eastAsia="Arial" w:hAnsi="Arial"/>
          <w:sz w:val="19"/>
          <w:szCs w:val="19"/>
          <w:color w:val="000000"/>
        </w:rPr>
        <w:t xml:space="preserve"> </w:t>
      </w:r>
      <w:r>
        <w:rPr>
          <w:rFonts w:ascii="Arial" w:cs="Arial" w:eastAsia="Arial" w:hAnsi="Arial"/>
          <w:sz w:val="19"/>
          <w:szCs w:val="19"/>
          <w:color w:val="313131"/>
        </w:rPr>
        <w:t>other</w:t>
      </w:r>
      <w:r>
        <w:rPr>
          <w:rFonts w:ascii="Arial" w:cs="Arial" w:eastAsia="Arial" w:hAnsi="Arial"/>
          <w:sz w:val="19"/>
          <w:szCs w:val="19"/>
          <w:color w:val="000000"/>
        </w:rPr>
        <w:t xml:space="preserve"> </w:t>
      </w:r>
      <w:r>
        <w:rPr>
          <w:rFonts w:ascii="Arial" w:cs="Arial" w:eastAsia="Arial" w:hAnsi="Arial"/>
          <w:sz w:val="19"/>
          <w:szCs w:val="19"/>
          <w:color w:val="212121"/>
        </w:rPr>
        <w:t>factors reasonably relevant</w:t>
      </w:r>
      <w:r>
        <w:rPr>
          <w:rFonts w:ascii="Arial" w:cs="Arial" w:eastAsia="Arial" w:hAnsi="Arial"/>
          <w:sz w:val="19"/>
          <w:szCs w:val="19"/>
          <w:color w:val="000000"/>
        </w:rPr>
        <w:t xml:space="preserve"> to </w:t>
      </w:r>
      <w:r>
        <w:rPr>
          <w:rFonts w:ascii="Arial" w:cs="Arial" w:eastAsia="Arial" w:hAnsi="Arial"/>
          <w:sz w:val="19"/>
          <w:szCs w:val="19"/>
          <w:color w:val="212121"/>
        </w:rPr>
        <w:t>a</w:t>
      </w:r>
      <w:r>
        <w:rPr>
          <w:rFonts w:ascii="Arial" w:cs="Arial" w:eastAsia="Arial" w:hAnsi="Arial"/>
          <w:sz w:val="19"/>
          <w:szCs w:val="19"/>
          <w:color w:val="000000"/>
        </w:rPr>
        <w:t xml:space="preserve"> fair market </w:t>
      </w:r>
      <w:r>
        <w:rPr>
          <w:rFonts w:ascii="Arial" w:cs="Arial" w:eastAsia="Arial" w:hAnsi="Arial"/>
          <w:sz w:val="19"/>
          <w:szCs w:val="19"/>
          <w:color w:val="212121"/>
        </w:rPr>
        <w:t>rent</w:t>
      </w:r>
      <w:r>
        <w:rPr>
          <w:rFonts w:ascii="Arial" w:cs="Arial" w:eastAsia="Arial" w:hAnsi="Arial"/>
          <w:sz w:val="19"/>
          <w:szCs w:val="19"/>
          <w:color w:val="000000"/>
        </w:rPr>
        <w:t xml:space="preserve"> determination. </w:t>
      </w:r>
      <w:r>
        <w:rPr>
          <w:rFonts w:ascii="Arial" w:cs="Arial" w:eastAsia="Arial" w:hAnsi="Arial"/>
          <w:sz w:val="19"/>
          <w:szCs w:val="19"/>
          <w:color w:val="212121"/>
        </w:rPr>
        <w:t>In</w:t>
      </w:r>
      <w:r>
        <w:rPr>
          <w:rFonts w:ascii="Arial" w:cs="Arial" w:eastAsia="Arial" w:hAnsi="Arial"/>
          <w:sz w:val="19"/>
          <w:szCs w:val="19"/>
          <w:color w:val="000000"/>
        </w:rPr>
        <w:t xml:space="preserve"> any determination of </w:t>
      </w:r>
      <w:r>
        <w:rPr>
          <w:rFonts w:ascii="Arial" w:cs="Arial" w:eastAsia="Arial" w:hAnsi="Arial"/>
          <w:sz w:val="19"/>
          <w:szCs w:val="19"/>
          <w:color w:val="212121"/>
        </w:rPr>
        <w:t>Fair</w:t>
      </w:r>
      <w:r>
        <w:rPr>
          <w:rFonts w:ascii="Arial" w:cs="Arial" w:eastAsia="Arial" w:hAnsi="Arial"/>
          <w:sz w:val="19"/>
          <w:szCs w:val="19"/>
          <w:color w:val="000000"/>
        </w:rPr>
        <w:t xml:space="preserve"> </w:t>
      </w:r>
      <w:r>
        <w:rPr>
          <w:rFonts w:ascii="Arial" w:cs="Arial" w:eastAsia="Arial" w:hAnsi="Arial"/>
          <w:sz w:val="19"/>
          <w:szCs w:val="19"/>
          <w:color w:val="212121"/>
        </w:rPr>
        <w:t xml:space="preserve">Market </w:t>
      </w:r>
      <w:r>
        <w:rPr>
          <w:rFonts w:ascii="Arial" w:cs="Arial" w:eastAsia="Arial" w:hAnsi="Arial"/>
          <w:sz w:val="19"/>
          <w:szCs w:val="19"/>
          <w:color w:val="000000"/>
        </w:rPr>
        <w:t>Rent</w:t>
      </w:r>
      <w:r>
        <w:rPr>
          <w:rFonts w:ascii="Arial" w:cs="Arial" w:eastAsia="Arial" w:hAnsi="Arial"/>
          <w:sz w:val="19"/>
          <w:szCs w:val="19"/>
          <w:color w:val="424242"/>
        </w:rPr>
        <w:t>,</w:t>
      </w:r>
      <w:r>
        <w:rPr>
          <w:rFonts w:ascii="Arial" w:cs="Arial" w:eastAsia="Arial" w:hAnsi="Arial"/>
          <w:sz w:val="19"/>
          <w:szCs w:val="19"/>
          <w:color w:val="212121"/>
        </w:rPr>
        <w:t xml:space="preserve"> </w:t>
      </w:r>
      <w:r>
        <w:rPr>
          <w:rFonts w:ascii="Arial" w:cs="Arial" w:eastAsia="Arial" w:hAnsi="Arial"/>
          <w:sz w:val="19"/>
          <w:szCs w:val="19"/>
          <w:color w:val="000000"/>
        </w:rPr>
        <w:t>appropriate</w:t>
      </w:r>
      <w:r>
        <w:rPr>
          <w:rFonts w:ascii="Arial" w:cs="Arial" w:eastAsia="Arial" w:hAnsi="Arial"/>
          <w:sz w:val="19"/>
          <w:szCs w:val="19"/>
          <w:color w:val="212121"/>
        </w:rPr>
        <w:t xml:space="preserve"> consideration </w:t>
      </w:r>
      <w:r>
        <w:rPr>
          <w:rFonts w:ascii="Arial" w:cs="Arial" w:eastAsia="Arial" w:hAnsi="Arial"/>
          <w:sz w:val="19"/>
          <w:szCs w:val="19"/>
          <w:color w:val="313131"/>
        </w:rPr>
        <w:t>should</w:t>
      </w:r>
      <w:r>
        <w:rPr>
          <w:rFonts w:ascii="Arial" w:cs="Arial" w:eastAsia="Arial" w:hAnsi="Arial"/>
          <w:sz w:val="19"/>
          <w:szCs w:val="19"/>
          <w:color w:val="212121"/>
        </w:rPr>
        <w:t xml:space="preserve"> be </w:t>
      </w:r>
      <w:r>
        <w:rPr>
          <w:rFonts w:ascii="Arial" w:cs="Arial" w:eastAsia="Arial" w:hAnsi="Arial"/>
          <w:sz w:val="19"/>
          <w:szCs w:val="19"/>
          <w:color w:val="000000"/>
        </w:rPr>
        <w:t>given</w:t>
      </w:r>
      <w:r>
        <w:rPr>
          <w:rFonts w:ascii="Arial" w:cs="Arial" w:eastAsia="Arial" w:hAnsi="Arial"/>
          <w:sz w:val="19"/>
          <w:szCs w:val="19"/>
          <w:color w:val="212121"/>
        </w:rPr>
        <w:t xml:space="preserve"> </w:t>
      </w:r>
      <w:r>
        <w:rPr>
          <w:rFonts w:ascii="Arial" w:cs="Arial" w:eastAsia="Arial" w:hAnsi="Arial"/>
          <w:sz w:val="19"/>
          <w:szCs w:val="19"/>
          <w:color w:val="313131"/>
        </w:rPr>
        <w:t>to</w:t>
      </w:r>
      <w:r>
        <w:rPr>
          <w:rFonts w:ascii="Arial" w:cs="Arial" w:eastAsia="Arial" w:hAnsi="Arial"/>
          <w:sz w:val="19"/>
          <w:szCs w:val="19"/>
          <w:color w:val="212121"/>
        </w:rPr>
        <w:t xml:space="preserve"> </w:t>
      </w:r>
      <w:r>
        <w:rPr>
          <w:rFonts w:ascii="Arial" w:cs="Arial" w:eastAsia="Arial" w:hAnsi="Arial"/>
          <w:sz w:val="19"/>
          <w:szCs w:val="19"/>
          <w:color w:val="000000"/>
        </w:rPr>
        <w:t>any</w:t>
      </w:r>
      <w:r>
        <w:rPr>
          <w:rFonts w:ascii="Arial" w:cs="Arial" w:eastAsia="Arial" w:hAnsi="Arial"/>
          <w:sz w:val="19"/>
          <w:szCs w:val="19"/>
          <w:color w:val="212121"/>
        </w:rPr>
        <w:t xml:space="preserve"> </w:t>
      </w:r>
      <w:r>
        <w:rPr>
          <w:rFonts w:ascii="Arial" w:cs="Arial" w:eastAsia="Arial" w:hAnsi="Arial"/>
          <w:sz w:val="19"/>
          <w:szCs w:val="19"/>
          <w:color w:val="424242"/>
        </w:rPr>
        <w:t>reasonably</w:t>
      </w:r>
      <w:r>
        <w:rPr>
          <w:rFonts w:ascii="Arial" w:cs="Arial" w:eastAsia="Arial" w:hAnsi="Arial"/>
          <w:sz w:val="19"/>
          <w:szCs w:val="19"/>
          <w:color w:val="212121"/>
        </w:rPr>
        <w:t xml:space="preserve"> </w:t>
      </w:r>
      <w:r>
        <w:rPr>
          <w:rFonts w:ascii="Arial" w:cs="Arial" w:eastAsia="Arial" w:hAnsi="Arial"/>
          <w:sz w:val="19"/>
          <w:szCs w:val="19"/>
          <w:color w:val="000000"/>
        </w:rPr>
        <w:t>relevant</w:t>
      </w:r>
      <w:r>
        <w:rPr>
          <w:rFonts w:ascii="Arial" w:cs="Arial" w:eastAsia="Arial" w:hAnsi="Arial"/>
          <w:sz w:val="19"/>
          <w:szCs w:val="19"/>
          <w:color w:val="212121"/>
        </w:rPr>
        <w:t xml:space="preserve"> factor </w:t>
      </w:r>
      <w:r>
        <w:rPr>
          <w:rFonts w:ascii="Arial" w:cs="Arial" w:eastAsia="Arial" w:hAnsi="Arial"/>
          <w:sz w:val="19"/>
          <w:szCs w:val="19"/>
          <w:color w:val="000000"/>
        </w:rPr>
        <w:t>(</w:t>
      </w:r>
      <w:r>
        <w:rPr>
          <w:rFonts w:ascii="Arial" w:cs="Arial" w:eastAsia="Arial" w:hAnsi="Arial"/>
          <w:sz w:val="19"/>
          <w:szCs w:val="19"/>
          <w:color w:val="212121"/>
        </w:rPr>
        <w:t xml:space="preserve">or difference </w:t>
      </w:r>
      <w:r>
        <w:rPr>
          <w:rFonts w:ascii="Arial" w:cs="Arial" w:eastAsia="Arial" w:hAnsi="Arial"/>
          <w:sz w:val="19"/>
          <w:szCs w:val="19"/>
          <w:color w:val="000000"/>
        </w:rPr>
        <w:t>in</w:t>
      </w:r>
      <w:r>
        <w:rPr>
          <w:rFonts w:ascii="Arial" w:cs="Arial" w:eastAsia="Arial" w:hAnsi="Arial"/>
          <w:sz w:val="19"/>
          <w:szCs w:val="19"/>
          <w:color w:val="212121"/>
        </w:rPr>
        <w:t xml:space="preserve"> </w:t>
      </w:r>
      <w:r>
        <w:rPr>
          <w:rFonts w:ascii="Arial" w:cs="Arial" w:eastAsia="Arial" w:hAnsi="Arial"/>
          <w:sz w:val="19"/>
          <w:szCs w:val="19"/>
          <w:color w:val="313131"/>
        </w:rPr>
        <w:t>the</w:t>
      </w:r>
      <w:r>
        <w:rPr>
          <w:rFonts w:ascii="Arial" w:cs="Arial" w:eastAsia="Arial" w:hAnsi="Arial"/>
          <w:sz w:val="19"/>
          <w:szCs w:val="19"/>
          <w:color w:val="212121"/>
        </w:rPr>
        <w:t xml:space="preserve"> </w:t>
      </w:r>
      <w:r>
        <w:rPr>
          <w:rFonts w:ascii="Arial" w:cs="Arial" w:eastAsia="Arial" w:hAnsi="Arial"/>
          <w:sz w:val="19"/>
          <w:szCs w:val="19"/>
          <w:color w:val="313131"/>
        </w:rPr>
        <w:t xml:space="preserve">subject </w:t>
      </w:r>
      <w:r>
        <w:rPr>
          <w:rFonts w:ascii="Arial" w:cs="Arial" w:eastAsia="Arial" w:hAnsi="Arial"/>
          <w:sz w:val="19"/>
          <w:szCs w:val="19"/>
          <w:color w:val="000000"/>
        </w:rPr>
        <w:t>transaction or</w:t>
      </w:r>
      <w:r>
        <w:rPr>
          <w:rFonts w:ascii="Arial" w:cs="Arial" w:eastAsia="Arial" w:hAnsi="Arial"/>
          <w:sz w:val="19"/>
          <w:szCs w:val="19"/>
          <w:color w:val="313131"/>
        </w:rPr>
        <w:t xml:space="preserve"> Comparable </w:t>
      </w:r>
      <w:r>
        <w:rPr>
          <w:rFonts w:ascii="Arial" w:cs="Arial" w:eastAsia="Arial" w:hAnsi="Arial"/>
          <w:sz w:val="19"/>
          <w:szCs w:val="19"/>
          <w:color w:val="212121"/>
        </w:rPr>
        <w:t>Transactions used</w:t>
      </w:r>
      <w:r>
        <w:rPr>
          <w:rFonts w:ascii="Arial" w:cs="Arial" w:eastAsia="Arial" w:hAnsi="Arial"/>
          <w:sz w:val="19"/>
          <w:szCs w:val="19"/>
          <w:color w:val="313131"/>
        </w:rPr>
        <w:t xml:space="preserve"> </w:t>
      </w:r>
      <w:r>
        <w:rPr>
          <w:rFonts w:ascii="Arial" w:cs="Arial" w:eastAsia="Arial" w:hAnsi="Arial"/>
          <w:sz w:val="19"/>
          <w:szCs w:val="19"/>
          <w:color w:val="000000"/>
        </w:rPr>
        <w:t>for purposes</w:t>
      </w:r>
      <w:r>
        <w:rPr>
          <w:rFonts w:ascii="Arial" w:cs="Arial" w:eastAsia="Arial" w:hAnsi="Arial"/>
          <w:sz w:val="19"/>
          <w:szCs w:val="19"/>
          <w:color w:val="313131"/>
        </w:rPr>
        <w:t xml:space="preserve"> </w:t>
      </w:r>
      <w:r>
        <w:rPr>
          <w:rFonts w:ascii="Arial" w:cs="Arial" w:eastAsia="Arial" w:hAnsi="Arial"/>
          <w:sz w:val="19"/>
          <w:szCs w:val="19"/>
          <w:color w:val="212121"/>
        </w:rPr>
        <w:t>of comparison),</w:t>
      </w:r>
      <w:r>
        <w:rPr>
          <w:rFonts w:ascii="Arial" w:cs="Arial" w:eastAsia="Arial" w:hAnsi="Arial"/>
          <w:sz w:val="19"/>
          <w:szCs w:val="19"/>
          <w:color w:val="313131"/>
        </w:rPr>
        <w:t xml:space="preserve"> including </w:t>
      </w:r>
      <w:r>
        <w:rPr>
          <w:rFonts w:ascii="Arial" w:cs="Arial" w:eastAsia="Arial" w:hAnsi="Arial"/>
          <w:sz w:val="19"/>
          <w:szCs w:val="19"/>
          <w:color w:val="212121"/>
        </w:rPr>
        <w:t>without limitation,</w:t>
      </w:r>
      <w:r>
        <w:rPr>
          <w:rFonts w:ascii="Arial" w:cs="Arial" w:eastAsia="Arial" w:hAnsi="Arial"/>
          <w:sz w:val="19"/>
          <w:szCs w:val="19"/>
          <w:color w:val="313131"/>
        </w:rPr>
        <w:t xml:space="preserve"> </w:t>
      </w:r>
      <w:r>
        <w:rPr>
          <w:rFonts w:ascii="Arial" w:cs="Arial" w:eastAsia="Arial" w:hAnsi="Arial"/>
          <w:sz w:val="19"/>
          <w:szCs w:val="19"/>
          <w:color w:val="212121"/>
        </w:rPr>
        <w:t xml:space="preserve">the following factors </w:t>
      </w:r>
      <w:r>
        <w:rPr>
          <w:rFonts w:ascii="Arial" w:cs="Arial" w:eastAsia="Arial" w:hAnsi="Arial"/>
          <w:sz w:val="19"/>
          <w:szCs w:val="19"/>
          <w:color w:val="000000"/>
        </w:rPr>
        <w:t>(the</w:t>
      </w:r>
      <w:r>
        <w:rPr>
          <w:rFonts w:ascii="Arial" w:cs="Arial" w:eastAsia="Arial" w:hAnsi="Arial"/>
          <w:sz w:val="19"/>
          <w:szCs w:val="19"/>
          <w:color w:val="212121"/>
        </w:rPr>
        <w:t xml:space="preserve"> </w:t>
      </w:r>
      <w:r>
        <w:rPr>
          <w:rFonts w:ascii="Arial" w:cs="Arial" w:eastAsia="Arial" w:hAnsi="Arial"/>
          <w:sz w:val="19"/>
          <w:szCs w:val="19"/>
          <w:color w:val="313131"/>
        </w:rPr>
        <w:t>“</w:t>
      </w:r>
      <w:r>
        <w:rPr>
          <w:rFonts w:ascii="Arial" w:cs="Arial" w:eastAsia="Arial" w:hAnsi="Arial"/>
          <w:sz w:val="19"/>
          <w:szCs w:val="19"/>
          <w:u w:val="single" w:color="auto"/>
          <w:color w:val="313131"/>
        </w:rPr>
        <w:t>Adjustment</w:t>
      </w:r>
      <w:r>
        <w:rPr>
          <w:rFonts w:ascii="Arial" w:cs="Arial" w:eastAsia="Arial" w:hAnsi="Arial"/>
          <w:sz w:val="19"/>
          <w:szCs w:val="19"/>
          <w:color w:val="212121"/>
        </w:rPr>
        <w:t xml:space="preserve"> </w:t>
      </w:r>
      <w:r>
        <w:rPr>
          <w:rFonts w:ascii="Arial" w:cs="Arial" w:eastAsia="Arial" w:hAnsi="Arial"/>
          <w:sz w:val="19"/>
          <w:szCs w:val="19"/>
          <w:u w:val="single" w:color="auto"/>
          <w:color w:val="000000"/>
        </w:rPr>
        <w:t>Factors</w:t>
      </w:r>
      <w:r>
        <w:rPr>
          <w:rFonts w:ascii="Arial" w:cs="Arial" w:eastAsia="Arial" w:hAnsi="Arial"/>
          <w:sz w:val="19"/>
          <w:szCs w:val="19"/>
          <w:color w:val="000000"/>
        </w:rPr>
        <w:t>”): (a)</w:t>
      </w:r>
      <w:r>
        <w:rPr>
          <w:rFonts w:ascii="Arial" w:cs="Arial" w:eastAsia="Arial" w:hAnsi="Arial"/>
          <w:sz w:val="19"/>
          <w:szCs w:val="19"/>
          <w:color w:val="212121"/>
        </w:rPr>
        <w:t xml:space="preserve"> </w:t>
      </w:r>
      <w:r>
        <w:rPr>
          <w:rFonts w:ascii="Arial" w:cs="Arial" w:eastAsia="Arial" w:hAnsi="Arial"/>
          <w:sz w:val="19"/>
          <w:szCs w:val="19"/>
          <w:color w:val="313131"/>
        </w:rPr>
        <w:t>monthly</w:t>
      </w:r>
      <w:r>
        <w:rPr>
          <w:rFonts w:ascii="Arial" w:cs="Arial" w:eastAsia="Arial" w:hAnsi="Arial"/>
          <w:sz w:val="19"/>
          <w:szCs w:val="19"/>
          <w:color w:val="212121"/>
        </w:rPr>
        <w:t xml:space="preserve"> </w:t>
      </w:r>
      <w:r>
        <w:rPr>
          <w:rFonts w:ascii="Arial" w:cs="Arial" w:eastAsia="Arial" w:hAnsi="Arial"/>
          <w:sz w:val="19"/>
          <w:szCs w:val="19"/>
          <w:color w:val="000000"/>
        </w:rPr>
        <w:t>base</w:t>
      </w:r>
      <w:r>
        <w:rPr>
          <w:rFonts w:ascii="Arial" w:cs="Arial" w:eastAsia="Arial" w:hAnsi="Arial"/>
          <w:sz w:val="19"/>
          <w:szCs w:val="19"/>
          <w:color w:val="212121"/>
        </w:rPr>
        <w:t xml:space="preserve"> rental </w:t>
      </w:r>
      <w:r>
        <w:rPr>
          <w:rFonts w:ascii="Arial" w:cs="Arial" w:eastAsia="Arial" w:hAnsi="Arial"/>
          <w:sz w:val="19"/>
          <w:szCs w:val="19"/>
          <w:color w:val="313131"/>
        </w:rPr>
        <w:t>rates</w:t>
      </w:r>
      <w:r>
        <w:rPr>
          <w:rFonts w:ascii="Arial" w:cs="Arial" w:eastAsia="Arial" w:hAnsi="Arial"/>
          <w:sz w:val="19"/>
          <w:szCs w:val="19"/>
          <w:color w:val="212121"/>
        </w:rPr>
        <w:t xml:space="preserve"> </w:t>
      </w:r>
      <w:r>
        <w:rPr>
          <w:rFonts w:ascii="Arial" w:cs="Arial" w:eastAsia="Arial" w:hAnsi="Arial"/>
          <w:sz w:val="19"/>
          <w:szCs w:val="19"/>
          <w:color w:val="000000"/>
        </w:rPr>
        <w:t>per rentable</w:t>
      </w:r>
      <w:r>
        <w:rPr>
          <w:rFonts w:ascii="Arial" w:cs="Arial" w:eastAsia="Arial" w:hAnsi="Arial"/>
          <w:sz w:val="19"/>
          <w:szCs w:val="19"/>
          <w:color w:val="212121"/>
        </w:rPr>
        <w:t xml:space="preserve"> square foot; </w:t>
      </w:r>
      <w:r>
        <w:rPr>
          <w:rFonts w:ascii="Arial" w:cs="Arial" w:eastAsia="Arial" w:hAnsi="Arial"/>
          <w:sz w:val="19"/>
          <w:szCs w:val="19"/>
          <w:color w:val="000000"/>
        </w:rPr>
        <w:t>(b)</w:t>
      </w:r>
      <w:r>
        <w:rPr>
          <w:rFonts w:ascii="Arial" w:cs="Arial" w:eastAsia="Arial" w:hAnsi="Arial"/>
          <w:sz w:val="19"/>
          <w:szCs w:val="19"/>
          <w:color w:val="212121"/>
        </w:rPr>
        <w:t xml:space="preserve"> abatement provisions </w:t>
      </w:r>
      <w:r>
        <w:rPr>
          <w:rFonts w:ascii="Arial" w:cs="Arial" w:eastAsia="Arial" w:hAnsi="Arial"/>
          <w:sz w:val="19"/>
          <w:szCs w:val="19"/>
          <w:color w:val="000000"/>
        </w:rPr>
        <w:t>reflectin</w:t>
      </w:r>
      <w:r>
        <w:rPr>
          <w:rFonts w:ascii="Arial" w:cs="Arial" w:eastAsia="Arial" w:hAnsi="Arial"/>
          <w:sz w:val="19"/>
          <w:szCs w:val="19"/>
          <w:color w:val="313131"/>
        </w:rPr>
        <w:t>g free</w:t>
      </w:r>
      <w:r>
        <w:rPr>
          <w:rFonts w:ascii="Arial" w:cs="Arial" w:eastAsia="Arial" w:hAnsi="Arial"/>
          <w:sz w:val="19"/>
          <w:szCs w:val="19"/>
          <w:color w:val="212121"/>
        </w:rPr>
        <w:t xml:space="preserve"> </w:t>
      </w:r>
      <w:r>
        <w:rPr>
          <w:rFonts w:ascii="Arial" w:cs="Arial" w:eastAsia="Arial" w:hAnsi="Arial"/>
          <w:sz w:val="19"/>
          <w:szCs w:val="19"/>
          <w:color w:val="000000"/>
        </w:rPr>
        <w:t>rent</w:t>
      </w:r>
      <w:r>
        <w:rPr>
          <w:rFonts w:ascii="Arial" w:cs="Arial" w:eastAsia="Arial" w:hAnsi="Arial"/>
          <w:sz w:val="19"/>
          <w:szCs w:val="19"/>
          <w:color w:val="212121"/>
        </w:rPr>
        <w:t xml:space="preserve"> or early </w:t>
      </w:r>
      <w:r>
        <w:rPr>
          <w:rFonts w:ascii="Arial" w:cs="Arial" w:eastAsia="Arial" w:hAnsi="Arial"/>
          <w:sz w:val="19"/>
          <w:szCs w:val="19"/>
          <w:color w:val="000000"/>
        </w:rPr>
        <w:t>occupancy during</w:t>
      </w:r>
      <w:r>
        <w:rPr>
          <w:rFonts w:ascii="Arial" w:cs="Arial" w:eastAsia="Arial" w:hAnsi="Arial"/>
          <w:sz w:val="19"/>
          <w:szCs w:val="19"/>
          <w:color w:val="212121"/>
        </w:rPr>
        <w:t xml:space="preserve"> </w:t>
      </w:r>
      <w:r>
        <w:rPr>
          <w:rFonts w:ascii="Arial" w:cs="Arial" w:eastAsia="Arial" w:hAnsi="Arial"/>
          <w:sz w:val="19"/>
          <w:szCs w:val="19"/>
          <w:color w:val="313131"/>
        </w:rPr>
        <w:t>the</w:t>
      </w:r>
      <w:r>
        <w:rPr>
          <w:rFonts w:ascii="Arial" w:cs="Arial" w:eastAsia="Arial" w:hAnsi="Arial"/>
          <w:sz w:val="19"/>
          <w:szCs w:val="19"/>
          <w:color w:val="212121"/>
        </w:rPr>
        <w:t xml:space="preserve"> </w:t>
      </w:r>
      <w:r>
        <w:rPr>
          <w:rFonts w:ascii="Arial" w:cs="Arial" w:eastAsia="Arial" w:hAnsi="Arial"/>
          <w:sz w:val="19"/>
          <w:szCs w:val="19"/>
          <w:color w:val="424242"/>
        </w:rPr>
        <w:t>lease</w:t>
      </w:r>
      <w:r>
        <w:rPr>
          <w:rFonts w:ascii="Arial" w:cs="Arial" w:eastAsia="Arial" w:hAnsi="Arial"/>
          <w:sz w:val="19"/>
          <w:szCs w:val="19"/>
          <w:color w:val="212121"/>
        </w:rPr>
        <w:t xml:space="preserve"> term; </w:t>
      </w:r>
      <w:r>
        <w:rPr>
          <w:rFonts w:ascii="Arial" w:cs="Arial" w:eastAsia="Arial" w:hAnsi="Arial"/>
          <w:sz w:val="19"/>
          <w:szCs w:val="19"/>
          <w:color w:val="000000"/>
        </w:rPr>
        <w:t>(c) the</w:t>
      </w:r>
      <w:r>
        <w:rPr>
          <w:rFonts w:ascii="Arial" w:cs="Arial" w:eastAsia="Arial" w:hAnsi="Arial"/>
          <w:sz w:val="19"/>
          <w:szCs w:val="19"/>
          <w:color w:val="212121"/>
        </w:rPr>
        <w:t xml:space="preserve"> </w:t>
      </w:r>
      <w:r>
        <w:rPr>
          <w:rFonts w:ascii="Arial" w:cs="Arial" w:eastAsia="Arial" w:hAnsi="Arial"/>
          <w:sz w:val="19"/>
          <w:szCs w:val="19"/>
          <w:color w:val="313131"/>
        </w:rPr>
        <w:t>size,</w:t>
      </w:r>
      <w:r>
        <w:rPr>
          <w:rFonts w:ascii="Arial" w:cs="Arial" w:eastAsia="Arial" w:hAnsi="Arial"/>
          <w:sz w:val="19"/>
          <w:szCs w:val="19"/>
          <w:color w:val="212121"/>
        </w:rPr>
        <w:t xml:space="preserve"> </w:t>
      </w:r>
      <w:r>
        <w:rPr>
          <w:rFonts w:ascii="Arial" w:cs="Arial" w:eastAsia="Arial" w:hAnsi="Arial"/>
          <w:sz w:val="19"/>
          <w:szCs w:val="19"/>
          <w:color w:val="000000"/>
        </w:rPr>
        <w:t>location</w:t>
      </w:r>
      <w:r>
        <w:rPr>
          <w:rFonts w:ascii="Arial" w:cs="Arial" w:eastAsia="Arial" w:hAnsi="Arial"/>
          <w:sz w:val="19"/>
          <w:szCs w:val="19"/>
          <w:color w:val="212121"/>
        </w:rPr>
        <w:t xml:space="preserve"> and </w:t>
      </w:r>
      <w:r>
        <w:rPr>
          <w:rFonts w:ascii="Arial" w:cs="Arial" w:eastAsia="Arial" w:hAnsi="Arial"/>
          <w:sz w:val="19"/>
          <w:szCs w:val="19"/>
          <w:color w:val="313131"/>
        </w:rPr>
        <w:t>floor</w:t>
      </w:r>
      <w:r>
        <w:rPr>
          <w:rFonts w:ascii="Arial" w:cs="Arial" w:eastAsia="Arial" w:hAnsi="Arial"/>
          <w:sz w:val="19"/>
          <w:szCs w:val="19"/>
          <w:color w:val="212121"/>
        </w:rPr>
        <w:t xml:space="preserve"> </w:t>
      </w:r>
      <w:r>
        <w:rPr>
          <w:rFonts w:ascii="Arial" w:cs="Arial" w:eastAsia="Arial" w:hAnsi="Arial"/>
          <w:sz w:val="19"/>
          <w:szCs w:val="19"/>
          <w:color w:val="000000"/>
        </w:rPr>
        <w:t xml:space="preserve">height </w:t>
      </w:r>
      <w:r>
        <w:rPr>
          <w:rFonts w:ascii="Arial" w:cs="Arial" w:eastAsia="Arial" w:hAnsi="Arial"/>
          <w:sz w:val="19"/>
          <w:szCs w:val="19"/>
          <w:color w:val="212121"/>
        </w:rPr>
        <w:t>of</w:t>
      </w:r>
      <w:r>
        <w:rPr>
          <w:rFonts w:ascii="Arial" w:cs="Arial" w:eastAsia="Arial" w:hAnsi="Arial"/>
          <w:sz w:val="19"/>
          <w:szCs w:val="19"/>
          <w:color w:val="000000"/>
        </w:rPr>
        <w:t xml:space="preserve"> the premises being leased; (d) the </w:t>
      </w:r>
      <w:r>
        <w:rPr>
          <w:rFonts w:ascii="Arial" w:cs="Arial" w:eastAsia="Arial" w:hAnsi="Arial"/>
          <w:sz w:val="19"/>
          <w:szCs w:val="19"/>
          <w:color w:val="212121"/>
        </w:rPr>
        <w:t>condition and</w:t>
      </w:r>
      <w:r>
        <w:rPr>
          <w:rFonts w:ascii="Arial" w:cs="Arial" w:eastAsia="Arial" w:hAnsi="Arial"/>
          <w:sz w:val="19"/>
          <w:szCs w:val="19"/>
          <w:color w:val="000000"/>
        </w:rPr>
        <w:t xml:space="preserve"> market </w:t>
      </w:r>
      <w:r>
        <w:rPr>
          <w:rFonts w:ascii="Arial" w:cs="Arial" w:eastAsia="Arial" w:hAnsi="Arial"/>
          <w:sz w:val="19"/>
          <w:szCs w:val="19"/>
          <w:color w:val="313131"/>
        </w:rPr>
        <w:t>value</w:t>
      </w:r>
      <w:r>
        <w:rPr>
          <w:rFonts w:ascii="Arial" w:cs="Arial" w:eastAsia="Arial" w:hAnsi="Arial"/>
          <w:sz w:val="19"/>
          <w:szCs w:val="19"/>
          <w:color w:val="000000"/>
        </w:rPr>
        <w:t xml:space="preserve"> </w:t>
      </w:r>
      <w:r>
        <w:rPr>
          <w:rFonts w:ascii="Arial" w:cs="Arial" w:eastAsia="Arial" w:hAnsi="Arial"/>
          <w:sz w:val="19"/>
          <w:szCs w:val="19"/>
          <w:color w:val="212121"/>
        </w:rPr>
        <w:t>of</w:t>
      </w:r>
      <w:r>
        <w:rPr>
          <w:rFonts w:ascii="Arial" w:cs="Arial" w:eastAsia="Arial" w:hAnsi="Arial"/>
          <w:sz w:val="19"/>
          <w:szCs w:val="19"/>
          <w:color w:val="000000"/>
        </w:rPr>
        <w:t xml:space="preserve"> the existing </w:t>
      </w:r>
      <w:r>
        <w:rPr>
          <w:rFonts w:ascii="Arial" w:cs="Arial" w:eastAsia="Arial" w:hAnsi="Arial"/>
          <w:sz w:val="19"/>
          <w:szCs w:val="19"/>
          <w:color w:val="212121"/>
        </w:rPr>
        <w:t>tenant</w:t>
      </w:r>
      <w:r>
        <w:rPr>
          <w:rFonts w:ascii="Arial" w:cs="Arial" w:eastAsia="Arial" w:hAnsi="Arial"/>
          <w:sz w:val="19"/>
          <w:szCs w:val="19"/>
          <w:color w:val="000000"/>
        </w:rPr>
        <w:t xml:space="preserve"> </w:t>
      </w:r>
      <w:r>
        <w:rPr>
          <w:rFonts w:ascii="Arial" w:cs="Arial" w:eastAsia="Arial" w:hAnsi="Arial"/>
          <w:sz w:val="19"/>
          <w:szCs w:val="19"/>
          <w:color w:val="424242"/>
        </w:rPr>
        <w:t>i</w:t>
      </w:r>
      <w:r>
        <w:rPr>
          <w:rFonts w:ascii="Arial" w:cs="Arial" w:eastAsia="Arial" w:hAnsi="Arial"/>
          <w:sz w:val="19"/>
          <w:szCs w:val="19"/>
          <w:color w:val="000000"/>
        </w:rPr>
        <w:t>mp</w:t>
      </w:r>
      <w:r>
        <w:rPr>
          <w:rFonts w:ascii="Arial" w:cs="Arial" w:eastAsia="Arial" w:hAnsi="Arial"/>
          <w:sz w:val="19"/>
          <w:szCs w:val="19"/>
          <w:color w:val="313131"/>
        </w:rPr>
        <w:t>rov</w:t>
      </w:r>
      <w:r>
        <w:rPr>
          <w:rFonts w:ascii="Arial" w:cs="Arial" w:eastAsia="Arial" w:hAnsi="Arial"/>
          <w:sz w:val="19"/>
          <w:szCs w:val="19"/>
          <w:color w:val="000000"/>
        </w:rPr>
        <w:t>emen</w:t>
      </w:r>
      <w:r>
        <w:rPr>
          <w:rFonts w:ascii="Arial" w:cs="Arial" w:eastAsia="Arial" w:hAnsi="Arial"/>
          <w:sz w:val="19"/>
          <w:szCs w:val="19"/>
          <w:color w:val="313131"/>
        </w:rPr>
        <w:t>ts,</w:t>
      </w:r>
      <w:r>
        <w:rPr>
          <w:rFonts w:ascii="Arial" w:cs="Arial" w:eastAsia="Arial" w:hAnsi="Arial"/>
          <w:sz w:val="19"/>
          <w:szCs w:val="19"/>
          <w:color w:val="000000"/>
        </w:rPr>
        <w:t xml:space="preserve"> </w:t>
      </w:r>
      <w:r>
        <w:rPr>
          <w:rFonts w:ascii="Arial" w:cs="Arial" w:eastAsia="Arial" w:hAnsi="Arial"/>
          <w:sz w:val="19"/>
          <w:szCs w:val="19"/>
          <w:color w:val="212121"/>
        </w:rPr>
        <w:t>if</w:t>
      </w:r>
      <w:r>
        <w:rPr>
          <w:rFonts w:ascii="Arial" w:cs="Arial" w:eastAsia="Arial" w:hAnsi="Arial"/>
          <w:sz w:val="19"/>
          <w:szCs w:val="19"/>
          <w:color w:val="000000"/>
        </w:rPr>
        <w:t xml:space="preserve"> </w:t>
      </w:r>
      <w:r>
        <w:rPr>
          <w:rFonts w:ascii="Arial" w:cs="Arial" w:eastAsia="Arial" w:hAnsi="Arial"/>
          <w:sz w:val="19"/>
          <w:szCs w:val="19"/>
          <w:color w:val="313131"/>
        </w:rPr>
        <w:t>any</w:t>
      </w:r>
      <w:r>
        <w:rPr>
          <w:rFonts w:ascii="Arial" w:cs="Arial" w:eastAsia="Arial" w:hAnsi="Arial"/>
          <w:sz w:val="19"/>
          <w:szCs w:val="19"/>
          <w:color w:val="000000"/>
        </w:rPr>
        <w:t xml:space="preserve"> </w:t>
      </w:r>
      <w:r>
        <w:rPr>
          <w:rFonts w:ascii="Arial" w:cs="Arial" w:eastAsia="Arial" w:hAnsi="Arial"/>
          <w:sz w:val="19"/>
          <w:szCs w:val="19"/>
          <w:color w:val="313131"/>
        </w:rPr>
        <w:t xml:space="preserve">(from </w:t>
      </w:r>
      <w:r>
        <w:rPr>
          <w:rFonts w:ascii="Arial" w:cs="Arial" w:eastAsia="Arial" w:hAnsi="Arial"/>
          <w:sz w:val="19"/>
          <w:szCs w:val="19"/>
          <w:color w:val="212121"/>
        </w:rPr>
        <w:t>a general marketing</w:t>
      </w:r>
      <w:r>
        <w:rPr>
          <w:rFonts w:ascii="Arial" w:cs="Arial" w:eastAsia="Arial" w:hAnsi="Arial"/>
          <w:sz w:val="19"/>
          <w:szCs w:val="19"/>
          <w:color w:val="313131"/>
        </w:rPr>
        <w:t xml:space="preserve"> </w:t>
      </w:r>
      <w:r>
        <w:rPr>
          <w:rFonts w:ascii="Arial" w:cs="Arial" w:eastAsia="Arial" w:hAnsi="Arial"/>
          <w:sz w:val="19"/>
          <w:szCs w:val="19"/>
          <w:color w:val="000000"/>
        </w:rPr>
        <w:t>perspective</w:t>
      </w:r>
      <w:r>
        <w:rPr>
          <w:rFonts w:ascii="Arial" w:cs="Arial" w:eastAsia="Arial" w:hAnsi="Arial"/>
          <w:sz w:val="19"/>
          <w:szCs w:val="19"/>
          <w:color w:val="313131"/>
        </w:rPr>
        <w:t xml:space="preserve"> </w:t>
      </w:r>
      <w:r>
        <w:rPr>
          <w:rFonts w:ascii="Arial" w:cs="Arial" w:eastAsia="Arial" w:hAnsi="Arial"/>
          <w:sz w:val="19"/>
          <w:szCs w:val="19"/>
          <w:color w:val="212121"/>
        </w:rPr>
        <w:t>and without</w:t>
      </w:r>
      <w:r>
        <w:rPr>
          <w:rFonts w:ascii="Arial" w:cs="Arial" w:eastAsia="Arial" w:hAnsi="Arial"/>
          <w:sz w:val="19"/>
          <w:szCs w:val="19"/>
          <w:color w:val="313131"/>
        </w:rPr>
        <w:t xml:space="preserve"> </w:t>
      </w:r>
      <w:r>
        <w:rPr>
          <w:rFonts w:ascii="Arial" w:cs="Arial" w:eastAsia="Arial" w:hAnsi="Arial"/>
          <w:sz w:val="19"/>
          <w:szCs w:val="19"/>
          <w:color w:val="000000"/>
        </w:rPr>
        <w:t>regard to their</w:t>
      </w:r>
      <w:r>
        <w:rPr>
          <w:rFonts w:ascii="Arial" w:cs="Arial" w:eastAsia="Arial" w:hAnsi="Arial"/>
          <w:sz w:val="19"/>
          <w:szCs w:val="19"/>
          <w:color w:val="313131"/>
        </w:rPr>
        <w:t xml:space="preserve"> </w:t>
      </w:r>
      <w:r>
        <w:rPr>
          <w:rFonts w:ascii="Arial" w:cs="Arial" w:eastAsia="Arial" w:hAnsi="Arial"/>
          <w:sz w:val="19"/>
          <w:szCs w:val="19"/>
          <w:color w:val="212121"/>
        </w:rPr>
        <w:t>value, usability or</w:t>
      </w:r>
      <w:r>
        <w:rPr>
          <w:rFonts w:ascii="Arial" w:cs="Arial" w:eastAsia="Arial" w:hAnsi="Arial"/>
          <w:sz w:val="19"/>
          <w:szCs w:val="19"/>
          <w:color w:val="313131"/>
        </w:rPr>
        <w:t xml:space="preserve"> </w:t>
      </w:r>
      <w:r>
        <w:rPr>
          <w:rFonts w:ascii="Arial" w:cs="Arial" w:eastAsia="Arial" w:hAnsi="Arial"/>
          <w:sz w:val="19"/>
          <w:szCs w:val="19"/>
          <w:color w:val="000000"/>
        </w:rPr>
        <w:t>function to Tenant</w:t>
      </w:r>
      <w:r>
        <w:rPr>
          <w:rFonts w:ascii="Arial" w:cs="Arial" w:eastAsia="Arial" w:hAnsi="Arial"/>
          <w:sz w:val="19"/>
          <w:szCs w:val="19"/>
          <w:color w:val="313131"/>
        </w:rPr>
        <w:t xml:space="preserve"> </w:t>
      </w:r>
      <w:r>
        <w:rPr>
          <w:rFonts w:ascii="Arial" w:cs="Arial" w:eastAsia="Arial" w:hAnsi="Arial"/>
          <w:sz w:val="19"/>
          <w:szCs w:val="19"/>
          <w:color w:val="212121"/>
        </w:rPr>
        <w:t>or to any</w:t>
      </w:r>
      <w:r>
        <w:rPr>
          <w:rFonts w:ascii="Arial" w:cs="Arial" w:eastAsia="Arial" w:hAnsi="Arial"/>
          <w:sz w:val="19"/>
          <w:szCs w:val="19"/>
          <w:color w:val="313131"/>
        </w:rPr>
        <w:t xml:space="preserve"> </w:t>
      </w:r>
      <w:r>
        <w:rPr>
          <w:rFonts w:ascii="Arial" w:cs="Arial" w:eastAsia="Arial" w:hAnsi="Arial"/>
          <w:sz w:val="19"/>
          <w:szCs w:val="19"/>
          <w:color w:val="000000"/>
        </w:rPr>
        <w:t xml:space="preserve">tenant in </w:t>
      </w:r>
      <w:r>
        <w:rPr>
          <w:rFonts w:ascii="Arial" w:cs="Arial" w:eastAsia="Arial" w:hAnsi="Arial"/>
          <w:sz w:val="19"/>
          <w:szCs w:val="19"/>
          <w:color w:val="212121"/>
        </w:rPr>
        <w:t>any Comparable</w:t>
      </w:r>
      <w:r>
        <w:rPr>
          <w:rFonts w:ascii="Arial" w:cs="Arial" w:eastAsia="Arial" w:hAnsi="Arial"/>
          <w:sz w:val="19"/>
          <w:szCs w:val="19"/>
          <w:color w:val="000000"/>
        </w:rPr>
        <w:t xml:space="preserve"> Transaction)</w:t>
      </w:r>
      <w:r>
        <w:rPr>
          <w:rFonts w:ascii="Arial" w:cs="Arial" w:eastAsia="Arial" w:hAnsi="Arial"/>
          <w:sz w:val="19"/>
          <w:szCs w:val="19"/>
          <w:color w:val="424242"/>
        </w:rPr>
        <w:t>,</w:t>
      </w:r>
      <w:r>
        <w:rPr>
          <w:rFonts w:ascii="Arial" w:cs="Arial" w:eastAsia="Arial" w:hAnsi="Arial"/>
          <w:sz w:val="19"/>
          <w:szCs w:val="19"/>
          <w:color w:val="000000"/>
        </w:rPr>
        <w:t xml:space="preserve"> and </w:t>
      </w:r>
      <w:r>
        <w:rPr>
          <w:rFonts w:ascii="Arial" w:cs="Arial" w:eastAsia="Arial" w:hAnsi="Arial"/>
          <w:sz w:val="19"/>
          <w:szCs w:val="19"/>
          <w:color w:val="212121"/>
        </w:rPr>
        <w:t>the</w:t>
      </w:r>
      <w:r>
        <w:rPr>
          <w:rFonts w:ascii="Arial" w:cs="Arial" w:eastAsia="Arial" w:hAnsi="Arial"/>
          <w:sz w:val="19"/>
          <w:szCs w:val="19"/>
          <w:color w:val="000000"/>
        </w:rPr>
        <w:t xml:space="preserve"> existence </w:t>
      </w:r>
      <w:r>
        <w:rPr>
          <w:rFonts w:ascii="Arial" w:cs="Arial" w:eastAsia="Arial" w:hAnsi="Arial"/>
          <w:sz w:val="19"/>
          <w:szCs w:val="19"/>
          <w:color w:val="212121"/>
        </w:rPr>
        <w:t>and</w:t>
      </w:r>
      <w:r>
        <w:rPr>
          <w:rFonts w:ascii="Arial" w:cs="Arial" w:eastAsia="Arial" w:hAnsi="Arial"/>
          <w:sz w:val="19"/>
          <w:szCs w:val="19"/>
          <w:color w:val="000000"/>
        </w:rPr>
        <w:t xml:space="preserve"> amount of any tenant </w:t>
      </w:r>
      <w:r>
        <w:rPr>
          <w:rFonts w:ascii="Arial" w:cs="Arial" w:eastAsia="Arial" w:hAnsi="Arial"/>
          <w:sz w:val="19"/>
          <w:szCs w:val="19"/>
          <w:color w:val="212121"/>
        </w:rPr>
        <w:t>improvement or comparable</w:t>
      </w:r>
      <w:r>
        <w:rPr>
          <w:rFonts w:ascii="Arial" w:cs="Arial" w:eastAsia="Arial" w:hAnsi="Arial"/>
          <w:sz w:val="19"/>
          <w:szCs w:val="19"/>
          <w:color w:val="000000"/>
        </w:rPr>
        <w:t xml:space="preserve"> </w:t>
      </w:r>
      <w:r>
        <w:rPr>
          <w:rFonts w:ascii="Arial" w:cs="Arial" w:eastAsia="Arial" w:hAnsi="Arial"/>
          <w:sz w:val="19"/>
          <w:szCs w:val="19"/>
          <w:color w:val="212121"/>
        </w:rPr>
        <w:t xml:space="preserve">allowance; </w:t>
      </w:r>
      <w:r>
        <w:rPr>
          <w:rFonts w:ascii="Arial" w:cs="Arial" w:eastAsia="Arial" w:hAnsi="Arial"/>
          <w:sz w:val="19"/>
          <w:szCs w:val="19"/>
          <w:color w:val="000000"/>
        </w:rPr>
        <w:t>(</w:t>
      </w:r>
      <w:r>
        <w:rPr>
          <w:rFonts w:ascii="Arial" w:cs="Arial" w:eastAsia="Arial" w:hAnsi="Arial"/>
          <w:sz w:val="19"/>
          <w:szCs w:val="19"/>
          <w:color w:val="212121"/>
        </w:rPr>
        <w:t xml:space="preserve">e) </w:t>
      </w:r>
      <w:r>
        <w:rPr>
          <w:rFonts w:ascii="Arial" w:cs="Arial" w:eastAsia="Arial" w:hAnsi="Arial"/>
          <w:sz w:val="19"/>
          <w:szCs w:val="19"/>
          <w:color w:val="424242"/>
        </w:rPr>
        <w:t>t</w:t>
      </w:r>
      <w:r>
        <w:rPr>
          <w:rFonts w:ascii="Arial" w:cs="Arial" w:eastAsia="Arial" w:hAnsi="Arial"/>
          <w:sz w:val="19"/>
          <w:szCs w:val="19"/>
          <w:color w:val="000000"/>
        </w:rPr>
        <w:t>he</w:t>
      </w:r>
      <w:r>
        <w:rPr>
          <w:rFonts w:ascii="Arial" w:cs="Arial" w:eastAsia="Arial" w:hAnsi="Arial"/>
          <w:sz w:val="19"/>
          <w:szCs w:val="19"/>
          <w:color w:val="212121"/>
        </w:rPr>
        <w:t xml:space="preserve"> existence </w:t>
      </w:r>
      <w:r>
        <w:rPr>
          <w:rFonts w:ascii="Arial" w:cs="Arial" w:eastAsia="Arial" w:hAnsi="Arial"/>
          <w:sz w:val="19"/>
          <w:szCs w:val="19"/>
          <w:color w:val="313131"/>
        </w:rPr>
        <w:t>and</w:t>
      </w:r>
      <w:r>
        <w:rPr>
          <w:rFonts w:ascii="Arial" w:cs="Arial" w:eastAsia="Arial" w:hAnsi="Arial"/>
          <w:sz w:val="19"/>
          <w:szCs w:val="19"/>
          <w:color w:val="212121"/>
        </w:rPr>
        <w:t xml:space="preserve"> amount </w:t>
      </w:r>
      <w:r>
        <w:rPr>
          <w:rFonts w:ascii="Arial" w:cs="Arial" w:eastAsia="Arial" w:hAnsi="Arial"/>
          <w:sz w:val="19"/>
          <w:szCs w:val="19"/>
          <w:color w:val="000000"/>
        </w:rPr>
        <w:t>of</w:t>
      </w:r>
      <w:r>
        <w:rPr>
          <w:rFonts w:ascii="Arial" w:cs="Arial" w:eastAsia="Arial" w:hAnsi="Arial"/>
          <w:sz w:val="19"/>
          <w:szCs w:val="19"/>
          <w:color w:val="212121"/>
        </w:rPr>
        <w:t xml:space="preserve"> any other cash </w:t>
      </w:r>
      <w:r>
        <w:rPr>
          <w:rFonts w:ascii="Arial" w:cs="Arial" w:eastAsia="Arial" w:hAnsi="Arial"/>
          <w:sz w:val="19"/>
          <w:szCs w:val="19"/>
          <w:color w:val="000000"/>
        </w:rPr>
        <w:t>paymen</w:t>
      </w:r>
      <w:r>
        <w:rPr>
          <w:rFonts w:ascii="Arial" w:cs="Arial" w:eastAsia="Arial" w:hAnsi="Arial"/>
          <w:sz w:val="19"/>
          <w:szCs w:val="19"/>
          <w:color w:val="424242"/>
        </w:rPr>
        <w:t>t</w:t>
      </w:r>
      <w:r>
        <w:rPr>
          <w:rFonts w:ascii="Arial" w:cs="Arial" w:eastAsia="Arial" w:hAnsi="Arial"/>
          <w:sz w:val="19"/>
          <w:szCs w:val="19"/>
          <w:color w:val="212121"/>
        </w:rPr>
        <w:t xml:space="preserve"> or other equivalent concession, </w:t>
      </w:r>
      <w:r>
        <w:rPr>
          <w:rFonts w:ascii="Arial" w:cs="Arial" w:eastAsia="Arial" w:hAnsi="Arial"/>
          <w:sz w:val="19"/>
          <w:szCs w:val="19"/>
          <w:color w:val="313131"/>
        </w:rPr>
        <w:t>including,</w:t>
      </w:r>
      <w:r>
        <w:rPr>
          <w:rFonts w:ascii="Arial" w:cs="Arial" w:eastAsia="Arial" w:hAnsi="Arial"/>
          <w:sz w:val="19"/>
          <w:szCs w:val="19"/>
          <w:color w:val="212121"/>
        </w:rPr>
        <w:t xml:space="preserve"> without limitation, </w:t>
      </w:r>
      <w:r>
        <w:rPr>
          <w:rFonts w:ascii="Arial" w:cs="Arial" w:eastAsia="Arial" w:hAnsi="Arial"/>
          <w:sz w:val="19"/>
          <w:szCs w:val="19"/>
          <w:color w:val="000000"/>
        </w:rPr>
        <w:t>moving</w:t>
      </w:r>
      <w:r>
        <w:rPr>
          <w:rFonts w:ascii="Arial" w:cs="Arial" w:eastAsia="Arial" w:hAnsi="Arial"/>
          <w:sz w:val="19"/>
          <w:szCs w:val="19"/>
          <w:color w:val="212121"/>
        </w:rPr>
        <w:t xml:space="preserve"> </w:t>
      </w:r>
      <w:r>
        <w:rPr>
          <w:rFonts w:ascii="Arial" w:cs="Arial" w:eastAsia="Arial" w:hAnsi="Arial"/>
          <w:sz w:val="19"/>
          <w:szCs w:val="19"/>
          <w:color w:val="313131"/>
        </w:rPr>
        <w:t>allowances,</w:t>
      </w:r>
      <w:r>
        <w:rPr>
          <w:rFonts w:ascii="Arial" w:cs="Arial" w:eastAsia="Arial" w:hAnsi="Arial"/>
          <w:sz w:val="19"/>
          <w:szCs w:val="19"/>
          <w:color w:val="212121"/>
        </w:rPr>
        <w:t xml:space="preserve"> lease takeover allowances (or where a lease assumption is applicable, </w:t>
      </w:r>
      <w:r>
        <w:rPr>
          <w:rFonts w:ascii="Arial" w:cs="Arial" w:eastAsia="Arial" w:hAnsi="Arial"/>
          <w:sz w:val="19"/>
          <w:szCs w:val="19"/>
          <w:color w:val="313131"/>
        </w:rPr>
        <w:t>the</w:t>
      </w:r>
      <w:r>
        <w:rPr>
          <w:rFonts w:ascii="Arial" w:cs="Arial" w:eastAsia="Arial" w:hAnsi="Arial"/>
          <w:sz w:val="19"/>
          <w:szCs w:val="19"/>
          <w:color w:val="212121"/>
        </w:rPr>
        <w:t xml:space="preserve"> value </w:t>
      </w:r>
      <w:r>
        <w:rPr>
          <w:rFonts w:ascii="Arial" w:cs="Arial" w:eastAsia="Arial" w:hAnsi="Arial"/>
          <w:sz w:val="19"/>
          <w:szCs w:val="19"/>
          <w:color w:val="000000"/>
        </w:rPr>
        <w:t>thereof),</w:t>
      </w:r>
      <w:r>
        <w:rPr>
          <w:rFonts w:ascii="Arial" w:cs="Arial" w:eastAsia="Arial" w:hAnsi="Arial"/>
          <w:sz w:val="19"/>
          <w:szCs w:val="19"/>
          <w:color w:val="212121"/>
        </w:rPr>
        <w:t xml:space="preserve"> and any comparable </w:t>
      </w:r>
      <w:r>
        <w:rPr>
          <w:rFonts w:ascii="Arial" w:cs="Arial" w:eastAsia="Arial" w:hAnsi="Arial"/>
          <w:sz w:val="19"/>
          <w:szCs w:val="19"/>
          <w:color w:val="000000"/>
        </w:rPr>
        <w:t>tenant</w:t>
      </w:r>
      <w:r>
        <w:rPr>
          <w:rFonts w:ascii="Arial" w:cs="Arial" w:eastAsia="Arial" w:hAnsi="Arial"/>
          <w:sz w:val="19"/>
          <w:szCs w:val="19"/>
          <w:color w:val="212121"/>
        </w:rPr>
        <w:t xml:space="preserve"> </w:t>
      </w:r>
      <w:r>
        <w:rPr>
          <w:rFonts w:ascii="Arial" w:cs="Arial" w:eastAsia="Arial" w:hAnsi="Arial"/>
          <w:sz w:val="19"/>
          <w:szCs w:val="19"/>
          <w:color w:val="313131"/>
        </w:rPr>
        <w:t>inducement;</w:t>
      </w:r>
      <w:r>
        <w:rPr>
          <w:rFonts w:ascii="Arial" w:cs="Arial" w:eastAsia="Arial" w:hAnsi="Arial"/>
          <w:sz w:val="19"/>
          <w:szCs w:val="19"/>
          <w:color w:val="212121"/>
        </w:rPr>
        <w:t xml:space="preserve"> </w:t>
      </w:r>
      <w:r>
        <w:rPr>
          <w:rFonts w:ascii="Arial" w:cs="Arial" w:eastAsia="Arial" w:hAnsi="Arial"/>
          <w:sz w:val="19"/>
          <w:szCs w:val="19"/>
          <w:color w:val="000000"/>
        </w:rPr>
        <w:t>(f) the</w:t>
      </w:r>
      <w:r>
        <w:rPr>
          <w:rFonts w:ascii="Arial" w:cs="Arial" w:eastAsia="Arial" w:hAnsi="Arial"/>
          <w:sz w:val="19"/>
          <w:szCs w:val="19"/>
          <w:color w:val="212121"/>
        </w:rPr>
        <w:t xml:space="preserve"> existence </w:t>
      </w:r>
      <w:r>
        <w:rPr>
          <w:rFonts w:ascii="Arial" w:cs="Arial" w:eastAsia="Arial" w:hAnsi="Arial"/>
          <w:sz w:val="19"/>
          <w:szCs w:val="19"/>
          <w:color w:val="000000"/>
        </w:rPr>
        <w:t>of</w:t>
      </w:r>
      <w:r>
        <w:rPr>
          <w:rFonts w:ascii="Arial" w:cs="Arial" w:eastAsia="Arial" w:hAnsi="Arial"/>
          <w:sz w:val="19"/>
          <w:szCs w:val="19"/>
          <w:color w:val="212121"/>
        </w:rPr>
        <w:t xml:space="preserve"> favorable expansion and/or extension options, </w:t>
      </w:r>
      <w:r>
        <w:rPr>
          <w:rFonts w:ascii="Arial" w:cs="Arial" w:eastAsia="Arial" w:hAnsi="Arial"/>
          <w:sz w:val="19"/>
          <w:szCs w:val="19"/>
          <w:color w:val="000000"/>
        </w:rPr>
        <w:t>and</w:t>
      </w:r>
      <w:r>
        <w:rPr>
          <w:rFonts w:ascii="Arial" w:cs="Arial" w:eastAsia="Arial" w:hAnsi="Arial"/>
          <w:sz w:val="19"/>
          <w:szCs w:val="19"/>
          <w:color w:val="212121"/>
        </w:rPr>
        <w:t xml:space="preserve"> </w:t>
      </w:r>
      <w:r>
        <w:rPr>
          <w:rFonts w:ascii="Arial" w:cs="Arial" w:eastAsia="Arial" w:hAnsi="Arial"/>
          <w:sz w:val="19"/>
          <w:szCs w:val="19"/>
          <w:color w:val="313131"/>
        </w:rPr>
        <w:t>the</w:t>
      </w:r>
      <w:r>
        <w:rPr>
          <w:rFonts w:ascii="Arial" w:cs="Arial" w:eastAsia="Arial" w:hAnsi="Arial"/>
          <w:sz w:val="19"/>
          <w:szCs w:val="19"/>
          <w:color w:val="212121"/>
        </w:rPr>
        <w:t xml:space="preserve"> value thereof; </w:t>
      </w:r>
      <w:r>
        <w:rPr>
          <w:rFonts w:ascii="Arial" w:cs="Arial" w:eastAsia="Arial" w:hAnsi="Arial"/>
          <w:sz w:val="19"/>
          <w:szCs w:val="19"/>
          <w:color w:val="000000"/>
        </w:rPr>
        <w:t>(g)</w:t>
      </w:r>
      <w:r>
        <w:rPr>
          <w:rFonts w:ascii="Arial" w:cs="Arial" w:eastAsia="Arial" w:hAnsi="Arial"/>
          <w:sz w:val="19"/>
          <w:szCs w:val="19"/>
          <w:color w:val="212121"/>
        </w:rPr>
        <w:t xml:space="preserve"> any </w:t>
      </w:r>
      <w:r>
        <w:rPr>
          <w:rFonts w:ascii="Arial" w:cs="Arial" w:eastAsia="Arial" w:hAnsi="Arial"/>
          <w:sz w:val="19"/>
          <w:szCs w:val="19"/>
          <w:color w:val="313131"/>
        </w:rPr>
        <w:t>special</w:t>
      </w:r>
      <w:r>
        <w:rPr>
          <w:rFonts w:ascii="Arial" w:cs="Arial" w:eastAsia="Arial" w:hAnsi="Arial"/>
          <w:sz w:val="19"/>
          <w:szCs w:val="19"/>
          <w:color w:val="212121"/>
        </w:rPr>
        <w:t xml:space="preserve"> </w:t>
      </w:r>
      <w:r>
        <w:rPr>
          <w:rFonts w:ascii="Arial" w:cs="Arial" w:eastAsia="Arial" w:hAnsi="Arial"/>
          <w:sz w:val="19"/>
          <w:szCs w:val="19"/>
          <w:color w:val="000000"/>
        </w:rPr>
        <w:t>parking rights, rates or concessions;</w:t>
      </w:r>
      <w:r>
        <w:rPr>
          <w:rFonts w:ascii="Arial" w:cs="Arial" w:eastAsia="Arial" w:hAnsi="Arial"/>
          <w:sz w:val="19"/>
          <w:szCs w:val="19"/>
          <w:color w:val="212121"/>
        </w:rPr>
        <w:t xml:space="preserve"> (h) whether the lease transaction </w:t>
      </w:r>
      <w:r>
        <w:rPr>
          <w:rFonts w:ascii="Arial" w:cs="Arial" w:eastAsia="Arial" w:hAnsi="Arial"/>
          <w:sz w:val="19"/>
          <w:szCs w:val="19"/>
          <w:color w:val="000000"/>
        </w:rPr>
        <w:t>in</w:t>
      </w:r>
      <w:r>
        <w:rPr>
          <w:rFonts w:ascii="Arial" w:cs="Arial" w:eastAsia="Arial" w:hAnsi="Arial"/>
          <w:sz w:val="19"/>
          <w:szCs w:val="19"/>
          <w:color w:val="212121"/>
        </w:rPr>
        <w:t xml:space="preserve"> </w:t>
      </w:r>
      <w:r>
        <w:rPr>
          <w:rFonts w:ascii="Arial" w:cs="Arial" w:eastAsia="Arial" w:hAnsi="Arial"/>
          <w:sz w:val="19"/>
          <w:szCs w:val="19"/>
          <w:color w:val="313131"/>
        </w:rPr>
        <w:t>question</w:t>
      </w:r>
      <w:r>
        <w:rPr>
          <w:rFonts w:ascii="Arial" w:cs="Arial" w:eastAsia="Arial" w:hAnsi="Arial"/>
          <w:sz w:val="19"/>
          <w:szCs w:val="19"/>
          <w:color w:val="212121"/>
        </w:rPr>
        <w:t xml:space="preserve"> grants </w:t>
      </w:r>
      <w:r>
        <w:rPr>
          <w:rFonts w:ascii="Arial" w:cs="Arial" w:eastAsia="Arial" w:hAnsi="Arial"/>
          <w:sz w:val="19"/>
          <w:szCs w:val="19"/>
          <w:color w:val="000000"/>
        </w:rPr>
        <w:t>to the tenant any protection</w:t>
      </w:r>
      <w:r>
        <w:rPr>
          <w:rFonts w:ascii="Arial" w:cs="Arial" w:eastAsia="Arial" w:hAnsi="Arial"/>
          <w:sz w:val="19"/>
          <w:szCs w:val="19"/>
          <w:color w:val="212121"/>
        </w:rPr>
        <w:t xml:space="preserve"> from </w:t>
      </w:r>
      <w:r>
        <w:rPr>
          <w:rFonts w:ascii="Arial" w:cs="Arial" w:eastAsia="Arial" w:hAnsi="Arial"/>
          <w:sz w:val="19"/>
          <w:szCs w:val="19"/>
          <w:color w:val="000000"/>
        </w:rPr>
        <w:t>increases in</w:t>
      </w:r>
      <w:r>
        <w:rPr>
          <w:rFonts w:ascii="Arial" w:cs="Arial" w:eastAsia="Arial" w:hAnsi="Arial"/>
          <w:sz w:val="19"/>
          <w:szCs w:val="19"/>
          <w:color w:val="212121"/>
        </w:rPr>
        <w:t xml:space="preserve"> real </w:t>
      </w:r>
      <w:r>
        <w:rPr>
          <w:rFonts w:ascii="Arial" w:cs="Arial" w:eastAsia="Arial" w:hAnsi="Arial"/>
          <w:sz w:val="19"/>
          <w:szCs w:val="19"/>
          <w:color w:val="000000"/>
        </w:rPr>
        <w:t>property</w:t>
      </w:r>
      <w:r>
        <w:rPr>
          <w:rFonts w:ascii="Arial" w:cs="Arial" w:eastAsia="Arial" w:hAnsi="Arial"/>
          <w:sz w:val="19"/>
          <w:szCs w:val="19"/>
          <w:color w:val="212121"/>
        </w:rPr>
        <w:t xml:space="preserve"> </w:t>
      </w:r>
      <w:r>
        <w:rPr>
          <w:rFonts w:ascii="Arial" w:cs="Arial" w:eastAsia="Arial" w:hAnsi="Arial"/>
          <w:sz w:val="19"/>
          <w:szCs w:val="19"/>
          <w:color w:val="313131"/>
        </w:rPr>
        <w:t>taxes</w:t>
      </w:r>
      <w:r>
        <w:rPr>
          <w:rFonts w:ascii="Arial" w:cs="Arial" w:eastAsia="Arial" w:hAnsi="Arial"/>
          <w:sz w:val="19"/>
          <w:szCs w:val="19"/>
          <w:color w:val="212121"/>
        </w:rPr>
        <w:t xml:space="preserve"> and/or </w:t>
      </w:r>
      <w:r>
        <w:rPr>
          <w:rFonts w:ascii="Arial" w:cs="Arial" w:eastAsia="Arial" w:hAnsi="Arial"/>
          <w:sz w:val="19"/>
          <w:szCs w:val="19"/>
          <w:color w:val="000000"/>
        </w:rPr>
        <w:t>operating</w:t>
      </w:r>
      <w:r>
        <w:rPr>
          <w:rFonts w:ascii="Arial" w:cs="Arial" w:eastAsia="Arial" w:hAnsi="Arial"/>
          <w:sz w:val="19"/>
          <w:szCs w:val="19"/>
          <w:color w:val="212121"/>
        </w:rPr>
        <w:t xml:space="preserve"> expenses, </w:t>
      </w:r>
      <w:r>
        <w:rPr>
          <w:rFonts w:ascii="Arial" w:cs="Arial" w:eastAsia="Arial" w:hAnsi="Arial"/>
          <w:sz w:val="19"/>
          <w:szCs w:val="19"/>
          <w:color w:val="000000"/>
        </w:rPr>
        <w:t>and if</w:t>
      </w:r>
      <w:r>
        <w:rPr>
          <w:rFonts w:ascii="Arial" w:cs="Arial" w:eastAsia="Arial" w:hAnsi="Arial"/>
          <w:sz w:val="19"/>
          <w:szCs w:val="19"/>
          <w:color w:val="212121"/>
        </w:rPr>
        <w:t xml:space="preserve"> </w:t>
      </w:r>
      <w:r>
        <w:rPr>
          <w:rFonts w:ascii="Arial" w:cs="Arial" w:eastAsia="Arial" w:hAnsi="Arial"/>
          <w:sz w:val="19"/>
          <w:szCs w:val="19"/>
          <w:color w:val="313131"/>
        </w:rPr>
        <w:t>so,</w:t>
      </w:r>
      <w:r>
        <w:rPr>
          <w:rFonts w:ascii="Arial" w:cs="Arial" w:eastAsia="Arial" w:hAnsi="Arial"/>
          <w:sz w:val="19"/>
          <w:szCs w:val="19"/>
          <w:color w:val="212121"/>
        </w:rPr>
        <w:t xml:space="preserve"> </w:t>
      </w:r>
      <w:r>
        <w:rPr>
          <w:rFonts w:ascii="Arial" w:cs="Arial" w:eastAsia="Arial" w:hAnsi="Arial"/>
          <w:sz w:val="19"/>
          <w:szCs w:val="19"/>
          <w:color w:val="000000"/>
        </w:rPr>
        <w:t>the am</w:t>
      </w:r>
      <w:r>
        <w:rPr>
          <w:rFonts w:ascii="Arial" w:cs="Arial" w:eastAsia="Arial" w:hAnsi="Arial"/>
          <w:sz w:val="19"/>
          <w:szCs w:val="19"/>
          <w:color w:val="313131"/>
        </w:rPr>
        <w:t>o</w:t>
      </w:r>
      <w:r>
        <w:rPr>
          <w:rFonts w:ascii="Arial" w:cs="Arial" w:eastAsia="Arial" w:hAnsi="Arial"/>
          <w:sz w:val="19"/>
          <w:szCs w:val="19"/>
          <w:color w:val="000000"/>
        </w:rPr>
        <w:t>unt</w:t>
      </w:r>
      <w:r>
        <w:rPr>
          <w:rFonts w:ascii="Arial" w:cs="Arial" w:eastAsia="Arial" w:hAnsi="Arial"/>
          <w:sz w:val="19"/>
          <w:szCs w:val="19"/>
          <w:color w:val="575757"/>
        </w:rPr>
        <w:t>,.</w:t>
      </w:r>
      <w:r>
        <w:rPr>
          <w:rFonts w:ascii="Arial" w:cs="Arial" w:eastAsia="Arial" w:hAnsi="Arial"/>
          <w:sz w:val="19"/>
          <w:szCs w:val="19"/>
          <w:color w:val="212121"/>
        </w:rPr>
        <w:t xml:space="preserve"> value or cost associated </w:t>
      </w:r>
      <w:r>
        <w:rPr>
          <w:rFonts w:ascii="Arial" w:cs="Arial" w:eastAsia="Arial" w:hAnsi="Arial"/>
          <w:sz w:val="19"/>
          <w:szCs w:val="19"/>
          <w:color w:val="313131"/>
        </w:rPr>
        <w:t>therewith;</w:t>
      </w:r>
      <w:r>
        <w:rPr>
          <w:rFonts w:ascii="Arial" w:cs="Arial" w:eastAsia="Arial" w:hAnsi="Arial"/>
          <w:sz w:val="19"/>
          <w:szCs w:val="19"/>
          <w:color w:val="212121"/>
        </w:rPr>
        <w:t xml:space="preserve"> and </w:t>
      </w:r>
      <w:r>
        <w:rPr>
          <w:rFonts w:ascii="Arial" w:cs="Arial" w:eastAsia="Arial" w:hAnsi="Arial"/>
          <w:sz w:val="19"/>
          <w:szCs w:val="19"/>
          <w:color w:val="000000"/>
        </w:rPr>
        <w:t>(i) the</w:t>
      </w:r>
      <w:r>
        <w:rPr>
          <w:rFonts w:ascii="Arial" w:cs="Arial" w:eastAsia="Arial" w:hAnsi="Arial"/>
          <w:sz w:val="19"/>
          <w:szCs w:val="19"/>
          <w:color w:val="212121"/>
        </w:rPr>
        <w:t xml:space="preserve"> </w:t>
      </w:r>
      <w:r>
        <w:rPr>
          <w:rFonts w:ascii="Arial" w:cs="Arial" w:eastAsia="Arial" w:hAnsi="Arial"/>
          <w:sz w:val="19"/>
          <w:szCs w:val="19"/>
          <w:color w:val="313131"/>
        </w:rPr>
        <w:t>credit standing</w:t>
      </w:r>
      <w:r>
        <w:rPr>
          <w:rFonts w:ascii="Arial" w:cs="Arial" w:eastAsia="Arial" w:hAnsi="Arial"/>
          <w:sz w:val="19"/>
          <w:szCs w:val="19"/>
          <w:color w:val="212121"/>
        </w:rPr>
        <w:t xml:space="preserve"> of the </w:t>
      </w:r>
      <w:r>
        <w:rPr>
          <w:rFonts w:ascii="Arial" w:cs="Arial" w:eastAsia="Arial" w:hAnsi="Arial"/>
          <w:sz w:val="19"/>
          <w:szCs w:val="19"/>
          <w:color w:val="000000"/>
        </w:rPr>
        <w:t>tenant in</w:t>
      </w:r>
      <w:r>
        <w:rPr>
          <w:rFonts w:ascii="Arial" w:cs="Arial" w:eastAsia="Arial" w:hAnsi="Arial"/>
          <w:sz w:val="19"/>
          <w:szCs w:val="19"/>
          <w:color w:val="212121"/>
        </w:rPr>
        <w:t xml:space="preserve"> </w:t>
      </w:r>
      <w:r>
        <w:rPr>
          <w:rFonts w:ascii="Arial" w:cs="Arial" w:eastAsia="Arial" w:hAnsi="Arial"/>
          <w:sz w:val="19"/>
          <w:szCs w:val="19"/>
          <w:color w:val="000000"/>
        </w:rPr>
        <w:t xml:space="preserve">question </w:t>
      </w:r>
      <w:r>
        <w:rPr>
          <w:rFonts w:ascii="Arial" w:cs="Arial" w:eastAsia="Arial" w:hAnsi="Arial"/>
          <w:sz w:val="19"/>
          <w:szCs w:val="19"/>
          <w:color w:val="313131"/>
        </w:rPr>
        <w:t>and/or</w:t>
      </w:r>
      <w:r>
        <w:rPr>
          <w:rFonts w:ascii="Arial" w:cs="Arial" w:eastAsia="Arial" w:hAnsi="Arial"/>
          <w:sz w:val="19"/>
          <w:szCs w:val="19"/>
          <w:color w:val="000000"/>
        </w:rPr>
        <w:t xml:space="preserve"> </w:t>
      </w:r>
      <w:r>
        <w:rPr>
          <w:rFonts w:ascii="Arial" w:cs="Arial" w:eastAsia="Arial" w:hAnsi="Arial"/>
          <w:sz w:val="19"/>
          <w:szCs w:val="19"/>
          <w:color w:val="212121"/>
        </w:rPr>
        <w:t>the amount of</w:t>
      </w:r>
      <w:r>
        <w:rPr>
          <w:rFonts w:ascii="Arial" w:cs="Arial" w:eastAsia="Arial" w:hAnsi="Arial"/>
          <w:sz w:val="19"/>
          <w:szCs w:val="19"/>
          <w:color w:val="000000"/>
        </w:rPr>
        <w:t xml:space="preserve"> letters of credit, cash security deposits, and/or other credit enhancements required to be made available by the tenant in question.</w:t>
      </w:r>
    </w:p>
    <w:p>
      <w:pPr>
        <w:spacing w:after="0" w:line="375" w:lineRule="exact"/>
        <w:rPr>
          <w:sz w:val="20"/>
          <w:szCs w:val="20"/>
          <w:color w:val="auto"/>
        </w:rPr>
      </w:pPr>
    </w:p>
    <w:p>
      <w:pPr>
        <w:jc w:val="both"/>
        <w:ind w:left="660" w:hanging="652"/>
        <w:spacing w:after="0" w:line="252" w:lineRule="auto"/>
        <w:tabs>
          <w:tab w:leader="none" w:pos="660" w:val="left"/>
        </w:tabs>
        <w:numPr>
          <w:ilvl w:val="0"/>
          <w:numId w:val="310"/>
        </w:numPr>
        <w:rPr>
          <w:rFonts w:ascii="Arial" w:cs="Arial" w:eastAsia="Arial" w:hAnsi="Arial"/>
          <w:sz w:val="19"/>
          <w:szCs w:val="19"/>
          <w:color w:val="auto"/>
        </w:rPr>
      </w:pPr>
      <w:r>
        <w:rPr>
          <w:rFonts w:ascii="Arial" w:cs="Arial" w:eastAsia="Arial" w:hAnsi="Arial"/>
          <w:sz w:val="19"/>
          <w:szCs w:val="19"/>
          <w:u w:val="single" w:color="auto"/>
          <w:color w:val="auto"/>
        </w:rPr>
        <w:t>Tenant’s Maintenance of Building; Turnover Election</w:t>
      </w:r>
      <w:r>
        <w:rPr>
          <w:rFonts w:ascii="Arial" w:cs="Arial" w:eastAsia="Arial" w:hAnsi="Arial"/>
          <w:sz w:val="19"/>
          <w:szCs w:val="19"/>
          <w:color w:val="auto"/>
        </w:rPr>
        <w:t xml:space="preserve">. Tenant shall have the right, no more than once during the Term of this Lease, to elect to turnover Tenant’s obligations pursuant to </w:t>
      </w:r>
      <w:r>
        <w:rPr>
          <w:rFonts w:ascii="Arial" w:cs="Arial" w:eastAsia="Arial" w:hAnsi="Arial"/>
          <w:sz w:val="19"/>
          <w:szCs w:val="19"/>
          <w:u w:val="single" w:color="auto"/>
          <w:color w:val="auto"/>
        </w:rPr>
        <w:t>Section 43.1(a)</w:t>
      </w:r>
      <w:r>
        <w:rPr>
          <w:rFonts w:ascii="Arial" w:cs="Arial" w:eastAsia="Arial" w:hAnsi="Arial"/>
          <w:sz w:val="19"/>
          <w:szCs w:val="19"/>
          <w:color w:val="auto"/>
        </w:rPr>
        <w:t xml:space="preserve"> through (c), inclusive, to Landlord (the “</w:t>
      </w:r>
      <w:r>
        <w:rPr>
          <w:rFonts w:ascii="Arial" w:cs="Arial" w:eastAsia="Arial" w:hAnsi="Arial"/>
          <w:sz w:val="19"/>
          <w:szCs w:val="19"/>
          <w:u w:val="single" w:color="auto"/>
          <w:color w:val="auto"/>
        </w:rPr>
        <w:t>Turnover</w:t>
      </w:r>
      <w:r>
        <w:rPr>
          <w:rFonts w:ascii="Arial" w:cs="Arial" w:eastAsia="Arial" w:hAnsi="Arial"/>
          <w:sz w:val="19"/>
          <w:szCs w:val="19"/>
          <w:color w:val="auto"/>
        </w:rPr>
        <w:t>”), by delivery of written notice to Landlord, together with copies of all Service Contracts, warranties and any other documentation related to the maintenance of the Building then in effect and in the possession or control of Tenant (the ‘‘Turnover Notice”), subject to and in accordance with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01" w:right="339" w:bottom="1440" w:gutter="0" w:footer="0" w:header="0"/>
        </w:sectPr>
      </w:pPr>
    </w:p>
    <w:bookmarkStart w:id="371" w:name="page372"/>
    <w:bookmarkEnd w:id="371"/>
    <w:p>
      <w:pPr>
        <w:jc w:val="both"/>
        <w:ind w:left="180" w:hanging="647"/>
        <w:spacing w:after="0" w:line="223" w:lineRule="auto"/>
        <w:tabs>
          <w:tab w:leader="none" w:pos="160" w:val="left"/>
        </w:tabs>
        <w:rPr>
          <w:sz w:val="20"/>
          <w:szCs w:val="20"/>
          <w:color w:val="auto"/>
        </w:rPr>
      </w:pPr>
      <w:r>
        <w:rPr>
          <w:rFonts w:ascii="Arial" w:cs="Arial" w:eastAsia="Arial" w:hAnsi="Arial"/>
          <w:sz w:val="22"/>
          <w:szCs w:val="22"/>
          <w:color w:val="auto"/>
        </w:rPr>
        <w:t>43.1</w:t>
        <w:tab/>
        <w:t>Notwithstanding any provision to the contrary in this Lease, as of the Term Commencement Date and continuing until the earlier to occur of (a) the expiration of the Term or (b) the Turnover Date, the following provisions shall apply:</w:t>
      </w:r>
    </w:p>
    <w:p>
      <w:pPr>
        <w:spacing w:after="0" w:line="159" w:lineRule="exact"/>
        <w:rPr>
          <w:sz w:val="20"/>
          <w:szCs w:val="20"/>
          <w:color w:val="auto"/>
        </w:rPr>
      </w:pPr>
    </w:p>
    <w:p>
      <w:pPr>
        <w:jc w:val="both"/>
        <w:ind w:left="840" w:hanging="647"/>
        <w:spacing w:after="0" w:line="216" w:lineRule="auto"/>
        <w:rPr>
          <w:sz w:val="20"/>
          <w:szCs w:val="20"/>
          <w:color w:val="auto"/>
        </w:rPr>
      </w:pPr>
      <w:r>
        <w:rPr>
          <w:rFonts w:ascii="Arial" w:cs="Arial" w:eastAsia="Arial" w:hAnsi="Arial"/>
          <w:sz w:val="22"/>
          <w:szCs w:val="22"/>
          <w:color w:val="auto"/>
        </w:rPr>
        <w:t>43.1.1. Tenant shall repair, replace and maintain in accordance with standards for comparable first-class buildings in the Rockville, Maryland area and in accordance with all Applicable Laws the Building, including the Building System Improvements (except for the Structural Building Improvements capital repairs or replacements of the Building System Improvements, which both shall remain the responsibility of Landlord throughout the Term).</w:t>
      </w:r>
    </w:p>
    <w:p>
      <w:pPr>
        <w:spacing w:after="0" w:line="158" w:lineRule="exact"/>
        <w:rPr>
          <w:sz w:val="20"/>
          <w:szCs w:val="20"/>
          <w:color w:val="auto"/>
        </w:rPr>
      </w:pPr>
    </w:p>
    <w:p>
      <w:pPr>
        <w:jc w:val="both"/>
        <w:ind w:left="840" w:hanging="647"/>
        <w:spacing w:after="0" w:line="223" w:lineRule="auto"/>
        <w:rPr>
          <w:sz w:val="20"/>
          <w:szCs w:val="20"/>
          <w:color w:val="auto"/>
        </w:rPr>
      </w:pPr>
      <w:r>
        <w:rPr>
          <w:rFonts w:ascii="Arial" w:cs="Arial" w:eastAsia="Arial" w:hAnsi="Arial"/>
          <w:sz w:val="22"/>
          <w:szCs w:val="22"/>
          <w:color w:val="auto"/>
        </w:rPr>
        <w:t>43.1.2. Tenant shall make all arrangements for and pay for all utilities, including water, electricity, air, sewer, refuse, gas, heat, light, power, telephone service and any other service or utility Tenant required at the Premises.</w:t>
      </w:r>
    </w:p>
    <w:p>
      <w:pPr>
        <w:spacing w:after="0" w:line="159" w:lineRule="exact"/>
        <w:rPr>
          <w:sz w:val="20"/>
          <w:szCs w:val="20"/>
          <w:color w:val="auto"/>
        </w:rPr>
      </w:pPr>
    </w:p>
    <w:p>
      <w:pPr>
        <w:jc w:val="both"/>
        <w:ind w:left="840" w:hanging="647"/>
        <w:spacing w:after="0" w:line="222" w:lineRule="auto"/>
        <w:rPr>
          <w:sz w:val="20"/>
          <w:szCs w:val="20"/>
          <w:color w:val="auto"/>
        </w:rPr>
      </w:pPr>
      <w:r>
        <w:rPr>
          <w:rFonts w:ascii="Arial" w:cs="Arial" w:eastAsia="Arial" w:hAnsi="Arial"/>
          <w:sz w:val="21"/>
          <w:szCs w:val="21"/>
          <w:color w:val="auto"/>
        </w:rPr>
        <w:t>43.1.3. Tenant shall, at Tenant’s sole cost and expense, procure and maintain (i) contracts, with copies furnished promptly to Landlord after execution thereof, in customary form and substance for, and with contractors specializing and experienced in, the maintenance and repair of the Building System Improvements including, without limitation, the (a) HVAC equipment, (b) boilers and pressure vessels, (c) fire and life safety systems, including fire alarm and smoke detection devices, (d) roof coverings and drains, (e) clarifiers, and (f) basic utility feeds to the perimeter of the Building (collectively, the “</w:t>
      </w:r>
      <w:r>
        <w:rPr>
          <w:rFonts w:ascii="Arial" w:cs="Arial" w:eastAsia="Arial" w:hAnsi="Arial"/>
          <w:sz w:val="21"/>
          <w:szCs w:val="21"/>
          <w:u w:val="single" w:color="auto"/>
          <w:color w:val="auto"/>
        </w:rPr>
        <w:t>Service Contracts</w:t>
      </w:r>
      <w:r>
        <w:rPr>
          <w:rFonts w:ascii="Arial" w:cs="Arial" w:eastAsia="Arial" w:hAnsi="Arial"/>
          <w:sz w:val="21"/>
          <w:szCs w:val="21"/>
          <w:color w:val="auto"/>
        </w:rPr>
        <w:t>”) and (ii) warranties for any Building improvements.</w:t>
      </w:r>
    </w:p>
    <w:p>
      <w:pPr>
        <w:spacing w:after="0" w:line="164" w:lineRule="exact"/>
        <w:rPr>
          <w:sz w:val="20"/>
          <w:szCs w:val="20"/>
          <w:color w:val="auto"/>
        </w:rPr>
      </w:pPr>
    </w:p>
    <w:p>
      <w:pPr>
        <w:jc w:val="both"/>
        <w:ind w:left="840" w:right="20" w:hanging="647"/>
        <w:spacing w:after="0" w:line="223" w:lineRule="auto"/>
        <w:rPr>
          <w:sz w:val="20"/>
          <w:szCs w:val="20"/>
          <w:color w:val="auto"/>
        </w:rPr>
      </w:pPr>
      <w:r>
        <w:rPr>
          <w:rFonts w:ascii="Arial" w:cs="Arial" w:eastAsia="Arial" w:hAnsi="Arial"/>
          <w:sz w:val="22"/>
          <w:szCs w:val="22"/>
          <w:color w:val="auto"/>
        </w:rPr>
        <w:t>43.1.4. Landlord shall not be required to provide the following services to the Building: cleaning and trash removal; hot and cold water; gas; heat, ventilation and air conditioning; light; telephone; fire and life safety; electricity; sewer; other utilities; security system services or elevator service.</w:t>
      </w:r>
    </w:p>
    <w:p>
      <w:pPr>
        <w:spacing w:after="0" w:line="159" w:lineRule="exact"/>
        <w:rPr>
          <w:sz w:val="20"/>
          <w:szCs w:val="20"/>
          <w:color w:val="auto"/>
        </w:rPr>
      </w:pPr>
    </w:p>
    <w:p>
      <w:pPr>
        <w:jc w:val="both"/>
        <w:ind w:left="840" w:hanging="647"/>
        <w:spacing w:after="0" w:line="232" w:lineRule="auto"/>
        <w:rPr>
          <w:sz w:val="20"/>
          <w:szCs w:val="20"/>
          <w:color w:val="auto"/>
        </w:rPr>
      </w:pPr>
      <w:r>
        <w:rPr>
          <w:rFonts w:ascii="Arial" w:cs="Arial" w:eastAsia="Arial" w:hAnsi="Arial"/>
          <w:sz w:val="22"/>
          <w:szCs w:val="22"/>
          <w:color w:val="auto"/>
        </w:rPr>
        <w:t xml:space="preserve">43.1.5. Landlord shall, at all times regardless of whether or not the Turnover has occurred, have the right to inspect the Premises in accordance with the provisions of </w:t>
      </w:r>
      <w:r>
        <w:rPr>
          <w:rFonts w:ascii="Arial" w:cs="Arial" w:eastAsia="Arial" w:hAnsi="Arial"/>
          <w:sz w:val="22"/>
          <w:szCs w:val="22"/>
          <w:u w:val="single" w:color="auto"/>
          <w:color w:val="auto"/>
        </w:rPr>
        <w:t>Section 14.4</w:t>
      </w:r>
      <w:r>
        <w:rPr>
          <w:rFonts w:ascii="Arial" w:cs="Arial" w:eastAsia="Arial" w:hAnsi="Arial"/>
          <w:sz w:val="22"/>
          <w:szCs w:val="22"/>
          <w:color w:val="auto"/>
        </w:rPr>
        <w:t>.</w:t>
      </w:r>
    </w:p>
    <w:p>
      <w:pPr>
        <w:spacing w:after="0" w:line="159" w:lineRule="exact"/>
        <w:rPr>
          <w:sz w:val="20"/>
          <w:szCs w:val="20"/>
          <w:color w:val="auto"/>
        </w:rPr>
      </w:pPr>
    </w:p>
    <w:p>
      <w:pPr>
        <w:jc w:val="both"/>
        <w:ind w:left="840" w:hanging="647"/>
        <w:spacing w:after="0" w:line="242" w:lineRule="auto"/>
        <w:rPr>
          <w:sz w:val="20"/>
          <w:szCs w:val="20"/>
          <w:color w:val="auto"/>
        </w:rPr>
      </w:pPr>
      <w:r>
        <w:rPr>
          <w:rFonts w:ascii="Arial" w:cs="Arial" w:eastAsia="Arial" w:hAnsi="Arial"/>
          <w:sz w:val="19"/>
          <w:szCs w:val="19"/>
          <w:color w:val="auto"/>
        </w:rPr>
        <w:t xml:space="preserve">43.1.6. </w:t>
      </w:r>
      <w:r>
        <w:rPr>
          <w:rFonts w:ascii="Arial" w:cs="Arial" w:eastAsia="Arial" w:hAnsi="Arial"/>
          <w:sz w:val="19"/>
          <w:szCs w:val="19"/>
          <w:color w:val="111111"/>
        </w:rPr>
        <w:t>In</w:t>
      </w:r>
      <w:r>
        <w:rPr>
          <w:rFonts w:ascii="Arial" w:cs="Arial" w:eastAsia="Arial" w:hAnsi="Arial"/>
          <w:sz w:val="19"/>
          <w:szCs w:val="19"/>
          <w:color w:val="auto"/>
        </w:rPr>
        <w:t xml:space="preserve"> addition </w:t>
      </w:r>
      <w:r>
        <w:rPr>
          <w:rFonts w:ascii="Arial" w:cs="Arial" w:eastAsia="Arial" w:hAnsi="Arial"/>
          <w:sz w:val="19"/>
          <w:szCs w:val="19"/>
          <w:color w:val="111111"/>
        </w:rPr>
        <w:t>to</w:t>
      </w:r>
      <w:r>
        <w:rPr>
          <w:rFonts w:ascii="Arial" w:cs="Arial" w:eastAsia="Arial" w:hAnsi="Arial"/>
          <w:sz w:val="19"/>
          <w:szCs w:val="19"/>
          <w:color w:val="auto"/>
        </w:rPr>
        <w:t xml:space="preserve"> all of </w:t>
      </w:r>
      <w:r>
        <w:rPr>
          <w:rFonts w:ascii="Arial" w:cs="Arial" w:eastAsia="Arial" w:hAnsi="Arial"/>
          <w:sz w:val="19"/>
          <w:szCs w:val="19"/>
          <w:color w:val="111111"/>
        </w:rPr>
        <w:t>Landlord’</w:t>
      </w:r>
      <w:r>
        <w:rPr>
          <w:rFonts w:ascii="Arial" w:cs="Arial" w:eastAsia="Arial" w:hAnsi="Arial"/>
          <w:sz w:val="19"/>
          <w:szCs w:val="19"/>
          <w:color w:val="3B3B3B"/>
        </w:rPr>
        <w:t>s</w:t>
      </w:r>
      <w:r>
        <w:rPr>
          <w:rFonts w:ascii="Arial" w:cs="Arial" w:eastAsia="Arial" w:hAnsi="Arial"/>
          <w:sz w:val="19"/>
          <w:szCs w:val="19"/>
          <w:color w:val="auto"/>
        </w:rPr>
        <w:t xml:space="preserve"> remedies under </w:t>
      </w:r>
      <w:r>
        <w:rPr>
          <w:rFonts w:ascii="Arial" w:cs="Arial" w:eastAsia="Arial" w:hAnsi="Arial"/>
          <w:sz w:val="19"/>
          <w:szCs w:val="19"/>
          <w:color w:val="111111"/>
        </w:rPr>
        <w:t>this Lease, if (a) Tenant does</w:t>
      </w:r>
      <w:r>
        <w:rPr>
          <w:rFonts w:ascii="Arial" w:cs="Arial" w:eastAsia="Arial" w:hAnsi="Arial"/>
          <w:sz w:val="19"/>
          <w:szCs w:val="19"/>
          <w:color w:val="auto"/>
        </w:rPr>
        <w:t xml:space="preserve"> not </w:t>
      </w:r>
      <w:r>
        <w:rPr>
          <w:rFonts w:ascii="Arial" w:cs="Arial" w:eastAsia="Arial" w:hAnsi="Arial"/>
          <w:sz w:val="19"/>
          <w:szCs w:val="19"/>
          <w:color w:val="111111"/>
        </w:rPr>
        <w:t>maintain</w:t>
      </w:r>
      <w:r>
        <w:rPr>
          <w:rFonts w:ascii="Arial" w:cs="Arial" w:eastAsia="Arial" w:hAnsi="Arial"/>
          <w:sz w:val="19"/>
          <w:szCs w:val="19"/>
          <w:color w:val="auto"/>
        </w:rPr>
        <w:t xml:space="preserve"> the </w:t>
      </w:r>
      <w:r>
        <w:rPr>
          <w:rFonts w:ascii="Arial" w:cs="Arial" w:eastAsia="Arial" w:hAnsi="Arial"/>
          <w:sz w:val="19"/>
          <w:szCs w:val="19"/>
          <w:color w:val="111111"/>
        </w:rPr>
        <w:t>Building</w:t>
      </w:r>
      <w:r>
        <w:rPr>
          <w:rFonts w:ascii="Arial" w:cs="Arial" w:eastAsia="Arial" w:hAnsi="Arial"/>
          <w:sz w:val="19"/>
          <w:szCs w:val="19"/>
          <w:color w:val="auto"/>
        </w:rPr>
        <w:t xml:space="preserve"> as </w:t>
      </w:r>
      <w:r>
        <w:rPr>
          <w:rFonts w:ascii="Arial" w:cs="Arial" w:eastAsia="Arial" w:hAnsi="Arial"/>
          <w:sz w:val="19"/>
          <w:szCs w:val="19"/>
          <w:color w:val="111111"/>
        </w:rPr>
        <w:t xml:space="preserve">required </w:t>
      </w:r>
      <w:r>
        <w:rPr>
          <w:rFonts w:ascii="Arial" w:cs="Arial" w:eastAsia="Arial" w:hAnsi="Arial"/>
          <w:sz w:val="19"/>
          <w:szCs w:val="19"/>
          <w:color w:val="000000"/>
        </w:rPr>
        <w:t>under</w:t>
      </w:r>
      <w:r>
        <w:rPr>
          <w:rFonts w:ascii="Arial" w:cs="Arial" w:eastAsia="Arial" w:hAnsi="Arial"/>
          <w:sz w:val="19"/>
          <w:szCs w:val="19"/>
          <w:color w:val="111111"/>
        </w:rPr>
        <w:t xml:space="preserve"> this </w:t>
      </w:r>
      <w:r>
        <w:rPr>
          <w:rFonts w:ascii="Arial" w:cs="Arial" w:eastAsia="Arial" w:hAnsi="Arial"/>
          <w:sz w:val="19"/>
          <w:szCs w:val="19"/>
          <w:color w:val="000000"/>
        </w:rPr>
        <w:t>Lease or (b) repairs or replacement of</w:t>
      </w:r>
      <w:r>
        <w:rPr>
          <w:rFonts w:ascii="Arial" w:cs="Arial" w:eastAsia="Arial" w:hAnsi="Arial"/>
          <w:sz w:val="19"/>
          <w:szCs w:val="19"/>
          <w:color w:val="111111"/>
        </w:rPr>
        <w:t xml:space="preserve"> any portion </w:t>
      </w:r>
      <w:r>
        <w:rPr>
          <w:rFonts w:ascii="Arial" w:cs="Arial" w:eastAsia="Arial" w:hAnsi="Arial"/>
          <w:sz w:val="19"/>
          <w:szCs w:val="19"/>
          <w:color w:val="000000"/>
        </w:rPr>
        <w:t>of</w:t>
      </w:r>
      <w:r>
        <w:rPr>
          <w:rFonts w:ascii="Arial" w:cs="Arial" w:eastAsia="Arial" w:hAnsi="Arial"/>
          <w:sz w:val="19"/>
          <w:szCs w:val="19"/>
          <w:color w:val="111111"/>
        </w:rPr>
        <w:t xml:space="preserve"> the Build</w:t>
      </w:r>
      <w:r>
        <w:rPr>
          <w:rFonts w:ascii="Arial" w:cs="Arial" w:eastAsia="Arial" w:hAnsi="Arial"/>
          <w:sz w:val="19"/>
          <w:szCs w:val="19"/>
          <w:color w:val="3B3B3B"/>
        </w:rPr>
        <w:t>ing</w:t>
      </w:r>
      <w:r>
        <w:rPr>
          <w:rFonts w:ascii="Arial" w:cs="Arial" w:eastAsia="Arial" w:hAnsi="Arial"/>
          <w:sz w:val="19"/>
          <w:szCs w:val="19"/>
          <w:color w:val="111111"/>
        </w:rPr>
        <w:t xml:space="preserve"> </w:t>
      </w:r>
      <w:r>
        <w:rPr>
          <w:rFonts w:ascii="Arial" w:cs="Arial" w:eastAsia="Arial" w:hAnsi="Arial"/>
          <w:sz w:val="19"/>
          <w:szCs w:val="19"/>
          <w:color w:val="000000"/>
        </w:rPr>
        <w:t>or the</w:t>
      </w:r>
      <w:r>
        <w:rPr>
          <w:rFonts w:ascii="Arial" w:cs="Arial" w:eastAsia="Arial" w:hAnsi="Arial"/>
          <w:sz w:val="19"/>
          <w:szCs w:val="19"/>
          <w:color w:val="111111"/>
        </w:rPr>
        <w:t xml:space="preserve"> Proj</w:t>
      </w:r>
      <w:r>
        <w:rPr>
          <w:rFonts w:ascii="Arial" w:cs="Arial" w:eastAsia="Arial" w:hAnsi="Arial"/>
          <w:sz w:val="19"/>
          <w:szCs w:val="19"/>
          <w:color w:val="3B3B3B"/>
        </w:rPr>
        <w:t>ec</w:t>
      </w:r>
      <w:r>
        <w:rPr>
          <w:rFonts w:ascii="Arial" w:cs="Arial" w:eastAsia="Arial" w:hAnsi="Arial"/>
          <w:sz w:val="19"/>
          <w:szCs w:val="19"/>
          <w:color w:val="111111"/>
        </w:rPr>
        <w:t xml:space="preserve">t is </w:t>
      </w:r>
      <w:r>
        <w:rPr>
          <w:rFonts w:ascii="Arial" w:cs="Arial" w:eastAsia="Arial" w:hAnsi="Arial"/>
          <w:sz w:val="19"/>
          <w:szCs w:val="19"/>
          <w:color w:val="000000"/>
        </w:rPr>
        <w:t xml:space="preserve">made necessary </w:t>
      </w:r>
      <w:r>
        <w:rPr>
          <w:rFonts w:ascii="Arial" w:cs="Arial" w:eastAsia="Arial" w:hAnsi="Arial"/>
          <w:sz w:val="19"/>
          <w:szCs w:val="19"/>
          <w:color w:val="111111"/>
        </w:rPr>
        <w:t>by</w:t>
      </w:r>
      <w:r>
        <w:rPr>
          <w:rFonts w:ascii="Arial" w:cs="Arial" w:eastAsia="Arial" w:hAnsi="Arial"/>
          <w:sz w:val="19"/>
          <w:szCs w:val="19"/>
          <w:color w:val="000000"/>
        </w:rPr>
        <w:t xml:space="preserve"> any act, omission or negligence of Tenant or its agents, employees </w:t>
      </w:r>
      <w:r>
        <w:rPr>
          <w:rFonts w:ascii="Arial" w:cs="Arial" w:eastAsia="Arial" w:hAnsi="Arial"/>
          <w:sz w:val="19"/>
          <w:szCs w:val="19"/>
          <w:color w:val="111111"/>
        </w:rPr>
        <w:t>or invitees, then</w:t>
      </w:r>
      <w:r>
        <w:rPr>
          <w:rFonts w:ascii="Arial" w:cs="Arial" w:eastAsia="Arial" w:hAnsi="Arial"/>
          <w:sz w:val="19"/>
          <w:szCs w:val="19"/>
          <w:color w:val="000000"/>
        </w:rPr>
        <w:t xml:space="preserve"> </w:t>
      </w:r>
      <w:r>
        <w:rPr>
          <w:rFonts w:ascii="Arial" w:cs="Arial" w:eastAsia="Arial" w:hAnsi="Arial"/>
          <w:sz w:val="19"/>
          <w:szCs w:val="19"/>
          <w:color w:val="3B3B3B"/>
        </w:rPr>
        <w:t>Lan</w:t>
      </w:r>
      <w:r>
        <w:rPr>
          <w:rFonts w:ascii="Arial" w:cs="Arial" w:eastAsia="Arial" w:hAnsi="Arial"/>
          <w:sz w:val="19"/>
          <w:szCs w:val="19"/>
          <w:color w:val="111111"/>
        </w:rPr>
        <w:t>dlord may</w:t>
      </w:r>
      <w:r>
        <w:rPr>
          <w:rFonts w:ascii="Arial" w:cs="Arial" w:eastAsia="Arial" w:hAnsi="Arial"/>
          <w:sz w:val="19"/>
          <w:szCs w:val="19"/>
          <w:color w:val="3B3B3B"/>
        </w:rPr>
        <w:t xml:space="preserve"> </w:t>
      </w:r>
      <w:r>
        <w:rPr>
          <w:rFonts w:ascii="Arial" w:cs="Arial" w:eastAsia="Arial" w:hAnsi="Arial"/>
          <w:sz w:val="19"/>
          <w:szCs w:val="19"/>
          <w:color w:val="000000"/>
        </w:rPr>
        <w:t>make</w:t>
      </w:r>
      <w:r>
        <w:rPr>
          <w:rFonts w:ascii="Arial" w:cs="Arial" w:eastAsia="Arial" w:hAnsi="Arial"/>
          <w:sz w:val="19"/>
          <w:szCs w:val="19"/>
          <w:color w:val="3B3B3B"/>
        </w:rPr>
        <w:t xml:space="preserve"> s</w:t>
      </w:r>
      <w:r>
        <w:rPr>
          <w:rFonts w:ascii="Arial" w:cs="Arial" w:eastAsia="Arial" w:hAnsi="Arial"/>
          <w:sz w:val="19"/>
          <w:szCs w:val="19"/>
          <w:color w:val="111111"/>
        </w:rPr>
        <w:t>uch repair</w:t>
      </w:r>
      <w:r>
        <w:rPr>
          <w:rFonts w:ascii="Arial" w:cs="Arial" w:eastAsia="Arial" w:hAnsi="Arial"/>
          <w:sz w:val="19"/>
          <w:szCs w:val="19"/>
          <w:color w:val="3B3B3B"/>
        </w:rPr>
        <w:t xml:space="preserve">s </w:t>
      </w:r>
      <w:r>
        <w:rPr>
          <w:rFonts w:ascii="Arial" w:cs="Arial" w:eastAsia="Arial" w:hAnsi="Arial"/>
          <w:sz w:val="19"/>
          <w:szCs w:val="19"/>
          <w:color w:val="000000"/>
        </w:rPr>
        <w:t>or provide such maintenance without</w:t>
      </w:r>
      <w:r>
        <w:rPr>
          <w:rFonts w:ascii="Arial" w:cs="Arial" w:eastAsia="Arial" w:hAnsi="Arial"/>
          <w:sz w:val="19"/>
          <w:szCs w:val="19"/>
          <w:color w:val="3B3B3B"/>
        </w:rPr>
        <w:t xml:space="preserve"> </w:t>
      </w:r>
      <w:r>
        <w:rPr>
          <w:rFonts w:ascii="Arial" w:cs="Arial" w:eastAsia="Arial" w:hAnsi="Arial"/>
          <w:sz w:val="19"/>
          <w:szCs w:val="19"/>
          <w:color w:val="111111"/>
        </w:rPr>
        <w:t>liabili</w:t>
      </w:r>
      <w:r>
        <w:rPr>
          <w:rFonts w:ascii="Arial" w:cs="Arial" w:eastAsia="Arial" w:hAnsi="Arial"/>
          <w:sz w:val="19"/>
          <w:szCs w:val="19"/>
          <w:color w:val="3B3B3B"/>
        </w:rPr>
        <w:t xml:space="preserve">ty </w:t>
      </w:r>
      <w:r>
        <w:rPr>
          <w:rFonts w:ascii="Arial" w:cs="Arial" w:eastAsia="Arial" w:hAnsi="Arial"/>
          <w:sz w:val="19"/>
          <w:szCs w:val="19"/>
          <w:color w:val="000000"/>
        </w:rPr>
        <w:t>to Tenant for any</w:t>
      </w:r>
      <w:r>
        <w:rPr>
          <w:rFonts w:ascii="Arial" w:cs="Arial" w:eastAsia="Arial" w:hAnsi="Arial"/>
          <w:sz w:val="19"/>
          <w:szCs w:val="19"/>
          <w:color w:val="3B3B3B"/>
        </w:rPr>
        <w:t xml:space="preserve"> </w:t>
      </w:r>
      <w:r>
        <w:rPr>
          <w:rFonts w:ascii="Arial" w:cs="Arial" w:eastAsia="Arial" w:hAnsi="Arial"/>
          <w:sz w:val="19"/>
          <w:szCs w:val="19"/>
          <w:color w:val="111111"/>
        </w:rPr>
        <w:t>lo</w:t>
      </w:r>
      <w:r>
        <w:rPr>
          <w:rFonts w:ascii="Arial" w:cs="Arial" w:eastAsia="Arial" w:hAnsi="Arial"/>
          <w:sz w:val="19"/>
          <w:szCs w:val="19"/>
          <w:color w:val="3B3B3B"/>
        </w:rPr>
        <w:t xml:space="preserve">ss </w:t>
      </w:r>
      <w:r>
        <w:rPr>
          <w:rFonts w:ascii="Arial" w:cs="Arial" w:eastAsia="Arial" w:hAnsi="Arial"/>
          <w:sz w:val="19"/>
          <w:szCs w:val="19"/>
          <w:color w:val="000000"/>
        </w:rPr>
        <w:t>or</w:t>
      </w:r>
      <w:r>
        <w:rPr>
          <w:rFonts w:ascii="Arial" w:cs="Arial" w:eastAsia="Arial" w:hAnsi="Arial"/>
          <w:sz w:val="19"/>
          <w:szCs w:val="19"/>
          <w:color w:val="3B3B3B"/>
        </w:rPr>
        <w:t xml:space="preserve"> </w:t>
      </w:r>
      <w:r>
        <w:rPr>
          <w:rFonts w:ascii="Arial" w:cs="Arial" w:eastAsia="Arial" w:hAnsi="Arial"/>
          <w:sz w:val="19"/>
          <w:szCs w:val="19"/>
          <w:color w:val="000000"/>
        </w:rPr>
        <w:t xml:space="preserve">damage to Tenant or </w:t>
      </w:r>
      <w:r>
        <w:rPr>
          <w:rFonts w:ascii="Arial" w:cs="Arial" w:eastAsia="Arial" w:hAnsi="Arial"/>
          <w:sz w:val="19"/>
          <w:szCs w:val="19"/>
          <w:color w:val="111111"/>
        </w:rPr>
        <w:t>its</w:t>
      </w:r>
      <w:r>
        <w:rPr>
          <w:rFonts w:ascii="Arial" w:cs="Arial" w:eastAsia="Arial" w:hAnsi="Arial"/>
          <w:sz w:val="19"/>
          <w:szCs w:val="19"/>
          <w:color w:val="000000"/>
        </w:rPr>
        <w:t xml:space="preserve"> merchandise, fixtures or other property, or to Tenant’s </w:t>
      </w:r>
      <w:r>
        <w:rPr>
          <w:rFonts w:ascii="Arial" w:cs="Arial" w:eastAsia="Arial" w:hAnsi="Arial"/>
          <w:sz w:val="19"/>
          <w:szCs w:val="19"/>
          <w:color w:val="111111"/>
        </w:rPr>
        <w:t>busine</w:t>
      </w:r>
      <w:r>
        <w:rPr>
          <w:rFonts w:ascii="Arial" w:cs="Arial" w:eastAsia="Arial" w:hAnsi="Arial"/>
          <w:sz w:val="19"/>
          <w:szCs w:val="19"/>
          <w:color w:val="3B3B3B"/>
        </w:rPr>
        <w:t>ss</w:t>
      </w:r>
      <w:r>
        <w:rPr>
          <w:rFonts w:ascii="Arial" w:cs="Arial" w:eastAsia="Arial" w:hAnsi="Arial"/>
          <w:sz w:val="19"/>
          <w:szCs w:val="19"/>
          <w:color w:val="000000"/>
        </w:rPr>
        <w:t xml:space="preserve"> </w:t>
      </w:r>
      <w:r>
        <w:rPr>
          <w:rFonts w:ascii="Arial" w:cs="Arial" w:eastAsia="Arial" w:hAnsi="Arial"/>
          <w:sz w:val="19"/>
          <w:szCs w:val="19"/>
          <w:color w:val="111111"/>
        </w:rPr>
        <w:t>by</w:t>
      </w:r>
      <w:r>
        <w:rPr>
          <w:rFonts w:ascii="Arial" w:cs="Arial" w:eastAsia="Arial" w:hAnsi="Arial"/>
          <w:sz w:val="19"/>
          <w:szCs w:val="19"/>
          <w:color w:val="000000"/>
        </w:rPr>
        <w:t xml:space="preserve"> reason of such repairs or maintenance (except to </w:t>
      </w:r>
      <w:r>
        <w:rPr>
          <w:rFonts w:ascii="Arial" w:cs="Arial" w:eastAsia="Arial" w:hAnsi="Arial"/>
          <w:sz w:val="19"/>
          <w:szCs w:val="19"/>
          <w:color w:val="3B3B3B"/>
        </w:rPr>
        <w:t>t</w:t>
      </w:r>
      <w:r>
        <w:rPr>
          <w:rFonts w:ascii="Arial" w:cs="Arial" w:eastAsia="Arial" w:hAnsi="Arial"/>
          <w:sz w:val="19"/>
          <w:szCs w:val="19"/>
          <w:color w:val="111111"/>
        </w:rPr>
        <w:t>h</w:t>
      </w:r>
      <w:r>
        <w:rPr>
          <w:rFonts w:ascii="Arial" w:cs="Arial" w:eastAsia="Arial" w:hAnsi="Arial"/>
          <w:sz w:val="19"/>
          <w:szCs w:val="19"/>
          <w:color w:val="3B3B3B"/>
        </w:rPr>
        <w:t>e</w:t>
      </w:r>
      <w:r>
        <w:rPr>
          <w:rFonts w:ascii="Arial" w:cs="Arial" w:eastAsia="Arial" w:hAnsi="Arial"/>
          <w:sz w:val="19"/>
          <w:szCs w:val="19"/>
          <w:color w:val="000000"/>
        </w:rPr>
        <w:t xml:space="preserve"> extent such </w:t>
      </w:r>
      <w:r>
        <w:rPr>
          <w:rFonts w:ascii="Arial" w:cs="Arial" w:eastAsia="Arial" w:hAnsi="Arial"/>
          <w:sz w:val="19"/>
          <w:szCs w:val="19"/>
          <w:color w:val="111111"/>
        </w:rPr>
        <w:t>lo</w:t>
      </w:r>
      <w:r>
        <w:rPr>
          <w:rFonts w:ascii="Arial" w:cs="Arial" w:eastAsia="Arial" w:hAnsi="Arial"/>
          <w:sz w:val="19"/>
          <w:szCs w:val="19"/>
          <w:color w:val="3B3B3B"/>
        </w:rPr>
        <w:t>ss</w:t>
      </w:r>
      <w:r>
        <w:rPr>
          <w:rFonts w:ascii="Arial" w:cs="Arial" w:eastAsia="Arial" w:hAnsi="Arial"/>
          <w:sz w:val="19"/>
          <w:szCs w:val="19"/>
          <w:color w:val="000000"/>
        </w:rPr>
        <w:t xml:space="preserve"> </w:t>
      </w:r>
      <w:r>
        <w:rPr>
          <w:rFonts w:ascii="Arial" w:cs="Arial" w:eastAsia="Arial" w:hAnsi="Arial"/>
          <w:sz w:val="19"/>
          <w:szCs w:val="19"/>
          <w:color w:val="111111"/>
        </w:rPr>
        <w:t>or</w:t>
      </w:r>
      <w:r>
        <w:rPr>
          <w:rFonts w:ascii="Arial" w:cs="Arial" w:eastAsia="Arial" w:hAnsi="Arial"/>
          <w:sz w:val="19"/>
          <w:szCs w:val="19"/>
          <w:color w:val="000000"/>
        </w:rPr>
        <w:t xml:space="preserve"> damage </w:t>
      </w:r>
      <w:r>
        <w:rPr>
          <w:rFonts w:ascii="Arial" w:cs="Arial" w:eastAsia="Arial" w:hAnsi="Arial"/>
          <w:sz w:val="19"/>
          <w:szCs w:val="19"/>
          <w:color w:val="111111"/>
        </w:rPr>
        <w:t>is</w:t>
      </w:r>
      <w:r>
        <w:rPr>
          <w:rFonts w:ascii="Arial" w:cs="Arial" w:eastAsia="Arial" w:hAnsi="Arial"/>
          <w:sz w:val="19"/>
          <w:szCs w:val="19"/>
          <w:color w:val="000000"/>
        </w:rPr>
        <w:t xml:space="preserve"> caused by the gross negligence or willful </w:t>
      </w:r>
      <w:r>
        <w:rPr>
          <w:rFonts w:ascii="Arial" w:cs="Arial" w:eastAsia="Arial" w:hAnsi="Arial"/>
          <w:sz w:val="19"/>
          <w:szCs w:val="19"/>
          <w:color w:val="111111"/>
        </w:rPr>
        <w:t>misconduct</w:t>
      </w:r>
      <w:r>
        <w:rPr>
          <w:rFonts w:ascii="Arial" w:cs="Arial" w:eastAsia="Arial" w:hAnsi="Arial"/>
          <w:sz w:val="19"/>
          <w:szCs w:val="19"/>
          <w:color w:val="000000"/>
        </w:rPr>
        <w:t xml:space="preserve"> of Landlord, </w:t>
      </w:r>
      <w:r>
        <w:rPr>
          <w:rFonts w:ascii="Arial" w:cs="Arial" w:eastAsia="Arial" w:hAnsi="Arial"/>
          <w:sz w:val="19"/>
          <w:szCs w:val="19"/>
          <w:color w:val="111111"/>
        </w:rPr>
        <w:t>its</w:t>
      </w:r>
      <w:r>
        <w:rPr>
          <w:rFonts w:ascii="Arial" w:cs="Arial" w:eastAsia="Arial" w:hAnsi="Arial"/>
          <w:sz w:val="19"/>
          <w:szCs w:val="19"/>
          <w:color w:val="000000"/>
        </w:rPr>
        <w:t xml:space="preserve"> agents, employees or contractors) provided that </w:t>
      </w:r>
      <w:r>
        <w:rPr>
          <w:rFonts w:ascii="Arial" w:cs="Arial" w:eastAsia="Arial" w:hAnsi="Arial"/>
          <w:sz w:val="19"/>
          <w:szCs w:val="19"/>
          <w:color w:val="3B3B3B"/>
        </w:rPr>
        <w:t>s</w:t>
      </w:r>
      <w:r>
        <w:rPr>
          <w:rFonts w:ascii="Arial" w:cs="Arial" w:eastAsia="Arial" w:hAnsi="Arial"/>
          <w:sz w:val="19"/>
          <w:szCs w:val="19"/>
          <w:color w:val="111111"/>
        </w:rPr>
        <w:t>uch</w:t>
      </w:r>
      <w:r>
        <w:rPr>
          <w:rFonts w:ascii="Arial" w:cs="Arial" w:eastAsia="Arial" w:hAnsi="Arial"/>
          <w:sz w:val="19"/>
          <w:szCs w:val="19"/>
          <w:color w:val="000000"/>
        </w:rPr>
        <w:t xml:space="preserve"> failure by </w:t>
      </w:r>
      <w:r>
        <w:rPr>
          <w:rFonts w:ascii="Arial" w:cs="Arial" w:eastAsia="Arial" w:hAnsi="Arial"/>
          <w:sz w:val="19"/>
          <w:szCs w:val="19"/>
          <w:color w:val="3B3B3B"/>
        </w:rPr>
        <w:t>T</w:t>
      </w:r>
      <w:r>
        <w:rPr>
          <w:rFonts w:ascii="Arial" w:cs="Arial" w:eastAsia="Arial" w:hAnsi="Arial"/>
          <w:sz w:val="19"/>
          <w:szCs w:val="19"/>
          <w:color w:val="111111"/>
        </w:rPr>
        <w:t>enant</w:t>
      </w:r>
      <w:r>
        <w:rPr>
          <w:rFonts w:ascii="Arial" w:cs="Arial" w:eastAsia="Arial" w:hAnsi="Arial"/>
          <w:sz w:val="19"/>
          <w:szCs w:val="19"/>
          <w:color w:val="000000"/>
        </w:rPr>
        <w:t xml:space="preserve"> continues for three (3) </w:t>
      </w:r>
      <w:r>
        <w:rPr>
          <w:rFonts w:ascii="Arial" w:cs="Arial" w:eastAsia="Arial" w:hAnsi="Arial"/>
          <w:sz w:val="19"/>
          <w:szCs w:val="19"/>
          <w:color w:val="111111"/>
        </w:rPr>
        <w:t>busine</w:t>
      </w:r>
      <w:r>
        <w:rPr>
          <w:rFonts w:ascii="Arial" w:cs="Arial" w:eastAsia="Arial" w:hAnsi="Arial"/>
          <w:sz w:val="19"/>
          <w:szCs w:val="19"/>
          <w:color w:val="3B3B3B"/>
        </w:rPr>
        <w:t>ss</w:t>
      </w:r>
      <w:r>
        <w:rPr>
          <w:rFonts w:ascii="Arial" w:cs="Arial" w:eastAsia="Arial" w:hAnsi="Arial"/>
          <w:sz w:val="19"/>
          <w:szCs w:val="19"/>
          <w:color w:val="000000"/>
        </w:rPr>
        <w:t xml:space="preserve"> days after Landlord </w:t>
      </w:r>
      <w:r>
        <w:rPr>
          <w:rFonts w:ascii="Arial" w:cs="Arial" w:eastAsia="Arial" w:hAnsi="Arial"/>
          <w:sz w:val="19"/>
          <w:szCs w:val="19"/>
          <w:color w:val="111111"/>
        </w:rPr>
        <w:t>deli</w:t>
      </w:r>
      <w:r>
        <w:rPr>
          <w:rFonts w:ascii="Arial" w:cs="Arial" w:eastAsia="Arial" w:hAnsi="Arial"/>
          <w:sz w:val="19"/>
          <w:szCs w:val="19"/>
          <w:color w:val="3B3B3B"/>
        </w:rPr>
        <w:t>ver</w:t>
      </w:r>
      <w:r>
        <w:rPr>
          <w:rFonts w:ascii="Arial" w:cs="Arial" w:eastAsia="Arial" w:hAnsi="Arial"/>
          <w:sz w:val="19"/>
          <w:szCs w:val="19"/>
          <w:color w:val="111111"/>
        </w:rPr>
        <w:t>s</w:t>
      </w:r>
      <w:r>
        <w:rPr>
          <w:rFonts w:ascii="Arial" w:cs="Arial" w:eastAsia="Arial" w:hAnsi="Arial"/>
          <w:sz w:val="19"/>
          <w:szCs w:val="19"/>
          <w:color w:val="000000"/>
        </w:rPr>
        <w:t xml:space="preserve"> notice to </w:t>
      </w:r>
      <w:r>
        <w:rPr>
          <w:rFonts w:ascii="Arial" w:cs="Arial" w:eastAsia="Arial" w:hAnsi="Arial"/>
          <w:sz w:val="19"/>
          <w:szCs w:val="19"/>
          <w:color w:val="3B3B3B"/>
        </w:rPr>
        <w:t>Te</w:t>
      </w:r>
      <w:r>
        <w:rPr>
          <w:rFonts w:ascii="Arial" w:cs="Arial" w:eastAsia="Arial" w:hAnsi="Arial"/>
          <w:sz w:val="19"/>
          <w:szCs w:val="19"/>
          <w:color w:val="111111"/>
        </w:rPr>
        <w:t>nant</w:t>
      </w:r>
      <w:r>
        <w:rPr>
          <w:rFonts w:ascii="Arial" w:cs="Arial" w:eastAsia="Arial" w:hAnsi="Arial"/>
          <w:sz w:val="19"/>
          <w:szCs w:val="19"/>
          <w:color w:val="000000"/>
        </w:rPr>
        <w:t xml:space="preserve"> demanding performance </w:t>
      </w:r>
      <w:r>
        <w:rPr>
          <w:rFonts w:ascii="Arial" w:cs="Arial" w:eastAsia="Arial" w:hAnsi="Arial"/>
          <w:sz w:val="19"/>
          <w:szCs w:val="19"/>
          <w:color w:val="111111"/>
        </w:rPr>
        <w:t>by</w:t>
      </w:r>
      <w:r>
        <w:rPr>
          <w:rFonts w:ascii="Arial" w:cs="Arial" w:eastAsia="Arial" w:hAnsi="Arial"/>
          <w:sz w:val="19"/>
          <w:szCs w:val="19"/>
          <w:color w:val="000000"/>
        </w:rPr>
        <w:t xml:space="preserve"> Tenant; or that such failure </w:t>
      </w:r>
      <w:r>
        <w:rPr>
          <w:rFonts w:ascii="Arial" w:cs="Arial" w:eastAsia="Arial" w:hAnsi="Arial"/>
          <w:sz w:val="19"/>
          <w:szCs w:val="19"/>
          <w:color w:val="111111"/>
        </w:rPr>
        <w:t>by</w:t>
      </w:r>
      <w:r>
        <w:rPr>
          <w:rFonts w:ascii="Arial" w:cs="Arial" w:eastAsia="Arial" w:hAnsi="Arial"/>
          <w:sz w:val="19"/>
          <w:szCs w:val="19"/>
          <w:color w:val="000000"/>
        </w:rPr>
        <w:t xml:space="preserve"> Tenant unreasonably </w:t>
      </w:r>
      <w:r>
        <w:rPr>
          <w:rFonts w:ascii="Arial" w:cs="Arial" w:eastAsia="Arial" w:hAnsi="Arial"/>
          <w:sz w:val="19"/>
          <w:szCs w:val="19"/>
          <w:color w:val="111111"/>
        </w:rPr>
        <w:t>interfered</w:t>
      </w:r>
      <w:r>
        <w:rPr>
          <w:rFonts w:ascii="Arial" w:cs="Arial" w:eastAsia="Arial" w:hAnsi="Arial"/>
          <w:sz w:val="19"/>
          <w:szCs w:val="19"/>
          <w:color w:val="000000"/>
        </w:rPr>
        <w:t xml:space="preserve"> with </w:t>
      </w:r>
      <w:r>
        <w:rPr>
          <w:rFonts w:ascii="Arial" w:cs="Arial" w:eastAsia="Arial" w:hAnsi="Arial"/>
          <w:sz w:val="19"/>
          <w:szCs w:val="19"/>
          <w:color w:val="111111"/>
        </w:rPr>
        <w:t>the</w:t>
      </w:r>
      <w:r>
        <w:rPr>
          <w:rFonts w:ascii="Arial" w:cs="Arial" w:eastAsia="Arial" w:hAnsi="Arial"/>
          <w:sz w:val="19"/>
          <w:szCs w:val="19"/>
          <w:color w:val="000000"/>
        </w:rPr>
        <w:t xml:space="preserve"> use of </w:t>
      </w:r>
      <w:r>
        <w:rPr>
          <w:rFonts w:ascii="Arial" w:cs="Arial" w:eastAsia="Arial" w:hAnsi="Arial"/>
          <w:sz w:val="19"/>
          <w:szCs w:val="19"/>
          <w:color w:val="111111"/>
        </w:rPr>
        <w:t>the</w:t>
      </w:r>
      <w:r>
        <w:rPr>
          <w:rFonts w:ascii="Arial" w:cs="Arial" w:eastAsia="Arial" w:hAnsi="Arial"/>
          <w:sz w:val="19"/>
          <w:szCs w:val="19"/>
          <w:color w:val="000000"/>
        </w:rPr>
        <w:t xml:space="preserve"> Buildings </w:t>
      </w:r>
      <w:r>
        <w:rPr>
          <w:rFonts w:ascii="Arial" w:cs="Arial" w:eastAsia="Arial" w:hAnsi="Arial"/>
          <w:sz w:val="19"/>
          <w:szCs w:val="19"/>
          <w:color w:val="111111"/>
        </w:rPr>
        <w:t>by any</w:t>
      </w:r>
      <w:r>
        <w:rPr>
          <w:rFonts w:ascii="Arial" w:cs="Arial" w:eastAsia="Arial" w:hAnsi="Arial"/>
          <w:sz w:val="19"/>
          <w:szCs w:val="19"/>
          <w:color w:val="000000"/>
        </w:rPr>
        <w:t xml:space="preserve"> other </w:t>
      </w:r>
      <w:r>
        <w:rPr>
          <w:rFonts w:ascii="Arial" w:cs="Arial" w:eastAsia="Arial" w:hAnsi="Arial"/>
          <w:sz w:val="19"/>
          <w:szCs w:val="19"/>
          <w:color w:val="111111"/>
        </w:rPr>
        <w:t xml:space="preserve">tenant </w:t>
      </w:r>
      <w:r>
        <w:rPr>
          <w:rFonts w:ascii="Arial" w:cs="Arial" w:eastAsia="Arial" w:hAnsi="Arial"/>
          <w:sz w:val="19"/>
          <w:szCs w:val="19"/>
          <w:color w:val="000000"/>
        </w:rPr>
        <w:t>or with</w:t>
      </w:r>
      <w:r>
        <w:rPr>
          <w:rFonts w:ascii="Arial" w:cs="Arial" w:eastAsia="Arial" w:hAnsi="Arial"/>
          <w:sz w:val="19"/>
          <w:szCs w:val="19"/>
          <w:color w:val="111111"/>
        </w:rPr>
        <w:t xml:space="preserve"> the </w:t>
      </w:r>
      <w:r>
        <w:rPr>
          <w:rFonts w:ascii="Arial" w:cs="Arial" w:eastAsia="Arial" w:hAnsi="Arial"/>
          <w:sz w:val="19"/>
          <w:szCs w:val="19"/>
          <w:color w:val="000000"/>
        </w:rPr>
        <w:t>efficient operation of</w:t>
      </w:r>
      <w:r>
        <w:rPr>
          <w:rFonts w:ascii="Arial" w:cs="Arial" w:eastAsia="Arial" w:hAnsi="Arial"/>
          <w:sz w:val="19"/>
          <w:szCs w:val="19"/>
          <w:color w:val="111111"/>
        </w:rPr>
        <w:t xml:space="preserve"> the </w:t>
      </w:r>
      <w:r>
        <w:rPr>
          <w:rFonts w:ascii="Arial" w:cs="Arial" w:eastAsia="Arial" w:hAnsi="Arial"/>
          <w:sz w:val="19"/>
          <w:szCs w:val="19"/>
          <w:color w:val="000000"/>
        </w:rPr>
        <w:t>Project, or resulted or could have resulted</w:t>
      </w:r>
      <w:r>
        <w:rPr>
          <w:rFonts w:ascii="Arial" w:cs="Arial" w:eastAsia="Arial" w:hAnsi="Arial"/>
          <w:sz w:val="19"/>
          <w:szCs w:val="19"/>
          <w:color w:val="111111"/>
        </w:rPr>
        <w:t xml:space="preserve"> in a violation of </w:t>
      </w:r>
      <w:r>
        <w:rPr>
          <w:rFonts w:ascii="Arial" w:cs="Arial" w:eastAsia="Arial" w:hAnsi="Arial"/>
          <w:sz w:val="19"/>
          <w:szCs w:val="19"/>
          <w:color w:val="000000"/>
        </w:rPr>
        <w:t xml:space="preserve">Applicable </w:t>
      </w:r>
      <w:r>
        <w:rPr>
          <w:rFonts w:ascii="Arial" w:cs="Arial" w:eastAsia="Arial" w:hAnsi="Arial"/>
          <w:sz w:val="19"/>
          <w:szCs w:val="19"/>
          <w:color w:val="111111"/>
        </w:rPr>
        <w:t>Law</w:t>
      </w:r>
      <w:r>
        <w:rPr>
          <w:rFonts w:ascii="Arial" w:cs="Arial" w:eastAsia="Arial" w:hAnsi="Arial"/>
          <w:sz w:val="19"/>
          <w:szCs w:val="19"/>
          <w:color w:val="3B3B3B"/>
        </w:rPr>
        <w:t>s</w:t>
      </w:r>
      <w:r>
        <w:rPr>
          <w:rFonts w:ascii="Arial" w:cs="Arial" w:eastAsia="Arial" w:hAnsi="Arial"/>
          <w:sz w:val="19"/>
          <w:szCs w:val="19"/>
          <w:color w:val="000000"/>
        </w:rPr>
        <w:t xml:space="preserve"> or the cancellation of an </w:t>
      </w:r>
      <w:r>
        <w:rPr>
          <w:rFonts w:ascii="Arial" w:cs="Arial" w:eastAsia="Arial" w:hAnsi="Arial"/>
          <w:sz w:val="19"/>
          <w:szCs w:val="19"/>
          <w:color w:val="111111"/>
        </w:rPr>
        <w:t>insurance policy maintained by Land</w:t>
      </w:r>
      <w:r>
        <w:rPr>
          <w:rFonts w:ascii="Arial" w:cs="Arial" w:eastAsia="Arial" w:hAnsi="Arial"/>
          <w:sz w:val="19"/>
          <w:szCs w:val="19"/>
          <w:color w:val="3B3B3B"/>
        </w:rPr>
        <w:t>lor</w:t>
      </w:r>
      <w:r>
        <w:rPr>
          <w:rFonts w:ascii="Arial" w:cs="Arial" w:eastAsia="Arial" w:hAnsi="Arial"/>
          <w:sz w:val="19"/>
          <w:szCs w:val="19"/>
          <w:color w:val="111111"/>
        </w:rPr>
        <w:t>d</w:t>
      </w:r>
      <w:r>
        <w:rPr>
          <w:rFonts w:ascii="Arial" w:cs="Arial" w:eastAsia="Arial" w:hAnsi="Arial"/>
          <w:sz w:val="19"/>
          <w:szCs w:val="19"/>
          <w:color w:val="3B3B3B"/>
        </w:rPr>
        <w:t>,</w:t>
      </w:r>
      <w:r>
        <w:rPr>
          <w:rFonts w:ascii="Arial" w:cs="Arial" w:eastAsia="Arial" w:hAnsi="Arial"/>
          <w:sz w:val="19"/>
          <w:szCs w:val="19"/>
          <w:color w:val="000000"/>
        </w:rPr>
        <w:t xml:space="preserve"> or cancellation of any warranty on the </w:t>
      </w:r>
      <w:r>
        <w:rPr>
          <w:rFonts w:ascii="Arial" w:cs="Arial" w:eastAsia="Arial" w:hAnsi="Arial"/>
          <w:sz w:val="19"/>
          <w:szCs w:val="19"/>
          <w:color w:val="111111"/>
        </w:rPr>
        <w:t>Bu</w:t>
      </w:r>
      <w:r>
        <w:rPr>
          <w:rFonts w:ascii="Arial" w:cs="Arial" w:eastAsia="Arial" w:hAnsi="Arial"/>
          <w:sz w:val="19"/>
          <w:szCs w:val="19"/>
          <w:color w:val="3B3B3B"/>
        </w:rPr>
        <w:t>i</w:t>
      </w:r>
      <w:r>
        <w:rPr>
          <w:rFonts w:ascii="Arial" w:cs="Arial" w:eastAsia="Arial" w:hAnsi="Arial"/>
          <w:sz w:val="19"/>
          <w:szCs w:val="19"/>
          <w:color w:val="111111"/>
        </w:rPr>
        <w:t>ld</w:t>
      </w:r>
      <w:r>
        <w:rPr>
          <w:rFonts w:ascii="Arial" w:cs="Arial" w:eastAsia="Arial" w:hAnsi="Arial"/>
          <w:sz w:val="19"/>
          <w:szCs w:val="19"/>
          <w:color w:val="3B3B3B"/>
        </w:rPr>
        <w:t>i</w:t>
      </w:r>
      <w:r>
        <w:rPr>
          <w:rFonts w:ascii="Arial" w:cs="Arial" w:eastAsia="Arial" w:hAnsi="Arial"/>
          <w:sz w:val="19"/>
          <w:szCs w:val="19"/>
          <w:color w:val="111111"/>
        </w:rPr>
        <w:t>ng.</w:t>
      </w:r>
      <w:r>
        <w:rPr>
          <w:rFonts w:ascii="Arial" w:cs="Arial" w:eastAsia="Arial" w:hAnsi="Arial"/>
          <w:sz w:val="19"/>
          <w:szCs w:val="19"/>
          <w:color w:val="000000"/>
        </w:rPr>
        <w:t xml:space="preserve"> Further, upon completion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120"/>
          </w:cols>
          <w:pgMar w:left="1440" w:top="1401" w:right="339" w:bottom="1440" w:gutter="0" w:footer="0" w:header="0"/>
        </w:sectPr>
      </w:pPr>
    </w:p>
    <w:bookmarkStart w:id="372" w:name="page373"/>
    <w:bookmarkEnd w:id="372"/>
    <w:p>
      <w:pPr>
        <w:jc w:val="both"/>
        <w:ind w:left="840"/>
        <w:spacing w:after="0" w:line="257" w:lineRule="auto"/>
        <w:rPr>
          <w:sz w:val="20"/>
          <w:szCs w:val="20"/>
          <w:color w:val="auto"/>
        </w:rPr>
      </w:pPr>
      <w:r>
        <w:rPr>
          <w:rFonts w:ascii="Arial" w:cs="Arial" w:eastAsia="Arial" w:hAnsi="Arial"/>
          <w:sz w:val="19"/>
          <w:szCs w:val="19"/>
          <w:color w:val="auto"/>
        </w:rPr>
        <w:t xml:space="preserve">any </w:t>
      </w:r>
      <w:r>
        <w:rPr>
          <w:rFonts w:ascii="Arial" w:cs="Arial" w:eastAsia="Arial" w:hAnsi="Arial"/>
          <w:sz w:val="19"/>
          <w:szCs w:val="19"/>
          <w:color w:val="3B3B3B"/>
        </w:rPr>
        <w:t>s</w:t>
      </w:r>
      <w:r>
        <w:rPr>
          <w:rFonts w:ascii="Arial" w:cs="Arial" w:eastAsia="Arial" w:hAnsi="Arial"/>
          <w:sz w:val="19"/>
          <w:szCs w:val="19"/>
          <w:color w:val="111111"/>
        </w:rPr>
        <w:t>uch</w:t>
      </w:r>
      <w:r>
        <w:rPr>
          <w:rFonts w:ascii="Arial" w:cs="Arial" w:eastAsia="Arial" w:hAnsi="Arial"/>
          <w:sz w:val="19"/>
          <w:szCs w:val="19"/>
          <w:color w:val="auto"/>
        </w:rPr>
        <w:t xml:space="preserve"> repairs or maintenance and </w:t>
      </w:r>
      <w:r>
        <w:rPr>
          <w:rFonts w:ascii="Arial" w:cs="Arial" w:eastAsia="Arial" w:hAnsi="Arial"/>
          <w:sz w:val="19"/>
          <w:szCs w:val="19"/>
          <w:color w:val="111111"/>
        </w:rPr>
        <w:t>provided</w:t>
      </w:r>
      <w:r>
        <w:rPr>
          <w:rFonts w:ascii="Arial" w:cs="Arial" w:eastAsia="Arial" w:hAnsi="Arial"/>
          <w:sz w:val="19"/>
          <w:szCs w:val="19"/>
          <w:color w:val="auto"/>
        </w:rPr>
        <w:t xml:space="preserve"> advance written </w:t>
      </w:r>
      <w:r>
        <w:rPr>
          <w:rFonts w:ascii="Arial" w:cs="Arial" w:eastAsia="Arial" w:hAnsi="Arial"/>
          <w:sz w:val="19"/>
          <w:szCs w:val="19"/>
          <w:color w:val="111111"/>
        </w:rPr>
        <w:t>notice</w:t>
      </w:r>
      <w:r>
        <w:rPr>
          <w:rFonts w:ascii="Arial" w:cs="Arial" w:eastAsia="Arial" w:hAnsi="Arial"/>
          <w:sz w:val="19"/>
          <w:szCs w:val="19"/>
          <w:color w:val="auto"/>
        </w:rPr>
        <w:t xml:space="preserve"> has </w:t>
      </w:r>
      <w:r>
        <w:rPr>
          <w:rFonts w:ascii="Arial" w:cs="Arial" w:eastAsia="Arial" w:hAnsi="Arial"/>
          <w:sz w:val="19"/>
          <w:szCs w:val="19"/>
          <w:color w:val="111111"/>
        </w:rPr>
        <w:t>been</w:t>
      </w:r>
      <w:r>
        <w:rPr>
          <w:rFonts w:ascii="Arial" w:cs="Arial" w:eastAsia="Arial" w:hAnsi="Arial"/>
          <w:sz w:val="19"/>
          <w:szCs w:val="19"/>
          <w:color w:val="auto"/>
        </w:rPr>
        <w:t xml:space="preserve"> given to Tenant by Landlord, Tenant shall pay </w:t>
      </w:r>
      <w:r>
        <w:rPr>
          <w:rFonts w:ascii="Arial" w:cs="Arial" w:eastAsia="Arial" w:hAnsi="Arial"/>
          <w:sz w:val="19"/>
          <w:szCs w:val="19"/>
          <w:color w:val="111111"/>
        </w:rPr>
        <w:t>upon demand,</w:t>
      </w:r>
      <w:r>
        <w:rPr>
          <w:rFonts w:ascii="Arial" w:cs="Arial" w:eastAsia="Arial" w:hAnsi="Arial"/>
          <w:sz w:val="19"/>
          <w:szCs w:val="19"/>
          <w:color w:val="auto"/>
        </w:rPr>
        <w:t xml:space="preserve"> as Additional Rent, Landlord’s costs for making such repairs or providing such maintenance, together with </w:t>
      </w:r>
      <w:r>
        <w:rPr>
          <w:rFonts w:ascii="Arial" w:cs="Arial" w:eastAsia="Arial" w:hAnsi="Arial"/>
          <w:sz w:val="19"/>
          <w:szCs w:val="19"/>
          <w:color w:val="111111"/>
        </w:rPr>
        <w:t>intere</w:t>
      </w:r>
      <w:r>
        <w:rPr>
          <w:rFonts w:ascii="Arial" w:cs="Arial" w:eastAsia="Arial" w:hAnsi="Arial"/>
          <w:sz w:val="19"/>
          <w:szCs w:val="19"/>
          <w:color w:val="3B3B3B"/>
        </w:rPr>
        <w:t>s</w:t>
      </w:r>
      <w:r>
        <w:rPr>
          <w:rFonts w:ascii="Arial" w:cs="Arial" w:eastAsia="Arial" w:hAnsi="Arial"/>
          <w:sz w:val="19"/>
          <w:szCs w:val="19"/>
          <w:color w:val="111111"/>
        </w:rPr>
        <w:t>t thereon</w:t>
      </w:r>
      <w:r>
        <w:rPr>
          <w:rFonts w:ascii="Arial" w:cs="Arial" w:eastAsia="Arial" w:hAnsi="Arial"/>
          <w:sz w:val="19"/>
          <w:szCs w:val="19"/>
          <w:color w:val="3B3B3B"/>
        </w:rPr>
        <w:t>,</w:t>
      </w:r>
      <w:r>
        <w:rPr>
          <w:rFonts w:ascii="Arial" w:cs="Arial" w:eastAsia="Arial" w:hAnsi="Arial"/>
          <w:sz w:val="19"/>
          <w:szCs w:val="19"/>
          <w:color w:val="auto"/>
        </w:rPr>
        <w:t xml:space="preserve"> from </w:t>
      </w:r>
      <w:r>
        <w:rPr>
          <w:rFonts w:ascii="Arial" w:cs="Arial" w:eastAsia="Arial" w:hAnsi="Arial"/>
          <w:sz w:val="19"/>
          <w:szCs w:val="19"/>
          <w:color w:val="111111"/>
        </w:rPr>
        <w:t>the date</w:t>
      </w:r>
      <w:r>
        <w:rPr>
          <w:rFonts w:ascii="Arial" w:cs="Arial" w:eastAsia="Arial" w:hAnsi="Arial"/>
          <w:sz w:val="19"/>
          <w:szCs w:val="19"/>
          <w:color w:val="auto"/>
        </w:rPr>
        <w:t xml:space="preserve"> </w:t>
      </w:r>
      <w:r>
        <w:rPr>
          <w:rFonts w:ascii="Arial" w:cs="Arial" w:eastAsia="Arial" w:hAnsi="Arial"/>
          <w:sz w:val="19"/>
          <w:szCs w:val="19"/>
          <w:color w:val="3B3B3B"/>
        </w:rPr>
        <w:t>tha</w:t>
      </w:r>
      <w:r>
        <w:rPr>
          <w:rFonts w:ascii="Arial" w:cs="Arial" w:eastAsia="Arial" w:hAnsi="Arial"/>
          <w:sz w:val="19"/>
          <w:szCs w:val="19"/>
          <w:color w:val="111111"/>
        </w:rPr>
        <w:t>t</w:t>
      </w:r>
      <w:r>
        <w:rPr>
          <w:rFonts w:ascii="Arial" w:cs="Arial" w:eastAsia="Arial" w:hAnsi="Arial"/>
          <w:sz w:val="19"/>
          <w:szCs w:val="19"/>
          <w:color w:val="auto"/>
        </w:rPr>
        <w:t xml:space="preserve"> such sums were </w:t>
      </w:r>
      <w:r>
        <w:rPr>
          <w:rFonts w:ascii="Arial" w:cs="Arial" w:eastAsia="Arial" w:hAnsi="Arial"/>
          <w:sz w:val="19"/>
          <w:szCs w:val="19"/>
          <w:color w:val="111111"/>
        </w:rPr>
        <w:t>paid</w:t>
      </w:r>
      <w:r>
        <w:rPr>
          <w:rFonts w:ascii="Arial" w:cs="Arial" w:eastAsia="Arial" w:hAnsi="Arial"/>
          <w:sz w:val="19"/>
          <w:szCs w:val="19"/>
          <w:color w:val="auto"/>
        </w:rPr>
        <w:t xml:space="preserve"> or </w:t>
      </w:r>
      <w:r>
        <w:rPr>
          <w:rFonts w:ascii="Arial" w:cs="Arial" w:eastAsia="Arial" w:hAnsi="Arial"/>
          <w:sz w:val="19"/>
          <w:szCs w:val="19"/>
          <w:color w:val="111111"/>
        </w:rPr>
        <w:t>incurred</w:t>
      </w:r>
      <w:r>
        <w:rPr>
          <w:rFonts w:ascii="Arial" w:cs="Arial" w:eastAsia="Arial" w:hAnsi="Arial"/>
          <w:sz w:val="19"/>
          <w:szCs w:val="19"/>
          <w:color w:val="3B3B3B"/>
        </w:rPr>
        <w:t>,</w:t>
      </w:r>
      <w:r>
        <w:rPr>
          <w:rFonts w:ascii="Arial" w:cs="Arial" w:eastAsia="Arial" w:hAnsi="Arial"/>
          <w:sz w:val="19"/>
          <w:szCs w:val="19"/>
          <w:color w:val="111111"/>
        </w:rPr>
        <w:t xml:space="preserve"> </w:t>
      </w:r>
      <w:r>
        <w:rPr>
          <w:rFonts w:ascii="Arial" w:cs="Arial" w:eastAsia="Arial" w:hAnsi="Arial"/>
          <w:sz w:val="19"/>
          <w:szCs w:val="19"/>
          <w:color w:val="000000"/>
        </w:rPr>
        <w:t>at the</w:t>
      </w:r>
      <w:r>
        <w:rPr>
          <w:rFonts w:ascii="Arial" w:cs="Arial" w:eastAsia="Arial" w:hAnsi="Arial"/>
          <w:sz w:val="19"/>
          <w:szCs w:val="19"/>
          <w:color w:val="111111"/>
        </w:rPr>
        <w:t xml:space="preserve"> Default </w:t>
      </w:r>
      <w:r>
        <w:rPr>
          <w:rFonts w:ascii="Arial" w:cs="Arial" w:eastAsia="Arial" w:hAnsi="Arial"/>
          <w:sz w:val="19"/>
          <w:szCs w:val="19"/>
          <w:color w:val="000000"/>
        </w:rPr>
        <w:t>Rate or</w:t>
      </w:r>
      <w:r>
        <w:rPr>
          <w:rFonts w:ascii="Arial" w:cs="Arial" w:eastAsia="Arial" w:hAnsi="Arial"/>
          <w:sz w:val="19"/>
          <w:szCs w:val="19"/>
          <w:color w:val="111111"/>
        </w:rPr>
        <w:t xml:space="preserve"> </w:t>
      </w:r>
      <w:r>
        <w:rPr>
          <w:rFonts w:ascii="Arial" w:cs="Arial" w:eastAsia="Arial" w:hAnsi="Arial"/>
          <w:sz w:val="19"/>
          <w:szCs w:val="19"/>
          <w:color w:val="3B3B3B"/>
        </w:rPr>
        <w:t>the</w:t>
      </w:r>
      <w:r>
        <w:rPr>
          <w:rFonts w:ascii="Arial" w:cs="Arial" w:eastAsia="Arial" w:hAnsi="Arial"/>
          <w:sz w:val="19"/>
          <w:szCs w:val="19"/>
          <w:color w:val="111111"/>
        </w:rPr>
        <w:t xml:space="preserve"> </w:t>
      </w:r>
      <w:r>
        <w:rPr>
          <w:rFonts w:ascii="Arial" w:cs="Arial" w:eastAsia="Arial" w:hAnsi="Arial"/>
          <w:sz w:val="19"/>
          <w:szCs w:val="19"/>
          <w:color w:val="000000"/>
        </w:rPr>
        <w:t>highest</w:t>
      </w:r>
      <w:r>
        <w:rPr>
          <w:rFonts w:ascii="Arial" w:cs="Arial" w:eastAsia="Arial" w:hAnsi="Arial"/>
          <w:sz w:val="19"/>
          <w:szCs w:val="19"/>
          <w:color w:val="111111"/>
        </w:rPr>
        <w:t xml:space="preserve"> rate permitted by </w:t>
      </w:r>
      <w:r>
        <w:rPr>
          <w:rFonts w:ascii="Arial" w:cs="Arial" w:eastAsia="Arial" w:hAnsi="Arial"/>
          <w:sz w:val="19"/>
          <w:szCs w:val="19"/>
          <w:color w:val="000000"/>
        </w:rPr>
        <w:t>Applicable</w:t>
      </w:r>
      <w:r>
        <w:rPr>
          <w:rFonts w:ascii="Arial" w:cs="Arial" w:eastAsia="Arial" w:hAnsi="Arial"/>
          <w:sz w:val="19"/>
          <w:szCs w:val="19"/>
          <w:color w:val="111111"/>
        </w:rPr>
        <w:t xml:space="preserve"> Law</w:t>
      </w:r>
      <w:r>
        <w:rPr>
          <w:rFonts w:ascii="Arial" w:cs="Arial" w:eastAsia="Arial" w:hAnsi="Arial"/>
          <w:sz w:val="19"/>
          <w:szCs w:val="19"/>
          <w:color w:val="3B3B3B"/>
        </w:rPr>
        <w:t>s,</w:t>
      </w:r>
      <w:r>
        <w:rPr>
          <w:rFonts w:ascii="Arial" w:cs="Arial" w:eastAsia="Arial" w:hAnsi="Arial"/>
          <w:sz w:val="19"/>
          <w:szCs w:val="19"/>
          <w:color w:val="111111"/>
        </w:rPr>
        <w:t xml:space="preserve"> </w:t>
      </w:r>
      <w:r>
        <w:rPr>
          <w:rFonts w:ascii="Arial" w:cs="Arial" w:eastAsia="Arial" w:hAnsi="Arial"/>
          <w:sz w:val="19"/>
          <w:szCs w:val="19"/>
          <w:color w:val="000000"/>
        </w:rPr>
        <w:t>whichever is</w:t>
      </w:r>
      <w:r>
        <w:rPr>
          <w:rFonts w:ascii="Arial" w:cs="Arial" w:eastAsia="Arial" w:hAnsi="Arial"/>
          <w:sz w:val="19"/>
          <w:szCs w:val="19"/>
          <w:color w:val="111111"/>
        </w:rPr>
        <w:t xml:space="preserve"> </w:t>
      </w:r>
      <w:r>
        <w:rPr>
          <w:rFonts w:ascii="Arial" w:cs="Arial" w:eastAsia="Arial" w:hAnsi="Arial"/>
          <w:sz w:val="19"/>
          <w:szCs w:val="19"/>
          <w:color w:val="3B3B3B"/>
        </w:rPr>
        <w:t>less.</w:t>
      </w:r>
    </w:p>
    <w:p>
      <w:pPr>
        <w:spacing w:after="0" w:line="144" w:lineRule="exact"/>
        <w:rPr>
          <w:sz w:val="20"/>
          <w:szCs w:val="20"/>
          <w:color w:val="auto"/>
        </w:rPr>
      </w:pPr>
    </w:p>
    <w:p>
      <w:pPr>
        <w:jc w:val="both"/>
        <w:ind w:left="180" w:hanging="647"/>
        <w:spacing w:after="0" w:line="242" w:lineRule="auto"/>
        <w:tabs>
          <w:tab w:leader="none" w:pos="160" w:val="left"/>
        </w:tabs>
        <w:rPr>
          <w:sz w:val="20"/>
          <w:szCs w:val="20"/>
          <w:color w:val="auto"/>
        </w:rPr>
      </w:pPr>
      <w:r>
        <w:rPr>
          <w:rFonts w:ascii="Arial" w:cs="Arial" w:eastAsia="Arial" w:hAnsi="Arial"/>
          <w:sz w:val="22"/>
          <w:szCs w:val="22"/>
          <w:color w:val="auto"/>
        </w:rPr>
        <w:t>43.2</w:t>
      </w:r>
      <w:r>
        <w:rPr>
          <w:sz w:val="20"/>
          <w:szCs w:val="20"/>
          <w:color w:val="auto"/>
        </w:rPr>
        <w:tab/>
      </w: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3B3B3B"/>
        </w:rPr>
        <w:t>43.</w:t>
      </w:r>
      <w:r>
        <w:rPr>
          <w:rFonts w:ascii="Arial" w:cs="Arial" w:eastAsia="Arial" w:hAnsi="Arial"/>
          <w:sz w:val="19"/>
          <w:szCs w:val="19"/>
          <w:u w:val="single" w:color="auto"/>
          <w:color w:val="111111"/>
        </w:rPr>
        <w:t>1</w:t>
      </w:r>
      <w:r>
        <w:rPr>
          <w:rFonts w:ascii="Arial" w:cs="Arial" w:eastAsia="Arial" w:hAnsi="Arial"/>
          <w:sz w:val="19"/>
          <w:szCs w:val="19"/>
          <w:color w:val="111111"/>
        </w:rPr>
        <w:t>,</w:t>
      </w:r>
      <w:r>
        <w:rPr>
          <w:rFonts w:ascii="Arial" w:cs="Arial" w:eastAsia="Arial" w:hAnsi="Arial"/>
          <w:sz w:val="19"/>
          <w:szCs w:val="19"/>
          <w:color w:val="auto"/>
        </w:rPr>
        <w:t xml:space="preserve"> on the date </w:t>
      </w:r>
      <w:r>
        <w:rPr>
          <w:rFonts w:ascii="Arial" w:cs="Arial" w:eastAsia="Arial" w:hAnsi="Arial"/>
          <w:sz w:val="19"/>
          <w:szCs w:val="19"/>
          <w:color w:val="111111"/>
        </w:rPr>
        <w:t>that is</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111111"/>
        </w:rPr>
        <w:t>days</w:t>
      </w:r>
      <w:r>
        <w:rPr>
          <w:rFonts w:ascii="Arial" w:cs="Arial" w:eastAsia="Arial" w:hAnsi="Arial"/>
          <w:sz w:val="19"/>
          <w:szCs w:val="19"/>
          <w:color w:val="auto"/>
        </w:rPr>
        <w:t xml:space="preserve"> following Landlord’s receipt of Tenant’s Turnover Notice (the </w:t>
      </w:r>
      <w:r>
        <w:rPr>
          <w:rFonts w:ascii="Arial" w:cs="Arial" w:eastAsia="Arial" w:hAnsi="Arial"/>
          <w:sz w:val="19"/>
          <w:szCs w:val="19"/>
          <w:color w:val="3B3B3B"/>
        </w:rPr>
        <w:t>“</w:t>
      </w:r>
      <w:r>
        <w:rPr>
          <w:rFonts w:ascii="Arial" w:cs="Arial" w:eastAsia="Arial" w:hAnsi="Arial"/>
          <w:sz w:val="19"/>
          <w:szCs w:val="19"/>
          <w:u w:val="single" w:color="auto"/>
          <w:color w:val="3B3B3B"/>
        </w:rPr>
        <w:t>Turn</w:t>
      </w:r>
      <w:r>
        <w:rPr>
          <w:rFonts w:ascii="Arial" w:cs="Arial" w:eastAsia="Arial" w:hAnsi="Arial"/>
          <w:sz w:val="19"/>
          <w:szCs w:val="19"/>
          <w:u w:val="single" w:color="auto"/>
          <w:color w:val="111111"/>
        </w:rPr>
        <w:t>over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xml:space="preserve">”), Landlord shall </w:t>
      </w:r>
      <w:r>
        <w:rPr>
          <w:rFonts w:ascii="Arial" w:cs="Arial" w:eastAsia="Arial" w:hAnsi="Arial"/>
          <w:sz w:val="19"/>
          <w:szCs w:val="19"/>
          <w:color w:val="111111"/>
        </w:rPr>
        <w:t>be</w:t>
      </w:r>
      <w:r>
        <w:rPr>
          <w:rFonts w:ascii="Arial" w:cs="Arial" w:eastAsia="Arial" w:hAnsi="Arial"/>
          <w:sz w:val="19"/>
          <w:szCs w:val="19"/>
          <w:color w:val="auto"/>
        </w:rPr>
        <w:t xml:space="preserve"> obligated </w:t>
      </w:r>
      <w:r>
        <w:rPr>
          <w:rFonts w:ascii="Arial" w:cs="Arial" w:eastAsia="Arial" w:hAnsi="Arial"/>
          <w:sz w:val="19"/>
          <w:szCs w:val="19"/>
          <w:color w:val="111111"/>
        </w:rPr>
        <w:t>to maintain</w:t>
      </w:r>
      <w:r>
        <w:rPr>
          <w:rFonts w:ascii="Arial" w:cs="Arial" w:eastAsia="Arial" w:hAnsi="Arial"/>
          <w:sz w:val="19"/>
          <w:szCs w:val="19"/>
          <w:color w:val="auto"/>
        </w:rPr>
        <w:t xml:space="preserve"> and repair the Building System </w:t>
      </w:r>
      <w:r>
        <w:rPr>
          <w:rFonts w:ascii="Arial" w:cs="Arial" w:eastAsia="Arial" w:hAnsi="Arial"/>
          <w:sz w:val="19"/>
          <w:szCs w:val="19"/>
          <w:color w:val="111111"/>
        </w:rPr>
        <w:t xml:space="preserve">Improvements </w:t>
      </w:r>
      <w:r>
        <w:rPr>
          <w:rFonts w:ascii="Arial" w:cs="Arial" w:eastAsia="Arial" w:hAnsi="Arial"/>
          <w:sz w:val="19"/>
          <w:szCs w:val="19"/>
          <w:color w:val="000000"/>
        </w:rPr>
        <w:t>and to</w:t>
      </w:r>
      <w:r>
        <w:rPr>
          <w:rFonts w:ascii="Arial" w:cs="Arial" w:eastAsia="Arial" w:hAnsi="Arial"/>
          <w:sz w:val="19"/>
          <w:szCs w:val="19"/>
          <w:color w:val="111111"/>
        </w:rPr>
        <w:t xml:space="preserve"> provide the </w:t>
      </w:r>
      <w:r>
        <w:rPr>
          <w:rFonts w:ascii="Arial" w:cs="Arial" w:eastAsia="Arial" w:hAnsi="Arial"/>
          <w:sz w:val="19"/>
          <w:szCs w:val="19"/>
          <w:color w:val="000000"/>
        </w:rPr>
        <w:t>utilities and</w:t>
      </w:r>
      <w:r>
        <w:rPr>
          <w:rFonts w:ascii="Arial" w:cs="Arial" w:eastAsia="Arial" w:hAnsi="Arial"/>
          <w:sz w:val="19"/>
          <w:szCs w:val="19"/>
          <w:color w:val="111111"/>
        </w:rPr>
        <w:t xml:space="preserve"> </w:t>
      </w:r>
      <w:r>
        <w:rPr>
          <w:rFonts w:ascii="Arial" w:cs="Arial" w:eastAsia="Arial" w:hAnsi="Arial"/>
          <w:sz w:val="19"/>
          <w:szCs w:val="19"/>
          <w:color w:val="3B3B3B"/>
        </w:rPr>
        <w:t>serv</w:t>
      </w:r>
      <w:r>
        <w:rPr>
          <w:rFonts w:ascii="Arial" w:cs="Arial" w:eastAsia="Arial" w:hAnsi="Arial"/>
          <w:sz w:val="19"/>
          <w:szCs w:val="19"/>
          <w:color w:val="111111"/>
        </w:rPr>
        <w:t xml:space="preserve">ices </w:t>
      </w:r>
      <w:r>
        <w:rPr>
          <w:rFonts w:ascii="Arial" w:cs="Arial" w:eastAsia="Arial" w:hAnsi="Arial"/>
          <w:sz w:val="19"/>
          <w:szCs w:val="19"/>
          <w:color w:val="3B3B3B"/>
        </w:rPr>
        <w:t>set</w:t>
      </w:r>
      <w:r>
        <w:rPr>
          <w:rFonts w:ascii="Arial" w:cs="Arial" w:eastAsia="Arial" w:hAnsi="Arial"/>
          <w:sz w:val="19"/>
          <w:szCs w:val="19"/>
          <w:color w:val="111111"/>
        </w:rPr>
        <w:t xml:space="preserve"> </w:t>
      </w:r>
      <w:r>
        <w:rPr>
          <w:rFonts w:ascii="Arial" w:cs="Arial" w:eastAsia="Arial" w:hAnsi="Arial"/>
          <w:sz w:val="19"/>
          <w:szCs w:val="19"/>
          <w:color w:val="000000"/>
        </w:rPr>
        <w:t>forth</w:t>
      </w:r>
      <w:r>
        <w:rPr>
          <w:rFonts w:ascii="Arial" w:cs="Arial" w:eastAsia="Arial" w:hAnsi="Arial"/>
          <w:sz w:val="19"/>
          <w:szCs w:val="19"/>
          <w:color w:val="111111"/>
        </w:rPr>
        <w:t xml:space="preserve"> in </w:t>
      </w:r>
      <w:r>
        <w:rPr>
          <w:rFonts w:ascii="Arial" w:cs="Arial" w:eastAsia="Arial" w:hAnsi="Arial"/>
          <w:sz w:val="19"/>
          <w:szCs w:val="19"/>
          <w:u w:val="single" w:color="auto"/>
          <w:color w:val="000000"/>
        </w:rPr>
        <w:t>Sections</w:t>
      </w:r>
      <w:r>
        <w:rPr>
          <w:rFonts w:ascii="Arial" w:cs="Arial" w:eastAsia="Arial" w:hAnsi="Arial"/>
          <w:sz w:val="19"/>
          <w:szCs w:val="19"/>
          <w:color w:val="111111"/>
        </w:rPr>
        <w:t xml:space="preserve"> </w:t>
      </w:r>
      <w:r>
        <w:rPr>
          <w:rFonts w:ascii="Arial" w:cs="Arial" w:eastAsia="Arial" w:hAnsi="Arial"/>
          <w:sz w:val="19"/>
          <w:szCs w:val="19"/>
          <w:u w:val="single" w:color="auto"/>
          <w:color w:val="111111"/>
        </w:rPr>
        <w:t>16</w:t>
      </w:r>
      <w:r>
        <w:rPr>
          <w:rFonts w:ascii="Arial" w:cs="Arial" w:eastAsia="Arial" w:hAnsi="Arial"/>
          <w:sz w:val="19"/>
          <w:szCs w:val="19"/>
          <w:u w:val="single" w:color="auto"/>
          <w:color w:val="3B3B3B"/>
        </w:rPr>
        <w:t>.</w:t>
      </w:r>
      <w:r>
        <w:rPr>
          <w:rFonts w:ascii="Arial" w:cs="Arial" w:eastAsia="Arial" w:hAnsi="Arial"/>
          <w:sz w:val="19"/>
          <w:szCs w:val="19"/>
          <w:u w:val="single" w:color="auto"/>
          <w:color w:val="111111"/>
        </w:rPr>
        <w:t>1</w:t>
      </w:r>
      <w:r>
        <w:rPr>
          <w:rFonts w:ascii="Arial" w:cs="Arial" w:eastAsia="Arial" w:hAnsi="Arial"/>
          <w:sz w:val="19"/>
          <w:szCs w:val="19"/>
          <w:color w:val="111111"/>
        </w:rPr>
        <w:t xml:space="preserve">, </w:t>
      </w:r>
      <w:r>
        <w:rPr>
          <w:rFonts w:ascii="Arial" w:cs="Arial" w:eastAsia="Arial" w:hAnsi="Arial"/>
          <w:sz w:val="19"/>
          <w:szCs w:val="19"/>
          <w:u w:val="single" w:color="auto"/>
          <w:color w:val="111111"/>
        </w:rPr>
        <w:t>16</w:t>
      </w:r>
      <w:r>
        <w:rPr>
          <w:rFonts w:ascii="Arial" w:cs="Arial" w:eastAsia="Arial" w:hAnsi="Arial"/>
          <w:sz w:val="19"/>
          <w:szCs w:val="19"/>
          <w:u w:val="single" w:color="auto"/>
          <w:color w:val="3B3B3B"/>
        </w:rPr>
        <w:t>.7</w:t>
      </w:r>
      <w:r>
        <w:rPr>
          <w:rFonts w:ascii="Arial" w:cs="Arial" w:eastAsia="Arial" w:hAnsi="Arial"/>
          <w:sz w:val="19"/>
          <w:szCs w:val="19"/>
          <w:color w:val="111111"/>
        </w:rPr>
        <w:t xml:space="preserve"> </w:t>
      </w:r>
      <w:r>
        <w:rPr>
          <w:rFonts w:ascii="Arial" w:cs="Arial" w:eastAsia="Arial" w:hAnsi="Arial"/>
          <w:sz w:val="19"/>
          <w:szCs w:val="19"/>
          <w:color w:val="000000"/>
        </w:rPr>
        <w:t>and</w:t>
      </w:r>
      <w:r>
        <w:rPr>
          <w:rFonts w:ascii="Arial" w:cs="Arial" w:eastAsia="Arial" w:hAnsi="Arial"/>
          <w:sz w:val="19"/>
          <w:szCs w:val="19"/>
          <w:color w:val="111111"/>
        </w:rPr>
        <w:t xml:space="preserve"> </w:t>
      </w:r>
      <w:r>
        <w:rPr>
          <w:rFonts w:ascii="Arial" w:cs="Arial" w:eastAsia="Arial" w:hAnsi="Arial"/>
          <w:sz w:val="19"/>
          <w:szCs w:val="19"/>
          <w:u w:val="single" w:color="auto"/>
          <w:color w:val="111111"/>
        </w:rPr>
        <w:t>16.9</w:t>
      </w:r>
      <w:r>
        <w:rPr>
          <w:rFonts w:ascii="Arial" w:cs="Arial" w:eastAsia="Arial" w:hAnsi="Arial"/>
          <w:sz w:val="19"/>
          <w:szCs w:val="19"/>
          <w:color w:val="111111"/>
        </w:rPr>
        <w:t xml:space="preserve">, </w:t>
      </w:r>
      <w:r>
        <w:rPr>
          <w:rFonts w:ascii="Arial" w:cs="Arial" w:eastAsia="Arial" w:hAnsi="Arial"/>
          <w:sz w:val="19"/>
          <w:szCs w:val="19"/>
          <w:color w:val="3B3B3B"/>
        </w:rPr>
        <w:t>subject to</w:t>
      </w:r>
      <w:r>
        <w:rPr>
          <w:rFonts w:ascii="Arial" w:cs="Arial" w:eastAsia="Arial" w:hAnsi="Arial"/>
          <w:sz w:val="19"/>
          <w:szCs w:val="19"/>
          <w:color w:val="111111"/>
        </w:rPr>
        <w:t xml:space="preserve"> </w:t>
      </w:r>
      <w:r>
        <w:rPr>
          <w:rFonts w:ascii="Arial" w:cs="Arial" w:eastAsia="Arial" w:hAnsi="Arial"/>
          <w:sz w:val="19"/>
          <w:szCs w:val="19"/>
          <w:color w:val="000000"/>
        </w:rPr>
        <w:t>and in</w:t>
      </w:r>
      <w:r>
        <w:rPr>
          <w:rFonts w:ascii="Arial" w:cs="Arial" w:eastAsia="Arial" w:hAnsi="Arial"/>
          <w:sz w:val="19"/>
          <w:szCs w:val="19"/>
          <w:color w:val="111111"/>
        </w:rPr>
        <w:t xml:space="preserve"> </w:t>
      </w:r>
      <w:r>
        <w:rPr>
          <w:rFonts w:ascii="Arial" w:cs="Arial" w:eastAsia="Arial" w:hAnsi="Arial"/>
          <w:sz w:val="19"/>
          <w:szCs w:val="19"/>
          <w:color w:val="000000"/>
        </w:rPr>
        <w:t xml:space="preserve">accordance with </w:t>
      </w:r>
      <w:r>
        <w:rPr>
          <w:rFonts w:ascii="Arial" w:cs="Arial" w:eastAsia="Arial" w:hAnsi="Arial"/>
          <w:sz w:val="19"/>
          <w:szCs w:val="19"/>
          <w:color w:val="3B3B3B"/>
        </w:rPr>
        <w:t>t</w:t>
      </w:r>
      <w:r>
        <w:rPr>
          <w:rFonts w:ascii="Arial" w:cs="Arial" w:eastAsia="Arial" w:hAnsi="Arial"/>
          <w:sz w:val="19"/>
          <w:szCs w:val="19"/>
          <w:color w:val="111111"/>
        </w:rPr>
        <w:t>he provi</w:t>
      </w:r>
      <w:r>
        <w:rPr>
          <w:rFonts w:ascii="Arial" w:cs="Arial" w:eastAsia="Arial" w:hAnsi="Arial"/>
          <w:sz w:val="19"/>
          <w:szCs w:val="19"/>
          <w:color w:val="3B3B3B"/>
        </w:rPr>
        <w:t>sions</w:t>
      </w:r>
      <w:r>
        <w:rPr>
          <w:rFonts w:ascii="Arial" w:cs="Arial" w:eastAsia="Arial" w:hAnsi="Arial"/>
          <w:sz w:val="19"/>
          <w:szCs w:val="19"/>
          <w:color w:val="000000"/>
        </w:rPr>
        <w:t xml:space="preserve"> of such Sections. </w:t>
      </w:r>
      <w:r>
        <w:rPr>
          <w:rFonts w:ascii="Arial" w:cs="Arial" w:eastAsia="Arial" w:hAnsi="Arial"/>
          <w:sz w:val="19"/>
          <w:szCs w:val="19"/>
          <w:color w:val="111111"/>
        </w:rPr>
        <w:t>Within thirty (30)</w:t>
      </w:r>
      <w:r>
        <w:rPr>
          <w:rFonts w:ascii="Arial" w:cs="Arial" w:eastAsia="Arial" w:hAnsi="Arial"/>
          <w:sz w:val="19"/>
          <w:szCs w:val="19"/>
          <w:color w:val="000000"/>
        </w:rPr>
        <w:t xml:space="preserve"> calendar </w:t>
      </w:r>
      <w:r>
        <w:rPr>
          <w:rFonts w:ascii="Arial" w:cs="Arial" w:eastAsia="Arial" w:hAnsi="Arial"/>
          <w:sz w:val="19"/>
          <w:szCs w:val="19"/>
          <w:color w:val="111111"/>
        </w:rPr>
        <w:t>day</w:t>
      </w:r>
      <w:r>
        <w:rPr>
          <w:rFonts w:ascii="Arial" w:cs="Arial" w:eastAsia="Arial" w:hAnsi="Arial"/>
          <w:sz w:val="19"/>
          <w:szCs w:val="19"/>
          <w:color w:val="3B3B3B"/>
        </w:rPr>
        <w:t>s</w:t>
      </w:r>
      <w:r>
        <w:rPr>
          <w:rFonts w:ascii="Arial" w:cs="Arial" w:eastAsia="Arial" w:hAnsi="Arial"/>
          <w:sz w:val="19"/>
          <w:szCs w:val="19"/>
          <w:color w:val="000000"/>
        </w:rPr>
        <w:t xml:space="preserve"> following Landlord’s receipt </w:t>
      </w:r>
      <w:r>
        <w:rPr>
          <w:rFonts w:ascii="Arial" w:cs="Arial" w:eastAsia="Arial" w:hAnsi="Arial"/>
          <w:sz w:val="19"/>
          <w:szCs w:val="19"/>
          <w:color w:val="111111"/>
        </w:rPr>
        <w:t>of</w:t>
      </w:r>
      <w:r>
        <w:rPr>
          <w:rFonts w:ascii="Arial" w:cs="Arial" w:eastAsia="Arial" w:hAnsi="Arial"/>
          <w:sz w:val="19"/>
          <w:szCs w:val="19"/>
          <w:color w:val="000000"/>
        </w:rPr>
        <w:t xml:space="preserve"> </w:t>
      </w:r>
      <w:r>
        <w:rPr>
          <w:rFonts w:ascii="Arial" w:cs="Arial" w:eastAsia="Arial" w:hAnsi="Arial"/>
          <w:sz w:val="19"/>
          <w:szCs w:val="19"/>
          <w:color w:val="3B3B3B"/>
        </w:rPr>
        <w:t>Te</w:t>
      </w:r>
      <w:r>
        <w:rPr>
          <w:rFonts w:ascii="Arial" w:cs="Arial" w:eastAsia="Arial" w:hAnsi="Arial"/>
          <w:sz w:val="19"/>
          <w:szCs w:val="19"/>
          <w:color w:val="111111"/>
        </w:rPr>
        <w:t>n</w:t>
      </w:r>
      <w:r>
        <w:rPr>
          <w:rFonts w:ascii="Arial" w:cs="Arial" w:eastAsia="Arial" w:hAnsi="Arial"/>
          <w:sz w:val="19"/>
          <w:szCs w:val="19"/>
          <w:color w:val="3B3B3B"/>
        </w:rPr>
        <w:t>a</w:t>
      </w:r>
      <w:r>
        <w:rPr>
          <w:rFonts w:ascii="Arial" w:cs="Arial" w:eastAsia="Arial" w:hAnsi="Arial"/>
          <w:sz w:val="19"/>
          <w:szCs w:val="19"/>
          <w:color w:val="111111"/>
        </w:rPr>
        <w:t>nt</w:t>
      </w:r>
      <w:r>
        <w:rPr>
          <w:rFonts w:ascii="Arial" w:cs="Arial" w:eastAsia="Arial" w:hAnsi="Arial"/>
          <w:sz w:val="19"/>
          <w:szCs w:val="19"/>
          <w:color w:val="3B3B3B"/>
        </w:rPr>
        <w:t xml:space="preserve">’s </w:t>
      </w:r>
      <w:r>
        <w:rPr>
          <w:rFonts w:ascii="Arial" w:cs="Arial" w:eastAsia="Arial" w:hAnsi="Arial"/>
          <w:sz w:val="19"/>
          <w:szCs w:val="19"/>
          <w:color w:val="000000"/>
        </w:rPr>
        <w:t>Turnover</w:t>
      </w:r>
      <w:r>
        <w:rPr>
          <w:rFonts w:ascii="Arial" w:cs="Arial" w:eastAsia="Arial" w:hAnsi="Arial"/>
          <w:sz w:val="19"/>
          <w:szCs w:val="19"/>
          <w:color w:val="3B3B3B"/>
        </w:rPr>
        <w:t xml:space="preserve"> Notice </w:t>
      </w:r>
      <w:r>
        <w:rPr>
          <w:rFonts w:ascii="Arial" w:cs="Arial" w:eastAsia="Arial" w:hAnsi="Arial"/>
          <w:sz w:val="19"/>
          <w:szCs w:val="19"/>
          <w:color w:val="000000"/>
        </w:rPr>
        <w:t>Landlord shall</w:t>
      </w:r>
      <w:r>
        <w:rPr>
          <w:rFonts w:ascii="Arial" w:cs="Arial" w:eastAsia="Arial" w:hAnsi="Arial"/>
          <w:sz w:val="19"/>
          <w:szCs w:val="19"/>
          <w:color w:val="3B3B3B"/>
        </w:rPr>
        <w:t xml:space="preserve"> </w:t>
      </w:r>
      <w:r>
        <w:rPr>
          <w:rFonts w:ascii="Arial" w:cs="Arial" w:eastAsia="Arial" w:hAnsi="Arial"/>
          <w:sz w:val="19"/>
          <w:szCs w:val="19"/>
          <w:color w:val="111111"/>
        </w:rPr>
        <w:t>prov</w:t>
      </w:r>
      <w:r>
        <w:rPr>
          <w:rFonts w:ascii="Arial" w:cs="Arial" w:eastAsia="Arial" w:hAnsi="Arial"/>
          <w:sz w:val="19"/>
          <w:szCs w:val="19"/>
          <w:color w:val="3B3B3B"/>
        </w:rPr>
        <w:t xml:space="preserve">ide </w:t>
      </w:r>
      <w:r>
        <w:rPr>
          <w:rFonts w:ascii="Arial" w:cs="Arial" w:eastAsia="Arial" w:hAnsi="Arial"/>
          <w:sz w:val="19"/>
          <w:szCs w:val="19"/>
          <w:color w:val="000000"/>
        </w:rPr>
        <w:t>Tenant with written</w:t>
      </w:r>
      <w:r>
        <w:rPr>
          <w:rFonts w:ascii="Arial" w:cs="Arial" w:eastAsia="Arial" w:hAnsi="Arial"/>
          <w:sz w:val="19"/>
          <w:szCs w:val="19"/>
          <w:color w:val="3B3B3B"/>
        </w:rPr>
        <w:t xml:space="preserve"> </w:t>
      </w:r>
      <w:r>
        <w:rPr>
          <w:rFonts w:ascii="Arial" w:cs="Arial" w:eastAsia="Arial" w:hAnsi="Arial"/>
          <w:sz w:val="19"/>
          <w:szCs w:val="19"/>
          <w:color w:val="111111"/>
        </w:rPr>
        <w:t>notice</w:t>
      </w:r>
      <w:r>
        <w:rPr>
          <w:rFonts w:ascii="Arial" w:cs="Arial" w:eastAsia="Arial" w:hAnsi="Arial"/>
          <w:sz w:val="19"/>
          <w:szCs w:val="19"/>
          <w:color w:val="3B3B3B"/>
        </w:rPr>
        <w:t xml:space="preserve"> </w:t>
      </w:r>
      <w:r>
        <w:rPr>
          <w:rFonts w:ascii="Arial" w:cs="Arial" w:eastAsia="Arial" w:hAnsi="Arial"/>
          <w:sz w:val="19"/>
          <w:szCs w:val="19"/>
          <w:color w:val="000000"/>
        </w:rPr>
        <w:t>of those Service Contracts</w:t>
      </w:r>
      <w:r>
        <w:rPr>
          <w:rFonts w:ascii="Arial" w:cs="Arial" w:eastAsia="Arial" w:hAnsi="Arial"/>
          <w:sz w:val="19"/>
          <w:szCs w:val="19"/>
          <w:color w:val="3B3B3B"/>
        </w:rPr>
        <w:t xml:space="preserve"> </w:t>
      </w:r>
      <w:r>
        <w:rPr>
          <w:rFonts w:ascii="Arial" w:cs="Arial" w:eastAsia="Arial" w:hAnsi="Arial"/>
          <w:sz w:val="19"/>
          <w:szCs w:val="19"/>
          <w:color w:val="111111"/>
        </w:rPr>
        <w:t>that</w:t>
      </w:r>
      <w:r>
        <w:rPr>
          <w:rFonts w:ascii="Arial" w:cs="Arial" w:eastAsia="Arial" w:hAnsi="Arial"/>
          <w:sz w:val="19"/>
          <w:szCs w:val="19"/>
          <w:color w:val="3B3B3B"/>
        </w:rPr>
        <w:t xml:space="preserve"> </w:t>
      </w:r>
      <w:r>
        <w:rPr>
          <w:rFonts w:ascii="Arial" w:cs="Arial" w:eastAsia="Arial" w:hAnsi="Arial"/>
          <w:sz w:val="19"/>
          <w:szCs w:val="19"/>
          <w:color w:val="111111"/>
        </w:rPr>
        <w:t xml:space="preserve">Landlord </w:t>
      </w:r>
      <w:r>
        <w:rPr>
          <w:rFonts w:ascii="Arial" w:cs="Arial" w:eastAsia="Arial" w:hAnsi="Arial"/>
          <w:sz w:val="19"/>
          <w:szCs w:val="19"/>
          <w:color w:val="000000"/>
        </w:rPr>
        <w:t>has agreed</w:t>
      </w:r>
      <w:r>
        <w:rPr>
          <w:rFonts w:ascii="Arial" w:cs="Arial" w:eastAsia="Arial" w:hAnsi="Arial"/>
          <w:sz w:val="19"/>
          <w:szCs w:val="19"/>
          <w:color w:val="111111"/>
        </w:rPr>
        <w:t xml:space="preserve"> to </w:t>
      </w:r>
      <w:r>
        <w:rPr>
          <w:rFonts w:ascii="Arial" w:cs="Arial" w:eastAsia="Arial" w:hAnsi="Arial"/>
          <w:sz w:val="19"/>
          <w:szCs w:val="19"/>
          <w:color w:val="000000"/>
        </w:rPr>
        <w:t>assume as of</w:t>
      </w:r>
      <w:r>
        <w:rPr>
          <w:rFonts w:ascii="Arial" w:cs="Arial" w:eastAsia="Arial" w:hAnsi="Arial"/>
          <w:sz w:val="19"/>
          <w:szCs w:val="19"/>
          <w:color w:val="111111"/>
        </w:rPr>
        <w:t xml:space="preserve"> </w:t>
      </w:r>
      <w:r>
        <w:rPr>
          <w:rFonts w:ascii="Arial" w:cs="Arial" w:eastAsia="Arial" w:hAnsi="Arial"/>
          <w:sz w:val="19"/>
          <w:szCs w:val="19"/>
          <w:color w:val="3B3B3B"/>
        </w:rPr>
        <w:t>t</w:t>
      </w:r>
      <w:r>
        <w:rPr>
          <w:rFonts w:ascii="Arial" w:cs="Arial" w:eastAsia="Arial" w:hAnsi="Arial"/>
          <w:sz w:val="19"/>
          <w:szCs w:val="19"/>
          <w:color w:val="111111"/>
        </w:rPr>
        <w:t xml:space="preserve">he </w:t>
      </w:r>
      <w:r>
        <w:rPr>
          <w:rFonts w:ascii="Arial" w:cs="Arial" w:eastAsia="Arial" w:hAnsi="Arial"/>
          <w:sz w:val="19"/>
          <w:szCs w:val="19"/>
          <w:color w:val="000000"/>
        </w:rPr>
        <w:t>Turnover</w:t>
      </w:r>
      <w:r>
        <w:rPr>
          <w:rFonts w:ascii="Arial" w:cs="Arial" w:eastAsia="Arial" w:hAnsi="Arial"/>
          <w:sz w:val="19"/>
          <w:szCs w:val="19"/>
          <w:color w:val="111111"/>
        </w:rPr>
        <w:t xml:space="preserve"> Da</w:t>
      </w:r>
      <w:r>
        <w:rPr>
          <w:rFonts w:ascii="Arial" w:cs="Arial" w:eastAsia="Arial" w:hAnsi="Arial"/>
          <w:sz w:val="19"/>
          <w:szCs w:val="19"/>
          <w:color w:val="3B3B3B"/>
        </w:rPr>
        <w:t>te</w:t>
      </w:r>
      <w:r>
        <w:rPr>
          <w:rFonts w:ascii="Arial" w:cs="Arial" w:eastAsia="Arial" w:hAnsi="Arial"/>
          <w:sz w:val="19"/>
          <w:szCs w:val="19"/>
          <w:color w:val="111111"/>
        </w:rPr>
        <w:t xml:space="preserve"> (colle</w:t>
      </w:r>
      <w:r>
        <w:rPr>
          <w:rFonts w:ascii="Arial" w:cs="Arial" w:eastAsia="Arial" w:hAnsi="Arial"/>
          <w:sz w:val="19"/>
          <w:szCs w:val="19"/>
          <w:color w:val="3B3B3B"/>
        </w:rPr>
        <w:t>c</w:t>
      </w:r>
      <w:r>
        <w:rPr>
          <w:rFonts w:ascii="Arial" w:cs="Arial" w:eastAsia="Arial" w:hAnsi="Arial"/>
          <w:sz w:val="19"/>
          <w:szCs w:val="19"/>
          <w:color w:val="111111"/>
        </w:rPr>
        <w:t>ti</w:t>
      </w:r>
      <w:r>
        <w:rPr>
          <w:rFonts w:ascii="Arial" w:cs="Arial" w:eastAsia="Arial" w:hAnsi="Arial"/>
          <w:sz w:val="19"/>
          <w:szCs w:val="19"/>
          <w:color w:val="3B3B3B"/>
        </w:rPr>
        <w:t>ve</w:t>
      </w:r>
      <w:r>
        <w:rPr>
          <w:rFonts w:ascii="Arial" w:cs="Arial" w:eastAsia="Arial" w:hAnsi="Arial"/>
          <w:sz w:val="19"/>
          <w:szCs w:val="19"/>
          <w:color w:val="111111"/>
        </w:rPr>
        <w:t>ly</w:t>
      </w:r>
      <w:r>
        <w:rPr>
          <w:rFonts w:ascii="Arial" w:cs="Arial" w:eastAsia="Arial" w:hAnsi="Arial"/>
          <w:sz w:val="19"/>
          <w:szCs w:val="19"/>
          <w:color w:val="3B3B3B"/>
        </w:rPr>
        <w:t>,</w:t>
      </w:r>
      <w:r>
        <w:rPr>
          <w:rFonts w:ascii="Arial" w:cs="Arial" w:eastAsia="Arial" w:hAnsi="Arial"/>
          <w:sz w:val="19"/>
          <w:szCs w:val="19"/>
          <w:color w:val="111111"/>
        </w:rPr>
        <w:t xml:space="preserve"> </w:t>
      </w:r>
      <w:r>
        <w:rPr>
          <w:rFonts w:ascii="Arial" w:cs="Arial" w:eastAsia="Arial" w:hAnsi="Arial"/>
          <w:sz w:val="19"/>
          <w:szCs w:val="19"/>
          <w:color w:val="000000"/>
        </w:rPr>
        <w:t>the</w:t>
      </w:r>
      <w:r>
        <w:rPr>
          <w:rFonts w:ascii="Arial" w:cs="Arial" w:eastAsia="Arial" w:hAnsi="Arial"/>
          <w:sz w:val="19"/>
          <w:szCs w:val="19"/>
          <w:color w:val="111111"/>
        </w:rPr>
        <w:t xml:space="preserve"> </w:t>
      </w:r>
      <w:r>
        <w:rPr>
          <w:rFonts w:ascii="Arial" w:cs="Arial" w:eastAsia="Arial" w:hAnsi="Arial"/>
          <w:sz w:val="19"/>
          <w:szCs w:val="19"/>
          <w:color w:val="3B3B3B"/>
        </w:rPr>
        <w:t>“</w:t>
      </w:r>
      <w:r>
        <w:rPr>
          <w:rFonts w:ascii="Arial" w:cs="Arial" w:eastAsia="Arial" w:hAnsi="Arial"/>
          <w:sz w:val="19"/>
          <w:szCs w:val="19"/>
          <w:u w:val="single" w:color="auto"/>
          <w:color w:val="3B3B3B"/>
        </w:rPr>
        <w:t>Ass</w:t>
      </w:r>
      <w:r>
        <w:rPr>
          <w:rFonts w:ascii="Arial" w:cs="Arial" w:eastAsia="Arial" w:hAnsi="Arial"/>
          <w:sz w:val="19"/>
          <w:szCs w:val="19"/>
          <w:u w:val="single" w:color="auto"/>
          <w:color w:val="111111"/>
        </w:rPr>
        <w:t>umed</w:t>
      </w:r>
      <w:r>
        <w:rPr>
          <w:rFonts w:ascii="Arial" w:cs="Arial" w:eastAsia="Arial" w:hAnsi="Arial"/>
          <w:sz w:val="19"/>
          <w:szCs w:val="19"/>
          <w:color w:val="111111"/>
        </w:rPr>
        <w:t xml:space="preserve"> </w:t>
      </w:r>
      <w:r>
        <w:rPr>
          <w:rFonts w:ascii="Arial" w:cs="Arial" w:eastAsia="Arial" w:hAnsi="Arial"/>
          <w:sz w:val="19"/>
          <w:szCs w:val="19"/>
          <w:u w:val="single" w:color="auto"/>
          <w:color w:val="000000"/>
        </w:rPr>
        <w:t>Service Contracts</w:t>
      </w:r>
      <w:r>
        <w:rPr>
          <w:rFonts w:ascii="Arial" w:cs="Arial" w:eastAsia="Arial" w:hAnsi="Arial"/>
          <w:sz w:val="19"/>
          <w:szCs w:val="19"/>
          <w:color w:val="000000"/>
        </w:rPr>
        <w:t>”) and</w:t>
      </w:r>
      <w:r>
        <w:rPr>
          <w:rFonts w:ascii="Arial" w:cs="Arial" w:eastAsia="Arial" w:hAnsi="Arial"/>
          <w:sz w:val="19"/>
          <w:szCs w:val="19"/>
          <w:color w:val="111111"/>
        </w:rPr>
        <w:t xml:space="preserve"> Te</w:t>
      </w:r>
      <w:r>
        <w:rPr>
          <w:rFonts w:ascii="Arial" w:cs="Arial" w:eastAsia="Arial" w:hAnsi="Arial"/>
          <w:sz w:val="19"/>
          <w:szCs w:val="19"/>
          <w:color w:val="3B3B3B"/>
        </w:rPr>
        <w:t>nant s</w:t>
      </w:r>
      <w:r>
        <w:rPr>
          <w:rFonts w:ascii="Arial" w:cs="Arial" w:eastAsia="Arial" w:hAnsi="Arial"/>
          <w:sz w:val="19"/>
          <w:szCs w:val="19"/>
          <w:color w:val="111111"/>
        </w:rPr>
        <w:t xml:space="preserve">hall be </w:t>
      </w:r>
      <w:r>
        <w:rPr>
          <w:rFonts w:ascii="Arial" w:cs="Arial" w:eastAsia="Arial" w:hAnsi="Arial"/>
          <w:sz w:val="19"/>
          <w:szCs w:val="19"/>
          <w:color w:val="000000"/>
        </w:rPr>
        <w:t>obligated</w:t>
      </w:r>
      <w:r>
        <w:rPr>
          <w:rFonts w:ascii="Arial" w:cs="Arial" w:eastAsia="Arial" w:hAnsi="Arial"/>
          <w:sz w:val="19"/>
          <w:szCs w:val="19"/>
          <w:color w:val="111111"/>
        </w:rPr>
        <w:t xml:space="preserve"> </w:t>
      </w:r>
      <w:r>
        <w:rPr>
          <w:rFonts w:ascii="Arial" w:cs="Arial" w:eastAsia="Arial" w:hAnsi="Arial"/>
          <w:sz w:val="19"/>
          <w:szCs w:val="19"/>
          <w:color w:val="3B3B3B"/>
        </w:rPr>
        <w:t>to</w:t>
      </w:r>
      <w:r>
        <w:rPr>
          <w:rFonts w:ascii="Arial" w:cs="Arial" w:eastAsia="Arial" w:hAnsi="Arial"/>
          <w:sz w:val="19"/>
          <w:szCs w:val="19"/>
          <w:color w:val="111111"/>
        </w:rPr>
        <w:t xml:space="preserve"> </w:t>
      </w:r>
      <w:r>
        <w:rPr>
          <w:rFonts w:ascii="Arial" w:cs="Arial" w:eastAsia="Arial" w:hAnsi="Arial"/>
          <w:sz w:val="19"/>
          <w:szCs w:val="19"/>
          <w:color w:val="000000"/>
        </w:rPr>
        <w:t>terminate all of</w:t>
      </w:r>
      <w:r>
        <w:rPr>
          <w:rFonts w:ascii="Arial" w:cs="Arial" w:eastAsia="Arial" w:hAnsi="Arial"/>
          <w:sz w:val="19"/>
          <w:szCs w:val="19"/>
          <w:color w:val="111111"/>
        </w:rPr>
        <w:t xml:space="preserve"> the </w:t>
      </w:r>
      <w:r>
        <w:rPr>
          <w:rFonts w:ascii="Arial" w:cs="Arial" w:eastAsia="Arial" w:hAnsi="Arial"/>
          <w:sz w:val="19"/>
          <w:szCs w:val="19"/>
          <w:color w:val="000000"/>
        </w:rPr>
        <w:t>Service Contracts other</w:t>
      </w:r>
      <w:r>
        <w:rPr>
          <w:rFonts w:ascii="Arial" w:cs="Arial" w:eastAsia="Arial" w:hAnsi="Arial"/>
          <w:sz w:val="19"/>
          <w:szCs w:val="19"/>
          <w:color w:val="111111"/>
        </w:rPr>
        <w:t xml:space="preserve"> than </w:t>
      </w:r>
      <w:r>
        <w:rPr>
          <w:rFonts w:ascii="Arial" w:cs="Arial" w:eastAsia="Arial" w:hAnsi="Arial"/>
          <w:sz w:val="19"/>
          <w:szCs w:val="19"/>
          <w:color w:val="000000"/>
        </w:rPr>
        <w:t>the Assumed Service Contracts and</w:t>
      </w:r>
      <w:r>
        <w:rPr>
          <w:rFonts w:ascii="Arial" w:cs="Arial" w:eastAsia="Arial" w:hAnsi="Arial"/>
          <w:sz w:val="19"/>
          <w:szCs w:val="19"/>
          <w:color w:val="111111"/>
        </w:rPr>
        <w:t xml:space="preserve"> </w:t>
      </w:r>
      <w:r>
        <w:rPr>
          <w:rFonts w:ascii="Arial" w:cs="Arial" w:eastAsia="Arial" w:hAnsi="Arial"/>
          <w:sz w:val="19"/>
          <w:szCs w:val="19"/>
          <w:color w:val="000000"/>
        </w:rPr>
        <w:t xml:space="preserve">shall </w:t>
      </w:r>
      <w:r>
        <w:rPr>
          <w:rFonts w:ascii="Arial" w:cs="Arial" w:eastAsia="Arial" w:hAnsi="Arial"/>
          <w:sz w:val="19"/>
          <w:szCs w:val="19"/>
          <w:color w:val="111111"/>
        </w:rPr>
        <w:t>be</w:t>
      </w:r>
      <w:r>
        <w:rPr>
          <w:rFonts w:ascii="Arial" w:cs="Arial" w:eastAsia="Arial" w:hAnsi="Arial"/>
          <w:sz w:val="19"/>
          <w:szCs w:val="19"/>
          <w:color w:val="000000"/>
        </w:rPr>
        <w:t xml:space="preserve"> solely </w:t>
      </w:r>
      <w:r>
        <w:rPr>
          <w:rFonts w:ascii="Arial" w:cs="Arial" w:eastAsia="Arial" w:hAnsi="Arial"/>
          <w:sz w:val="19"/>
          <w:szCs w:val="19"/>
          <w:color w:val="111111"/>
        </w:rPr>
        <w:t>respon</w:t>
      </w:r>
      <w:r>
        <w:rPr>
          <w:rFonts w:ascii="Arial" w:cs="Arial" w:eastAsia="Arial" w:hAnsi="Arial"/>
          <w:sz w:val="19"/>
          <w:szCs w:val="19"/>
          <w:color w:val="3B3B3B"/>
        </w:rPr>
        <w:t>sible</w:t>
      </w:r>
      <w:r>
        <w:rPr>
          <w:rFonts w:ascii="Arial" w:cs="Arial" w:eastAsia="Arial" w:hAnsi="Arial"/>
          <w:sz w:val="19"/>
          <w:szCs w:val="19"/>
          <w:color w:val="000000"/>
        </w:rPr>
        <w:t xml:space="preserve"> for all </w:t>
      </w:r>
      <w:r>
        <w:rPr>
          <w:rFonts w:ascii="Arial" w:cs="Arial" w:eastAsia="Arial" w:hAnsi="Arial"/>
          <w:sz w:val="19"/>
          <w:szCs w:val="19"/>
          <w:color w:val="3B3B3B"/>
        </w:rPr>
        <w:t>termi</w:t>
      </w:r>
      <w:r>
        <w:rPr>
          <w:rFonts w:ascii="Arial" w:cs="Arial" w:eastAsia="Arial" w:hAnsi="Arial"/>
          <w:sz w:val="19"/>
          <w:szCs w:val="19"/>
          <w:color w:val="111111"/>
        </w:rPr>
        <w:t>nation fee</w:t>
      </w:r>
      <w:r>
        <w:rPr>
          <w:rFonts w:ascii="Arial" w:cs="Arial" w:eastAsia="Arial" w:hAnsi="Arial"/>
          <w:sz w:val="19"/>
          <w:szCs w:val="19"/>
          <w:color w:val="3B3B3B"/>
        </w:rPr>
        <w:t>s</w:t>
      </w:r>
      <w:r>
        <w:rPr>
          <w:rFonts w:ascii="Arial" w:cs="Arial" w:eastAsia="Arial" w:hAnsi="Arial"/>
          <w:sz w:val="19"/>
          <w:szCs w:val="19"/>
          <w:color w:val="000000"/>
        </w:rPr>
        <w:t xml:space="preserve"> and </w:t>
      </w:r>
      <w:r>
        <w:rPr>
          <w:rFonts w:ascii="Arial" w:cs="Arial" w:eastAsia="Arial" w:hAnsi="Arial"/>
          <w:sz w:val="19"/>
          <w:szCs w:val="19"/>
          <w:color w:val="111111"/>
        </w:rPr>
        <w:t>penalties</w:t>
      </w:r>
      <w:r>
        <w:rPr>
          <w:rFonts w:ascii="Arial" w:cs="Arial" w:eastAsia="Arial" w:hAnsi="Arial"/>
          <w:sz w:val="19"/>
          <w:szCs w:val="19"/>
          <w:color w:val="000000"/>
        </w:rPr>
        <w:t xml:space="preserve"> associated with such termination(s). Within </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111111"/>
        </w:rPr>
        <w:t xml:space="preserve">days </w:t>
      </w:r>
      <w:r>
        <w:rPr>
          <w:rFonts w:ascii="Arial" w:cs="Arial" w:eastAsia="Arial" w:hAnsi="Arial"/>
          <w:sz w:val="19"/>
          <w:szCs w:val="19"/>
          <w:color w:val="000000"/>
        </w:rPr>
        <w:t>after</w:t>
      </w:r>
      <w:r>
        <w:rPr>
          <w:rFonts w:ascii="Arial" w:cs="Arial" w:eastAsia="Arial" w:hAnsi="Arial"/>
          <w:sz w:val="19"/>
          <w:szCs w:val="19"/>
          <w:color w:val="111111"/>
        </w:rPr>
        <w:t xml:space="preserve"> the Turnover </w:t>
      </w:r>
      <w:r>
        <w:rPr>
          <w:rFonts w:ascii="Arial" w:cs="Arial" w:eastAsia="Arial" w:hAnsi="Arial"/>
          <w:sz w:val="19"/>
          <w:szCs w:val="19"/>
          <w:color w:val="000000"/>
        </w:rPr>
        <w:t>Date, Landlord and</w:t>
      </w:r>
      <w:r>
        <w:rPr>
          <w:rFonts w:ascii="Arial" w:cs="Arial" w:eastAsia="Arial" w:hAnsi="Arial"/>
          <w:sz w:val="19"/>
          <w:szCs w:val="19"/>
          <w:color w:val="111111"/>
        </w:rPr>
        <w:t xml:space="preserve"> </w:t>
      </w:r>
      <w:r>
        <w:rPr>
          <w:rFonts w:ascii="Arial" w:cs="Arial" w:eastAsia="Arial" w:hAnsi="Arial"/>
          <w:sz w:val="19"/>
          <w:szCs w:val="19"/>
          <w:color w:val="3B3B3B"/>
        </w:rPr>
        <w:t>Te</w:t>
      </w:r>
      <w:r>
        <w:rPr>
          <w:rFonts w:ascii="Arial" w:cs="Arial" w:eastAsia="Arial" w:hAnsi="Arial"/>
          <w:sz w:val="19"/>
          <w:szCs w:val="19"/>
          <w:color w:val="111111"/>
        </w:rPr>
        <w:t xml:space="preserve">nant </w:t>
      </w:r>
      <w:r>
        <w:rPr>
          <w:rFonts w:ascii="Arial" w:cs="Arial" w:eastAsia="Arial" w:hAnsi="Arial"/>
          <w:sz w:val="19"/>
          <w:szCs w:val="19"/>
          <w:color w:val="000000"/>
        </w:rPr>
        <w:t>shall execute an amendment</w:t>
      </w:r>
      <w:r>
        <w:rPr>
          <w:rFonts w:ascii="Arial" w:cs="Arial" w:eastAsia="Arial" w:hAnsi="Arial"/>
          <w:sz w:val="19"/>
          <w:szCs w:val="19"/>
          <w:color w:val="111111"/>
        </w:rPr>
        <w:t xml:space="preserve"> to </w:t>
      </w:r>
      <w:r>
        <w:rPr>
          <w:rFonts w:ascii="Arial" w:cs="Arial" w:eastAsia="Arial" w:hAnsi="Arial"/>
          <w:sz w:val="19"/>
          <w:szCs w:val="19"/>
          <w:color w:val="000000"/>
        </w:rPr>
        <w:t>this Lease acknowledge</w:t>
      </w:r>
      <w:r>
        <w:rPr>
          <w:rFonts w:ascii="Arial" w:cs="Arial" w:eastAsia="Arial" w:hAnsi="Arial"/>
          <w:sz w:val="19"/>
          <w:szCs w:val="19"/>
          <w:color w:val="111111"/>
        </w:rPr>
        <w:t xml:space="preserve"> the </w:t>
      </w:r>
      <w:r>
        <w:rPr>
          <w:rFonts w:ascii="Arial" w:cs="Arial" w:eastAsia="Arial" w:hAnsi="Arial"/>
          <w:sz w:val="19"/>
          <w:szCs w:val="19"/>
          <w:color w:val="000000"/>
        </w:rPr>
        <w:t xml:space="preserve">terms of the Turnover Prior to the </w:t>
      </w:r>
      <w:r>
        <w:rPr>
          <w:rFonts w:ascii="Arial" w:cs="Arial" w:eastAsia="Arial" w:hAnsi="Arial"/>
          <w:sz w:val="19"/>
          <w:szCs w:val="19"/>
          <w:color w:val="111111"/>
        </w:rPr>
        <w:t>Turno</w:t>
      </w:r>
      <w:r>
        <w:rPr>
          <w:rFonts w:ascii="Arial" w:cs="Arial" w:eastAsia="Arial" w:hAnsi="Arial"/>
          <w:sz w:val="19"/>
          <w:szCs w:val="19"/>
          <w:color w:val="3B3B3B"/>
        </w:rPr>
        <w:t>ver</w:t>
      </w:r>
      <w:r>
        <w:rPr>
          <w:rFonts w:ascii="Arial" w:cs="Arial" w:eastAsia="Arial" w:hAnsi="Arial"/>
          <w:sz w:val="19"/>
          <w:szCs w:val="19"/>
          <w:color w:val="000000"/>
        </w:rPr>
        <w:t xml:space="preserve"> </w:t>
      </w:r>
      <w:r>
        <w:rPr>
          <w:rFonts w:ascii="Arial" w:cs="Arial" w:eastAsia="Arial" w:hAnsi="Arial"/>
          <w:sz w:val="19"/>
          <w:szCs w:val="19"/>
          <w:color w:val="111111"/>
        </w:rPr>
        <w:t>Date</w:t>
      </w:r>
      <w:r>
        <w:rPr>
          <w:rFonts w:ascii="Arial" w:cs="Arial" w:eastAsia="Arial" w:hAnsi="Arial"/>
          <w:sz w:val="19"/>
          <w:szCs w:val="19"/>
          <w:color w:val="545454"/>
        </w:rPr>
        <w:t>;</w:t>
      </w:r>
      <w:r>
        <w:rPr>
          <w:rFonts w:ascii="Arial" w:cs="Arial" w:eastAsia="Arial" w:hAnsi="Arial"/>
          <w:sz w:val="19"/>
          <w:szCs w:val="19"/>
          <w:color w:val="000000"/>
        </w:rPr>
        <w:t xml:space="preserve"> Tenant shall deliver </w:t>
      </w:r>
      <w:r>
        <w:rPr>
          <w:rFonts w:ascii="Arial" w:cs="Arial" w:eastAsia="Arial" w:hAnsi="Arial"/>
          <w:sz w:val="19"/>
          <w:szCs w:val="19"/>
          <w:color w:val="111111"/>
        </w:rPr>
        <w:t>an</w:t>
      </w:r>
      <w:r>
        <w:rPr>
          <w:rFonts w:ascii="Arial" w:cs="Arial" w:eastAsia="Arial" w:hAnsi="Arial"/>
          <w:sz w:val="19"/>
          <w:szCs w:val="19"/>
          <w:color w:val="000000"/>
        </w:rPr>
        <w:t xml:space="preserve"> assignment of </w:t>
      </w:r>
      <w:r>
        <w:rPr>
          <w:rFonts w:ascii="Arial" w:cs="Arial" w:eastAsia="Arial" w:hAnsi="Arial"/>
          <w:sz w:val="19"/>
          <w:szCs w:val="19"/>
          <w:color w:val="3B3B3B"/>
        </w:rPr>
        <w:t>t</w:t>
      </w:r>
      <w:r>
        <w:rPr>
          <w:rFonts w:ascii="Arial" w:cs="Arial" w:eastAsia="Arial" w:hAnsi="Arial"/>
          <w:sz w:val="19"/>
          <w:szCs w:val="19"/>
          <w:color w:val="111111"/>
        </w:rPr>
        <w:t>he</w:t>
      </w:r>
      <w:r>
        <w:rPr>
          <w:rFonts w:ascii="Arial" w:cs="Arial" w:eastAsia="Arial" w:hAnsi="Arial"/>
          <w:sz w:val="19"/>
          <w:szCs w:val="19"/>
          <w:color w:val="000000"/>
        </w:rPr>
        <w:t xml:space="preserve"> Service Contracts, </w:t>
      </w:r>
      <w:r>
        <w:rPr>
          <w:rFonts w:ascii="Arial" w:cs="Arial" w:eastAsia="Arial" w:hAnsi="Arial"/>
          <w:sz w:val="19"/>
          <w:szCs w:val="19"/>
          <w:color w:val="111111"/>
        </w:rPr>
        <w:t>du</w:t>
      </w:r>
      <w:r>
        <w:rPr>
          <w:rFonts w:ascii="Arial" w:cs="Arial" w:eastAsia="Arial" w:hAnsi="Arial"/>
          <w:sz w:val="19"/>
          <w:szCs w:val="19"/>
          <w:color w:val="3B3B3B"/>
        </w:rPr>
        <w:t>ly</w:t>
      </w:r>
      <w:r>
        <w:rPr>
          <w:rFonts w:ascii="Arial" w:cs="Arial" w:eastAsia="Arial" w:hAnsi="Arial"/>
          <w:sz w:val="19"/>
          <w:szCs w:val="19"/>
          <w:color w:val="111111"/>
        </w:rPr>
        <w:t xml:space="preserve"> </w:t>
      </w:r>
      <w:r>
        <w:rPr>
          <w:rFonts w:ascii="Arial" w:cs="Arial" w:eastAsia="Arial" w:hAnsi="Arial"/>
          <w:sz w:val="19"/>
          <w:szCs w:val="19"/>
          <w:color w:val="000000"/>
        </w:rPr>
        <w:t>executed</w:t>
      </w:r>
      <w:r>
        <w:rPr>
          <w:rFonts w:ascii="Arial" w:cs="Arial" w:eastAsia="Arial" w:hAnsi="Arial"/>
          <w:sz w:val="19"/>
          <w:szCs w:val="19"/>
          <w:color w:val="111111"/>
        </w:rPr>
        <w:t xml:space="preserve"> by </w:t>
      </w:r>
      <w:r>
        <w:rPr>
          <w:rFonts w:ascii="Arial" w:cs="Arial" w:eastAsia="Arial" w:hAnsi="Arial"/>
          <w:sz w:val="19"/>
          <w:szCs w:val="19"/>
          <w:color w:val="000000"/>
        </w:rPr>
        <w:t>Tenant; assigning</w:t>
      </w:r>
      <w:r>
        <w:rPr>
          <w:rFonts w:ascii="Arial" w:cs="Arial" w:eastAsia="Arial" w:hAnsi="Arial"/>
          <w:sz w:val="19"/>
          <w:szCs w:val="19"/>
          <w:color w:val="111111"/>
        </w:rPr>
        <w:t xml:space="preserve"> all </w:t>
      </w:r>
      <w:r>
        <w:rPr>
          <w:rFonts w:ascii="Arial" w:cs="Arial" w:eastAsia="Arial" w:hAnsi="Arial"/>
          <w:sz w:val="19"/>
          <w:szCs w:val="19"/>
          <w:color w:val="000000"/>
        </w:rPr>
        <w:t>of Tenant’s right,</w:t>
      </w:r>
      <w:r>
        <w:rPr>
          <w:rFonts w:ascii="Arial" w:cs="Arial" w:eastAsia="Arial" w:hAnsi="Arial"/>
          <w:sz w:val="19"/>
          <w:szCs w:val="19"/>
          <w:color w:val="111111"/>
        </w:rPr>
        <w:t xml:space="preserve"> title </w:t>
      </w:r>
      <w:r>
        <w:rPr>
          <w:rFonts w:ascii="Arial" w:cs="Arial" w:eastAsia="Arial" w:hAnsi="Arial"/>
          <w:sz w:val="19"/>
          <w:szCs w:val="19"/>
          <w:color w:val="000000"/>
        </w:rPr>
        <w:t>and</w:t>
      </w:r>
      <w:r>
        <w:rPr>
          <w:rFonts w:ascii="Arial" w:cs="Arial" w:eastAsia="Arial" w:hAnsi="Arial"/>
          <w:sz w:val="19"/>
          <w:szCs w:val="19"/>
          <w:color w:val="111111"/>
        </w:rPr>
        <w:t xml:space="preserve"> </w:t>
      </w:r>
      <w:r>
        <w:rPr>
          <w:rFonts w:ascii="Arial" w:cs="Arial" w:eastAsia="Arial" w:hAnsi="Arial"/>
          <w:sz w:val="19"/>
          <w:szCs w:val="19"/>
          <w:color w:val="3B3B3B"/>
        </w:rPr>
        <w:t>i</w:t>
      </w:r>
      <w:r>
        <w:rPr>
          <w:rFonts w:ascii="Arial" w:cs="Arial" w:eastAsia="Arial" w:hAnsi="Arial"/>
          <w:sz w:val="19"/>
          <w:szCs w:val="19"/>
          <w:color w:val="111111"/>
        </w:rPr>
        <w:t xml:space="preserve">nterest </w:t>
      </w:r>
      <w:r>
        <w:rPr>
          <w:rFonts w:ascii="Arial" w:cs="Arial" w:eastAsia="Arial" w:hAnsi="Arial"/>
          <w:sz w:val="19"/>
          <w:szCs w:val="19"/>
          <w:color w:val="3B3B3B"/>
        </w:rPr>
        <w:t>in</w:t>
      </w:r>
      <w:r>
        <w:rPr>
          <w:rFonts w:ascii="Arial" w:cs="Arial" w:eastAsia="Arial" w:hAnsi="Arial"/>
          <w:sz w:val="19"/>
          <w:szCs w:val="19"/>
          <w:color w:val="111111"/>
        </w:rPr>
        <w:t xml:space="preserve"> </w:t>
      </w:r>
      <w:r>
        <w:rPr>
          <w:rFonts w:ascii="Arial" w:cs="Arial" w:eastAsia="Arial" w:hAnsi="Arial"/>
          <w:sz w:val="19"/>
          <w:szCs w:val="19"/>
          <w:color w:val="000000"/>
        </w:rPr>
        <w:t>and</w:t>
      </w:r>
      <w:r>
        <w:rPr>
          <w:rFonts w:ascii="Arial" w:cs="Arial" w:eastAsia="Arial" w:hAnsi="Arial"/>
          <w:sz w:val="19"/>
          <w:szCs w:val="19"/>
          <w:color w:val="111111"/>
        </w:rPr>
        <w:t xml:space="preserve"> to the </w:t>
      </w:r>
      <w:r>
        <w:rPr>
          <w:rFonts w:ascii="Arial" w:cs="Arial" w:eastAsia="Arial" w:hAnsi="Arial"/>
          <w:sz w:val="19"/>
          <w:szCs w:val="19"/>
          <w:color w:val="000000"/>
        </w:rPr>
        <w:t>Assumed Service Contracts,</w:t>
      </w:r>
      <w:r>
        <w:rPr>
          <w:rFonts w:ascii="Arial" w:cs="Arial" w:eastAsia="Arial" w:hAnsi="Arial"/>
          <w:sz w:val="19"/>
          <w:szCs w:val="19"/>
          <w:color w:val="111111"/>
        </w:rPr>
        <w:t xml:space="preserve"> </w:t>
      </w:r>
      <w:r>
        <w:rPr>
          <w:rFonts w:ascii="Arial" w:cs="Arial" w:eastAsia="Arial" w:hAnsi="Arial"/>
          <w:sz w:val="19"/>
          <w:szCs w:val="19"/>
          <w:color w:val="000000"/>
        </w:rPr>
        <w:t xml:space="preserve">and Landlord </w:t>
      </w:r>
      <w:r>
        <w:rPr>
          <w:rFonts w:ascii="Arial" w:cs="Arial" w:eastAsia="Arial" w:hAnsi="Arial"/>
          <w:sz w:val="19"/>
          <w:szCs w:val="19"/>
          <w:color w:val="3B3B3B"/>
        </w:rPr>
        <w:t>shall</w:t>
      </w:r>
      <w:r>
        <w:rPr>
          <w:rFonts w:ascii="Arial" w:cs="Arial" w:eastAsia="Arial" w:hAnsi="Arial"/>
          <w:sz w:val="19"/>
          <w:szCs w:val="19"/>
          <w:color w:val="000000"/>
        </w:rPr>
        <w:t xml:space="preserve"> accept </w:t>
      </w:r>
      <w:r>
        <w:rPr>
          <w:rFonts w:ascii="Arial" w:cs="Arial" w:eastAsia="Arial" w:hAnsi="Arial"/>
          <w:sz w:val="19"/>
          <w:szCs w:val="19"/>
          <w:color w:val="3B3B3B"/>
        </w:rPr>
        <w:t>such</w:t>
      </w:r>
      <w:r>
        <w:rPr>
          <w:rFonts w:ascii="Arial" w:cs="Arial" w:eastAsia="Arial" w:hAnsi="Arial"/>
          <w:sz w:val="19"/>
          <w:szCs w:val="19"/>
          <w:color w:val="000000"/>
        </w:rPr>
        <w:t xml:space="preserve"> assignment and assume all obligations under such Assumed Service Contracts for the period commencing on </w:t>
      </w:r>
      <w:r>
        <w:rPr>
          <w:rFonts w:ascii="Arial" w:cs="Arial" w:eastAsia="Arial" w:hAnsi="Arial"/>
          <w:sz w:val="19"/>
          <w:szCs w:val="19"/>
          <w:color w:val="3B3B3B"/>
        </w:rPr>
        <w:t>the</w:t>
      </w:r>
      <w:r>
        <w:rPr>
          <w:rFonts w:ascii="Arial" w:cs="Arial" w:eastAsia="Arial" w:hAnsi="Arial"/>
          <w:sz w:val="19"/>
          <w:szCs w:val="19"/>
          <w:color w:val="000000"/>
        </w:rPr>
        <w:t xml:space="preserve"> Turnover Date.</w:t>
      </w:r>
    </w:p>
    <w:p>
      <w:pPr>
        <w:spacing w:after="0" w:line="160" w:lineRule="exact"/>
        <w:rPr>
          <w:sz w:val="20"/>
          <w:szCs w:val="20"/>
          <w:color w:val="auto"/>
        </w:rPr>
      </w:pPr>
    </w:p>
    <w:p>
      <w:pPr>
        <w:jc w:val="both"/>
        <w:ind w:left="180" w:hanging="647"/>
        <w:spacing w:after="0" w:line="298" w:lineRule="auto"/>
        <w:tabs>
          <w:tab w:leader="none" w:pos="160" w:val="left"/>
        </w:tabs>
        <w:rPr>
          <w:sz w:val="20"/>
          <w:szCs w:val="20"/>
          <w:color w:val="auto"/>
        </w:rPr>
      </w:pPr>
      <w:r>
        <w:rPr>
          <w:rFonts w:ascii="Arial" w:cs="Arial" w:eastAsia="Arial" w:hAnsi="Arial"/>
          <w:sz w:val="22"/>
          <w:szCs w:val="22"/>
          <w:color w:val="auto"/>
        </w:rPr>
        <w:t>43.3</w:t>
      </w:r>
      <w:r>
        <w:rPr>
          <w:sz w:val="20"/>
          <w:szCs w:val="20"/>
          <w:color w:val="auto"/>
        </w:rPr>
        <w:tab/>
      </w:r>
      <w:r>
        <w:rPr>
          <w:rFonts w:ascii="Arial" w:cs="Arial" w:eastAsia="Arial" w:hAnsi="Arial"/>
          <w:sz w:val="19"/>
          <w:szCs w:val="19"/>
          <w:color w:val="auto"/>
        </w:rPr>
        <w:t xml:space="preserve">For </w:t>
      </w:r>
      <w:r>
        <w:rPr>
          <w:rFonts w:ascii="Arial" w:cs="Arial" w:eastAsia="Arial" w:hAnsi="Arial"/>
          <w:sz w:val="19"/>
          <w:szCs w:val="19"/>
          <w:color w:val="111111"/>
        </w:rPr>
        <w:t>purpo</w:t>
      </w:r>
      <w:r>
        <w:rPr>
          <w:rFonts w:ascii="Arial" w:cs="Arial" w:eastAsia="Arial" w:hAnsi="Arial"/>
          <w:sz w:val="19"/>
          <w:szCs w:val="19"/>
          <w:color w:val="3B3B3B"/>
        </w:rPr>
        <w:t>ses</w:t>
      </w:r>
      <w:r>
        <w:rPr>
          <w:rFonts w:ascii="Arial" w:cs="Arial" w:eastAsia="Arial" w:hAnsi="Arial"/>
          <w:sz w:val="19"/>
          <w:szCs w:val="19"/>
          <w:color w:val="auto"/>
        </w:rPr>
        <w:t xml:space="preserve"> of clarification, Landlord and Tenant’s maintenance </w:t>
      </w:r>
      <w:r>
        <w:rPr>
          <w:rFonts w:ascii="Arial" w:cs="Arial" w:eastAsia="Arial" w:hAnsi="Arial"/>
          <w:sz w:val="19"/>
          <w:szCs w:val="19"/>
          <w:color w:val="111111"/>
        </w:rPr>
        <w:t>and</w:t>
      </w:r>
      <w:r>
        <w:rPr>
          <w:rFonts w:ascii="Arial" w:cs="Arial" w:eastAsia="Arial" w:hAnsi="Arial"/>
          <w:sz w:val="19"/>
          <w:szCs w:val="19"/>
          <w:color w:val="auto"/>
        </w:rPr>
        <w:t xml:space="preserve"> service obligations, prior to and following a Turnover, are further detailed on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attached hereto </w:t>
      </w:r>
      <w:r>
        <w:rPr>
          <w:rFonts w:ascii="Arial" w:cs="Arial" w:eastAsia="Arial" w:hAnsi="Arial"/>
          <w:sz w:val="19"/>
          <w:szCs w:val="19"/>
          <w:color w:val="3B3B3B"/>
        </w:rPr>
        <w:t>and inco</w:t>
      </w:r>
      <w:r>
        <w:rPr>
          <w:rFonts w:ascii="Arial" w:cs="Arial" w:eastAsia="Arial" w:hAnsi="Arial"/>
          <w:sz w:val="19"/>
          <w:szCs w:val="19"/>
          <w:color w:val="111111"/>
        </w:rPr>
        <w:t>rporated here</w:t>
      </w:r>
      <w:r>
        <w:rPr>
          <w:rFonts w:ascii="Arial" w:cs="Arial" w:eastAsia="Arial" w:hAnsi="Arial"/>
          <w:sz w:val="19"/>
          <w:szCs w:val="19"/>
          <w:color w:val="3B3B3B"/>
        </w:rPr>
        <w:t>in</w:t>
      </w:r>
      <w:r>
        <w:rPr>
          <w:rFonts w:ascii="Arial" w:cs="Arial" w:eastAsia="Arial" w:hAnsi="Arial"/>
          <w:sz w:val="19"/>
          <w:szCs w:val="19"/>
          <w:color w:val="auto"/>
        </w:rPr>
        <w:t xml:space="preserve"> by reference.</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22"/>
          <w:szCs w:val="22"/>
          <w:color w:val="232323"/>
        </w:rPr>
        <w:t xml:space="preserve">[REMAINDER </w:t>
      </w:r>
      <w:r>
        <w:rPr>
          <w:rFonts w:ascii="Arial" w:cs="Arial" w:eastAsia="Arial" w:hAnsi="Arial"/>
          <w:sz w:val="22"/>
          <w:szCs w:val="22"/>
          <w:color w:val="000000"/>
        </w:rPr>
        <w:t>OF</w:t>
      </w:r>
      <w:r>
        <w:rPr>
          <w:rFonts w:ascii="Arial" w:cs="Arial" w:eastAsia="Arial" w:hAnsi="Arial"/>
          <w:sz w:val="22"/>
          <w:szCs w:val="22"/>
          <w:color w:val="232323"/>
        </w:rPr>
        <w:t xml:space="preserve"> </w:t>
      </w:r>
      <w:r>
        <w:rPr>
          <w:rFonts w:ascii="Arial" w:cs="Arial" w:eastAsia="Arial" w:hAnsi="Arial"/>
          <w:sz w:val="22"/>
          <w:szCs w:val="22"/>
          <w:color w:val="3B3B3B"/>
        </w:rPr>
        <w:t>TH</w:t>
      </w:r>
      <w:r>
        <w:rPr>
          <w:rFonts w:ascii="Arial" w:cs="Arial" w:eastAsia="Arial" w:hAnsi="Arial"/>
          <w:sz w:val="22"/>
          <w:szCs w:val="22"/>
          <w:color w:val="000000"/>
        </w:rPr>
        <w:t>IS PAGE INTENTIO</w:t>
      </w:r>
      <w:r>
        <w:rPr>
          <w:rFonts w:ascii="Arial" w:cs="Arial" w:eastAsia="Arial" w:hAnsi="Arial"/>
          <w:sz w:val="22"/>
          <w:szCs w:val="22"/>
          <w:color w:val="3B3B3B"/>
        </w:rPr>
        <w:t>NA</w:t>
      </w:r>
      <w:r>
        <w:rPr>
          <w:rFonts w:ascii="Arial" w:cs="Arial" w:eastAsia="Arial" w:hAnsi="Arial"/>
          <w:sz w:val="22"/>
          <w:szCs w:val="22"/>
          <w:color w:val="000000"/>
        </w:rPr>
        <w:t>LLY</w:t>
      </w:r>
      <w:r>
        <w:rPr>
          <w:rFonts w:ascii="Arial" w:cs="Arial" w:eastAsia="Arial" w:hAnsi="Arial"/>
          <w:sz w:val="22"/>
          <w:szCs w:val="22"/>
          <w:color w:val="232323"/>
        </w:rPr>
        <w:t xml:space="preserve">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0120"/>
          </w:cols>
          <w:pgMar w:left="1440" w:top="1401" w:right="339" w:bottom="1440" w:gutter="0" w:footer="0" w:header="0"/>
        </w:sectPr>
      </w:pPr>
    </w:p>
    <w:bookmarkStart w:id="373" w:name="page374"/>
    <w:bookmarkEnd w:id="373"/>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383838"/>
        </w:rPr>
        <w:t xml:space="preserve">IN </w:t>
      </w:r>
      <w:r>
        <w:rPr>
          <w:rFonts w:ascii="Arial" w:cs="Arial" w:eastAsia="Arial" w:hAnsi="Arial"/>
          <w:sz w:val="19"/>
          <w:szCs w:val="19"/>
          <w:color w:val="000000"/>
        </w:rPr>
        <w:t>WITNESS WHEREOF, the parties hereto have executed</w:t>
      </w:r>
      <w:r>
        <w:rPr>
          <w:rFonts w:ascii="Arial" w:cs="Arial" w:eastAsia="Arial" w:hAnsi="Arial"/>
          <w:sz w:val="19"/>
          <w:szCs w:val="19"/>
          <w:color w:val="383838"/>
        </w:rPr>
        <w:t xml:space="preserve"> </w:t>
      </w:r>
      <w:r>
        <w:rPr>
          <w:rFonts w:ascii="Arial" w:cs="Arial" w:eastAsia="Arial" w:hAnsi="Arial"/>
          <w:sz w:val="19"/>
          <w:szCs w:val="19"/>
          <w:color w:val="0E0E0E"/>
        </w:rPr>
        <w:t>thi</w:t>
      </w:r>
      <w:r>
        <w:rPr>
          <w:rFonts w:ascii="Arial" w:cs="Arial" w:eastAsia="Arial" w:hAnsi="Arial"/>
          <w:sz w:val="19"/>
          <w:szCs w:val="19"/>
          <w:color w:val="383838"/>
        </w:rPr>
        <w:t xml:space="preserve">s </w:t>
      </w:r>
      <w:r>
        <w:rPr>
          <w:rFonts w:ascii="Arial" w:cs="Arial" w:eastAsia="Arial" w:hAnsi="Arial"/>
          <w:sz w:val="19"/>
          <w:szCs w:val="19"/>
          <w:color w:val="0E0E0E"/>
        </w:rPr>
        <w:t>Lease</w:t>
      </w:r>
      <w:r>
        <w:rPr>
          <w:rFonts w:ascii="Arial" w:cs="Arial" w:eastAsia="Arial" w:hAnsi="Arial"/>
          <w:sz w:val="19"/>
          <w:szCs w:val="19"/>
          <w:color w:val="383838"/>
        </w:rPr>
        <w:t xml:space="preserve"> </w:t>
      </w:r>
      <w:r>
        <w:rPr>
          <w:rFonts w:ascii="Arial" w:cs="Arial" w:eastAsia="Arial" w:hAnsi="Arial"/>
          <w:sz w:val="19"/>
          <w:szCs w:val="19"/>
          <w:color w:val="000000"/>
        </w:rPr>
        <w:t>as</w:t>
      </w:r>
      <w:r>
        <w:rPr>
          <w:rFonts w:ascii="Arial" w:cs="Arial" w:eastAsia="Arial" w:hAnsi="Arial"/>
          <w:sz w:val="19"/>
          <w:szCs w:val="19"/>
          <w:color w:val="383838"/>
        </w:rPr>
        <w:t xml:space="preserve"> of </w:t>
      </w:r>
      <w:r>
        <w:rPr>
          <w:rFonts w:ascii="Arial" w:cs="Arial" w:eastAsia="Arial" w:hAnsi="Arial"/>
          <w:sz w:val="19"/>
          <w:szCs w:val="19"/>
          <w:color w:val="000000"/>
        </w:rPr>
        <w:t>the</w:t>
      </w:r>
      <w:r>
        <w:rPr>
          <w:rFonts w:ascii="Arial" w:cs="Arial" w:eastAsia="Arial" w:hAnsi="Arial"/>
          <w:sz w:val="19"/>
          <w:szCs w:val="19"/>
          <w:color w:val="383838"/>
        </w:rPr>
        <w:t xml:space="preserve"> date </w:t>
      </w:r>
      <w:r>
        <w:rPr>
          <w:rFonts w:ascii="Arial" w:cs="Arial" w:eastAsia="Arial" w:hAnsi="Arial"/>
          <w:sz w:val="19"/>
          <w:szCs w:val="19"/>
          <w:color w:val="000000"/>
        </w:rPr>
        <w:t>first above</w:t>
      </w:r>
      <w:r>
        <w:rPr>
          <w:rFonts w:ascii="Arial" w:cs="Arial" w:eastAsia="Arial" w:hAnsi="Arial"/>
          <w:sz w:val="19"/>
          <w:szCs w:val="19"/>
          <w:color w:val="383838"/>
        </w:rPr>
        <w:t xml:space="preserve"> wr</w:t>
      </w:r>
      <w:r>
        <w:rPr>
          <w:rFonts w:ascii="Arial" w:cs="Arial" w:eastAsia="Arial" w:hAnsi="Arial"/>
          <w:sz w:val="19"/>
          <w:szCs w:val="19"/>
          <w:color w:val="0E0E0E"/>
        </w:rPr>
        <w:t>itte</w:t>
      </w:r>
      <w:r>
        <w:rPr>
          <w:rFonts w:ascii="Arial" w:cs="Arial" w:eastAsia="Arial" w:hAnsi="Arial"/>
          <w:sz w:val="19"/>
          <w:szCs w:val="19"/>
          <w:color w:val="383838"/>
        </w:rPr>
        <w:t>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LANDLORD</w:t>
      </w:r>
      <w:r>
        <w:rPr>
          <w:rFonts w:ascii="Arial" w:cs="Arial" w:eastAsia="Arial" w:hAnsi="Arial"/>
          <w:sz w:val="22"/>
          <w:szCs w:val="22"/>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BMR-MEDICAL CENTER DRIVE LLC,</w:t>
      </w:r>
    </w:p>
    <w:p>
      <w:pPr>
        <w:spacing w:after="0"/>
        <w:rPr>
          <w:sz w:val="20"/>
          <w:szCs w:val="20"/>
          <w:color w:val="auto"/>
        </w:rPr>
      </w:pPr>
      <w:r>
        <w:rPr>
          <w:rFonts w:ascii="Arial" w:cs="Arial" w:eastAsia="Arial" w:hAnsi="Arial"/>
          <w:sz w:val="22"/>
          <w:szCs w:val="22"/>
          <w:color w:val="auto"/>
        </w:rPr>
        <w:t xml:space="preserve">a Delaware </w:t>
      </w:r>
      <w:r>
        <w:rPr>
          <w:rFonts w:ascii="Arial" w:cs="Arial" w:eastAsia="Arial" w:hAnsi="Arial"/>
          <w:sz w:val="22"/>
          <w:szCs w:val="22"/>
          <w:color w:val="0E0E0E"/>
        </w:rPr>
        <w:t>limit</w:t>
      </w:r>
      <w:r>
        <w:rPr>
          <w:rFonts w:ascii="Arial" w:cs="Arial" w:eastAsia="Arial" w:hAnsi="Arial"/>
          <w:sz w:val="22"/>
          <w:szCs w:val="22"/>
          <w:color w:val="auto"/>
        </w:rPr>
        <w:t>ed l</w:t>
      </w:r>
      <w:r>
        <w:rPr>
          <w:rFonts w:ascii="Arial" w:cs="Arial" w:eastAsia="Arial" w:hAnsi="Arial"/>
          <w:sz w:val="22"/>
          <w:szCs w:val="22"/>
          <w:color w:val="0E0E0E"/>
        </w:rPr>
        <w:t>iabil</w:t>
      </w:r>
      <w:r>
        <w:rPr>
          <w:rFonts w:ascii="Arial" w:cs="Arial" w:eastAsia="Arial" w:hAnsi="Arial"/>
          <w:sz w:val="22"/>
          <w:szCs w:val="22"/>
          <w:color w:val="auto"/>
        </w:rPr>
        <w:t>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242424"/>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8572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8229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0E0E0E"/>
        </w:rPr>
        <w:t>Title</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-17780</wp:posOffset>
            </wp:positionV>
            <wp:extent cx="8229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242424"/>
        </w:rPr>
        <w:t>J. CRA</w:t>
      </w:r>
      <w:r>
        <w:rPr>
          <w:rFonts w:ascii="Arial" w:cs="Arial" w:eastAsia="Arial" w:hAnsi="Arial"/>
          <w:sz w:val="22"/>
          <w:szCs w:val="22"/>
          <w:color w:val="525252"/>
        </w:rPr>
        <w:t>I</w:t>
      </w:r>
      <w:r>
        <w:rPr>
          <w:rFonts w:ascii="Arial" w:cs="Arial" w:eastAsia="Arial" w:hAnsi="Arial"/>
          <w:sz w:val="22"/>
          <w:szCs w:val="22"/>
          <w:color w:val="242424"/>
        </w:rPr>
        <w:t xml:space="preserve">G </w:t>
      </w:r>
      <w:r>
        <w:rPr>
          <w:rFonts w:ascii="Arial" w:cs="Arial" w:eastAsia="Arial" w:hAnsi="Arial"/>
          <w:sz w:val="22"/>
          <w:szCs w:val="22"/>
          <w:color w:val="000000"/>
        </w:rPr>
        <w:t>VENTER INSTITUTE, INC.,</w:t>
      </w:r>
    </w:p>
    <w:p>
      <w:pPr>
        <w:spacing w:after="0" w:line="204" w:lineRule="auto"/>
        <w:rPr>
          <w:sz w:val="20"/>
          <w:szCs w:val="20"/>
          <w:color w:val="auto"/>
        </w:rPr>
      </w:pPr>
      <w:r>
        <w:rPr>
          <w:rFonts w:ascii="Arial" w:cs="Arial" w:eastAsia="Arial" w:hAnsi="Arial"/>
          <w:sz w:val="22"/>
          <w:szCs w:val="22"/>
          <w:color w:val="auto"/>
        </w:rPr>
        <w:t xml:space="preserve">successor </w:t>
      </w:r>
      <w:r>
        <w:rPr>
          <w:rFonts w:ascii="Arial" w:cs="Arial" w:eastAsia="Arial" w:hAnsi="Arial"/>
          <w:sz w:val="22"/>
          <w:szCs w:val="22"/>
          <w:color w:val="242424"/>
        </w:rPr>
        <w:t>in interest</w:t>
      </w:r>
      <w:r>
        <w:rPr>
          <w:rFonts w:ascii="Arial" w:cs="Arial" w:eastAsia="Arial" w:hAnsi="Arial"/>
          <w:sz w:val="22"/>
          <w:szCs w:val="22"/>
          <w:color w:val="auto"/>
        </w:rPr>
        <w:t xml:space="preserve"> </w:t>
      </w:r>
      <w:r>
        <w:rPr>
          <w:rFonts w:ascii="Arial" w:cs="Arial" w:eastAsia="Arial" w:hAnsi="Arial"/>
          <w:sz w:val="22"/>
          <w:szCs w:val="22"/>
          <w:color w:val="0E0E0E"/>
        </w:rPr>
        <w:t>to</w:t>
      </w:r>
      <w:r>
        <w:rPr>
          <w:rFonts w:ascii="Arial" w:cs="Arial" w:eastAsia="Arial" w:hAnsi="Arial"/>
          <w:sz w:val="22"/>
          <w:szCs w:val="22"/>
          <w:color w:val="auto"/>
        </w:rPr>
        <w:t xml:space="preserve"> The </w:t>
      </w:r>
      <w:r>
        <w:rPr>
          <w:rFonts w:ascii="Arial" w:cs="Arial" w:eastAsia="Arial" w:hAnsi="Arial"/>
          <w:sz w:val="22"/>
          <w:szCs w:val="22"/>
          <w:color w:val="242424"/>
        </w:rPr>
        <w:t>Institute</w:t>
      </w:r>
    </w:p>
    <w:p>
      <w:pPr>
        <w:spacing w:after="0" w:line="205" w:lineRule="auto"/>
        <w:rPr>
          <w:sz w:val="20"/>
          <w:szCs w:val="20"/>
          <w:color w:val="auto"/>
        </w:rPr>
      </w:pPr>
      <w:r>
        <w:rPr>
          <w:rFonts w:ascii="Arial" w:cs="Arial" w:eastAsia="Arial" w:hAnsi="Arial"/>
          <w:sz w:val="22"/>
          <w:szCs w:val="22"/>
          <w:color w:val="242424"/>
        </w:rPr>
        <w:t xml:space="preserve">for Genomic Research, </w:t>
      </w:r>
      <w:r>
        <w:rPr>
          <w:rFonts w:ascii="Arial" w:cs="Arial" w:eastAsia="Arial" w:hAnsi="Arial"/>
          <w:sz w:val="22"/>
          <w:szCs w:val="22"/>
          <w:color w:val="000000"/>
        </w:rPr>
        <w:t>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242424"/>
        </w:rPr>
        <w:t xml:space="preserve">a Maryland </w:t>
      </w:r>
      <w:r>
        <w:rPr>
          <w:rFonts w:ascii="Arial" w:cs="Arial" w:eastAsia="Arial" w:hAnsi="Arial"/>
          <w:sz w:val="22"/>
          <w:szCs w:val="22"/>
          <w:color w:val="0E0E0E"/>
        </w:rPr>
        <w:t>n</w:t>
      </w:r>
      <w:r>
        <w:rPr>
          <w:rFonts w:ascii="Arial" w:cs="Arial" w:eastAsia="Arial" w:hAnsi="Arial"/>
          <w:sz w:val="22"/>
          <w:szCs w:val="22"/>
          <w:color w:val="000000"/>
        </w:rPr>
        <w:t>o</w:t>
      </w:r>
      <w:r>
        <w:rPr>
          <w:rFonts w:ascii="Arial" w:cs="Arial" w:eastAsia="Arial" w:hAnsi="Arial"/>
          <w:sz w:val="22"/>
          <w:szCs w:val="22"/>
          <w:color w:val="0E0E0E"/>
        </w:rPr>
        <w:t>n-</w:t>
      </w:r>
      <w:r>
        <w:rPr>
          <w:rFonts w:ascii="Arial" w:cs="Arial" w:eastAsia="Arial" w:hAnsi="Arial"/>
          <w:sz w:val="22"/>
          <w:szCs w:val="22"/>
          <w:color w:val="000000"/>
        </w:rPr>
        <w:t>stock</w:t>
      </w:r>
      <w:r>
        <w:rPr>
          <w:rFonts w:ascii="Arial" w:cs="Arial" w:eastAsia="Arial" w:hAnsi="Arial"/>
          <w:sz w:val="22"/>
          <w:szCs w:val="22"/>
          <w:color w:val="242424"/>
        </w:rPr>
        <w:t xml:space="preserv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242424"/>
        </w:rPr>
        <w:t>By:</w:t>
      </w:r>
      <w:r>
        <w:rPr>
          <w:rFonts w:ascii="Arial" w:cs="Arial" w:eastAsia="Arial" w:hAnsi="Arial"/>
          <w:sz w:val="22"/>
          <w:szCs w:val="22"/>
          <w:color w:val="auto"/>
        </w:rPr>
        <w:tab/>
        <w:t>/s/ J. Craig Venter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5659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1565910" cy="8255"/>
                    </a:xfrm>
                    <a:prstGeom prst="rect">
                      <a:avLst/>
                    </a:prstGeom>
                    <a:noFill/>
                  </pic:spPr>
                </pic:pic>
              </a:graphicData>
            </a:graphic>
          </wp:anchor>
        </w:drawing>
      </w:r>
    </w:p>
    <w:p>
      <w:pPr>
        <w:spacing w:after="0" w:line="15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Name:</w:t>
        <w:tab/>
        <w:t>J. Craig Venter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14020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159"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0E0E0E"/>
        </w:rPr>
        <w:t>Title</w:t>
      </w:r>
      <w:r>
        <w:rPr>
          <w:rFonts w:ascii="Arial" w:cs="Arial" w:eastAsia="Arial" w:hAnsi="Arial"/>
          <w:sz w:val="22"/>
          <w:szCs w:val="22"/>
          <w:color w:val="000000"/>
        </w:rPr>
        <w:t>:</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-17780</wp:posOffset>
            </wp:positionV>
            <wp:extent cx="11963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139"/>
          </w:cols>
          <w:pgMar w:left="320" w:top="1440" w:right="1440" w:bottom="1440" w:gutter="0" w:footer="0" w:header="0"/>
        </w:sectPr>
      </w:pPr>
    </w:p>
    <w:bookmarkStart w:id="374" w:name="page375"/>
    <w:bookmarkEnd w:id="374"/>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executed this Lease as of the date first above written.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LANDLORD</w:t>
      </w:r>
      <w:r>
        <w:rPr>
          <w:rFonts w:ascii="Arial" w:cs="Arial" w:eastAsia="Arial" w:hAnsi="Arial"/>
          <w:sz w:val="22"/>
          <w:szCs w:val="22"/>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BMR-MEDICAL CENTER DRIVE LLC,</w:t>
      </w:r>
    </w:p>
    <w:p>
      <w:pPr>
        <w:spacing w:after="0"/>
        <w:rPr>
          <w:sz w:val="20"/>
          <w:szCs w:val="20"/>
          <w:color w:val="auto"/>
        </w:rPr>
      </w:pPr>
      <w:r>
        <w:rPr>
          <w:rFonts w:ascii="Arial" w:cs="Arial" w:eastAsia="Arial" w:hAnsi="Arial"/>
          <w:sz w:val="22"/>
          <w:szCs w:val="22"/>
          <w:color w:val="auto"/>
        </w:rPr>
        <w:t xml:space="preserve">a Delaware </w:t>
      </w:r>
      <w:r>
        <w:rPr>
          <w:rFonts w:ascii="Arial" w:cs="Arial" w:eastAsia="Arial" w:hAnsi="Arial"/>
          <w:sz w:val="22"/>
          <w:szCs w:val="22"/>
          <w:color w:val="0E0E0E"/>
        </w:rPr>
        <w:t>limit</w:t>
      </w:r>
      <w:r>
        <w:rPr>
          <w:rFonts w:ascii="Arial" w:cs="Arial" w:eastAsia="Arial" w:hAnsi="Arial"/>
          <w:sz w:val="22"/>
          <w:szCs w:val="22"/>
          <w:color w:val="auto"/>
        </w:rPr>
        <w:t>ed l</w:t>
      </w:r>
      <w:r>
        <w:rPr>
          <w:rFonts w:ascii="Arial" w:cs="Arial" w:eastAsia="Arial" w:hAnsi="Arial"/>
          <w:sz w:val="22"/>
          <w:szCs w:val="22"/>
          <w:color w:val="0E0E0E"/>
        </w:rPr>
        <w:t>iabil</w:t>
      </w:r>
      <w:r>
        <w:rPr>
          <w:rFonts w:ascii="Arial" w:cs="Arial" w:eastAsia="Arial" w:hAnsi="Arial"/>
          <w:sz w:val="22"/>
          <w:szCs w:val="22"/>
          <w:color w:val="auto"/>
        </w:rPr>
        <w:t>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242424"/>
        </w:rPr>
        <w:t>By:</w:t>
      </w:r>
      <w:r>
        <w:rPr>
          <w:sz w:val="20"/>
          <w:szCs w:val="20"/>
          <w:color w:val="auto"/>
        </w:rPr>
        <w:tab/>
      </w:r>
      <w:r>
        <w:rPr>
          <w:rFonts w:ascii="Arial" w:cs="Arial" w:eastAsia="Arial" w:hAnsi="Arial"/>
          <w:sz w:val="22"/>
          <w:szCs w:val="22"/>
          <w:u w:val="single" w:color="auto"/>
          <w:color w:val="242424"/>
        </w:rPr>
        <w:t xml:space="preserve">/s/ </w:t>
      </w:r>
      <w:r>
        <w:rPr>
          <w:rFonts w:ascii="Arial" w:cs="Arial" w:eastAsia="Arial" w:hAnsi="Arial"/>
          <w:sz w:val="22"/>
          <w:szCs w:val="22"/>
          <w:u w:val="single" w:color="auto"/>
          <w:color w:val="000000"/>
        </w:rPr>
        <w:t>Kevin M. Simonsen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1639570</wp:posOffset>
            </wp:positionH>
            <wp:positionV relativeFrom="paragraph">
              <wp:posOffset>-17780</wp:posOffset>
            </wp:positionV>
            <wp:extent cx="3086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5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Name:</w:t>
        <w:tab/>
        <w:t>Kevin M. Simonsen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16497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1649730" cy="8255"/>
                    </a:xfrm>
                    <a:prstGeom prst="rect">
                      <a:avLst/>
                    </a:prstGeom>
                    <a:noFill/>
                  </pic:spPr>
                </pic:pic>
              </a:graphicData>
            </a:graphic>
          </wp:anchor>
        </w:drawing>
      </w:r>
    </w:p>
    <w:p>
      <w:pPr>
        <w:spacing w:after="0" w:line="159"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0E0E0E"/>
        </w:rPr>
        <w:t>Title</w:t>
      </w:r>
      <w:r>
        <w:rPr>
          <w:rFonts w:ascii="Arial" w:cs="Arial" w:eastAsia="Arial" w:hAnsi="Arial"/>
          <w:sz w:val="22"/>
          <w:szCs w:val="22"/>
          <w:color w:val="000000"/>
        </w:rPr>
        <w:t>:</w:t>
      </w:r>
      <w:r>
        <w:rPr>
          <w:sz w:val="20"/>
          <w:szCs w:val="20"/>
          <w:color w:val="auto"/>
        </w:rPr>
        <w:tab/>
      </w:r>
      <w:r>
        <w:rPr>
          <w:rFonts w:ascii="Arial" w:cs="Arial" w:eastAsia="Arial" w:hAnsi="Arial"/>
          <w:sz w:val="19"/>
          <w:szCs w:val="19"/>
          <w:color w:val="auto"/>
        </w:rPr>
        <w:t>VP, Real Estate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-17780</wp:posOffset>
            </wp:positionV>
            <wp:extent cx="17424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242424"/>
        </w:rPr>
        <w:t>J. CRA</w:t>
      </w:r>
      <w:r>
        <w:rPr>
          <w:rFonts w:ascii="Arial" w:cs="Arial" w:eastAsia="Arial" w:hAnsi="Arial"/>
          <w:sz w:val="22"/>
          <w:szCs w:val="22"/>
          <w:color w:val="525252"/>
        </w:rPr>
        <w:t>I</w:t>
      </w:r>
      <w:r>
        <w:rPr>
          <w:rFonts w:ascii="Arial" w:cs="Arial" w:eastAsia="Arial" w:hAnsi="Arial"/>
          <w:sz w:val="22"/>
          <w:szCs w:val="22"/>
          <w:color w:val="242424"/>
        </w:rPr>
        <w:t xml:space="preserve">G </w:t>
      </w:r>
      <w:r>
        <w:rPr>
          <w:rFonts w:ascii="Arial" w:cs="Arial" w:eastAsia="Arial" w:hAnsi="Arial"/>
          <w:sz w:val="22"/>
          <w:szCs w:val="22"/>
          <w:color w:val="000000"/>
        </w:rPr>
        <w:t>VENTER INSTITUTE, INC.,</w:t>
      </w:r>
    </w:p>
    <w:p>
      <w:pPr>
        <w:spacing w:after="0" w:line="204" w:lineRule="auto"/>
        <w:rPr>
          <w:sz w:val="20"/>
          <w:szCs w:val="20"/>
          <w:color w:val="auto"/>
        </w:rPr>
      </w:pPr>
      <w:r>
        <w:rPr>
          <w:rFonts w:ascii="Arial" w:cs="Arial" w:eastAsia="Arial" w:hAnsi="Arial"/>
          <w:sz w:val="22"/>
          <w:szCs w:val="22"/>
          <w:color w:val="auto"/>
        </w:rPr>
        <w:t xml:space="preserve">successor </w:t>
      </w:r>
      <w:r>
        <w:rPr>
          <w:rFonts w:ascii="Arial" w:cs="Arial" w:eastAsia="Arial" w:hAnsi="Arial"/>
          <w:sz w:val="22"/>
          <w:szCs w:val="22"/>
          <w:color w:val="242424"/>
        </w:rPr>
        <w:t>in interest</w:t>
      </w:r>
      <w:r>
        <w:rPr>
          <w:rFonts w:ascii="Arial" w:cs="Arial" w:eastAsia="Arial" w:hAnsi="Arial"/>
          <w:sz w:val="22"/>
          <w:szCs w:val="22"/>
          <w:color w:val="auto"/>
        </w:rPr>
        <w:t xml:space="preserve"> </w:t>
      </w:r>
      <w:r>
        <w:rPr>
          <w:rFonts w:ascii="Arial" w:cs="Arial" w:eastAsia="Arial" w:hAnsi="Arial"/>
          <w:sz w:val="22"/>
          <w:szCs w:val="22"/>
          <w:color w:val="0E0E0E"/>
        </w:rPr>
        <w:t>to</w:t>
      </w:r>
      <w:r>
        <w:rPr>
          <w:rFonts w:ascii="Arial" w:cs="Arial" w:eastAsia="Arial" w:hAnsi="Arial"/>
          <w:sz w:val="22"/>
          <w:szCs w:val="22"/>
          <w:color w:val="auto"/>
        </w:rPr>
        <w:t xml:space="preserve"> The </w:t>
      </w:r>
      <w:r>
        <w:rPr>
          <w:rFonts w:ascii="Arial" w:cs="Arial" w:eastAsia="Arial" w:hAnsi="Arial"/>
          <w:sz w:val="22"/>
          <w:szCs w:val="22"/>
          <w:color w:val="242424"/>
        </w:rPr>
        <w:t>Institute</w:t>
      </w:r>
    </w:p>
    <w:p>
      <w:pPr>
        <w:spacing w:after="0" w:line="205" w:lineRule="auto"/>
        <w:rPr>
          <w:sz w:val="20"/>
          <w:szCs w:val="20"/>
          <w:color w:val="auto"/>
        </w:rPr>
      </w:pPr>
      <w:r>
        <w:rPr>
          <w:rFonts w:ascii="Arial" w:cs="Arial" w:eastAsia="Arial" w:hAnsi="Arial"/>
          <w:sz w:val="22"/>
          <w:szCs w:val="22"/>
          <w:color w:val="242424"/>
        </w:rPr>
        <w:t xml:space="preserve">for Genomic Research, </w:t>
      </w:r>
      <w:r>
        <w:rPr>
          <w:rFonts w:ascii="Arial" w:cs="Arial" w:eastAsia="Arial" w:hAnsi="Arial"/>
          <w:sz w:val="22"/>
          <w:szCs w:val="22"/>
          <w:color w:val="000000"/>
        </w:rPr>
        <w:t>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242424"/>
        </w:rPr>
        <w:t xml:space="preserve">a Maryland </w:t>
      </w:r>
      <w:r>
        <w:rPr>
          <w:rFonts w:ascii="Arial" w:cs="Arial" w:eastAsia="Arial" w:hAnsi="Arial"/>
          <w:sz w:val="22"/>
          <w:szCs w:val="22"/>
          <w:color w:val="0E0E0E"/>
        </w:rPr>
        <w:t>n</w:t>
      </w:r>
      <w:r>
        <w:rPr>
          <w:rFonts w:ascii="Arial" w:cs="Arial" w:eastAsia="Arial" w:hAnsi="Arial"/>
          <w:sz w:val="22"/>
          <w:szCs w:val="22"/>
          <w:color w:val="000000"/>
        </w:rPr>
        <w:t>o</w:t>
      </w:r>
      <w:r>
        <w:rPr>
          <w:rFonts w:ascii="Arial" w:cs="Arial" w:eastAsia="Arial" w:hAnsi="Arial"/>
          <w:sz w:val="22"/>
          <w:szCs w:val="22"/>
          <w:color w:val="0E0E0E"/>
        </w:rPr>
        <w:t>n-</w:t>
      </w:r>
      <w:r>
        <w:rPr>
          <w:rFonts w:ascii="Arial" w:cs="Arial" w:eastAsia="Arial" w:hAnsi="Arial"/>
          <w:sz w:val="22"/>
          <w:szCs w:val="22"/>
          <w:color w:val="000000"/>
        </w:rPr>
        <w:t>stock</w:t>
      </w:r>
      <w:r>
        <w:rPr>
          <w:rFonts w:ascii="Arial" w:cs="Arial" w:eastAsia="Arial" w:hAnsi="Arial"/>
          <w:sz w:val="22"/>
          <w:szCs w:val="22"/>
          <w:color w:val="242424"/>
        </w:rPr>
        <w:t xml:space="preserv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242424"/>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8572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8229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0E0E0E"/>
        </w:rPr>
        <w:t>Title</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-17780</wp:posOffset>
            </wp:positionV>
            <wp:extent cx="8229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139"/>
          </w:cols>
          <w:pgMar w:left="320" w:top="1440" w:right="1440" w:bottom="1440" w:gutter="0" w:footer="0" w:header="0"/>
        </w:sectPr>
      </w:pPr>
    </w:p>
    <w:bookmarkStart w:id="375" w:name="page376"/>
    <w:bookmarkEnd w:id="375"/>
    <w:p>
      <w:pPr>
        <w:jc w:val="right"/>
        <w:ind w:right="20"/>
        <w:spacing w:after="0"/>
        <w:rPr>
          <w:sz w:val="20"/>
          <w:szCs w:val="20"/>
          <w:color w:val="auto"/>
        </w:rPr>
      </w:pPr>
      <w:r>
        <w:rPr>
          <w:rFonts w:ascii="Arial" w:cs="Arial" w:eastAsia="Arial" w:hAnsi="Arial"/>
          <w:sz w:val="22"/>
          <w:szCs w:val="22"/>
          <w:b w:val="1"/>
          <w:bCs w:val="1"/>
          <w:color w:val="auto"/>
        </w:rPr>
        <w:t>Exhibit.10.26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40"/>
        <w:spacing w:after="0" w:line="258" w:lineRule="auto"/>
        <w:rPr>
          <w:sz w:val="20"/>
          <w:szCs w:val="20"/>
          <w:color w:val="auto"/>
        </w:rPr>
      </w:pPr>
      <w:r>
        <w:rPr>
          <w:rFonts w:ascii="Arial" w:cs="Arial" w:eastAsia="Arial" w:hAnsi="Arial"/>
          <w:sz w:val="14"/>
          <w:szCs w:val="14"/>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FIRST AMENDMENT TO LEASE</w:t>
      </w:r>
    </w:p>
    <w:p>
      <w:pPr>
        <w:spacing w:after="0" w:line="185"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THIS FIRST AMENDMENT TO LEASE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this [***]day of [***] March, 2014, by and between BMR-MEDICAL CENTER DRIVE LLC, 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and J. CRAIG VENTER INSTITUTE, INC., successor in interest to The Institute for Genomic Research, Inc., a Maryland non-stock corporation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RECITALS</w:t>
      </w:r>
    </w:p>
    <w:p>
      <w:pPr>
        <w:spacing w:after="0" w:line="185" w:lineRule="exact"/>
        <w:rPr>
          <w:sz w:val="20"/>
          <w:szCs w:val="20"/>
          <w:color w:val="auto"/>
        </w:rPr>
      </w:pPr>
    </w:p>
    <w:p>
      <w:pPr>
        <w:jc w:val="both"/>
        <w:ind w:right="20" w:firstLine="656"/>
        <w:spacing w:after="0" w:line="234" w:lineRule="auto"/>
        <w:tabs>
          <w:tab w:leader="none" w:pos="1141" w:val="left"/>
        </w:tabs>
        <w:numPr>
          <w:ilvl w:val="0"/>
          <w:numId w:val="311"/>
        </w:numPr>
        <w:rPr>
          <w:rFonts w:ascii="Arial" w:cs="Arial" w:eastAsia="Arial" w:hAnsi="Arial"/>
          <w:sz w:val="21"/>
          <w:szCs w:val="21"/>
          <w:color w:val="auto"/>
        </w:rPr>
      </w:pPr>
      <w:r>
        <w:rPr>
          <w:rFonts w:ascii="Arial" w:cs="Arial" w:eastAsia="Arial" w:hAnsi="Arial"/>
          <w:sz w:val="21"/>
          <w:szCs w:val="21"/>
          <w:color w:val="auto"/>
        </w:rPr>
        <w:t>WHEREAS, Landlord and Tenant entered into that certain Lease dated as of May 3, 2010 (as the same may have been amended, supplemented or modified from time to time, the “</w:t>
      </w:r>
      <w:r>
        <w:rPr>
          <w:rFonts w:ascii="Arial" w:cs="Arial" w:eastAsia="Arial" w:hAnsi="Arial"/>
          <w:sz w:val="21"/>
          <w:szCs w:val="21"/>
          <w:u w:val="single" w:color="auto"/>
          <w:color w:val="auto"/>
        </w:rPr>
        <w:t>Existing Lease</w:t>
      </w:r>
      <w:r>
        <w:rPr>
          <w:rFonts w:ascii="Arial" w:cs="Arial" w:eastAsia="Arial" w:hAnsi="Arial"/>
          <w:sz w:val="21"/>
          <w:szCs w:val="21"/>
          <w:color w:val="auto"/>
        </w:rPr>
        <w:t>”), whereby Tenant leases certain premises (the “</w:t>
      </w:r>
      <w:r>
        <w:rPr>
          <w:rFonts w:ascii="Arial" w:cs="Arial" w:eastAsia="Arial" w:hAnsi="Arial"/>
          <w:sz w:val="21"/>
          <w:szCs w:val="21"/>
          <w:u w:val="single" w:color="auto"/>
          <w:color w:val="auto"/>
        </w:rPr>
        <w:t>Premises</w:t>
      </w:r>
      <w:r>
        <w:rPr>
          <w:rFonts w:ascii="Arial" w:cs="Arial" w:eastAsia="Arial" w:hAnsi="Arial"/>
          <w:sz w:val="21"/>
          <w:szCs w:val="21"/>
          <w:color w:val="auto"/>
        </w:rPr>
        <w:t>”) from Landlord at 9704 Medical Center Drive in Rockville, Maryland (the “</w:t>
      </w:r>
      <w:r>
        <w:rPr>
          <w:rFonts w:ascii="Arial" w:cs="Arial" w:eastAsia="Arial" w:hAnsi="Arial"/>
          <w:sz w:val="21"/>
          <w:szCs w:val="21"/>
          <w:u w:val="single" w:color="auto"/>
          <w:color w:val="auto"/>
        </w:rPr>
        <w:t>Building</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ind w:left="1060" w:hanging="404"/>
        <w:spacing w:after="0"/>
        <w:tabs>
          <w:tab w:leader="none" w:pos="106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WHEREAS, Landlord and Tenant desire to revise Base Rent for the Premises; and</w:t>
      </w:r>
    </w:p>
    <w:p>
      <w:pPr>
        <w:spacing w:after="0" w:line="179" w:lineRule="exact"/>
        <w:rPr>
          <w:rFonts w:ascii="Arial" w:cs="Arial" w:eastAsia="Arial" w:hAnsi="Arial"/>
          <w:sz w:val="22"/>
          <w:szCs w:val="22"/>
          <w:color w:val="auto"/>
        </w:rPr>
      </w:pPr>
    </w:p>
    <w:p>
      <w:pPr>
        <w:ind w:right="40" w:firstLine="656"/>
        <w:spacing w:after="0" w:line="232" w:lineRule="auto"/>
        <w:tabs>
          <w:tab w:leader="none" w:pos="1134" w:val="left"/>
        </w:tabs>
        <w:numPr>
          <w:ilvl w:val="0"/>
          <w:numId w:val="311"/>
        </w:numPr>
        <w:rPr>
          <w:rFonts w:ascii="Arial" w:cs="Arial" w:eastAsia="Arial" w:hAnsi="Arial"/>
          <w:sz w:val="22"/>
          <w:szCs w:val="22"/>
          <w:color w:val="auto"/>
        </w:rPr>
      </w:pPr>
      <w:r>
        <w:rPr>
          <w:rFonts w:ascii="Arial" w:cs="Arial" w:eastAsia="Arial" w:hAnsi="Arial"/>
          <w:sz w:val="22"/>
          <w:szCs w:val="22"/>
          <w:color w:val="auto"/>
        </w:rPr>
        <w:t>WHEREAS, Landlord and Tenant desire to modify and amend the Existing Lease only in the respects and on the conditions hereinafter stated.</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AGREEMENT</w:t>
      </w:r>
    </w:p>
    <w:p>
      <w:pPr>
        <w:spacing w:after="0" w:line="185"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5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Amendment, capitalized terms shall have the meanings ascribed to them in the Existing Lease unless otherwise defined herein. The Existing Lease, as amended by this Amendment, is referred to collectively herein as the “</w:t>
      </w:r>
      <w:r>
        <w:rPr>
          <w:rFonts w:ascii="Arial" w:cs="Arial" w:eastAsia="Arial" w:hAnsi="Arial"/>
          <w:sz w:val="22"/>
          <w:szCs w:val="22"/>
          <w:u w:val="single" w:color="auto"/>
          <w:color w:val="auto"/>
        </w:rPr>
        <w:t>Lease.</w:t>
      </w:r>
      <w:r>
        <w:rPr>
          <w:rFonts w:ascii="Arial" w:cs="Arial" w:eastAsia="Arial" w:hAnsi="Arial"/>
          <w:sz w:val="22"/>
          <w:szCs w:val="22"/>
          <w:color w:val="auto"/>
        </w:rPr>
        <w:t>”</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900" w:type="dxa"/>
            <w:vAlign w:val="bottom"/>
          </w:tcPr>
          <w:p>
            <w:pPr>
              <w:jc w:val="right"/>
              <w:spacing w:after="0"/>
              <w:rPr>
                <w:sz w:val="20"/>
                <w:szCs w:val="20"/>
                <w:color w:val="auto"/>
              </w:rPr>
            </w:pPr>
            <w:r>
              <w:rPr>
                <w:rFonts w:ascii="Arial" w:cs="Arial" w:eastAsia="Arial" w:hAnsi="Arial"/>
                <w:sz w:val="22"/>
                <w:szCs w:val="22"/>
                <w:color w:val="auto"/>
              </w:rPr>
              <w:t>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960" w:type="dxa"/>
            <w:vAlign w:val="bottom"/>
            <w:gridSpan w:val="22"/>
          </w:tcPr>
          <w:p>
            <w:pPr>
              <w:spacing w:after="0"/>
              <w:rPr>
                <w:sz w:val="20"/>
                <w:szCs w:val="20"/>
                <w:color w:val="auto"/>
              </w:rPr>
            </w:pPr>
            <w:r>
              <w:rPr>
                <w:rFonts w:ascii="Arial" w:cs="Arial" w:eastAsia="Arial" w:hAnsi="Arial"/>
                <w:sz w:val="22"/>
                <w:szCs w:val="22"/>
                <w:color w:val="auto"/>
                <w:w w:val="94"/>
              </w:rPr>
              <w:t>Base Rent. Effective as of [***] (the “Rent Adjustment Date”), initial monthly and annual installments of Base</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000" w:type="dxa"/>
            <w:vAlign w:val="bottom"/>
            <w:gridSpan w:val="22"/>
          </w:tcPr>
          <w:p>
            <w:pPr>
              <w:spacing w:after="0"/>
              <w:rPr>
                <w:sz w:val="20"/>
                <w:szCs w:val="20"/>
                <w:color w:val="auto"/>
              </w:rPr>
            </w:pPr>
            <w:r>
              <w:rPr>
                <w:rFonts w:ascii="Arial" w:cs="Arial" w:eastAsia="Arial" w:hAnsi="Arial"/>
                <w:sz w:val="22"/>
                <w:szCs w:val="22"/>
                <w:color w:val="auto"/>
                <w:w w:val="91"/>
              </w:rPr>
              <w:t>Rent for the Premises shall be as set forth in the chart below, subject to adjustment under the Lease:</w:t>
            </w: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0" w:type="dxa"/>
            <w:vAlign w:val="bottom"/>
            <w:tcBorders>
              <w:left w:val="single" w:sz="8" w:color="auto"/>
            </w:tcBorders>
          </w:tcPr>
          <w:p>
            <w:pPr>
              <w:spacing w:after="0"/>
              <w:rPr>
                <w:sz w:val="18"/>
                <w:szCs w:val="18"/>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22"/>
                <w:szCs w:val="22"/>
                <w:b w:val="1"/>
                <w:bCs w:val="1"/>
                <w:color w:val="auto"/>
              </w:rPr>
              <w:t>Dates</w:t>
            </w:r>
          </w:p>
        </w:tc>
        <w:tc>
          <w:tcPr>
            <w:tcW w:w="2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right w:val="single" w:sz="8" w:color="auto"/>
            </w:tcBorders>
            <w:gridSpan w:val="4"/>
          </w:tcPr>
          <w:p>
            <w:pPr>
              <w:jc w:val="center"/>
              <w:ind w:right="340"/>
              <w:spacing w:after="0" w:line="209" w:lineRule="exact"/>
              <w:rPr>
                <w:sz w:val="20"/>
                <w:szCs w:val="20"/>
                <w:color w:val="auto"/>
              </w:rPr>
            </w:pPr>
            <w:r>
              <w:rPr>
                <w:rFonts w:ascii="Arial" w:cs="Arial" w:eastAsia="Arial" w:hAnsi="Arial"/>
                <w:sz w:val="22"/>
                <w:szCs w:val="22"/>
                <w:b w:val="1"/>
                <w:bCs w:val="1"/>
                <w:color w:val="auto"/>
                <w:w w:val="86"/>
              </w:rPr>
              <w:t>Square Feet of</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jc w:val="center"/>
              <w:ind w:right="100"/>
              <w:spacing w:after="0" w:line="209" w:lineRule="exact"/>
              <w:rPr>
                <w:sz w:val="20"/>
                <w:szCs w:val="20"/>
                <w:color w:val="auto"/>
              </w:rPr>
            </w:pPr>
            <w:r>
              <w:rPr>
                <w:rFonts w:ascii="Arial" w:cs="Arial" w:eastAsia="Arial" w:hAnsi="Arial"/>
                <w:sz w:val="22"/>
                <w:szCs w:val="22"/>
                <w:b w:val="1"/>
                <w:bCs w:val="1"/>
                <w:color w:val="auto"/>
                <w:w w:val="87"/>
              </w:rPr>
              <w:t>Base Rent Per Square</w:t>
            </w:r>
          </w:p>
        </w:tc>
        <w:tc>
          <w:tcPr>
            <w:tcW w:w="26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3"/>
            <w:vMerge w:val="restart"/>
          </w:tcPr>
          <w:p>
            <w:pPr>
              <w:jc w:val="center"/>
              <w:ind w:right="240"/>
              <w:spacing w:after="0"/>
              <w:rPr>
                <w:sz w:val="20"/>
                <w:szCs w:val="20"/>
                <w:color w:val="auto"/>
              </w:rPr>
            </w:pPr>
            <w:r>
              <w:rPr>
                <w:rFonts w:ascii="Arial" w:cs="Arial" w:eastAsia="Arial" w:hAnsi="Arial"/>
                <w:sz w:val="22"/>
                <w:szCs w:val="22"/>
                <w:b w:val="1"/>
                <w:bCs w:val="1"/>
                <w:color w:val="auto"/>
                <w:w w:val="89"/>
              </w:rPr>
              <w:t>Monthly Base Rent</w:t>
            </w:r>
          </w:p>
        </w:tc>
        <w:tc>
          <w:tcPr>
            <w:tcW w:w="22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2"/>
                <w:szCs w:val="22"/>
                <w:b w:val="1"/>
                <w:bCs w:val="1"/>
                <w:color w:val="auto"/>
                <w:w w:val="89"/>
              </w:rPr>
              <w:t>Annual Base Rent</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spacing w:after="0"/>
              <w:rPr>
                <w:sz w:val="17"/>
                <w:szCs w:val="17"/>
                <w:color w:val="auto"/>
              </w:rPr>
            </w:pPr>
          </w:p>
        </w:tc>
        <w:tc>
          <w:tcPr>
            <w:tcW w:w="1300" w:type="dxa"/>
            <w:vAlign w:val="bottom"/>
            <w:gridSpan w:val="4"/>
            <w:vMerge w:val="continue"/>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gridSpan w:val="3"/>
          </w:tcPr>
          <w:p>
            <w:pPr>
              <w:jc w:val="center"/>
              <w:ind w:right="20"/>
              <w:spacing w:after="0" w:line="195" w:lineRule="exact"/>
              <w:rPr>
                <w:sz w:val="20"/>
                <w:szCs w:val="20"/>
                <w:color w:val="auto"/>
              </w:rPr>
            </w:pPr>
            <w:r>
              <w:rPr>
                <w:rFonts w:ascii="Arial" w:cs="Arial" w:eastAsia="Arial" w:hAnsi="Arial"/>
                <w:sz w:val="22"/>
                <w:szCs w:val="22"/>
                <w:b w:val="1"/>
                <w:bCs w:val="1"/>
                <w:color w:val="auto"/>
                <w:w w:val="87"/>
              </w:rPr>
              <w:t>Rentable Area</w:t>
            </w: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22"/>
                <w:szCs w:val="22"/>
                <w:b w:val="1"/>
                <w:bCs w:val="1"/>
                <w:color w:val="auto"/>
                <w:w w:val="88"/>
              </w:rPr>
              <w:t>Foot of Rentable Area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left w:val="single" w:sz="8" w:color="auto"/>
            </w:tcBorders>
          </w:tcPr>
          <w:p>
            <w:pPr>
              <w:spacing w:after="0"/>
              <w:rPr>
                <w:sz w:val="17"/>
                <w:szCs w:val="17"/>
                <w:color w:val="auto"/>
              </w:rPr>
            </w:pPr>
          </w:p>
        </w:tc>
        <w:tc>
          <w:tcPr>
            <w:tcW w:w="2020" w:type="dxa"/>
            <w:vAlign w:val="bottom"/>
            <w:tcBorders>
              <w:right w:val="single" w:sz="8" w:color="auto"/>
            </w:tcBorders>
            <w:gridSpan w:val="3"/>
            <w:vMerge w:val="continue"/>
          </w:tcPr>
          <w:p>
            <w:pPr>
              <w:spacing w:after="0"/>
              <w:rPr>
                <w:sz w:val="17"/>
                <w:szCs w:val="17"/>
                <w:color w:val="auto"/>
              </w:rPr>
            </w:pPr>
          </w:p>
        </w:tc>
        <w:tc>
          <w:tcPr>
            <w:tcW w:w="226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8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left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900" w:type="dxa"/>
            <w:vAlign w:val="bottom"/>
            <w:tcBorders>
              <w:left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1660" w:type="dxa"/>
            <w:vAlign w:val="bottom"/>
            <w:gridSpan w:val="4"/>
          </w:tcPr>
          <w:p>
            <w:pPr>
              <w:jc w:val="center"/>
              <w:ind w:left="232"/>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2120" w:type="dxa"/>
            <w:vAlign w:val="bottom"/>
            <w:gridSpan w:val="4"/>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40" w:type="dxa"/>
            <w:vAlign w:val="bottom"/>
            <w:tcBorders>
              <w:left w:val="single" w:sz="8" w:color="auto"/>
            </w:tcBorders>
            <w:gridSpan w:val="3"/>
          </w:tcPr>
          <w:p>
            <w:pPr>
              <w:jc w:val="right"/>
              <w:ind w:right="660"/>
              <w:spacing w:after="0"/>
              <w:rPr>
                <w:sz w:val="20"/>
                <w:szCs w:val="20"/>
                <w:color w:val="auto"/>
              </w:rPr>
            </w:pPr>
            <w:r>
              <w:rPr>
                <w:rFonts w:ascii="Arial" w:cs="Arial" w:eastAsia="Arial" w:hAnsi="Arial"/>
                <w:sz w:val="22"/>
                <w:szCs w:val="22"/>
                <w:color w:val="auto"/>
              </w:rPr>
              <w:t>[***]</w:t>
            </w:r>
          </w:p>
        </w:tc>
        <w:tc>
          <w:tcPr>
            <w:tcW w:w="240" w:type="dxa"/>
            <w:vAlign w:val="bottom"/>
            <w:tcBorders>
              <w:right w:val="single" w:sz="8" w:color="auto"/>
            </w:tcBorders>
          </w:tcPr>
          <w:p>
            <w:pPr>
              <w:spacing w:after="0"/>
              <w:rPr>
                <w:sz w:val="23"/>
                <w:szCs w:val="23"/>
                <w:color w:val="auto"/>
              </w:rPr>
            </w:pPr>
          </w:p>
        </w:tc>
        <w:tc>
          <w:tcPr>
            <w:tcW w:w="1960" w:type="dxa"/>
            <w:vAlign w:val="bottom"/>
            <w:gridSpan w:val="2"/>
          </w:tcPr>
          <w:p>
            <w:pPr>
              <w:jc w:val="right"/>
              <w:ind w:right="600"/>
              <w:spacing w:after="0"/>
              <w:rPr>
                <w:sz w:val="20"/>
                <w:szCs w:val="20"/>
                <w:color w:val="auto"/>
              </w:rPr>
            </w:pPr>
            <w:r>
              <w:rPr>
                <w:rFonts w:ascii="Arial" w:cs="Arial" w:eastAsia="Arial" w:hAnsi="Arial"/>
                <w:sz w:val="22"/>
                <w:szCs w:val="22"/>
                <w:color w:val="auto"/>
              </w:rPr>
              <w:t>[***]</w:t>
            </w:r>
          </w:p>
        </w:tc>
        <w:tc>
          <w:tcPr>
            <w:tcW w:w="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9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left w:val="single" w:sz="8" w:color="auto"/>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900" w:type="dxa"/>
            <w:vAlign w:val="bottom"/>
          </w:tcPr>
          <w:p>
            <w:pPr>
              <w:jc w:val="right"/>
              <w:spacing w:after="0"/>
              <w:rPr>
                <w:sz w:val="20"/>
                <w:szCs w:val="20"/>
                <w:color w:val="auto"/>
              </w:rPr>
            </w:pPr>
            <w:r>
              <w:rPr>
                <w:rFonts w:ascii="Arial" w:cs="Arial" w:eastAsia="Arial" w:hAnsi="Arial"/>
                <w:sz w:val="22"/>
                <w:szCs w:val="22"/>
                <w:color w:val="auto"/>
              </w:rPr>
              <w:t>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60" w:type="dxa"/>
            <w:vAlign w:val="bottom"/>
            <w:gridSpan w:val="22"/>
          </w:tcPr>
          <w:p>
            <w:pPr>
              <w:spacing w:after="0"/>
              <w:rPr>
                <w:sz w:val="20"/>
                <w:szCs w:val="20"/>
                <w:color w:val="auto"/>
              </w:rPr>
            </w:pPr>
            <w:r>
              <w:rPr>
                <w:rFonts w:ascii="Arial" w:cs="Arial" w:eastAsia="Arial" w:hAnsi="Arial"/>
                <w:sz w:val="22"/>
                <w:szCs w:val="22"/>
                <w:color w:val="auto"/>
                <w:w w:val="91"/>
              </w:rPr>
              <w:t>Rent Adjustments. Effective as of the Rent Adjustment Date, Article 8 of the Existing Lease is hereby deleted in</w:t>
            </w:r>
          </w:p>
        </w:tc>
        <w:tc>
          <w:tcPr>
            <w:tcW w:w="0" w:type="dxa"/>
            <w:vAlign w:val="bottom"/>
          </w:tcPr>
          <w:p>
            <w:pPr>
              <w:spacing w:after="0"/>
              <w:rPr>
                <w:sz w:val="1"/>
                <w:szCs w:val="1"/>
                <w:color w:val="auto"/>
              </w:rPr>
            </w:pPr>
          </w:p>
        </w:tc>
      </w:tr>
      <w:tr>
        <w:trPr>
          <w:trHeight w:val="268"/>
        </w:trPr>
        <w:tc>
          <w:tcPr>
            <w:tcW w:w="1300" w:type="dxa"/>
            <w:vAlign w:val="bottom"/>
            <w:gridSpan w:val="3"/>
          </w:tcPr>
          <w:p>
            <w:pPr>
              <w:spacing w:after="0"/>
              <w:rPr>
                <w:sz w:val="20"/>
                <w:szCs w:val="20"/>
                <w:color w:val="auto"/>
              </w:rPr>
            </w:pPr>
            <w:r>
              <w:rPr>
                <w:rFonts w:ascii="Arial" w:cs="Arial" w:eastAsia="Arial" w:hAnsi="Arial"/>
                <w:sz w:val="22"/>
                <w:szCs w:val="22"/>
                <w:color w:val="auto"/>
                <w:w w:val="89"/>
              </w:rPr>
              <w:t>its entirety and</w:t>
            </w:r>
          </w:p>
        </w:tc>
        <w:tc>
          <w:tcPr>
            <w:tcW w:w="1560" w:type="dxa"/>
            <w:vAlign w:val="bottom"/>
            <w:tcBorders>
              <w:top w:val="single" w:sz="8" w:color="auto"/>
            </w:tcBorders>
            <w:gridSpan w:val="6"/>
          </w:tcPr>
          <w:p>
            <w:pPr>
              <w:ind w:left="40"/>
              <w:spacing w:after="0"/>
              <w:rPr>
                <w:sz w:val="20"/>
                <w:szCs w:val="20"/>
                <w:color w:val="auto"/>
              </w:rPr>
            </w:pPr>
            <w:r>
              <w:rPr>
                <w:rFonts w:ascii="Arial" w:cs="Arial" w:eastAsia="Arial" w:hAnsi="Arial"/>
                <w:sz w:val="22"/>
                <w:szCs w:val="22"/>
                <w:color w:val="auto"/>
                <w:w w:val="90"/>
              </w:rPr>
              <w:t>replaced with the</w:t>
            </w:r>
          </w:p>
        </w:tc>
        <w:tc>
          <w:tcPr>
            <w:tcW w:w="1640" w:type="dxa"/>
            <w:vAlign w:val="bottom"/>
            <w:gridSpan w:val="3"/>
          </w:tcPr>
          <w:p>
            <w:pPr>
              <w:ind w:left="20"/>
              <w:spacing w:after="0"/>
              <w:rPr>
                <w:sz w:val="20"/>
                <w:szCs w:val="20"/>
                <w:color w:val="auto"/>
              </w:rPr>
            </w:pPr>
            <w:r>
              <w:rPr>
                <w:rFonts w:ascii="Arial" w:cs="Arial" w:eastAsia="Arial" w:hAnsi="Arial"/>
                <w:sz w:val="22"/>
                <w:szCs w:val="22"/>
                <w:color w:val="auto"/>
              </w:rPr>
              <w:t>following:</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BioMed Realty form dated 1/28/14</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60"/>
          </w:cols>
          <w:pgMar w:left="320" w:top="98" w:right="319" w:bottom="1440" w:gutter="0" w:footer="0" w:header="0"/>
        </w:sectPr>
      </w:pPr>
    </w:p>
    <w:bookmarkStart w:id="376" w:name="page377"/>
    <w:bookmarkEnd w:id="376"/>
    <w:p>
      <w:pPr>
        <w:jc w:val="both"/>
        <w:ind w:left="660" w:right="640"/>
        <w:spacing w:after="0" w:line="213" w:lineRule="auto"/>
        <w:rPr>
          <w:sz w:val="20"/>
          <w:szCs w:val="20"/>
          <w:color w:val="auto"/>
        </w:rPr>
      </w:pPr>
      <w:r>
        <w:rPr>
          <w:rFonts w:ascii="Arial" w:cs="Arial" w:eastAsia="Arial" w:hAnsi="Arial"/>
          <w:sz w:val="21"/>
          <w:szCs w:val="21"/>
          <w:color w:val="auto"/>
        </w:rPr>
        <w:t xml:space="preserve">”8. </w:t>
      </w:r>
      <w:r>
        <w:rPr>
          <w:rFonts w:ascii="Arial" w:cs="Arial" w:eastAsia="Arial" w:hAnsi="Arial"/>
          <w:sz w:val="21"/>
          <w:szCs w:val="21"/>
          <w:u w:val="single" w:color="auto"/>
          <w:color w:val="auto"/>
        </w:rPr>
        <w:t>Rent Adjustments</w:t>
      </w:r>
      <w:r>
        <w:rPr>
          <w:rFonts w:ascii="Arial" w:cs="Arial" w:eastAsia="Arial" w:hAnsi="Arial"/>
          <w:sz w:val="21"/>
          <w:szCs w:val="21"/>
          <w:color w:val="auto"/>
        </w:rPr>
        <w:t>. Base Rent shall be subject to an annual upward adjustment of [***] percent ([***]%) of the then-current Base Rent. The first such adjustment shall become effective commencing on the first (1</w:t>
      </w:r>
      <w:r>
        <w:rPr>
          <w:rFonts w:ascii="Arial" w:cs="Arial" w:eastAsia="Arial" w:hAnsi="Arial"/>
          <w:sz w:val="27"/>
          <w:szCs w:val="27"/>
          <w:color w:val="auto"/>
          <w:vertAlign w:val="superscript"/>
        </w:rPr>
        <w:t>st</w:t>
      </w:r>
      <w:r>
        <w:rPr>
          <w:rFonts w:ascii="Arial" w:cs="Arial" w:eastAsia="Arial" w:hAnsi="Arial"/>
          <w:sz w:val="21"/>
          <w:szCs w:val="21"/>
          <w:color w:val="auto"/>
        </w:rPr>
        <w:t>) annual anniversary of the Rent Adjustment Date, and subsequent adjustments shall become effective on every successive annual anniversary for so long as this Lease continues in effect.”</w:t>
      </w:r>
    </w:p>
    <w:p>
      <w:pPr>
        <w:spacing w:after="0" w:line="162" w:lineRule="exact"/>
        <w:rPr>
          <w:sz w:val="20"/>
          <w:szCs w:val="20"/>
          <w:color w:val="auto"/>
        </w:rPr>
      </w:pPr>
    </w:p>
    <w:p>
      <w:pPr>
        <w:jc w:val="both"/>
        <w:ind w:firstLine="656"/>
        <w:spacing w:after="0" w:line="216" w:lineRule="auto"/>
        <w:tabs>
          <w:tab w:leader="none" w:pos="1296" w:val="left"/>
        </w:tabs>
        <w:numPr>
          <w:ilvl w:val="0"/>
          <w:numId w:val="312"/>
        </w:numPr>
        <w:rPr>
          <w:rFonts w:ascii="Arial" w:cs="Arial" w:eastAsia="Arial" w:hAnsi="Arial"/>
          <w:sz w:val="22"/>
          <w:szCs w:val="22"/>
          <w:color w:val="auto"/>
        </w:rPr>
      </w:pPr>
      <w:r>
        <w:rPr>
          <w:rFonts w:ascii="Arial" w:cs="Arial" w:eastAsia="Arial" w:hAnsi="Arial"/>
          <w:sz w:val="22"/>
          <w:szCs w:val="22"/>
          <w:u w:val="single" w:color="auto"/>
          <w:color w:val="auto"/>
        </w:rPr>
        <w:t>Broker</w:t>
      </w:r>
      <w:r>
        <w:rPr>
          <w:rFonts w:ascii="Arial" w:cs="Arial" w:eastAsia="Arial" w:hAnsi="Arial"/>
          <w:sz w:val="22"/>
          <w:szCs w:val="22"/>
          <w:color w:val="auto"/>
        </w:rPr>
        <w:t>. Tenant represents and warrants that it has not dealt with any broker or agent in the negotiation for or the obtaining of this Amendment and agrees to reimburse, indemnify, save, defend (at Landlord’s option and with counsel reasonably acceptable to Landlord, as Broker’s sole cost and expense) and hold harmless the Landlord Indemnitees for, from and against any and all cost or liability for compensation claimed by any such broker or agent employed or engaged by it or claiming to have been employed or engaged by it.</w:t>
      </w:r>
    </w:p>
    <w:p>
      <w:pPr>
        <w:spacing w:after="0" w:line="157" w:lineRule="exact"/>
        <w:rPr>
          <w:rFonts w:ascii="Arial" w:cs="Arial" w:eastAsia="Arial" w:hAnsi="Arial"/>
          <w:sz w:val="22"/>
          <w:szCs w:val="22"/>
          <w:color w:val="auto"/>
        </w:rPr>
      </w:pPr>
    </w:p>
    <w:p>
      <w:pPr>
        <w:jc w:val="both"/>
        <w:ind w:firstLine="656"/>
        <w:spacing w:after="0" w:line="223" w:lineRule="auto"/>
        <w:tabs>
          <w:tab w:leader="none" w:pos="1296" w:val="left"/>
        </w:tabs>
        <w:numPr>
          <w:ilvl w:val="0"/>
          <w:numId w:val="312"/>
        </w:numPr>
        <w:rPr>
          <w:rFonts w:ascii="Arial" w:cs="Arial" w:eastAsia="Arial" w:hAnsi="Arial"/>
          <w:sz w:val="22"/>
          <w:szCs w:val="22"/>
          <w:color w:val="auto"/>
        </w:rPr>
      </w:pPr>
      <w:r>
        <w:rPr>
          <w:rFonts w:ascii="Arial" w:cs="Arial" w:eastAsia="Arial" w:hAnsi="Arial"/>
          <w:sz w:val="22"/>
          <w:szCs w:val="22"/>
          <w:u w:val="single" w:color="auto"/>
          <w:color w:val="auto"/>
        </w:rPr>
        <w:t>Additional Definitions</w:t>
      </w:r>
      <w:r>
        <w:rPr>
          <w:rFonts w:ascii="Arial" w:cs="Arial" w:eastAsia="Arial" w:hAnsi="Arial"/>
          <w:sz w:val="22"/>
          <w:szCs w:val="22"/>
          <w:color w:val="auto"/>
        </w:rPr>
        <w:t>. “</w:t>
      </w:r>
      <w:r>
        <w:rPr>
          <w:rFonts w:ascii="Arial" w:cs="Arial" w:eastAsia="Arial" w:hAnsi="Arial"/>
          <w:sz w:val="22"/>
          <w:szCs w:val="22"/>
          <w:u w:val="single" w:color="auto"/>
          <w:color w:val="auto"/>
        </w:rPr>
        <w:t>Landlord Indemnitees,</w:t>
      </w:r>
      <w:r>
        <w:rPr>
          <w:rFonts w:ascii="Arial" w:cs="Arial" w:eastAsia="Arial" w:hAnsi="Arial"/>
          <w:sz w:val="22"/>
          <w:szCs w:val="22"/>
          <w:color w:val="auto"/>
        </w:rPr>
        <w:t>” as used in the Lease, means, collectively, Landlord and its affiliates, employees, agents, contractors and Lenders. “</w:t>
      </w:r>
      <w:r>
        <w:rPr>
          <w:rFonts w:ascii="Arial" w:cs="Arial" w:eastAsia="Arial" w:hAnsi="Arial"/>
          <w:sz w:val="22"/>
          <w:szCs w:val="22"/>
          <w:u w:val="single" w:color="auto"/>
          <w:color w:val="auto"/>
        </w:rPr>
        <w:t>Lender,</w:t>
      </w:r>
      <w:r>
        <w:rPr>
          <w:rFonts w:ascii="Arial" w:cs="Arial" w:eastAsia="Arial" w:hAnsi="Arial"/>
          <w:sz w:val="22"/>
          <w:szCs w:val="22"/>
          <w:color w:val="auto"/>
        </w:rPr>
        <w:t>” as used in the Lease, means any lender, mortgagee or beneficiary.</w:t>
      </w:r>
    </w:p>
    <w:p>
      <w:pPr>
        <w:spacing w:after="0" w:line="158"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312"/>
        </w:numPr>
        <w:rPr>
          <w:rFonts w:ascii="Arial" w:cs="Arial" w:eastAsia="Arial" w:hAnsi="Arial"/>
          <w:sz w:val="21"/>
          <w:szCs w:val="21"/>
          <w:color w:val="auto"/>
        </w:rPr>
      </w:pPr>
      <w:r>
        <w:rPr>
          <w:rFonts w:ascii="Arial" w:cs="Arial" w:eastAsia="Arial" w:hAnsi="Arial"/>
          <w:sz w:val="21"/>
          <w:szCs w:val="21"/>
          <w:u w:val="single" w:color="auto"/>
          <w:color w:val="auto"/>
        </w:rPr>
        <w:t>No Default</w:t>
      </w:r>
      <w:r>
        <w:rPr>
          <w:rFonts w:ascii="Arial" w:cs="Arial" w:eastAsia="Arial" w:hAnsi="Arial"/>
          <w:sz w:val="21"/>
          <w:szCs w:val="21"/>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157" w:lineRule="exact"/>
        <w:rPr>
          <w:rFonts w:ascii="Arial" w:cs="Arial" w:eastAsia="Arial" w:hAnsi="Arial"/>
          <w:sz w:val="21"/>
          <w:szCs w:val="21"/>
          <w:color w:val="auto"/>
        </w:rPr>
      </w:pPr>
    </w:p>
    <w:p>
      <w:pPr>
        <w:ind w:firstLine="656"/>
        <w:spacing w:after="0" w:line="232" w:lineRule="auto"/>
        <w:tabs>
          <w:tab w:leader="none" w:pos="1296" w:val="left"/>
        </w:tabs>
        <w:numPr>
          <w:ilvl w:val="0"/>
          <w:numId w:val="31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Tenant confirms that, notwithstanding anything in the Lease to the contrary, notices delivered to Tenant pursuant to the Lease should be sent to:</w:t>
      </w:r>
    </w:p>
    <w:p>
      <w:pPr>
        <w:spacing w:after="0" w:line="14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 Craig Center Institute, Inc.</w:t>
      </w:r>
    </w:p>
    <w:p>
      <w:pPr>
        <w:ind w:left="1960"/>
        <w:spacing w:after="0" w:line="204" w:lineRule="auto"/>
        <w:rPr>
          <w:sz w:val="20"/>
          <w:szCs w:val="20"/>
          <w:color w:val="auto"/>
        </w:rPr>
      </w:pPr>
      <w:r>
        <w:rPr>
          <w:rFonts w:ascii="Arial" w:cs="Arial" w:eastAsia="Arial" w:hAnsi="Arial"/>
          <w:sz w:val="22"/>
          <w:szCs w:val="22"/>
          <w:color w:val="auto"/>
        </w:rPr>
        <w:t>9704 Medical Center Drive</w:t>
      </w:r>
    </w:p>
    <w:p>
      <w:pPr>
        <w:ind w:left="1960"/>
        <w:spacing w:after="0" w:line="205" w:lineRule="auto"/>
        <w:rPr>
          <w:sz w:val="20"/>
          <w:szCs w:val="20"/>
          <w:color w:val="auto"/>
        </w:rPr>
      </w:pPr>
      <w:r>
        <w:rPr>
          <w:rFonts w:ascii="Arial" w:cs="Arial" w:eastAsia="Arial" w:hAnsi="Arial"/>
          <w:sz w:val="22"/>
          <w:szCs w:val="22"/>
          <w:color w:val="auto"/>
        </w:rPr>
        <w:t>Rockville, Maryland 20859</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Vice President, General Counsel;</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Arnold &amp; Porter LLP</w:t>
      </w:r>
    </w:p>
    <w:p>
      <w:pPr>
        <w:ind w:left="1960"/>
        <w:spacing w:after="0" w:line="184" w:lineRule="auto"/>
        <w:rPr>
          <w:sz w:val="20"/>
          <w:szCs w:val="20"/>
          <w:color w:val="auto"/>
        </w:rPr>
      </w:pPr>
      <w:r>
        <w:rPr>
          <w:rFonts w:ascii="Arial" w:cs="Arial" w:eastAsia="Arial" w:hAnsi="Arial"/>
          <w:sz w:val="20"/>
          <w:szCs w:val="20"/>
          <w:color w:val="auto"/>
        </w:rPr>
        <w:t>555 12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Street, NW</w:t>
      </w:r>
    </w:p>
    <w:p>
      <w:pPr>
        <w:ind w:left="1960"/>
        <w:spacing w:after="0" w:line="205" w:lineRule="auto"/>
        <w:rPr>
          <w:sz w:val="20"/>
          <w:szCs w:val="20"/>
          <w:color w:val="auto"/>
        </w:rPr>
      </w:pPr>
      <w:r>
        <w:rPr>
          <w:rFonts w:ascii="Arial" w:cs="Arial" w:eastAsia="Arial" w:hAnsi="Arial"/>
          <w:sz w:val="22"/>
          <w:szCs w:val="22"/>
          <w:color w:val="auto"/>
        </w:rPr>
        <w:t>Washington, DC 20004</w:t>
      </w:r>
    </w:p>
    <w:p>
      <w:pPr>
        <w:ind w:left="1960"/>
        <w:spacing w:after="0"/>
        <w:rPr>
          <w:sz w:val="20"/>
          <w:szCs w:val="20"/>
          <w:color w:val="auto"/>
        </w:rPr>
      </w:pPr>
      <w:r>
        <w:rPr>
          <w:rFonts w:ascii="Arial" w:cs="Arial" w:eastAsia="Arial" w:hAnsi="Arial"/>
          <w:sz w:val="22"/>
          <w:szCs w:val="22"/>
          <w:color w:val="auto"/>
        </w:rPr>
        <w:t>Attn: Kenneth Schwartz.</w:t>
      </w:r>
    </w:p>
    <w:p>
      <w:pPr>
        <w:spacing w:after="0" w:line="161" w:lineRule="exact"/>
        <w:rPr>
          <w:sz w:val="20"/>
          <w:szCs w:val="20"/>
          <w:color w:val="auto"/>
        </w:rPr>
      </w:pPr>
    </w:p>
    <w:p>
      <w:pPr>
        <w:jc w:val="both"/>
        <w:ind w:firstLine="656"/>
        <w:spacing w:after="0" w:line="226" w:lineRule="auto"/>
        <w:tabs>
          <w:tab w:leader="none" w:pos="1296" w:val="left"/>
        </w:tabs>
        <w:numPr>
          <w:ilvl w:val="0"/>
          <w:numId w:val="313"/>
        </w:numPr>
        <w:rPr>
          <w:rFonts w:ascii="Arial" w:cs="Arial" w:eastAsia="Arial" w:hAnsi="Arial"/>
          <w:sz w:val="21"/>
          <w:szCs w:val="21"/>
          <w:color w:val="auto"/>
        </w:rPr>
      </w:pPr>
      <w:r>
        <w:rPr>
          <w:rFonts w:ascii="Arial" w:cs="Arial" w:eastAsia="Arial" w:hAnsi="Arial"/>
          <w:sz w:val="21"/>
          <w:szCs w:val="21"/>
          <w:u w:val="single" w:color="auto"/>
          <w:color w:val="auto"/>
        </w:rPr>
        <w:t>Effect of Amendment</w:t>
      </w:r>
      <w:r>
        <w:rPr>
          <w:rFonts w:ascii="Arial" w:cs="Arial" w:eastAsia="Arial" w:hAnsi="Arial"/>
          <w:sz w:val="21"/>
          <w:szCs w:val="21"/>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 From and after the dat hereof, the term “</w:t>
      </w:r>
      <w:r>
        <w:rPr>
          <w:rFonts w:ascii="Arial" w:cs="Arial" w:eastAsia="Arial" w:hAnsi="Arial"/>
          <w:sz w:val="21"/>
          <w:szCs w:val="21"/>
          <w:u w:val="single" w:color="auto"/>
          <w:color w:val="auto"/>
        </w:rPr>
        <w:t>Lease</w:t>
      </w:r>
      <w:r>
        <w:rPr>
          <w:rFonts w:ascii="Arial" w:cs="Arial" w:eastAsia="Arial" w:hAnsi="Arial"/>
          <w:sz w:val="21"/>
          <w:szCs w:val="21"/>
          <w:color w:val="auto"/>
        </w:rPr>
        <w:t>” as used in the Lease shall mean the Existing Lease, as modified by this Amendment.</w:t>
      </w:r>
    </w:p>
    <w:p>
      <w:pPr>
        <w:spacing w:after="0" w:line="159" w:lineRule="exact"/>
        <w:rPr>
          <w:rFonts w:ascii="Arial" w:cs="Arial" w:eastAsia="Arial" w:hAnsi="Arial"/>
          <w:sz w:val="21"/>
          <w:szCs w:val="21"/>
          <w:color w:val="auto"/>
        </w:rPr>
      </w:pPr>
    </w:p>
    <w:p>
      <w:pPr>
        <w:jc w:val="both"/>
        <w:ind w:firstLine="656"/>
        <w:spacing w:after="0" w:line="229" w:lineRule="auto"/>
        <w:tabs>
          <w:tab w:leader="none" w:pos="1296" w:val="left"/>
        </w:tabs>
        <w:numPr>
          <w:ilvl w:val="0"/>
          <w:numId w:val="313"/>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0" w:right="339" w:bottom="1440" w:gutter="0" w:footer="0" w:header="0"/>
        </w:sectPr>
      </w:pPr>
    </w:p>
    <w:bookmarkStart w:id="377" w:name="page378"/>
    <w:bookmarkEnd w:id="377"/>
    <w:p>
      <w:pPr>
        <w:jc w:val="both"/>
        <w:ind w:firstLine="656"/>
        <w:spacing w:after="0" w:line="214" w:lineRule="auto"/>
        <w:tabs>
          <w:tab w:leader="none" w:pos="1296" w:val="left"/>
        </w:tabs>
        <w:numPr>
          <w:ilvl w:val="0"/>
          <w:numId w:val="31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288" w:val="left"/>
        </w:tabs>
        <w:numPr>
          <w:ilvl w:val="0"/>
          <w:numId w:val="314"/>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Tenant guarantees, warrants and represents that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296" w:val="left"/>
        </w:tabs>
        <w:numPr>
          <w:ilvl w:val="0"/>
          <w:numId w:val="314"/>
        </w:numPr>
        <w:rPr>
          <w:rFonts w:ascii="Arial" w:cs="Arial" w:eastAsia="Arial" w:hAnsi="Arial"/>
          <w:sz w:val="19"/>
          <w:szCs w:val="19"/>
          <w:color w:val="auto"/>
        </w:rPr>
      </w:pPr>
      <w:r>
        <w:rPr>
          <w:rFonts w:ascii="Arial" w:cs="Arial" w:eastAsia="Arial" w:hAnsi="Arial"/>
          <w:sz w:val="19"/>
          <w:szCs w:val="19"/>
          <w:u w:val="single" w:color="auto"/>
          <w:color w:val="auto"/>
        </w:rPr>
        <w:t>Counterparts; Facsimile and PDF Signatures</w:t>
      </w:r>
      <w:r>
        <w:rPr>
          <w:rFonts w:ascii="Arial" w:cs="Arial" w:eastAsia="Arial" w:hAnsi="Arial"/>
          <w:sz w:val="19"/>
          <w:szCs w:val="19"/>
          <w:color w:val="auto"/>
        </w:rPr>
        <w:t>. This Amendment may be executed in one or more counterparts, each of which, when taken together, shall constitute one and the same document. A facsimile or portable document format (PDF) signature on this Amendment shall be equivalent to, and have the same force and effect as, an original signature.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0" w:right="339" w:bottom="1440" w:gutter="0" w:footer="0" w:header="0"/>
        </w:sectPr>
      </w:pPr>
    </w:p>
    <w:bookmarkStart w:id="378" w:name="page379"/>
    <w:bookmarkEnd w:id="378"/>
    <w:p>
      <w:pPr>
        <w:spacing w:after="0" w:line="17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Landlord and Tenant have executed this Amendment as of the date and year first above written.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BMR-MEDICAL CENTER DRIVE LLC,</w:t>
      </w:r>
    </w:p>
    <w:p>
      <w:pPr>
        <w:spacing w:after="0"/>
        <w:rPr>
          <w:sz w:val="20"/>
          <w:szCs w:val="20"/>
          <w:color w:val="auto"/>
        </w:rPr>
      </w:pPr>
      <w:r>
        <w:rPr>
          <w:rFonts w:ascii="Arial" w:cs="Arial" w:eastAsia="Arial" w:hAnsi="Arial"/>
          <w:sz w:val="22"/>
          <w:szCs w:val="22"/>
          <w:color w:val="auto"/>
        </w:rPr>
        <w:t>a Delaware limited liability company</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Jonathan P., Klassen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4833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Jonathan P. Klassen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-5080</wp:posOffset>
            </wp:positionV>
            <wp:extent cx="12573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13938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139382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J. CRAIG VENTER INSTITUTE, INC.,</w:t>
      </w:r>
    </w:p>
    <w:p>
      <w:pPr>
        <w:spacing w:after="0" w:line="204" w:lineRule="auto"/>
        <w:rPr>
          <w:sz w:val="20"/>
          <w:szCs w:val="20"/>
          <w:color w:val="auto"/>
        </w:rPr>
      </w:pPr>
      <w:r>
        <w:rPr>
          <w:rFonts w:ascii="Arial" w:cs="Arial" w:eastAsia="Arial" w:hAnsi="Arial"/>
          <w:sz w:val="22"/>
          <w:szCs w:val="22"/>
          <w:color w:val="auto"/>
        </w:rPr>
        <w:t>successor in interest to The Institute for Genomic Research,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 Maryland non-stock corporation</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Robert J. Walden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7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Robert J. Walden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-5080</wp:posOffset>
            </wp:positionV>
            <wp:extent cx="11163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14351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14351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9" w:name="page380"/>
    <w:bookmarkEnd w:id="379"/>
    <w:p>
      <w:pPr>
        <w:ind w:left="10020"/>
        <w:spacing w:after="0"/>
        <w:rPr>
          <w:sz w:val="20"/>
          <w:szCs w:val="20"/>
          <w:color w:val="auto"/>
        </w:rPr>
      </w:pPr>
      <w:r>
        <w:rPr>
          <w:rFonts w:ascii="Arial" w:cs="Arial" w:eastAsia="Arial" w:hAnsi="Arial"/>
          <w:sz w:val="19"/>
          <w:szCs w:val="19"/>
          <w:b w:val="1"/>
          <w:bCs w:val="1"/>
          <w:color w:val="auto"/>
        </w:rPr>
        <w:t>Exhibit.10.27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LEASE</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SECOND AMENDMENT TO LEASE (this “</w:t>
      </w:r>
      <w:r>
        <w:rPr>
          <w:rFonts w:ascii="Arial" w:cs="Arial" w:eastAsia="Arial" w:hAnsi="Arial"/>
          <w:sz w:val="21"/>
          <w:szCs w:val="21"/>
          <w:u w:val="single" w:color="auto"/>
          <w:color w:val="auto"/>
        </w:rPr>
        <w:t>Second Amendment</w:t>
      </w:r>
      <w:r>
        <w:rPr>
          <w:rFonts w:ascii="Arial" w:cs="Arial" w:eastAsia="Arial" w:hAnsi="Arial"/>
          <w:sz w:val="21"/>
          <w:szCs w:val="21"/>
          <w:color w:val="auto"/>
        </w:rPr>
        <w:t>”) is entered into as of this [***] day of [***],</w:t>
      </w:r>
    </w:p>
    <w:p>
      <w:pPr>
        <w:ind w:firstLine="8"/>
        <w:spacing w:after="0" w:line="224" w:lineRule="auto"/>
        <w:tabs>
          <w:tab w:leader="none" w:pos="535" w:val="left"/>
        </w:tabs>
        <w:numPr>
          <w:ilvl w:val="0"/>
          <w:numId w:val="315"/>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Execution Date</w:t>
      </w:r>
      <w:r>
        <w:rPr>
          <w:rFonts w:ascii="Arial" w:cs="Arial" w:eastAsia="Arial" w:hAnsi="Arial"/>
          <w:sz w:val="22"/>
          <w:szCs w:val="22"/>
          <w:color w:val="auto"/>
        </w:rPr>
        <w:t>”), by and between BMR-MEDICAL CENTER DRIVE LLC, 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and MACROGENICS, INC., a Delaware corporation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85" w:lineRule="exact"/>
        <w:rPr>
          <w:sz w:val="20"/>
          <w:szCs w:val="20"/>
          <w:color w:val="auto"/>
        </w:rPr>
      </w:pPr>
    </w:p>
    <w:p>
      <w:pPr>
        <w:jc w:val="both"/>
        <w:ind w:firstLine="656"/>
        <w:spacing w:after="0" w:line="224" w:lineRule="auto"/>
        <w:tabs>
          <w:tab w:leader="none" w:pos="1154" w:val="left"/>
        </w:tabs>
        <w:numPr>
          <w:ilvl w:val="0"/>
          <w:numId w:val="316"/>
        </w:numPr>
        <w:rPr>
          <w:rFonts w:ascii="Arial" w:cs="Arial" w:eastAsia="Arial" w:hAnsi="Arial"/>
          <w:sz w:val="21"/>
          <w:szCs w:val="21"/>
          <w:color w:val="auto"/>
        </w:rPr>
      </w:pPr>
      <w:r>
        <w:rPr>
          <w:rFonts w:ascii="Arial" w:cs="Arial" w:eastAsia="Arial" w:hAnsi="Arial"/>
          <w:sz w:val="21"/>
          <w:szCs w:val="21"/>
          <w:color w:val="auto"/>
        </w:rPr>
        <w:t>WHEREAS, pursuant to that certain Assignment and Assumption Agreement dated as of [***] (the “</w:t>
      </w: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between J. Craig Venter Institute, Inc. (“</w:t>
      </w:r>
      <w:r>
        <w:rPr>
          <w:rFonts w:ascii="Arial" w:cs="Arial" w:eastAsia="Arial" w:hAnsi="Arial"/>
          <w:sz w:val="21"/>
          <w:szCs w:val="21"/>
          <w:u w:val="single" w:color="auto"/>
          <w:color w:val="auto"/>
        </w:rPr>
        <w:t>JCVI</w:t>
      </w:r>
      <w:r>
        <w:rPr>
          <w:rFonts w:ascii="Arial" w:cs="Arial" w:eastAsia="Arial" w:hAnsi="Arial"/>
          <w:sz w:val="21"/>
          <w:szCs w:val="21"/>
          <w:color w:val="auto"/>
        </w:rPr>
        <w:t>”), as assignor, and Tenant, as assignee, and that certain Landlord Consent attached to the Assignment Agreement and executed by Landlord (“</w:t>
      </w:r>
      <w:r>
        <w:rPr>
          <w:rFonts w:ascii="Arial" w:cs="Arial" w:eastAsia="Arial" w:hAnsi="Arial"/>
          <w:sz w:val="21"/>
          <w:szCs w:val="21"/>
          <w:u w:val="single" w:color="auto"/>
          <w:color w:val="auto"/>
        </w:rPr>
        <w:t>Landlord Consent</w:t>
      </w:r>
      <w:r>
        <w:rPr>
          <w:rFonts w:ascii="Arial" w:cs="Arial" w:eastAsia="Arial" w:hAnsi="Arial"/>
          <w:sz w:val="21"/>
          <w:szCs w:val="21"/>
          <w:color w:val="auto"/>
        </w:rPr>
        <w:t>”), as of the Effective Date (as defined below), Landlord and Tenant are parties to that certain Lease dated as of [***] (as amended by that certain First Amendment to Lease dated as of [***], the “</w:t>
      </w:r>
      <w:r>
        <w:rPr>
          <w:rFonts w:ascii="Arial" w:cs="Arial" w:eastAsia="Arial" w:hAnsi="Arial"/>
          <w:sz w:val="21"/>
          <w:szCs w:val="21"/>
          <w:u w:val="single" w:color="auto"/>
          <w:color w:val="auto"/>
        </w:rPr>
        <w:t>Existing Lease</w:t>
      </w:r>
      <w:r>
        <w:rPr>
          <w:rFonts w:ascii="Arial" w:cs="Arial" w:eastAsia="Arial" w:hAnsi="Arial"/>
          <w:sz w:val="21"/>
          <w:szCs w:val="21"/>
          <w:color w:val="auto"/>
        </w:rPr>
        <w:t>”), whereby Tenant leases certain premises (the “</w:t>
      </w:r>
      <w:r>
        <w:rPr>
          <w:rFonts w:ascii="Arial" w:cs="Arial" w:eastAsia="Arial" w:hAnsi="Arial"/>
          <w:sz w:val="21"/>
          <w:szCs w:val="21"/>
          <w:u w:val="single" w:color="auto"/>
          <w:color w:val="auto"/>
        </w:rPr>
        <w:t>Premises</w:t>
      </w:r>
      <w:r>
        <w:rPr>
          <w:rFonts w:ascii="Arial" w:cs="Arial" w:eastAsia="Arial" w:hAnsi="Arial"/>
          <w:sz w:val="21"/>
          <w:szCs w:val="21"/>
          <w:color w:val="auto"/>
        </w:rPr>
        <w:t>” from Landlord at 9704 Medical Center Drive in Rockville, Maryland (the “</w:t>
      </w:r>
      <w:r>
        <w:rPr>
          <w:rFonts w:ascii="Arial" w:cs="Arial" w:eastAsia="Arial" w:hAnsi="Arial"/>
          <w:sz w:val="21"/>
          <w:szCs w:val="21"/>
          <w:u w:val="single" w:color="auto"/>
          <w:color w:val="auto"/>
        </w:rPr>
        <w:t>Building</w:t>
      </w:r>
      <w:r>
        <w:rPr>
          <w:rFonts w:ascii="Arial" w:cs="Arial" w:eastAsia="Arial" w:hAnsi="Arial"/>
          <w:sz w:val="21"/>
          <w:szCs w:val="21"/>
          <w:color w:val="auto"/>
        </w:rPr>
        <w:t>”);</w:t>
      </w:r>
    </w:p>
    <w:p>
      <w:pPr>
        <w:spacing w:after="0" w:line="159" w:lineRule="exact"/>
        <w:rPr>
          <w:rFonts w:ascii="Arial" w:cs="Arial" w:eastAsia="Arial" w:hAnsi="Arial"/>
          <w:sz w:val="21"/>
          <w:szCs w:val="21"/>
          <w:color w:val="auto"/>
        </w:rPr>
      </w:pPr>
    </w:p>
    <w:p>
      <w:pPr>
        <w:jc w:val="both"/>
        <w:ind w:firstLine="656"/>
        <w:spacing w:after="0" w:line="223" w:lineRule="auto"/>
        <w:tabs>
          <w:tab w:leader="none" w:pos="1085" w:val="left"/>
        </w:tabs>
        <w:numPr>
          <w:ilvl w:val="0"/>
          <w:numId w:val="316"/>
        </w:numPr>
        <w:rPr>
          <w:rFonts w:ascii="Arial" w:cs="Arial" w:eastAsia="Arial" w:hAnsi="Arial"/>
          <w:sz w:val="22"/>
          <w:szCs w:val="22"/>
          <w:color w:val="auto"/>
        </w:rPr>
      </w:pPr>
      <w:r>
        <w:rPr>
          <w:rFonts w:ascii="Arial" w:cs="Arial" w:eastAsia="Arial" w:hAnsi="Arial"/>
          <w:sz w:val="22"/>
          <w:szCs w:val="22"/>
          <w:color w:val="auto"/>
        </w:rPr>
        <w:t>WHEREAS, effective as of the Effective Date, Landlord and Tenant desire to revise the Base Rent for the Premises, extend the Term of the Existing Lease and modify certain other provisions of the existing Lease on the terms and conditions set forth in this Second Amendment; and</w:t>
      </w:r>
    </w:p>
    <w:p>
      <w:pPr>
        <w:spacing w:after="0" w:line="158" w:lineRule="exact"/>
        <w:rPr>
          <w:rFonts w:ascii="Arial" w:cs="Arial" w:eastAsia="Arial" w:hAnsi="Arial"/>
          <w:sz w:val="22"/>
          <w:szCs w:val="22"/>
          <w:color w:val="auto"/>
        </w:rPr>
      </w:pPr>
    </w:p>
    <w:p>
      <w:pPr>
        <w:ind w:firstLine="656"/>
        <w:spacing w:after="0" w:line="232" w:lineRule="auto"/>
        <w:tabs>
          <w:tab w:leader="none" w:pos="1089" w:val="left"/>
        </w:tabs>
        <w:numPr>
          <w:ilvl w:val="0"/>
          <w:numId w:val="316"/>
        </w:numPr>
        <w:rPr>
          <w:rFonts w:ascii="Arial" w:cs="Arial" w:eastAsia="Arial" w:hAnsi="Arial"/>
          <w:sz w:val="22"/>
          <w:szCs w:val="22"/>
          <w:color w:val="auto"/>
        </w:rPr>
      </w:pPr>
      <w:r>
        <w:rPr>
          <w:rFonts w:ascii="Arial" w:cs="Arial" w:eastAsia="Arial" w:hAnsi="Arial"/>
          <w:sz w:val="22"/>
          <w:szCs w:val="22"/>
          <w:color w:val="auto"/>
        </w:rPr>
        <w:t>WHEREAS, effective as of the Effective Date, Landlord and Tenant desire to modify and amend the Existing Lease only in the respects and on the conditions hereinafter stated.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59" w:lineRule="exact"/>
        <w:rPr>
          <w:sz w:val="20"/>
          <w:szCs w:val="20"/>
          <w:color w:val="auto"/>
        </w:rPr>
      </w:pPr>
    </w:p>
    <w:p>
      <w:pPr>
        <w:jc w:val="both"/>
        <w:ind w:firstLine="656"/>
        <w:spacing w:after="0" w:line="243" w:lineRule="auto"/>
        <w:tabs>
          <w:tab w:leader="none" w:pos="1066" w:val="left"/>
        </w:tabs>
        <w:numPr>
          <w:ilvl w:val="1"/>
          <w:numId w:val="317"/>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This Second Amendment shall be effective concurrently with the effectiveness of the assignment of JCVI’s interest in, to and under the Existing Lease to Tenant pursuant to the Assignment Agreement. The “</w:t>
      </w:r>
      <w:r>
        <w:rPr>
          <w:rFonts w:ascii="Arial" w:cs="Arial" w:eastAsia="Arial" w:hAnsi="Arial"/>
          <w:sz w:val="19"/>
          <w:szCs w:val="19"/>
          <w:u w:val="single" w:color="auto"/>
          <w:color w:val="auto"/>
        </w:rPr>
        <w:t>Effective Date</w:t>
      </w:r>
      <w:r>
        <w:rPr>
          <w:rFonts w:ascii="Arial" w:cs="Arial" w:eastAsia="Arial" w:hAnsi="Arial"/>
          <w:sz w:val="19"/>
          <w:szCs w:val="19"/>
          <w:color w:val="auto"/>
        </w:rPr>
        <w:t>” for purposes of this Second Amendment shall mean the “</w:t>
      </w:r>
      <w:r>
        <w:rPr>
          <w:rFonts w:ascii="Arial" w:cs="Arial" w:eastAsia="Arial" w:hAnsi="Arial"/>
          <w:sz w:val="19"/>
          <w:szCs w:val="19"/>
          <w:u w:val="single" w:color="auto"/>
          <w:color w:val="auto"/>
        </w:rPr>
        <w:t>Assignment Date</w:t>
      </w:r>
      <w:r>
        <w:rPr>
          <w:rFonts w:ascii="Arial" w:cs="Arial" w:eastAsia="Arial" w:hAnsi="Arial"/>
          <w:sz w:val="19"/>
          <w:szCs w:val="19"/>
          <w:color w:val="auto"/>
        </w:rPr>
        <w:t>” as such term is defined in the Assignment Agreement</w:t>
      </w:r>
    </w:p>
    <w:p>
      <w:pPr>
        <w:spacing w:after="0" w:line="2" w:lineRule="exact"/>
        <w:rPr>
          <w:rFonts w:ascii="Arial" w:cs="Arial" w:eastAsia="Arial" w:hAnsi="Arial"/>
          <w:sz w:val="19"/>
          <w:szCs w:val="19"/>
          <w:color w:val="auto"/>
        </w:rPr>
      </w:pPr>
    </w:p>
    <w:p>
      <w:pPr>
        <w:ind w:firstLine="8"/>
        <w:spacing w:after="0" w:line="224" w:lineRule="auto"/>
        <w:tabs>
          <w:tab w:leader="none" w:pos="528" w:val="left"/>
        </w:tabs>
        <w:numPr>
          <w:ilvl w:val="0"/>
          <w:numId w:val="317"/>
        </w:numPr>
        <w:rPr>
          <w:rFonts w:ascii="Arial" w:cs="Arial" w:eastAsia="Arial" w:hAnsi="Arial"/>
          <w:sz w:val="22"/>
          <w:szCs w:val="22"/>
          <w:color w:val="auto"/>
        </w:rPr>
      </w:pPr>
      <w:r>
        <w:rPr>
          <w:rFonts w:ascii="Arial" w:cs="Arial" w:eastAsia="Arial" w:hAnsi="Arial"/>
          <w:sz w:val="22"/>
          <w:szCs w:val="22"/>
          <w:color w:val="auto"/>
        </w:rPr>
        <w:t xml:space="preserve">Landlord and Tenant shall execute and deliver the Acknowledgment of Second Amendment Effective Date in substantially the form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Second Amendment.</w:t>
      </w:r>
    </w:p>
    <w:p>
      <w:pPr>
        <w:spacing w:after="0" w:line="157" w:lineRule="exact"/>
        <w:rPr>
          <w:rFonts w:ascii="Arial" w:cs="Arial" w:eastAsia="Arial" w:hAnsi="Arial"/>
          <w:sz w:val="22"/>
          <w:szCs w:val="22"/>
          <w:color w:val="auto"/>
        </w:rPr>
      </w:pPr>
    </w:p>
    <w:p>
      <w:pPr>
        <w:jc w:val="both"/>
        <w:ind w:firstLine="656"/>
        <w:spacing w:after="0" w:line="252" w:lineRule="auto"/>
        <w:tabs>
          <w:tab w:leader="none" w:pos="1053" w:val="left"/>
        </w:tabs>
        <w:numPr>
          <w:ilvl w:val="1"/>
          <w:numId w:val="318"/>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Second Amendment, capitalized terms shall have the meanings ascribed to them in the Existing Lease unless otherwise defined herein. The Existing Lease, as amended by this Second Amendment, is referred to collectively herein as the “</w:t>
      </w:r>
      <w:r>
        <w:rPr>
          <w:rFonts w:ascii="Arial" w:cs="Arial" w:eastAsia="Arial" w:hAnsi="Arial"/>
          <w:sz w:val="19"/>
          <w:szCs w:val="19"/>
          <w:u w:val="single" w:color="auto"/>
          <w:color w:val="auto"/>
        </w:rPr>
        <w:t>Lease.</w:t>
      </w:r>
      <w:r>
        <w:rPr>
          <w:rFonts w:ascii="Arial" w:cs="Arial" w:eastAsia="Arial" w:hAnsi="Arial"/>
          <w:sz w:val="19"/>
          <w:szCs w:val="19"/>
          <w:color w:val="auto"/>
        </w:rPr>
        <w:t>” From and after the date hereof, the term “</w:t>
      </w:r>
      <w:r>
        <w:rPr>
          <w:rFonts w:ascii="Arial" w:cs="Arial" w:eastAsia="Arial" w:hAnsi="Arial"/>
          <w:sz w:val="19"/>
          <w:szCs w:val="19"/>
          <w:u w:val="single" w:color="auto"/>
          <w:color w:val="auto"/>
        </w:rPr>
        <w:t>Lease,</w:t>
      </w:r>
      <w:r>
        <w:rPr>
          <w:rFonts w:ascii="Arial" w:cs="Arial" w:eastAsia="Arial" w:hAnsi="Arial"/>
          <w:sz w:val="19"/>
          <w:szCs w:val="19"/>
          <w:color w:val="auto"/>
        </w:rPr>
        <w:t>” as used in the Existing Lease, shall mean the Existing Lease, as amended by this Second Amendment. To the extent terms are defined in both the Existing Lease and the Second Amendment, the defined terms in this Second Amendment shall control for the entire Lease,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220"/>
        <w:spacing w:after="0"/>
        <w:rPr>
          <w:sz w:val="20"/>
          <w:szCs w:val="20"/>
          <w:color w:val="auto"/>
        </w:rPr>
      </w:pPr>
      <w:r>
        <w:rPr>
          <w:rFonts w:ascii="Arial" w:cs="Arial" w:eastAsia="Arial" w:hAnsi="Arial"/>
          <w:sz w:val="13"/>
          <w:szCs w:val="13"/>
          <w:color w:val="auto"/>
        </w:rPr>
        <w:t>BioMed Realty form dated 3/27/15</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4813-5202-3331.13</w:t>
      </w:r>
    </w:p>
    <w:p>
      <w:pPr>
        <w:sectPr>
          <w:pgSz w:w="11900" w:h="16838" w:orient="portrait"/>
          <w:cols w:equalWidth="0" w:num="1">
            <w:col w:w="11240"/>
          </w:cols>
          <w:pgMar w:left="320" w:top="98" w:right="339" w:bottom="1440" w:gutter="0" w:footer="0" w:header="0"/>
        </w:sectPr>
      </w:pPr>
    </w:p>
    <w:bookmarkStart w:id="380" w:name="page381"/>
    <w:bookmarkEnd w:id="380"/>
    <w:p>
      <w:pPr>
        <w:jc w:val="both"/>
        <w:ind w:firstLine="656"/>
        <w:spacing w:after="0"/>
        <w:tabs>
          <w:tab w:leader="none" w:pos="1026" w:val="left"/>
        </w:tabs>
        <w:numPr>
          <w:ilvl w:val="0"/>
          <w:numId w:val="319"/>
        </w:numPr>
        <w:rPr>
          <w:rFonts w:ascii="Arial" w:cs="Arial" w:eastAsia="Arial" w:hAnsi="Arial"/>
          <w:sz w:val="19"/>
          <w:szCs w:val="19"/>
          <w:color w:val="auto"/>
        </w:rPr>
      </w:pPr>
      <w:r>
        <w:rPr>
          <w:rFonts w:ascii="Arial" w:cs="Arial" w:eastAsia="Arial" w:hAnsi="Arial"/>
          <w:sz w:val="19"/>
          <w:szCs w:val="19"/>
          <w:u w:val="single" w:color="auto"/>
          <w:color w:val="auto"/>
        </w:rPr>
        <w:t>Revised Term</w:t>
      </w:r>
      <w:r>
        <w:rPr>
          <w:rFonts w:ascii="Arial" w:cs="Arial" w:eastAsia="Arial" w:hAnsi="Arial"/>
          <w:sz w:val="19"/>
          <w:szCs w:val="19"/>
          <w:color w:val="auto"/>
        </w:rPr>
        <w:t>. Landlord and Tenant have agreed to extend the Term of the Existing Lease and to modify certain terms and provisions of the Existing Lease in connection therewith on the terms and conditions set forth in this Second Amendment. Notwithstanding any provision in the Existing Lease to the contrary, the Term shall be extended [***] and shall be subject to further extension pursuant to Section 14 of this Second Amendment. The “</w:t>
      </w:r>
      <w:r>
        <w:rPr>
          <w:rFonts w:ascii="Arial" w:cs="Arial" w:eastAsia="Arial" w:hAnsi="Arial"/>
          <w:sz w:val="19"/>
          <w:szCs w:val="19"/>
          <w:u w:val="single" w:color="auto"/>
          <w:color w:val="auto"/>
        </w:rPr>
        <w:t>Revised Term Commencement Date</w:t>
      </w:r>
      <w:r>
        <w:rPr>
          <w:rFonts w:ascii="Arial" w:cs="Arial" w:eastAsia="Arial" w:hAnsi="Arial"/>
          <w:sz w:val="19"/>
          <w:szCs w:val="19"/>
          <w:color w:val="auto"/>
        </w:rPr>
        <w:t>” shall be the later of (a) [***] and (b) the day Landlord tenders possession of the Premises to Tenant. The “</w:t>
      </w:r>
      <w:r>
        <w:rPr>
          <w:rFonts w:ascii="Arial" w:cs="Arial" w:eastAsia="Arial" w:hAnsi="Arial"/>
          <w:sz w:val="19"/>
          <w:szCs w:val="19"/>
          <w:u w:val="single" w:color="auto"/>
          <w:color w:val="auto"/>
        </w:rPr>
        <w:t>Term</w:t>
      </w:r>
      <w:r>
        <w:rPr>
          <w:rFonts w:ascii="Arial" w:cs="Arial" w:eastAsia="Arial" w:hAnsi="Arial"/>
          <w:sz w:val="19"/>
          <w:szCs w:val="19"/>
          <w:color w:val="auto"/>
        </w:rPr>
        <w:t>” in the Lease and the “</w:t>
      </w:r>
      <w:r>
        <w:rPr>
          <w:rFonts w:ascii="Arial" w:cs="Arial" w:eastAsia="Arial" w:hAnsi="Arial"/>
          <w:sz w:val="19"/>
          <w:szCs w:val="19"/>
          <w:u w:val="single" w:color="auto"/>
          <w:color w:val="auto"/>
        </w:rPr>
        <w:t>Revised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in this Second Amendment shall mean and refer to the period of time commencing on the Revised Term Commencement Date and continuing through the Term Expiration Date, as extended by this Second Amendment, and as the same may be extended pursuant to Section 14 of this Second Amendment, and subject to the earlier termination of the Lease as therein provided. Landlord and Tenant shall execute and deliver to the other written acknowledgment of the actual Revised Term Commencement Date and the Term Expiration Date [***] in the form provided by Landlord, which form shall be consistent with the form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this Second Amendment. Notwithstanding anything to the contrary contained in this Second Amendment, in the event that (i) the Effective Date does not occur or (ii) Landlord fails to deliver the Premises to Tenant [***] for any reason, except for any delay caused by Tenant or an event of Force Majeure (however, Force Majeure shall not include holdover in the Premises by JCVI), then Tenant shall receive either (y) a day-for-day abatement [***] of the initial Monthly Base Rent [***] if such failure to deliver is due to holdover in the Premises by JCVI or (z) a day-for-day abatement of one hundred percent 100% of the amount of the initial Monthly Base Rent [***] if such failure to deliver the Premises is not due to holdover in the Premises by JCVI, in each case for each day after [***] that the Effective Date does not occur or Landlord fails to deliver possession of the Premises to Tenant, which abatement shall be applied against the first and subsequent accruing Monthly Base Rent due for the Premises following the Revised Term Commencement Date until exhausted. To the extent not delivered by JCVI directly to Tenant pursuant to the Assignment Agreement, Landlord shall deliver all keys, security codes and electronic access cards to the Premises and all offices and restrooms therein received by Landlord from JCVI.</w:t>
      </w:r>
    </w:p>
    <w:p>
      <w:pPr>
        <w:spacing w:after="0" w:line="163" w:lineRule="exact"/>
        <w:rPr>
          <w:rFonts w:ascii="Arial" w:cs="Arial" w:eastAsia="Arial" w:hAnsi="Arial"/>
          <w:sz w:val="19"/>
          <w:szCs w:val="19"/>
          <w:color w:val="auto"/>
        </w:rPr>
      </w:pPr>
    </w:p>
    <w:p>
      <w:pPr>
        <w:ind w:left="1040" w:hanging="384"/>
        <w:spacing w:after="0"/>
        <w:tabs>
          <w:tab w:leader="none" w:pos="1040" w:val="left"/>
        </w:tabs>
        <w:numPr>
          <w:ilvl w:val="0"/>
          <w:numId w:val="319"/>
        </w:numPr>
        <w:rPr>
          <w:rFonts w:ascii="Arial" w:cs="Arial" w:eastAsia="Arial" w:hAnsi="Arial"/>
          <w:sz w:val="19"/>
          <w:szCs w:val="19"/>
          <w:color w:val="auto"/>
        </w:rPr>
      </w:pPr>
      <w:r>
        <w:rPr>
          <w:rFonts w:ascii="Arial" w:cs="Arial" w:eastAsia="Arial" w:hAnsi="Arial"/>
          <w:sz w:val="19"/>
          <w:szCs w:val="19"/>
          <w:u w:val="single" w:color="auto"/>
          <w:color w:val="auto"/>
        </w:rPr>
        <w:t>Revised Term: Amended Lease Provisions</w:t>
      </w:r>
      <w:r>
        <w:rPr>
          <w:rFonts w:ascii="Arial" w:cs="Arial" w:eastAsia="Arial" w:hAnsi="Arial"/>
          <w:sz w:val="19"/>
          <w:szCs w:val="19"/>
          <w:color w:val="auto"/>
        </w:rPr>
        <w:t>. Effective as of the Effective Date, the Existing Lease shall be amended as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61" w:lineRule="exact"/>
        <w:rPr>
          <w:rFonts w:ascii="Arial" w:cs="Arial" w:eastAsia="Arial" w:hAnsi="Arial"/>
          <w:sz w:val="19"/>
          <w:szCs w:val="19"/>
          <w:color w:val="auto"/>
        </w:rPr>
      </w:pPr>
    </w:p>
    <w:p>
      <w:pPr>
        <w:jc w:val="both"/>
        <w:ind w:firstLine="1304"/>
        <w:spacing w:after="0" w:line="241" w:lineRule="auto"/>
        <w:tabs>
          <w:tab w:leader="none" w:pos="1729" w:val="left"/>
        </w:tabs>
        <w:numPr>
          <w:ilvl w:val="1"/>
          <w:numId w:val="319"/>
        </w:numPr>
        <w:rPr>
          <w:rFonts w:ascii="Arial" w:cs="Arial" w:eastAsia="Arial" w:hAnsi="Arial"/>
          <w:sz w:val="19"/>
          <w:szCs w:val="19"/>
          <w:color w:val="auto"/>
        </w:rPr>
      </w:pPr>
      <w:r>
        <w:rPr>
          <w:rFonts w:ascii="Arial" w:cs="Arial" w:eastAsia="Arial" w:hAnsi="Arial"/>
          <w:sz w:val="19"/>
          <w:szCs w:val="19"/>
          <w:u w:val="single" w:color="auto"/>
          <w:color w:val="auto"/>
        </w:rPr>
        <w:t>Deleted Provisions</w:t>
      </w:r>
      <w:r>
        <w:rPr>
          <w:rFonts w:ascii="Arial" w:cs="Arial" w:eastAsia="Arial" w:hAnsi="Arial"/>
          <w:sz w:val="19"/>
          <w:szCs w:val="19"/>
          <w:color w:val="auto"/>
        </w:rPr>
        <w:t xml:space="preserve">. Effective as of the Effective Date, </w:t>
      </w:r>
      <w:r>
        <w:rPr>
          <w:rFonts w:ascii="Arial" w:cs="Arial" w:eastAsia="Arial" w:hAnsi="Arial"/>
          <w:sz w:val="19"/>
          <w:szCs w:val="19"/>
          <w:u w:val="single" w:color="auto"/>
          <w:color w:val="auto"/>
        </w:rPr>
        <w:t>Articles 5</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Sections 9.9</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12.10</w:t>
      </w:r>
      <w:r>
        <w:rPr>
          <w:rFonts w:ascii="Arial" w:cs="Arial" w:eastAsia="Arial" w:hAnsi="Arial"/>
          <w:sz w:val="19"/>
          <w:szCs w:val="19"/>
          <w:color w:val="auto"/>
        </w:rPr>
        <w:t xml:space="preserve">, </w:t>
      </w:r>
      <w:r>
        <w:rPr>
          <w:rFonts w:ascii="Arial" w:cs="Arial" w:eastAsia="Arial" w:hAnsi="Arial"/>
          <w:sz w:val="19"/>
          <w:szCs w:val="19"/>
          <w:u w:val="single" w:color="auto"/>
          <w:color w:val="auto"/>
        </w:rPr>
        <w:t>14.2</w:t>
      </w:r>
      <w:r>
        <w:rPr>
          <w:rFonts w:ascii="Arial" w:cs="Arial" w:eastAsia="Arial" w:hAnsi="Arial"/>
          <w:sz w:val="19"/>
          <w:szCs w:val="19"/>
          <w:color w:val="auto"/>
        </w:rPr>
        <w:t xml:space="preserve">, </w:t>
      </w:r>
      <w:r>
        <w:rPr>
          <w:rFonts w:ascii="Arial" w:cs="Arial" w:eastAsia="Arial" w:hAnsi="Arial"/>
          <w:sz w:val="19"/>
          <w:szCs w:val="19"/>
          <w:u w:val="single" w:color="auto"/>
          <w:color w:val="auto"/>
        </w:rPr>
        <w:t>16.1</w:t>
      </w:r>
      <w:r>
        <w:rPr>
          <w:rFonts w:ascii="Arial" w:cs="Arial" w:eastAsia="Arial" w:hAnsi="Arial"/>
          <w:sz w:val="19"/>
          <w:szCs w:val="19"/>
          <w:color w:val="auto"/>
        </w:rPr>
        <w:t xml:space="preserve"> (except that Landlord shall remain responsible for the external cleaning of the Building and snow removal obligations set forth in Section </w:t>
      </w:r>
      <w:r>
        <w:rPr>
          <w:rFonts w:ascii="Arial" w:cs="Arial" w:eastAsia="Arial" w:hAnsi="Arial"/>
          <w:sz w:val="19"/>
          <w:szCs w:val="19"/>
          <w:u w:val="single" w:color="auto"/>
          <w:color w:val="auto"/>
        </w:rPr>
        <w:t>16.1</w:t>
      </w:r>
      <w:r>
        <w:rPr>
          <w:rFonts w:ascii="Arial" w:cs="Arial" w:eastAsia="Arial" w:hAnsi="Arial"/>
          <w:sz w:val="19"/>
          <w:szCs w:val="19"/>
          <w:color w:val="auto"/>
        </w:rPr>
        <w:t xml:space="preserve"> of the Existing Lease), </w:t>
      </w:r>
      <w:r>
        <w:rPr>
          <w:rFonts w:ascii="Arial" w:cs="Arial" w:eastAsia="Arial" w:hAnsi="Arial"/>
          <w:sz w:val="19"/>
          <w:szCs w:val="19"/>
          <w:u w:val="single" w:color="auto"/>
          <w:color w:val="auto"/>
        </w:rPr>
        <w:t>16.6</w:t>
      </w:r>
      <w:r>
        <w:rPr>
          <w:rFonts w:ascii="Arial" w:cs="Arial" w:eastAsia="Arial" w:hAnsi="Arial"/>
          <w:sz w:val="19"/>
          <w:szCs w:val="19"/>
          <w:color w:val="auto"/>
        </w:rPr>
        <w:t xml:space="preserve">, </w:t>
      </w:r>
      <w:r>
        <w:rPr>
          <w:rFonts w:ascii="Arial" w:cs="Arial" w:eastAsia="Arial" w:hAnsi="Arial"/>
          <w:sz w:val="19"/>
          <w:szCs w:val="19"/>
          <w:u w:val="single" w:color="auto"/>
          <w:color w:val="auto"/>
        </w:rPr>
        <w:t>16.8</w:t>
      </w:r>
      <w:r>
        <w:rPr>
          <w:rFonts w:ascii="Arial" w:cs="Arial" w:eastAsia="Arial" w:hAnsi="Arial"/>
          <w:sz w:val="19"/>
          <w:szCs w:val="19"/>
          <w:color w:val="auto"/>
        </w:rPr>
        <w:t xml:space="preserve">, </w:t>
      </w:r>
      <w:r>
        <w:rPr>
          <w:rFonts w:ascii="Arial" w:cs="Arial" w:eastAsia="Arial" w:hAnsi="Arial"/>
          <w:sz w:val="19"/>
          <w:szCs w:val="19"/>
          <w:u w:val="single" w:color="auto"/>
          <w:color w:val="auto"/>
        </w:rPr>
        <w:t>17.2</w:t>
      </w:r>
      <w:r>
        <w:rPr>
          <w:rFonts w:ascii="Arial" w:cs="Arial" w:eastAsia="Arial" w:hAnsi="Arial"/>
          <w:sz w:val="19"/>
          <w:szCs w:val="19"/>
          <w:color w:val="auto"/>
        </w:rPr>
        <w:t xml:space="preserve">, </w:t>
      </w:r>
      <w:r>
        <w:rPr>
          <w:rFonts w:ascii="Arial" w:cs="Arial" w:eastAsia="Arial" w:hAnsi="Arial"/>
          <w:sz w:val="19"/>
          <w:szCs w:val="19"/>
          <w:u w:val="single" w:color="auto"/>
          <w:color w:val="auto"/>
        </w:rPr>
        <w:t>18.1(c)</w:t>
      </w:r>
      <w:r>
        <w:rPr>
          <w:rFonts w:ascii="Arial" w:cs="Arial" w:eastAsia="Arial" w:hAnsi="Arial"/>
          <w:sz w:val="19"/>
          <w:szCs w:val="19"/>
          <w:color w:val="auto"/>
        </w:rPr>
        <w:t xml:space="preserve">, </w:t>
      </w:r>
      <w:r>
        <w:rPr>
          <w:rFonts w:ascii="Arial" w:cs="Arial" w:eastAsia="Arial" w:hAnsi="Arial"/>
          <w:sz w:val="19"/>
          <w:szCs w:val="19"/>
          <w:u w:val="single" w:color="auto"/>
          <w:color w:val="auto"/>
        </w:rPr>
        <w:t>29.2</w:t>
      </w:r>
      <w:r>
        <w:rPr>
          <w:rFonts w:ascii="Arial" w:cs="Arial" w:eastAsia="Arial" w:hAnsi="Arial"/>
          <w:sz w:val="19"/>
          <w:szCs w:val="19"/>
          <w:color w:val="auto"/>
        </w:rPr>
        <w:t xml:space="preserve">,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w:t>
      </w:r>
      <w:r>
        <w:rPr>
          <w:rFonts w:ascii="Arial" w:cs="Arial" w:eastAsia="Arial" w:hAnsi="Arial"/>
          <w:sz w:val="19"/>
          <w:szCs w:val="19"/>
          <w:u w:val="single" w:color="auto"/>
          <w:color w:val="auto"/>
        </w:rPr>
        <w:t>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41.20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Exhibits 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the Existing Lease are hereby deleted in their entirety and replaced with the following: “</w:t>
      </w:r>
      <w:r>
        <w:rPr>
          <w:rFonts w:ascii="Arial" w:cs="Arial" w:eastAsia="Arial" w:hAnsi="Arial"/>
          <w:sz w:val="19"/>
          <w:szCs w:val="19"/>
          <w:u w:val="single" w:color="auto"/>
          <w:color w:val="auto"/>
        </w:rPr>
        <w:t>Intentionally Omitted</w:t>
      </w:r>
      <w:r>
        <w:rPr>
          <w:rFonts w:ascii="Arial" w:cs="Arial" w:eastAsia="Arial" w:hAnsi="Arial"/>
          <w:sz w:val="19"/>
          <w:szCs w:val="19"/>
          <w:color w:val="auto"/>
        </w:rPr>
        <w:t>”. In addition to the foregoing, all references to the “</w:t>
      </w:r>
      <w:r>
        <w:rPr>
          <w:rFonts w:ascii="Arial" w:cs="Arial" w:eastAsia="Arial" w:hAnsi="Arial"/>
          <w:sz w:val="19"/>
          <w:szCs w:val="19"/>
          <w:u w:val="single" w:color="auto"/>
          <w:color w:val="auto"/>
        </w:rPr>
        <w:t>Turnover</w:t>
      </w:r>
      <w:r>
        <w:rPr>
          <w:rFonts w:ascii="Arial" w:cs="Arial" w:eastAsia="Arial" w:hAnsi="Arial"/>
          <w:sz w:val="19"/>
          <w:szCs w:val="19"/>
          <w:color w:val="auto"/>
        </w:rPr>
        <w:t>” in the Existing Lease, the words “</w:t>
      </w:r>
      <w:r>
        <w:rPr>
          <w:rFonts w:ascii="Arial" w:cs="Arial" w:eastAsia="Arial" w:hAnsi="Arial"/>
          <w:sz w:val="19"/>
          <w:szCs w:val="19"/>
          <w:u w:val="single" w:color="auto"/>
          <w:color w:val="auto"/>
        </w:rPr>
        <w:t>So long as Tenant has not assigned the Lease</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9.8</w:t>
      </w:r>
      <w:r>
        <w:rPr>
          <w:rFonts w:ascii="Arial" w:cs="Arial" w:eastAsia="Arial" w:hAnsi="Arial"/>
          <w:sz w:val="19"/>
          <w:szCs w:val="19"/>
          <w:color w:val="auto"/>
        </w:rPr>
        <w:t xml:space="preserve">, the first sentence of </w:t>
      </w:r>
      <w:r>
        <w:rPr>
          <w:rFonts w:ascii="Arial" w:cs="Arial" w:eastAsia="Arial" w:hAnsi="Arial"/>
          <w:sz w:val="19"/>
          <w:szCs w:val="19"/>
          <w:u w:val="single" w:color="auto"/>
          <w:color w:val="auto"/>
        </w:rPr>
        <w:t>Section 17.4</w:t>
      </w:r>
      <w:r>
        <w:rPr>
          <w:rFonts w:ascii="Arial" w:cs="Arial" w:eastAsia="Arial" w:hAnsi="Arial"/>
          <w:sz w:val="19"/>
          <w:szCs w:val="19"/>
          <w:color w:val="auto"/>
        </w:rPr>
        <w:t xml:space="preserve">, the second sentence of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are hereby deleted in their entirety. The following is hereby added to the end of </w:t>
      </w:r>
      <w:r>
        <w:rPr>
          <w:rFonts w:ascii="Arial" w:cs="Arial" w:eastAsia="Arial" w:hAnsi="Arial"/>
          <w:sz w:val="19"/>
          <w:szCs w:val="19"/>
          <w:u w:val="single" w:color="auto"/>
          <w:color w:val="auto"/>
        </w:rPr>
        <w:t>the first sentence of Section 12.5</w:t>
      </w:r>
      <w:r>
        <w:rPr>
          <w:rFonts w:ascii="Arial" w:cs="Arial" w:eastAsia="Arial" w:hAnsi="Arial"/>
          <w:sz w:val="19"/>
          <w:szCs w:val="19"/>
          <w:color w:val="auto"/>
        </w:rPr>
        <w:t xml:space="preserve">: “without Landlord’s prior written consent, which consent shall not be unreasonably withheld, conditioned or delayed.” The following is hereby added to the end of </w:t>
      </w:r>
      <w:r>
        <w:rPr>
          <w:rFonts w:ascii="Arial" w:cs="Arial" w:eastAsia="Arial" w:hAnsi="Arial"/>
          <w:sz w:val="19"/>
          <w:szCs w:val="19"/>
          <w:u w:val="single" w:color="auto"/>
          <w:color w:val="auto"/>
        </w:rPr>
        <w:t>t</w:t>
      </w:r>
      <w:r>
        <w:rPr>
          <w:rFonts w:ascii="Arial" w:cs="Arial" w:eastAsia="Arial" w:hAnsi="Arial"/>
          <w:sz w:val="19"/>
          <w:szCs w:val="19"/>
          <w:color w:val="auto"/>
        </w:rPr>
        <w:t xml:space="preserve">he second sentence of </w:t>
      </w:r>
      <w:r>
        <w:rPr>
          <w:rFonts w:ascii="Arial" w:cs="Arial" w:eastAsia="Arial" w:hAnsi="Arial"/>
          <w:sz w:val="19"/>
          <w:szCs w:val="19"/>
          <w:u w:val="single" w:color="auto"/>
          <w:color w:val="auto"/>
        </w:rPr>
        <w:t>Section 12.5</w:t>
      </w:r>
      <w:r>
        <w:rPr>
          <w:rFonts w:ascii="Arial" w:cs="Arial" w:eastAsia="Arial" w:hAnsi="Arial"/>
          <w:sz w:val="19"/>
          <w:szCs w:val="19"/>
          <w:color w:val="auto"/>
        </w:rPr>
        <w:t>: “</w:t>
      </w:r>
      <w:r>
        <w:rPr>
          <w:rFonts w:ascii="Arial" w:cs="Arial" w:eastAsia="Arial" w:hAnsi="Arial"/>
          <w:sz w:val="19"/>
          <w:szCs w:val="19"/>
          <w:u w:val="single" w:color="auto"/>
          <w:color w:val="auto"/>
        </w:rPr>
        <w:t>which consent shall not be unreasonably withheld, conditioned or delayed.</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is hereby replaced with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attached hereto. Notwithstanding the foregoing, Tenant may submit an updated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to the Lease pursuant to the terms and conditions set forth in </w:t>
      </w:r>
      <w:r>
        <w:rPr>
          <w:rFonts w:ascii="Arial" w:cs="Arial" w:eastAsia="Arial" w:hAnsi="Arial"/>
          <w:sz w:val="19"/>
          <w:szCs w:val="19"/>
          <w:u w:val="single" w:color="auto"/>
          <w:color w:val="auto"/>
        </w:rPr>
        <w:t>Section 17.6</w:t>
      </w:r>
      <w:r>
        <w:rPr>
          <w:rFonts w:ascii="Arial" w:cs="Arial" w:eastAsia="Arial" w:hAnsi="Arial"/>
          <w:sz w:val="19"/>
          <w:szCs w:val="19"/>
          <w:color w:val="auto"/>
        </w:rPr>
        <w:t xml:space="preserve"> of the Existing Lease, and, for clarity, bioreactors, centrifuges, media and buffer preparation tanks, manufacturing skids (such as for depth filtration, ultrafiltration and clean-in-place processes) and similar types of equipment used for biologics manufacturing in the Premises that are purchased by Tenant will be deemed to be “</w:t>
      </w:r>
      <w:r>
        <w:rPr>
          <w:rFonts w:ascii="Arial" w:cs="Arial" w:eastAsia="Arial" w:hAnsi="Arial"/>
          <w:sz w:val="19"/>
          <w:szCs w:val="19"/>
          <w:u w:val="single" w:color="auto"/>
          <w:color w:val="auto"/>
        </w:rPr>
        <w:t>equipment</w:t>
      </w:r>
      <w:r>
        <w:rPr>
          <w:rFonts w:ascii="Arial" w:cs="Arial" w:eastAsia="Arial" w:hAnsi="Arial"/>
          <w:sz w:val="19"/>
          <w:szCs w:val="19"/>
          <w:color w:val="auto"/>
        </w:rPr>
        <w:t>” owned by Tenant and not “</w:t>
      </w:r>
      <w:r>
        <w:rPr>
          <w:rFonts w:ascii="Arial" w:cs="Arial" w:eastAsia="Arial" w:hAnsi="Arial"/>
          <w:sz w:val="19"/>
          <w:szCs w:val="19"/>
          <w:u w:val="single" w:color="auto"/>
          <w:color w:val="auto"/>
        </w:rPr>
        <w:t>fixtures</w:t>
      </w:r>
      <w:r>
        <w:rPr>
          <w:rFonts w:ascii="Arial" w:cs="Arial" w:eastAsia="Arial" w:hAnsi="Arial"/>
          <w:sz w:val="19"/>
          <w:szCs w:val="19"/>
          <w:color w:val="auto"/>
        </w:rPr>
        <w:t>” regardless of whether such equipment is physically anchored to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21"/>
          <w:szCs w:val="21"/>
          <w:color w:val="auto"/>
        </w:rPr>
        <w:t>2</w:t>
      </w:r>
    </w:p>
    <w:p>
      <w:pPr>
        <w:sectPr>
          <w:pgSz w:w="11900" w:h="16838" w:orient="portrait"/>
          <w:cols w:equalWidth="0" w:num="1">
            <w:col w:w="11240"/>
          </w:cols>
          <w:pgMar w:left="320" w:top="1400" w:right="339" w:bottom="1440" w:gutter="0" w:footer="0" w:header="0"/>
        </w:sectPr>
      </w:pPr>
    </w:p>
    <w:bookmarkStart w:id="381" w:name="page382"/>
    <w:bookmarkEnd w:id="381"/>
    <w:p>
      <w:pPr>
        <w:jc w:val="both"/>
        <w:ind w:right="20" w:firstLine="1304"/>
        <w:spacing w:after="0" w:line="223" w:lineRule="auto"/>
        <w:tabs>
          <w:tab w:leader="none" w:pos="1741" w:val="left"/>
        </w:tabs>
        <w:numPr>
          <w:ilvl w:val="0"/>
          <w:numId w:val="320"/>
        </w:numPr>
        <w:rPr>
          <w:rFonts w:ascii="Arial" w:cs="Arial" w:eastAsia="Arial" w:hAnsi="Arial"/>
          <w:sz w:val="22"/>
          <w:szCs w:val="22"/>
          <w:color w:val="auto"/>
        </w:rPr>
      </w:pPr>
      <w:r>
        <w:rPr>
          <w:rFonts w:ascii="Arial" w:cs="Arial" w:eastAsia="Arial" w:hAnsi="Arial"/>
          <w:sz w:val="22"/>
          <w:szCs w:val="22"/>
          <w:u w:val="single" w:color="auto"/>
          <w:color w:val="auto"/>
        </w:rPr>
        <w:t>Revised Term Base Rent</w:t>
      </w:r>
      <w:r>
        <w:rPr>
          <w:rFonts w:ascii="Arial" w:cs="Arial" w:eastAsia="Arial" w:hAnsi="Arial"/>
          <w:sz w:val="22"/>
          <w:szCs w:val="22"/>
          <w:color w:val="auto"/>
        </w:rPr>
        <w:t>. From and after the Revised Term Commencement Date, the monthly and annual installments of Base Rent for the Premises during the Revised Term shall be as set forth in the chart below, subject to adjustment under the Lease: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60" w:type="dxa"/>
            <w:vAlign w:val="bottom"/>
            <w:tcBorders>
              <w:top w:val="single" w:sz="8" w:color="auto"/>
              <w:left w:val="single" w:sz="8" w:color="auto"/>
              <w:right w:val="single" w:sz="8" w:color="auto"/>
            </w:tcBorders>
            <w:gridSpan w:val="3"/>
            <w:vMerge w:val="restart"/>
          </w:tcPr>
          <w:p>
            <w:pPr>
              <w:ind w:left="880"/>
              <w:spacing w:after="0"/>
              <w:rPr>
                <w:sz w:val="20"/>
                <w:szCs w:val="20"/>
                <w:color w:val="auto"/>
              </w:rPr>
            </w:pPr>
            <w:r>
              <w:rPr>
                <w:rFonts w:ascii="Arial" w:cs="Arial" w:eastAsia="Arial" w:hAnsi="Arial"/>
                <w:sz w:val="22"/>
                <w:szCs w:val="22"/>
                <w:b w:val="1"/>
                <w:bCs w:val="1"/>
                <w:color w:val="auto"/>
              </w:rPr>
              <w:t>Dates</w:t>
            </w: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780" w:type="dxa"/>
            <w:vAlign w:val="bottom"/>
            <w:tcBorders>
              <w:top w:val="single" w:sz="8" w:color="auto"/>
              <w:right w:val="single" w:sz="8" w:color="auto"/>
            </w:tcBorders>
            <w:gridSpan w:val="3"/>
          </w:tcPr>
          <w:p>
            <w:pPr>
              <w:jc w:val="center"/>
              <w:ind w:right="460"/>
              <w:spacing w:after="0" w:line="229" w:lineRule="exact"/>
              <w:rPr>
                <w:sz w:val="20"/>
                <w:szCs w:val="20"/>
                <w:color w:val="auto"/>
              </w:rPr>
            </w:pPr>
            <w:r>
              <w:rPr>
                <w:rFonts w:ascii="Arial" w:cs="Arial" w:eastAsia="Arial" w:hAnsi="Arial"/>
                <w:sz w:val="22"/>
                <w:szCs w:val="22"/>
                <w:b w:val="1"/>
                <w:bCs w:val="1"/>
                <w:color w:val="auto"/>
                <w:w w:val="86"/>
              </w:rPr>
              <w:t>Square Feet of</w:t>
            </w:r>
          </w:p>
        </w:tc>
        <w:tc>
          <w:tcPr>
            <w:tcW w:w="80" w:type="dxa"/>
            <w:vAlign w:val="bottom"/>
            <w:tcBorders>
              <w:top w:val="single" w:sz="8" w:color="auto"/>
            </w:tcBorders>
          </w:tcPr>
          <w:p>
            <w:pPr>
              <w:spacing w:after="0"/>
              <w:rPr>
                <w:sz w:val="19"/>
                <w:szCs w:val="19"/>
                <w:color w:val="auto"/>
              </w:rPr>
            </w:pPr>
          </w:p>
        </w:tc>
        <w:tc>
          <w:tcPr>
            <w:tcW w:w="2180" w:type="dxa"/>
            <w:vAlign w:val="bottom"/>
            <w:tcBorders>
              <w:top w:val="single" w:sz="8" w:color="auto"/>
              <w:right w:val="single" w:sz="8" w:color="auto"/>
            </w:tcBorders>
            <w:gridSpan w:val="4"/>
          </w:tcPr>
          <w:p>
            <w:pPr>
              <w:jc w:val="center"/>
              <w:ind w:right="100"/>
              <w:spacing w:after="0" w:line="229" w:lineRule="exact"/>
              <w:rPr>
                <w:sz w:val="20"/>
                <w:szCs w:val="20"/>
                <w:color w:val="auto"/>
              </w:rPr>
            </w:pPr>
            <w:r>
              <w:rPr>
                <w:rFonts w:ascii="Arial" w:cs="Arial" w:eastAsia="Arial" w:hAnsi="Arial"/>
                <w:sz w:val="22"/>
                <w:szCs w:val="22"/>
                <w:b w:val="1"/>
                <w:bCs w:val="1"/>
                <w:color w:val="auto"/>
                <w:w w:val="87"/>
              </w:rPr>
              <w:t>Base Rent per Square</w:t>
            </w:r>
          </w:p>
        </w:tc>
        <w:tc>
          <w:tcPr>
            <w:tcW w:w="220" w:type="dxa"/>
            <w:vAlign w:val="bottom"/>
            <w:tcBorders>
              <w:top w:val="single" w:sz="8" w:color="auto"/>
            </w:tcBorders>
          </w:tcPr>
          <w:p>
            <w:pPr>
              <w:spacing w:after="0"/>
              <w:rPr>
                <w:sz w:val="19"/>
                <w:szCs w:val="19"/>
                <w:color w:val="auto"/>
              </w:rPr>
            </w:pPr>
          </w:p>
        </w:tc>
        <w:tc>
          <w:tcPr>
            <w:tcW w:w="2020" w:type="dxa"/>
            <w:vAlign w:val="bottom"/>
            <w:tcBorders>
              <w:top w:val="single" w:sz="8" w:color="auto"/>
              <w:right w:val="single" w:sz="8" w:color="auto"/>
            </w:tcBorders>
            <w:gridSpan w:val="2"/>
            <w:vMerge w:val="restart"/>
          </w:tcPr>
          <w:p>
            <w:pPr>
              <w:jc w:val="center"/>
              <w:ind w:right="240"/>
              <w:spacing w:after="0"/>
              <w:rPr>
                <w:sz w:val="20"/>
                <w:szCs w:val="20"/>
                <w:color w:val="auto"/>
              </w:rPr>
            </w:pPr>
            <w:r>
              <w:rPr>
                <w:rFonts w:ascii="Arial" w:cs="Arial" w:eastAsia="Arial" w:hAnsi="Arial"/>
                <w:sz w:val="22"/>
                <w:szCs w:val="22"/>
                <w:b w:val="1"/>
                <w:bCs w:val="1"/>
                <w:color w:val="auto"/>
                <w:w w:val="89"/>
              </w:rPr>
              <w:t>Monthly Base Rent</w:t>
            </w:r>
          </w:p>
        </w:tc>
        <w:tc>
          <w:tcPr>
            <w:tcW w:w="226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22"/>
                <w:szCs w:val="22"/>
                <w:b w:val="1"/>
                <w:bCs w:val="1"/>
                <w:color w:val="auto"/>
                <w:w w:val="89"/>
              </w:rPr>
              <w:t>Annual Base Rent</w:t>
            </w:r>
          </w:p>
        </w:tc>
        <w:tc>
          <w:tcPr>
            <w:tcW w:w="0" w:type="dxa"/>
            <w:vAlign w:val="bottom"/>
          </w:tcPr>
          <w:p>
            <w:pPr>
              <w:spacing w:after="0"/>
              <w:rPr>
                <w:sz w:val="1"/>
                <w:szCs w:val="1"/>
                <w:color w:val="auto"/>
              </w:rPr>
            </w:pPr>
          </w:p>
        </w:tc>
      </w:tr>
      <w:tr>
        <w:trPr>
          <w:trHeight w:val="196"/>
        </w:trPr>
        <w:tc>
          <w:tcPr>
            <w:tcW w:w="2260" w:type="dxa"/>
            <w:vAlign w:val="bottom"/>
            <w:tcBorders>
              <w:top w:val="single" w:sz="8" w:color="auto"/>
              <w:left w:val="single" w:sz="8" w:color="auto"/>
              <w:right w:val="single" w:sz="8" w:color="auto"/>
            </w:tcBorders>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
              <w:spacing w:after="0" w:line="195" w:lineRule="exact"/>
              <w:rPr>
                <w:sz w:val="20"/>
                <w:szCs w:val="20"/>
                <w:color w:val="auto"/>
              </w:rPr>
            </w:pPr>
            <w:r>
              <w:rPr>
                <w:rFonts w:ascii="Arial" w:cs="Arial" w:eastAsia="Arial" w:hAnsi="Arial"/>
                <w:sz w:val="22"/>
                <w:szCs w:val="22"/>
                <w:b w:val="1"/>
                <w:bCs w:val="1"/>
                <w:color w:val="auto"/>
                <w:w w:val="87"/>
              </w:rPr>
              <w:t>Rentable Area</w:t>
            </w:r>
          </w:p>
        </w:tc>
        <w:tc>
          <w:tcPr>
            <w:tcW w:w="4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w w:val="87"/>
              </w:rPr>
              <w:t>Foot of Rentable Area</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top w:val="single" w:sz="8" w:color="auto"/>
              <w:right w:val="single" w:sz="8" w:color="auto"/>
            </w:tcBorders>
            <w:gridSpan w:val="2"/>
            <w:vMerge w:val="continue"/>
          </w:tcPr>
          <w:p>
            <w:pPr>
              <w:spacing w:after="0"/>
              <w:rPr>
                <w:sz w:val="17"/>
                <w:szCs w:val="17"/>
                <w:color w:val="auto"/>
              </w:rPr>
            </w:pPr>
          </w:p>
        </w:tc>
        <w:tc>
          <w:tcPr>
            <w:tcW w:w="2260" w:type="dxa"/>
            <w:vAlign w:val="bottom"/>
            <w:tcBorders>
              <w:top w:val="single" w:sz="8" w:color="auto"/>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right="20" w:firstLine="1304"/>
        <w:spacing w:after="0" w:line="232" w:lineRule="auto"/>
        <w:tabs>
          <w:tab w:leader="none" w:pos="1743" w:val="left"/>
        </w:tabs>
        <w:numPr>
          <w:ilvl w:val="0"/>
          <w:numId w:val="321"/>
        </w:numPr>
        <w:rPr>
          <w:rFonts w:ascii="Arial" w:cs="Arial" w:eastAsia="Arial" w:hAnsi="Arial"/>
          <w:sz w:val="22"/>
          <w:szCs w:val="22"/>
          <w:color w:val="auto"/>
        </w:rPr>
      </w:pPr>
      <w:r>
        <w:rPr>
          <w:rFonts w:ascii="Arial" w:cs="Arial" w:eastAsia="Arial" w:hAnsi="Arial"/>
          <w:sz w:val="22"/>
          <w:szCs w:val="22"/>
          <w:u w:val="single" w:color="auto"/>
          <w:color w:val="auto"/>
        </w:rPr>
        <w:t>Security Deposit.</w:t>
      </w:r>
      <w:r>
        <w:rPr>
          <w:rFonts w:ascii="Arial" w:cs="Arial" w:eastAsia="Arial" w:hAnsi="Arial"/>
          <w:sz w:val="22"/>
          <w:szCs w:val="22"/>
          <w:color w:val="auto"/>
        </w:rPr>
        <w:t xml:space="preserve"> The Security Deposit [***] shall be deposited by Tenant with Landlord on or before the Revised Term Commencement Date and otherwise in accordance with the Existing Lease.</w:t>
      </w:r>
    </w:p>
    <w:p>
      <w:pPr>
        <w:spacing w:after="0" w:line="158" w:lineRule="exact"/>
        <w:rPr>
          <w:rFonts w:ascii="Arial" w:cs="Arial" w:eastAsia="Arial" w:hAnsi="Arial"/>
          <w:sz w:val="22"/>
          <w:szCs w:val="22"/>
          <w:color w:val="auto"/>
        </w:rPr>
      </w:pPr>
    </w:p>
    <w:p>
      <w:pPr>
        <w:jc w:val="both"/>
        <w:ind w:right="20" w:firstLine="1304"/>
        <w:spacing w:after="0" w:line="242" w:lineRule="auto"/>
        <w:tabs>
          <w:tab w:leader="none" w:pos="1687" w:val="left"/>
        </w:tabs>
        <w:numPr>
          <w:ilvl w:val="0"/>
          <w:numId w:val="321"/>
        </w:numPr>
        <w:rPr>
          <w:rFonts w:ascii="Arial" w:cs="Arial" w:eastAsia="Arial" w:hAnsi="Arial"/>
          <w:sz w:val="19"/>
          <w:szCs w:val="19"/>
          <w:color w:val="auto"/>
        </w:rPr>
      </w:pPr>
      <w:r>
        <w:rPr>
          <w:rFonts w:ascii="Arial" w:cs="Arial" w:eastAsia="Arial" w:hAnsi="Arial"/>
          <w:sz w:val="19"/>
          <w:szCs w:val="19"/>
          <w:u w:val="single" w:color="auto"/>
          <w:color w:val="auto"/>
        </w:rPr>
        <w:t>ADA Compliance.</w:t>
      </w:r>
      <w:r>
        <w:rPr>
          <w:rFonts w:ascii="Arial" w:cs="Arial" w:eastAsia="Arial" w:hAnsi="Arial"/>
          <w:sz w:val="19"/>
          <w:szCs w:val="19"/>
          <w:color w:val="auto"/>
        </w:rPr>
        <w:t xml:space="preserve"> Notwithstanding any other provision herein or in the Lease to the contrary, Tenant shall be responsible for all liabilities, costs and expenses arising out of or in connection with the compliance of the Premises with the Americans with Disabilities Act, 42 U.S.C. § 12101, et seq., and any state and local accessibility laws, codes, ordinances and rules (collectively, and together with regulations promulgated pursuant thereto, the “</w:t>
      </w:r>
      <w:r>
        <w:rPr>
          <w:rFonts w:ascii="Arial" w:cs="Arial" w:eastAsia="Arial" w:hAnsi="Arial"/>
          <w:sz w:val="19"/>
          <w:szCs w:val="19"/>
          <w:u w:val="single" w:color="auto"/>
          <w:color w:val="auto"/>
        </w:rPr>
        <w:t>ADA</w:t>
      </w:r>
      <w:r>
        <w:rPr>
          <w:rFonts w:ascii="Arial" w:cs="Arial" w:eastAsia="Arial" w:hAnsi="Arial"/>
          <w:sz w:val="19"/>
          <w:szCs w:val="19"/>
          <w:color w:val="auto"/>
        </w:rPr>
        <w:t xml:space="preserve">”), provided that: (i) if ADA compliance requires alteration of the Premises from its condition as of the Revised Term Commencement Date due to a change in the ADA or the enforcement thereof which takes effect after the Revised Term Commencement Date; (ii) such ADA compliance is not required as the result of any Alterations (including any Tenant Improvements) made by Tenant; and (iii) such alteration of the Premises is considered capital in nature in accordance with generally accepted accounting principles, then Landlord shall be responsible for performing such alterations, the cost of which shall be considered an Operating Expense and shall be amortized in accordance with </w:t>
      </w:r>
      <w:r>
        <w:rPr>
          <w:rFonts w:ascii="Arial" w:cs="Arial" w:eastAsia="Arial" w:hAnsi="Arial"/>
          <w:sz w:val="19"/>
          <w:szCs w:val="19"/>
          <w:u w:val="single" w:color="auto"/>
          <w:color w:val="auto"/>
        </w:rPr>
        <w:t>Article 9</w:t>
      </w:r>
      <w:r>
        <w:rPr>
          <w:rFonts w:ascii="Arial" w:cs="Arial" w:eastAsia="Arial" w:hAnsi="Arial"/>
          <w:sz w:val="19"/>
          <w:szCs w:val="19"/>
          <w:color w:val="auto"/>
        </w:rPr>
        <w:t>; further, provided, that if ADA compliance requires alteration of the Premises from its condition as of the Revised Term Commencement Date due to a violation in the ADA which exists as of the Revised Term Commencement Date or the enforcement thereof (provided such enforcement is not the result of any Alterations (including any Tenant Improvements) made by Tenant), then Landlord shall be responsible for performing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21"/>
          <w:szCs w:val="21"/>
          <w:color w:val="auto"/>
        </w:rPr>
        <w:t>3</w:t>
      </w:r>
    </w:p>
    <w:p>
      <w:pPr>
        <w:sectPr>
          <w:pgSz w:w="11900" w:h="16838" w:orient="portrait"/>
          <w:cols w:equalWidth="0" w:num="1">
            <w:col w:w="11260"/>
          </w:cols>
          <w:pgMar w:left="320" w:top="1400" w:right="319" w:bottom="1440" w:gutter="0" w:footer="0" w:header="0"/>
        </w:sectPr>
      </w:pPr>
    </w:p>
    <w:bookmarkStart w:id="382" w:name="page383"/>
    <w:bookmarkEnd w:id="382"/>
    <w:p>
      <w:pPr>
        <w:spacing w:after="0" w:line="232" w:lineRule="auto"/>
        <w:rPr>
          <w:sz w:val="20"/>
          <w:szCs w:val="20"/>
          <w:color w:val="auto"/>
        </w:rPr>
      </w:pPr>
      <w:r>
        <w:rPr>
          <w:rFonts w:ascii="Arial" w:cs="Arial" w:eastAsia="Arial" w:hAnsi="Arial"/>
          <w:sz w:val="22"/>
          <w:szCs w:val="22"/>
          <w:color w:val="auto"/>
        </w:rPr>
        <w:t>alterations, the cost of which shall not be considered an Operating Expense. The provisions of this Section shall survive the expiration or earlier termination of the Lease.</w:t>
      </w:r>
    </w:p>
    <w:p>
      <w:pPr>
        <w:spacing w:after="0" w:line="159" w:lineRule="exact"/>
        <w:rPr>
          <w:sz w:val="20"/>
          <w:szCs w:val="20"/>
          <w:color w:val="auto"/>
        </w:rPr>
      </w:pPr>
    </w:p>
    <w:p>
      <w:pPr>
        <w:ind w:right="20" w:firstLine="1304"/>
        <w:spacing w:after="0" w:line="232" w:lineRule="auto"/>
        <w:tabs>
          <w:tab w:leader="none" w:pos="1689" w:val="left"/>
        </w:tabs>
        <w:numPr>
          <w:ilvl w:val="0"/>
          <w:numId w:val="322"/>
        </w:numPr>
        <w:rPr>
          <w:rFonts w:ascii="Arial" w:cs="Arial" w:eastAsia="Arial" w:hAnsi="Arial"/>
          <w:sz w:val="22"/>
          <w:szCs w:val="22"/>
          <w:color w:val="auto"/>
        </w:rPr>
      </w:pPr>
      <w:r>
        <w:rPr>
          <w:rFonts w:ascii="Arial" w:cs="Arial" w:eastAsia="Arial" w:hAnsi="Arial"/>
          <w:sz w:val="22"/>
          <w:szCs w:val="22"/>
          <w:u w:val="single" w:color="auto"/>
          <w:color w:val="auto"/>
        </w:rPr>
        <w:t>Signage</w:t>
      </w:r>
      <w:r>
        <w:rPr>
          <w:rFonts w:ascii="Arial" w:cs="Arial" w:eastAsia="Arial" w:hAnsi="Arial"/>
          <w:sz w:val="22"/>
          <w:szCs w:val="22"/>
          <w:color w:val="auto"/>
        </w:rPr>
        <w:t xml:space="preserve">. The first two sentence of </w:t>
      </w:r>
      <w:r>
        <w:rPr>
          <w:rFonts w:ascii="Arial" w:cs="Arial" w:eastAsia="Arial" w:hAnsi="Arial"/>
          <w:sz w:val="22"/>
          <w:szCs w:val="22"/>
          <w:u w:val="single" w:color="auto"/>
          <w:color w:val="auto"/>
        </w:rPr>
        <w:t>Section 12.6</w:t>
      </w:r>
      <w:r>
        <w:rPr>
          <w:rFonts w:ascii="Arial" w:cs="Arial" w:eastAsia="Arial" w:hAnsi="Arial"/>
          <w:sz w:val="22"/>
          <w:szCs w:val="22"/>
          <w:color w:val="auto"/>
        </w:rPr>
        <w:t xml:space="preserve"> of the Existing Lease are hereby deleted in their entirety and replaced with the following:</w:t>
      </w:r>
    </w:p>
    <w:p>
      <w:pPr>
        <w:spacing w:after="0" w:line="159" w:lineRule="exact"/>
        <w:rPr>
          <w:sz w:val="20"/>
          <w:szCs w:val="20"/>
          <w:color w:val="auto"/>
        </w:rPr>
      </w:pPr>
    </w:p>
    <w:p>
      <w:pPr>
        <w:jc w:val="both"/>
        <w:ind w:left="660" w:right="640"/>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 sign, advertisement or notice (</w:t>
      </w:r>
      <w:r>
        <w:rPr>
          <w:rFonts w:ascii="Arial" w:cs="Arial" w:eastAsia="Arial" w:hAnsi="Arial"/>
          <w:sz w:val="19"/>
          <w:szCs w:val="19"/>
          <w:color w:val="auto"/>
        </w:rPr>
        <w:t>“Signage”) shall be exhibited, painted or affixed by Tenant on any part of the Premises or the Building without Landlord’s prior written consent, not to be unreasonably withheld, conditioned or delayed, provided that Tenant shall have the right, without obligation, to install and maintain a Building top signage and a monument sign at the entry to the driveway of the parking lot serving the Building, in each case, with Tenant’s logo at a location and in a manner to be reasonably approved by Landlord, subject to all Applicable Laws. Upon the expiration or earlier termination of the Term, Tenant shall be responsible for removing all of Tenant’s Signage, including any monument sign installed by Tenant pursuant to this Section, and restoring the Premises, Building or other portions of the Project damaged by the installation or removal of such Tenant’s Signage to their condition prior to such damage at Tenant’s sole cost and expense.”</w:t>
      </w:r>
    </w:p>
    <w:p>
      <w:pPr>
        <w:spacing w:after="0" w:line="161" w:lineRule="exact"/>
        <w:rPr>
          <w:sz w:val="20"/>
          <w:szCs w:val="20"/>
          <w:color w:val="auto"/>
        </w:rPr>
      </w:pPr>
    </w:p>
    <w:p>
      <w:pPr>
        <w:ind w:left="1640" w:hanging="336"/>
        <w:spacing w:after="0"/>
        <w:tabs>
          <w:tab w:leader="none" w:pos="1640" w:val="left"/>
        </w:tabs>
        <w:numPr>
          <w:ilvl w:val="0"/>
          <w:numId w:val="323"/>
        </w:numPr>
        <w:rPr>
          <w:rFonts w:ascii="Arial" w:cs="Arial" w:eastAsia="Arial" w:hAnsi="Arial"/>
          <w:sz w:val="19"/>
          <w:szCs w:val="19"/>
          <w:color w:val="auto"/>
        </w:rPr>
      </w:pPr>
      <w:r>
        <w:rPr>
          <w:rFonts w:ascii="Arial" w:cs="Arial" w:eastAsia="Arial" w:hAnsi="Arial"/>
          <w:sz w:val="19"/>
          <w:szCs w:val="19"/>
          <w:u w:val="single" w:color="auto"/>
          <w:color w:val="auto"/>
        </w:rPr>
        <w:t>Assignment or Subletting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29.1</w:t>
      </w:r>
      <w:r>
        <w:rPr>
          <w:rFonts w:ascii="Arial" w:cs="Arial" w:eastAsia="Arial" w:hAnsi="Arial"/>
          <w:sz w:val="19"/>
          <w:szCs w:val="19"/>
          <w:color w:val="auto"/>
        </w:rPr>
        <w:t xml:space="preserve"> of the Existing Lease is hereby deleted in its entirety and replaced with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the following:</w:t>
      </w:r>
    </w:p>
    <w:p>
      <w:pPr>
        <w:spacing w:after="0" w:line="161" w:lineRule="exact"/>
        <w:rPr>
          <w:sz w:val="20"/>
          <w:szCs w:val="20"/>
          <w:color w:val="auto"/>
        </w:rPr>
      </w:pPr>
    </w:p>
    <w:p>
      <w:pPr>
        <w:jc w:val="both"/>
        <w:ind w:left="660" w:right="640"/>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29.1 Except as hereinafter expressly permitted, none of the following (each, a</w:t>
      </w:r>
      <w:r>
        <w:rPr>
          <w:rFonts w:ascii="Arial" w:cs="Arial" w:eastAsia="Arial" w:hAnsi="Arial"/>
          <w:sz w:val="19"/>
          <w:szCs w:val="19"/>
          <w:color w:val="auto"/>
        </w:rPr>
        <w:t xml:space="preserve"> “Transfer”), either voluntarily or by operation of Applicable Laws, shall be directly or indirectly performed without Landlord’s prior written consent, which consent shall not be unreasonably withheld, conditioned or delayed: (a) Tenant selling, hypothecating, assigning, pledging, encumbering or otherwise transferring this Lease or subletting the Premises or</w:t>
      </w:r>
    </w:p>
    <w:p>
      <w:pPr>
        <w:spacing w:after="0" w:line="1" w:lineRule="exact"/>
        <w:rPr>
          <w:sz w:val="20"/>
          <w:szCs w:val="20"/>
          <w:color w:val="auto"/>
        </w:rPr>
      </w:pPr>
    </w:p>
    <w:p>
      <w:pPr>
        <w:jc w:val="both"/>
        <w:ind w:left="660" w:right="660" w:hanging="4"/>
        <w:spacing w:after="0" w:line="239" w:lineRule="auto"/>
        <w:tabs>
          <w:tab w:leader="none" w:pos="971" w:val="left"/>
        </w:tabs>
        <w:numPr>
          <w:ilvl w:val="0"/>
          <w:numId w:val="324"/>
        </w:numPr>
        <w:rPr>
          <w:rFonts w:ascii="Arial" w:cs="Arial" w:eastAsia="Arial" w:hAnsi="Arial"/>
          <w:sz w:val="19"/>
          <w:szCs w:val="19"/>
          <w:color w:val="auto"/>
        </w:rPr>
      </w:pPr>
      <w:r>
        <w:rPr>
          <w:rFonts w:ascii="Arial" w:cs="Arial" w:eastAsia="Arial" w:hAnsi="Arial"/>
          <w:sz w:val="19"/>
          <w:szCs w:val="19"/>
          <w:color w:val="auto"/>
        </w:rPr>
        <w:t xml:space="preserve">a controlling interest in Tenant being sold, assigned or otherwise transferred (other than as a result of shares in Tenant being sold on a public stock exchange). For purposes of the preceding sentence, “control” means (i) owning (directly or indirectly) more than [***] of the stock or other equity interests of another person or (ii) possessing, directly or indirectly, the power to direct or cause the direction of the management and policies of such person. Notwithstanding the foregoing, Tenant shall have the right to Transfer, without Landlord’s prior written consent, Tenant’s interest in this Lease or the Premises or any part thereof to (x) any person that as of the date of determination and at all times thereafter directly, or indirectly through one or more intermediaries, controls, is controlled by or is under common control with Tenant, (y) the surviving corporation or other entity in a merger or consolidation in accordance with applicable statutory provisions, provided that the liabilities of the corporations or other business entities participating in such merger or consolidation are assumed by the corporation or other business entity surviving such merger or consolidation, or (z) a bona fide purchaser of all or substantially all of the stock, membership interests or partnership interests (as applicable) or assets of Tenant ((x), (y) and (z), each, a “Tenant’s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notify Landlord in writing at least ten (10) days before such Transfer (in which case, Landlord shall comply (during the period of time prior to the effective date of the Exempt Transfer) with any reasonable and appropriate confidentiality requirements with respect to such notification as may be requested in writing by Tenant) (each an “Exempt Transfer” and the assignee or transferee being an “Exempt Transferee”) and otherwise comply with the requirements of this Lease regarding such Transfer; and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the Exempt Transferee has a net worth (as of both the day immediately prior to and the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-297815</wp:posOffset>
            </wp:positionV>
            <wp:extent cx="23310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2331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21"/>
          <w:szCs w:val="21"/>
          <w:color w:val="auto"/>
        </w:rPr>
        <w:t>4</w:t>
      </w:r>
    </w:p>
    <w:p>
      <w:pPr>
        <w:sectPr>
          <w:pgSz w:w="11900" w:h="16838" w:orient="portrait"/>
          <w:cols w:equalWidth="0" w:num="1">
            <w:col w:w="11240"/>
          </w:cols>
          <w:pgMar w:left="320" w:top="1400" w:right="339" w:bottom="1440" w:gutter="0" w:footer="0" w:header="0"/>
        </w:sectPr>
      </w:pPr>
    </w:p>
    <w:bookmarkStart w:id="383" w:name="page384"/>
    <w:bookmarkEnd w:id="383"/>
    <w:p>
      <w:pPr>
        <w:jc w:val="both"/>
        <w:ind w:left="660" w:right="640"/>
        <w:spacing w:after="0"/>
        <w:rPr>
          <w:sz w:val="20"/>
          <w:szCs w:val="20"/>
          <w:color w:val="auto"/>
        </w:rPr>
      </w:pPr>
      <w:r>
        <w:rPr>
          <w:rFonts w:ascii="Arial" w:cs="Arial" w:eastAsia="Arial" w:hAnsi="Arial"/>
          <w:sz w:val="19"/>
          <w:szCs w:val="19"/>
          <w:color w:val="auto"/>
        </w:rPr>
        <w:t xml:space="preserve">immediately after the Exempt Transfer) that is equal to or greater than the net worth (as of both the Revised Term Commencement Date and the date of the Exempt Transfer) of the transferring Tenant. </w:t>
      </w:r>
      <w:r>
        <w:rPr>
          <w:rFonts w:ascii="Arial" w:cs="Arial" w:eastAsia="Arial" w:hAnsi="Arial"/>
          <w:sz w:val="19"/>
          <w:szCs w:val="19"/>
          <w:u w:val="single" w:color="auto"/>
          <w:color w:val="auto"/>
        </w:rPr>
        <w:t>Section 29.5.2</w:t>
      </w:r>
      <w:r>
        <w:rPr>
          <w:rFonts w:ascii="Arial" w:cs="Arial" w:eastAsia="Arial" w:hAnsi="Arial"/>
          <w:sz w:val="19"/>
          <w:szCs w:val="19"/>
          <w:color w:val="auto"/>
        </w:rPr>
        <w:t xml:space="preserve"> shall not apply to any Exempt Transfer to an Exempt Transferee, nor are such provisions intended to, nor shall they be interpreted to extend or apply to, the consideration given or the purchase price paid by a bona fide purchaser for all of the stock, membership interests or partnership interests (as applicable) or assets of Tenant, regardless of whether such a Transfer to Tenant’s Affiliate constitutes an Exempt Transfer pursuant to this Section. In no event shall Tenant perform a Transfer to or with an entity that is a tenant at the Project or that is or has been in discussions or negotiations with Landlord or an affiliate of Landlord within the last six (6) months to lease premises at the Project or a property owned by Landlord or an affiliate of Landlord in Rockville or Gaithersburg, Maryland. Notwithstanding anything in this Lease to the contrary, if (a) Tenant or any proposed transferee, assignee or sublessee of Tenant has been required by any prior landlord, Lender or Governmental Authority to take material remedial action in connection with Hazardous Materials contaminating a property if the contamination resulted from such party’s action or omission or use of the property in question or (b) Tenant or any proposed transferee, assignee or sublessee is subject to a material enforcement order issued by any Governmental Authority in connection with the use, disposal or storage of Hazardous Materials, then Landlord shall have the right to terminate this Lease in Landlord’s sole and absolute discretion (with respect to any such matter involving Tenant), and it shall not be unreasonable for Landlord to withhold its consent to any proposed transfer, assignment or subletting (with respect to any such matter involving a proposed transferee, assignee or sublessee).”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29.5.3 of the Existing Lease is hereby amended to replace [***] per occurrence/request” with [***]”</w:t>
      </w:r>
    </w:p>
    <w:p>
      <w:pPr>
        <w:spacing w:after="0" w:line="179" w:lineRule="exact"/>
        <w:rPr>
          <w:sz w:val="20"/>
          <w:szCs w:val="20"/>
          <w:color w:val="auto"/>
        </w:rPr>
      </w:pPr>
    </w:p>
    <w:p>
      <w:pPr>
        <w:jc w:val="both"/>
        <w:ind w:firstLine="1304"/>
        <w:spacing w:after="0" w:line="244" w:lineRule="auto"/>
        <w:tabs>
          <w:tab w:leader="none" w:pos="1701" w:val="left"/>
        </w:tabs>
        <w:numPr>
          <w:ilvl w:val="0"/>
          <w:numId w:val="325"/>
        </w:numPr>
        <w:rPr>
          <w:rFonts w:ascii="Arial" w:cs="Arial" w:eastAsia="Arial" w:hAnsi="Arial"/>
          <w:sz w:val="19"/>
          <w:szCs w:val="19"/>
          <w:color w:val="auto"/>
        </w:rPr>
      </w:pPr>
      <w:r>
        <w:rPr>
          <w:rFonts w:ascii="Arial" w:cs="Arial" w:eastAsia="Arial" w:hAnsi="Arial"/>
          <w:sz w:val="19"/>
          <w:szCs w:val="19"/>
          <w:u w:val="single" w:color="auto"/>
          <w:color w:val="auto"/>
        </w:rPr>
        <w:t>Loading Dock</w:t>
      </w:r>
      <w:r>
        <w:rPr>
          <w:rFonts w:ascii="Arial" w:cs="Arial" w:eastAsia="Arial" w:hAnsi="Arial"/>
          <w:sz w:val="19"/>
          <w:szCs w:val="19"/>
          <w:color w:val="auto"/>
        </w:rPr>
        <w:t xml:space="preserve">. During the Revised Term, and notwithstanding Section 13 of the Lease, Tenant shall have the exclusive right to use the warehouse/receiving and loading dock adjacent to the Building as depicted on </w:t>
      </w:r>
      <w:r>
        <w:rPr>
          <w:rFonts w:ascii="Arial" w:cs="Arial" w:eastAsia="Arial" w:hAnsi="Arial"/>
          <w:sz w:val="19"/>
          <w:szCs w:val="19"/>
          <w:u w:val="single" w:color="auto"/>
          <w:color w:val="auto"/>
        </w:rPr>
        <w:t>Exhibit K</w:t>
      </w:r>
      <w:r>
        <w:rPr>
          <w:rFonts w:ascii="Arial" w:cs="Arial" w:eastAsia="Arial" w:hAnsi="Arial"/>
          <w:sz w:val="19"/>
          <w:szCs w:val="19"/>
          <w:color w:val="auto"/>
        </w:rPr>
        <w:t xml:space="preserve"> attached hereto (“</w:t>
      </w:r>
      <w:r>
        <w:rPr>
          <w:rFonts w:ascii="Arial" w:cs="Arial" w:eastAsia="Arial" w:hAnsi="Arial"/>
          <w:sz w:val="19"/>
          <w:szCs w:val="19"/>
          <w:b w:val="1"/>
          <w:bCs w:val="1"/>
          <w:color w:val="auto"/>
        </w:rPr>
        <w:t>Loading Dock</w:t>
      </w:r>
      <w:r>
        <w:rPr>
          <w:rFonts w:ascii="Arial" w:cs="Arial" w:eastAsia="Arial" w:hAnsi="Arial"/>
          <w:sz w:val="19"/>
          <w:szCs w:val="19"/>
          <w:color w:val="auto"/>
        </w:rPr>
        <w:t xml:space="preserve">”). Tenant, Landlord and the tenants of 9708 Medical Center Drive shall have non-exclusive access to use the area adjacent to the Loading Dock, provided such access and use of the area adjacent to the Loading Dock by Landlord and tenants of 9708 Medical Center Drive shall be limited to maneuvering vehicles to gain access to the loading dock adjacent to 9708 Medical Center Drive. Landlord shall not unreasonably interfere with Tenant’s use of or access to the Loading Dock,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foregoing restriction shall not apply in the event of any emergency. Landlord acknowledges that Tenant desires to construct a utility space in the area adjacent to the Loading Dock and that Landlord is amenable to such a request, provided that the construction of any such utility space shall be subject to all of the requirements in the Lease relating to Alterations, including Landlord’s prior consent to such proposed Alteration.</w:t>
      </w:r>
    </w:p>
    <w:p>
      <w:pPr>
        <w:spacing w:after="0" w:line="154" w:lineRule="exact"/>
        <w:rPr>
          <w:rFonts w:ascii="Arial" w:cs="Arial" w:eastAsia="Arial" w:hAnsi="Arial"/>
          <w:sz w:val="19"/>
          <w:szCs w:val="19"/>
          <w:color w:val="auto"/>
        </w:rPr>
      </w:pPr>
    </w:p>
    <w:p>
      <w:pPr>
        <w:ind w:firstLine="1304"/>
        <w:spacing w:after="0" w:line="213" w:lineRule="auto"/>
        <w:tabs>
          <w:tab w:leader="none" w:pos="1674" w:val="left"/>
        </w:tabs>
        <w:numPr>
          <w:ilvl w:val="0"/>
          <w:numId w:val="325"/>
        </w:numPr>
        <w:rPr>
          <w:rFonts w:ascii="Arial" w:cs="Arial" w:eastAsia="Arial" w:hAnsi="Arial"/>
          <w:sz w:val="22"/>
          <w:szCs w:val="22"/>
          <w:color w:val="auto"/>
        </w:rPr>
      </w:pPr>
      <w:r>
        <w:rPr>
          <w:rFonts w:ascii="Arial" w:cs="Arial" w:eastAsia="Arial" w:hAnsi="Arial"/>
          <w:sz w:val="22"/>
          <w:szCs w:val="22"/>
          <w:u w:val="single" w:color="auto"/>
          <w:color w:val="auto"/>
        </w:rPr>
        <w:t>Holding Over</w:t>
      </w:r>
      <w:r>
        <w:rPr>
          <w:rFonts w:ascii="Arial" w:cs="Arial" w:eastAsia="Arial" w:hAnsi="Arial"/>
          <w:sz w:val="22"/>
          <w:szCs w:val="22"/>
          <w:color w:val="auto"/>
        </w:rPr>
        <w:t xml:space="preserve">. The holdover rent payable by Tenant pursuant to </w:t>
      </w:r>
      <w:r>
        <w:rPr>
          <w:rFonts w:ascii="Arial" w:cs="Arial" w:eastAsia="Arial" w:hAnsi="Arial"/>
          <w:sz w:val="22"/>
          <w:szCs w:val="22"/>
          <w:u w:val="single" w:color="auto"/>
          <w:color w:val="auto"/>
        </w:rPr>
        <w:t>Section 27.2</w:t>
      </w:r>
      <w:r>
        <w:rPr>
          <w:rFonts w:ascii="Arial" w:cs="Arial" w:eastAsia="Arial" w:hAnsi="Arial"/>
          <w:sz w:val="22"/>
          <w:szCs w:val="22"/>
          <w:color w:val="auto"/>
        </w:rPr>
        <w:t xml:space="preserve"> of the Lease shall be prorated on a daily basis for each day that Tenant remains in</w:t>
      </w:r>
    </w:p>
    <w:p>
      <w:pPr>
        <w:spacing w:after="0" w:line="204" w:lineRule="auto"/>
        <w:rPr>
          <w:rFonts w:ascii="Arial" w:cs="Arial" w:eastAsia="Arial" w:hAnsi="Arial"/>
          <w:sz w:val="22"/>
          <w:szCs w:val="22"/>
          <w:color w:val="auto"/>
        </w:rPr>
      </w:pPr>
      <w:r>
        <w:rPr>
          <w:rFonts w:ascii="Arial" w:cs="Arial" w:eastAsia="Arial" w:hAnsi="Arial"/>
          <w:sz w:val="22"/>
          <w:szCs w:val="22"/>
          <w:color w:val="auto"/>
        </w:rPr>
        <w:t xml:space="preserve">possession of the Premises after the expiration or earlier termination of the Term without Landlord’s prior written consent. In addition, notwithstanding </w:t>
      </w:r>
      <w:r>
        <w:rPr>
          <w:rFonts w:ascii="Arial" w:cs="Arial" w:eastAsia="Arial" w:hAnsi="Arial"/>
          <w:sz w:val="22"/>
          <w:szCs w:val="22"/>
          <w:u w:val="single" w:color="auto"/>
          <w:color w:val="auto"/>
        </w:rPr>
        <w:t>Section 27.2</w:t>
      </w:r>
      <w:r>
        <w:rPr>
          <w:rFonts w:ascii="Arial" w:cs="Arial" w:eastAsia="Arial" w:hAnsi="Arial"/>
          <w:sz w:val="22"/>
          <w:szCs w:val="22"/>
          <w:color w:val="auto"/>
        </w:rPr>
        <w:t xml:space="preserve"> of the Existing</w:t>
      </w:r>
    </w:p>
    <w:p>
      <w:pPr>
        <w:spacing w:after="0" w:line="1" w:lineRule="exact"/>
        <w:rPr>
          <w:rFonts w:ascii="Arial" w:cs="Arial" w:eastAsia="Arial" w:hAnsi="Arial"/>
          <w:sz w:val="22"/>
          <w:szCs w:val="22"/>
          <w:color w:val="auto"/>
        </w:rPr>
      </w:pPr>
    </w:p>
    <w:p>
      <w:pPr>
        <w:jc w:val="both"/>
        <w:spacing w:after="0" w:line="258" w:lineRule="auto"/>
        <w:rPr>
          <w:rFonts w:ascii="Arial" w:cs="Arial" w:eastAsia="Arial" w:hAnsi="Arial"/>
          <w:sz w:val="22"/>
          <w:szCs w:val="22"/>
          <w:color w:val="auto"/>
        </w:rPr>
      </w:pPr>
      <w:r>
        <w:rPr>
          <w:rFonts w:ascii="Arial" w:cs="Arial" w:eastAsia="Arial" w:hAnsi="Arial"/>
          <w:sz w:val="19"/>
          <w:szCs w:val="19"/>
          <w:color w:val="auto"/>
        </w:rPr>
        <w:t>Lease, Tenant shall not be liable to Landlord for any damages suffered by Landlord as a result of such holdover (including lost rent or consequential, special or indirect damages) [***] and thereafter, Tenant shall be liable to Landlord for any and all damages suffered by Landlord as a result of such holdover, including any lost rent or consequential, special and indirect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21"/>
          <w:szCs w:val="21"/>
          <w:color w:val="auto"/>
        </w:rPr>
        <w:t>5</w:t>
      </w:r>
    </w:p>
    <w:p>
      <w:pPr>
        <w:sectPr>
          <w:pgSz w:w="11900" w:h="16838" w:orient="portrait"/>
          <w:cols w:equalWidth="0" w:num="1">
            <w:col w:w="11240"/>
          </w:cols>
          <w:pgMar w:left="320" w:top="1400" w:right="339" w:bottom="1440" w:gutter="0" w:footer="0" w:header="0"/>
        </w:sectPr>
      </w:pPr>
    </w:p>
    <w:bookmarkStart w:id="384" w:name="page385"/>
    <w:bookmarkEnd w:id="384"/>
    <w:p>
      <w:pPr>
        <w:jc w:val="both"/>
        <w:ind w:right="20" w:firstLine="1304"/>
        <w:spacing w:after="0" w:line="221" w:lineRule="auto"/>
        <w:tabs>
          <w:tab w:leader="none" w:pos="1653" w:val="left"/>
        </w:tabs>
        <w:numPr>
          <w:ilvl w:val="0"/>
          <w:numId w:val="326"/>
        </w:numPr>
        <w:rPr>
          <w:rFonts w:ascii="Arial" w:cs="Arial" w:eastAsia="Arial" w:hAnsi="Arial"/>
          <w:sz w:val="21"/>
          <w:szCs w:val="21"/>
          <w:color w:val="auto"/>
        </w:rPr>
      </w:pPr>
      <w:r>
        <w:rPr>
          <w:rFonts w:ascii="Arial" w:cs="Arial" w:eastAsia="Arial" w:hAnsi="Arial"/>
          <w:sz w:val="21"/>
          <w:szCs w:val="21"/>
          <w:u w:val="single" w:color="auto"/>
          <w:color w:val="auto"/>
        </w:rPr>
        <w:t>Subordination and Attornment.</w:t>
      </w:r>
      <w:r>
        <w:rPr>
          <w:rFonts w:ascii="Arial" w:cs="Arial" w:eastAsia="Arial" w:hAnsi="Arial"/>
          <w:sz w:val="21"/>
          <w:szCs w:val="21"/>
          <w:color w:val="auto"/>
        </w:rPr>
        <w:t xml:space="preserve"> Landlord represents and warrants to Tenant that as of the Effective Date there is no current mortgagee with respect to the Property. To the extent that a short form or memorandum of this Lease has not been recorded, Landlord shall provide any future Mortgagee with written notice of the existence of the Lease prior to the recordation of any Mortgage. Notwithstanding anything to the contrary contained in the Lease, the Assignment or the Landlord Consent, Tenant’s obligation to subordinate and attorn to a future Mortgagee shall be conditioned upon Landlord delivering to Tenant a SNDA whereby such Mortgagee agrees, in the event of sale or transfer of the Building or any interest therein (including by foreclosure), to recognize the Lease and abide by the provisions in at least Sections 14, 15 and 16 of this Second Amendment, provided Tenant is not in uncured default of the Lease.</w:t>
      </w:r>
    </w:p>
    <w:p>
      <w:pPr>
        <w:spacing w:after="0" w:line="165" w:lineRule="exact"/>
        <w:rPr>
          <w:rFonts w:ascii="Arial" w:cs="Arial" w:eastAsia="Arial" w:hAnsi="Arial"/>
          <w:sz w:val="21"/>
          <w:szCs w:val="21"/>
          <w:color w:val="auto"/>
        </w:rPr>
      </w:pPr>
    </w:p>
    <w:p>
      <w:pPr>
        <w:jc w:val="both"/>
        <w:ind w:right="20" w:firstLine="1304"/>
        <w:spacing w:after="0" w:line="221" w:lineRule="auto"/>
        <w:tabs>
          <w:tab w:leader="none" w:pos="1626" w:val="left"/>
        </w:tabs>
        <w:numPr>
          <w:ilvl w:val="0"/>
          <w:numId w:val="326"/>
        </w:numPr>
        <w:rPr>
          <w:rFonts w:ascii="Arial" w:cs="Arial" w:eastAsia="Arial" w:hAnsi="Arial"/>
          <w:sz w:val="21"/>
          <w:szCs w:val="21"/>
          <w:color w:val="auto"/>
        </w:rPr>
      </w:pPr>
      <w:r>
        <w:rPr>
          <w:rFonts w:ascii="Arial" w:cs="Arial" w:eastAsia="Arial" w:hAnsi="Arial"/>
          <w:sz w:val="21"/>
          <w:szCs w:val="21"/>
          <w:u w:val="single" w:color="auto"/>
          <w:color w:val="auto"/>
        </w:rPr>
        <w:t>Operating Expenses.</w:t>
      </w:r>
      <w:r>
        <w:rPr>
          <w:rFonts w:ascii="Arial" w:cs="Arial" w:eastAsia="Arial" w:hAnsi="Arial"/>
          <w:sz w:val="21"/>
          <w:szCs w:val="21"/>
          <w:color w:val="auto"/>
        </w:rPr>
        <w:t xml:space="preserve"> Any references to the Execution Date in </w:t>
      </w:r>
      <w:r>
        <w:rPr>
          <w:rFonts w:ascii="Arial" w:cs="Arial" w:eastAsia="Arial" w:hAnsi="Arial"/>
          <w:sz w:val="21"/>
          <w:szCs w:val="21"/>
          <w:u w:val="single" w:color="auto"/>
          <w:color w:val="auto"/>
        </w:rPr>
        <w:t>Section 9.1.2</w:t>
      </w:r>
      <w:r>
        <w:rPr>
          <w:rFonts w:ascii="Arial" w:cs="Arial" w:eastAsia="Arial" w:hAnsi="Arial"/>
          <w:sz w:val="21"/>
          <w:szCs w:val="21"/>
          <w:color w:val="auto"/>
        </w:rPr>
        <w:t xml:space="preserve"> shall hereafter be a reference to the Revised Term Commencement Date. Notwithstanding any other provision herein or in the Lease to the contrary, Landlord shall not include in Operating Expenses (i) any costs incurred to remove any Hazardous Materials from the Project, the Building or the Premises which were the result of a another tenant’s default under its lease; or (ii) any costs incurred to remedy any enforceable violation of Applicable Law existing at the Premises, the Building or the Project as of the Revised Commencement Date; In addition, to the extent that the Property Management Fee, any Operating Expenses or other costs under the Lease are computed based upon the Base Rent payable by Tenant under the Lease such computations shall be determined as though the Base Rent paid by Tenant is as follows: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60" w:type="dxa"/>
            <w:vAlign w:val="bottom"/>
            <w:tcBorders>
              <w:top w:val="single" w:sz="8" w:color="auto"/>
              <w:left w:val="single" w:sz="8" w:color="auto"/>
              <w:right w:val="single" w:sz="8" w:color="auto"/>
            </w:tcBorders>
            <w:gridSpan w:val="3"/>
            <w:vMerge w:val="restart"/>
          </w:tcPr>
          <w:p>
            <w:pPr>
              <w:ind w:left="880"/>
              <w:spacing w:after="0"/>
              <w:rPr>
                <w:sz w:val="20"/>
                <w:szCs w:val="20"/>
                <w:color w:val="auto"/>
              </w:rPr>
            </w:pPr>
            <w:r>
              <w:rPr>
                <w:rFonts w:ascii="Arial" w:cs="Arial" w:eastAsia="Arial" w:hAnsi="Arial"/>
                <w:sz w:val="22"/>
                <w:szCs w:val="22"/>
                <w:b w:val="1"/>
                <w:bCs w:val="1"/>
                <w:color w:val="auto"/>
              </w:rPr>
              <w:t>Dates</w:t>
            </w: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780" w:type="dxa"/>
            <w:vAlign w:val="bottom"/>
            <w:tcBorders>
              <w:top w:val="single" w:sz="8" w:color="auto"/>
              <w:right w:val="single" w:sz="8" w:color="auto"/>
            </w:tcBorders>
            <w:gridSpan w:val="3"/>
          </w:tcPr>
          <w:p>
            <w:pPr>
              <w:jc w:val="center"/>
              <w:ind w:right="460"/>
              <w:spacing w:after="0" w:line="229" w:lineRule="exact"/>
              <w:rPr>
                <w:sz w:val="20"/>
                <w:szCs w:val="20"/>
                <w:color w:val="auto"/>
              </w:rPr>
            </w:pPr>
            <w:r>
              <w:rPr>
                <w:rFonts w:ascii="Arial" w:cs="Arial" w:eastAsia="Arial" w:hAnsi="Arial"/>
                <w:sz w:val="22"/>
                <w:szCs w:val="22"/>
                <w:b w:val="1"/>
                <w:bCs w:val="1"/>
                <w:color w:val="auto"/>
                <w:w w:val="86"/>
              </w:rPr>
              <w:t>Square Feet of</w:t>
            </w:r>
          </w:p>
        </w:tc>
        <w:tc>
          <w:tcPr>
            <w:tcW w:w="80" w:type="dxa"/>
            <w:vAlign w:val="bottom"/>
            <w:tcBorders>
              <w:top w:val="single" w:sz="8" w:color="auto"/>
            </w:tcBorders>
          </w:tcPr>
          <w:p>
            <w:pPr>
              <w:spacing w:after="0"/>
              <w:rPr>
                <w:sz w:val="19"/>
                <w:szCs w:val="19"/>
                <w:color w:val="auto"/>
              </w:rPr>
            </w:pPr>
          </w:p>
        </w:tc>
        <w:tc>
          <w:tcPr>
            <w:tcW w:w="2180" w:type="dxa"/>
            <w:vAlign w:val="bottom"/>
            <w:tcBorders>
              <w:top w:val="single" w:sz="8" w:color="auto"/>
              <w:right w:val="single" w:sz="8" w:color="auto"/>
            </w:tcBorders>
            <w:gridSpan w:val="4"/>
          </w:tcPr>
          <w:p>
            <w:pPr>
              <w:jc w:val="center"/>
              <w:ind w:right="100"/>
              <w:spacing w:after="0" w:line="229" w:lineRule="exact"/>
              <w:rPr>
                <w:sz w:val="20"/>
                <w:szCs w:val="20"/>
                <w:color w:val="auto"/>
              </w:rPr>
            </w:pPr>
            <w:r>
              <w:rPr>
                <w:rFonts w:ascii="Arial" w:cs="Arial" w:eastAsia="Arial" w:hAnsi="Arial"/>
                <w:sz w:val="22"/>
                <w:szCs w:val="22"/>
                <w:b w:val="1"/>
                <w:bCs w:val="1"/>
                <w:color w:val="auto"/>
                <w:w w:val="87"/>
              </w:rPr>
              <w:t>Base Rent per Square</w:t>
            </w:r>
          </w:p>
        </w:tc>
        <w:tc>
          <w:tcPr>
            <w:tcW w:w="220" w:type="dxa"/>
            <w:vAlign w:val="bottom"/>
            <w:tcBorders>
              <w:top w:val="single" w:sz="8" w:color="auto"/>
            </w:tcBorders>
          </w:tcPr>
          <w:p>
            <w:pPr>
              <w:spacing w:after="0"/>
              <w:rPr>
                <w:sz w:val="19"/>
                <w:szCs w:val="19"/>
                <w:color w:val="auto"/>
              </w:rPr>
            </w:pPr>
          </w:p>
        </w:tc>
        <w:tc>
          <w:tcPr>
            <w:tcW w:w="2020" w:type="dxa"/>
            <w:vAlign w:val="bottom"/>
            <w:tcBorders>
              <w:top w:val="single" w:sz="8" w:color="auto"/>
              <w:right w:val="single" w:sz="8" w:color="auto"/>
            </w:tcBorders>
            <w:gridSpan w:val="2"/>
            <w:vMerge w:val="restart"/>
          </w:tcPr>
          <w:p>
            <w:pPr>
              <w:jc w:val="center"/>
              <w:ind w:right="240"/>
              <w:spacing w:after="0"/>
              <w:rPr>
                <w:sz w:val="20"/>
                <w:szCs w:val="20"/>
                <w:color w:val="auto"/>
              </w:rPr>
            </w:pPr>
            <w:r>
              <w:rPr>
                <w:rFonts w:ascii="Arial" w:cs="Arial" w:eastAsia="Arial" w:hAnsi="Arial"/>
                <w:sz w:val="22"/>
                <w:szCs w:val="22"/>
                <w:b w:val="1"/>
                <w:bCs w:val="1"/>
                <w:color w:val="auto"/>
                <w:w w:val="89"/>
              </w:rPr>
              <w:t>Monthly Base Rent</w:t>
            </w:r>
          </w:p>
        </w:tc>
        <w:tc>
          <w:tcPr>
            <w:tcW w:w="226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22"/>
                <w:szCs w:val="22"/>
                <w:b w:val="1"/>
                <w:bCs w:val="1"/>
                <w:color w:val="auto"/>
                <w:w w:val="89"/>
              </w:rPr>
              <w:t>Annual Base Rent</w:t>
            </w:r>
          </w:p>
        </w:tc>
        <w:tc>
          <w:tcPr>
            <w:tcW w:w="0" w:type="dxa"/>
            <w:vAlign w:val="bottom"/>
          </w:tcPr>
          <w:p>
            <w:pPr>
              <w:spacing w:after="0"/>
              <w:rPr>
                <w:sz w:val="1"/>
                <w:szCs w:val="1"/>
                <w:color w:val="auto"/>
              </w:rPr>
            </w:pPr>
          </w:p>
        </w:tc>
      </w:tr>
      <w:tr>
        <w:trPr>
          <w:trHeight w:val="196"/>
        </w:trPr>
        <w:tc>
          <w:tcPr>
            <w:tcW w:w="2260" w:type="dxa"/>
            <w:vAlign w:val="bottom"/>
            <w:tcBorders>
              <w:top w:val="single" w:sz="8" w:color="auto"/>
              <w:left w:val="single" w:sz="8" w:color="auto"/>
              <w:right w:val="single" w:sz="8" w:color="auto"/>
            </w:tcBorders>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
              <w:spacing w:after="0" w:line="195" w:lineRule="exact"/>
              <w:rPr>
                <w:sz w:val="20"/>
                <w:szCs w:val="20"/>
                <w:color w:val="auto"/>
              </w:rPr>
            </w:pPr>
            <w:r>
              <w:rPr>
                <w:rFonts w:ascii="Arial" w:cs="Arial" w:eastAsia="Arial" w:hAnsi="Arial"/>
                <w:sz w:val="22"/>
                <w:szCs w:val="22"/>
                <w:b w:val="1"/>
                <w:bCs w:val="1"/>
                <w:color w:val="auto"/>
                <w:w w:val="87"/>
              </w:rPr>
              <w:t>Rentable Area</w:t>
            </w:r>
          </w:p>
        </w:tc>
        <w:tc>
          <w:tcPr>
            <w:tcW w:w="4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w w:val="87"/>
              </w:rPr>
              <w:t>Foot of Rentable Area</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top w:val="single" w:sz="8" w:color="auto"/>
              <w:right w:val="single" w:sz="8" w:color="auto"/>
            </w:tcBorders>
            <w:gridSpan w:val="2"/>
            <w:vMerge w:val="continue"/>
          </w:tcPr>
          <w:p>
            <w:pPr>
              <w:spacing w:after="0"/>
              <w:rPr>
                <w:sz w:val="17"/>
                <w:szCs w:val="17"/>
                <w:color w:val="auto"/>
              </w:rPr>
            </w:pPr>
          </w:p>
        </w:tc>
        <w:tc>
          <w:tcPr>
            <w:tcW w:w="2260" w:type="dxa"/>
            <w:vAlign w:val="bottom"/>
            <w:tcBorders>
              <w:top w:val="single" w:sz="8" w:color="auto"/>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right="20" w:firstLine="1304"/>
        <w:spacing w:after="0" w:line="223" w:lineRule="auto"/>
        <w:tabs>
          <w:tab w:leader="none" w:pos="1755" w:val="left"/>
        </w:tabs>
        <w:numPr>
          <w:ilvl w:val="0"/>
          <w:numId w:val="327"/>
        </w:numPr>
        <w:rPr>
          <w:rFonts w:ascii="Arial" w:cs="Arial" w:eastAsia="Arial" w:hAnsi="Arial"/>
          <w:sz w:val="22"/>
          <w:szCs w:val="22"/>
          <w:color w:val="auto"/>
        </w:rPr>
      </w:pPr>
      <w:r>
        <w:rPr>
          <w:rFonts w:ascii="Arial" w:cs="Arial" w:eastAsia="Arial" w:hAnsi="Arial"/>
          <w:sz w:val="22"/>
          <w:szCs w:val="22"/>
          <w:u w:val="single" w:color="auto"/>
          <w:color w:val="auto"/>
        </w:rPr>
        <w:t>Taxes on Tenant’s Property</w:t>
      </w:r>
      <w:r>
        <w:rPr>
          <w:rFonts w:ascii="Arial" w:cs="Arial" w:eastAsia="Arial" w:hAnsi="Arial"/>
          <w:sz w:val="22"/>
          <w:szCs w:val="22"/>
          <w:color w:val="auto"/>
        </w:rPr>
        <w:t xml:space="preserve">. Upon Tenant’s written request, Landlord shall provide Tenant with reasonable supporting documentation for any determination of value attributable to Tenant’s personal property or trade fixtures under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21"/>
          <w:szCs w:val="21"/>
          <w:color w:val="auto"/>
        </w:rPr>
        <w:t>6</w:t>
      </w:r>
    </w:p>
    <w:p>
      <w:pPr>
        <w:sectPr>
          <w:pgSz w:w="11900" w:h="16838" w:orient="portrait"/>
          <w:cols w:equalWidth="0" w:num="1">
            <w:col w:w="11260"/>
          </w:cols>
          <w:pgMar w:left="320" w:top="1400" w:right="319" w:bottom="1440" w:gutter="0" w:footer="0" w:header="0"/>
        </w:sectPr>
      </w:pPr>
    </w:p>
    <w:bookmarkStart w:id="385" w:name="page386"/>
    <w:bookmarkEnd w:id="385"/>
    <w:p>
      <w:pPr>
        <w:ind w:left="1640" w:hanging="336"/>
        <w:spacing w:after="0"/>
        <w:tabs>
          <w:tab w:leader="none" w:pos="1640" w:val="left"/>
        </w:tabs>
        <w:numPr>
          <w:ilvl w:val="0"/>
          <w:numId w:val="328"/>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68" w:lineRule="auto"/>
        <w:tabs>
          <w:tab w:leader="none" w:pos="1815" w:val="left"/>
        </w:tabs>
        <w:numPr>
          <w:ilvl w:val="0"/>
          <w:numId w:val="328"/>
        </w:numPr>
        <w:rPr>
          <w:rFonts w:ascii="Arial" w:cs="Arial" w:eastAsia="Arial" w:hAnsi="Arial"/>
          <w:sz w:val="19"/>
          <w:szCs w:val="19"/>
          <w:color w:val="auto"/>
        </w:rPr>
      </w:pPr>
      <w:r>
        <w:rPr>
          <w:rFonts w:ascii="Arial" w:cs="Arial" w:eastAsia="Arial" w:hAnsi="Arial"/>
          <w:sz w:val="19"/>
          <w:szCs w:val="19"/>
          <w:u w:val="single" w:color="auto"/>
          <w:color w:val="auto"/>
        </w:rPr>
        <w:t>Landlord Maintenance and Repair.</w:t>
      </w:r>
      <w:r>
        <w:rPr>
          <w:rFonts w:ascii="Arial" w:cs="Arial" w:eastAsia="Arial" w:hAnsi="Arial"/>
          <w:sz w:val="19"/>
          <w:szCs w:val="19"/>
          <w:color w:val="auto"/>
        </w:rPr>
        <w:t xml:space="preserve"> In addition to the repairs and maintenance obligations of Landlord set forth in </w:t>
      </w:r>
      <w:r>
        <w:rPr>
          <w:rFonts w:ascii="Arial" w:cs="Arial" w:eastAsia="Arial" w:hAnsi="Arial"/>
          <w:sz w:val="19"/>
          <w:szCs w:val="19"/>
          <w:u w:val="single" w:color="auto"/>
          <w:color w:val="auto"/>
        </w:rPr>
        <w:t>Section 18.1</w:t>
      </w:r>
      <w:r>
        <w:rPr>
          <w:rFonts w:ascii="Arial" w:cs="Arial" w:eastAsia="Arial" w:hAnsi="Arial"/>
          <w:sz w:val="19"/>
          <w:szCs w:val="19"/>
          <w:color w:val="auto"/>
        </w:rPr>
        <w:t>, Landlord shall provide window washing services for the Building in accordance with standards for comparable first-class buildings in the Rockville, Maryland area, the cost of which shall be included as an Operating Expense.</w:t>
      </w:r>
    </w:p>
    <w:p>
      <w:pPr>
        <w:spacing w:after="0" w:line="124" w:lineRule="exact"/>
        <w:rPr>
          <w:rFonts w:ascii="Arial" w:cs="Arial" w:eastAsia="Arial" w:hAnsi="Arial"/>
          <w:sz w:val="19"/>
          <w:szCs w:val="19"/>
          <w:color w:val="auto"/>
        </w:rPr>
      </w:pPr>
    </w:p>
    <w:p>
      <w:pPr>
        <w:ind w:left="1860" w:hanging="556"/>
        <w:spacing w:after="0"/>
        <w:tabs>
          <w:tab w:leader="none" w:pos="1860" w:val="left"/>
        </w:tabs>
        <w:numPr>
          <w:ilvl w:val="0"/>
          <w:numId w:val="328"/>
        </w:numPr>
        <w:rPr>
          <w:rFonts w:ascii="Arial" w:cs="Arial" w:eastAsia="Arial" w:hAnsi="Arial"/>
          <w:sz w:val="21"/>
          <w:szCs w:val="21"/>
          <w:color w:val="auto"/>
        </w:rPr>
      </w:pPr>
      <w:r>
        <w:rPr>
          <w:rFonts w:ascii="Arial" w:cs="Arial" w:eastAsia="Arial" w:hAnsi="Arial"/>
          <w:sz w:val="21"/>
          <w:szCs w:val="21"/>
          <w:u w:val="single" w:color="auto"/>
          <w:color w:val="auto"/>
        </w:rPr>
        <w:t>Alterations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17.1</w:t>
      </w:r>
      <w:r>
        <w:rPr>
          <w:rFonts w:ascii="Arial" w:cs="Arial" w:eastAsia="Arial" w:hAnsi="Arial"/>
          <w:sz w:val="21"/>
          <w:szCs w:val="21"/>
          <w:color w:val="auto"/>
        </w:rPr>
        <w:t xml:space="preserve"> of the Existing Lease is hereby deleted in its entirety and replaced with the</w:t>
      </w:r>
    </w:p>
    <w:p>
      <w:pPr>
        <w:spacing w:after="0"/>
        <w:rPr>
          <w:rFonts w:ascii="Arial" w:cs="Arial" w:eastAsia="Arial" w:hAnsi="Arial"/>
          <w:sz w:val="21"/>
          <w:szCs w:val="21"/>
          <w:color w:val="auto"/>
        </w:rPr>
      </w:pPr>
      <w:r>
        <w:rPr>
          <w:rFonts w:ascii="Arial" w:cs="Arial" w:eastAsia="Arial" w:hAnsi="Arial"/>
          <w:sz w:val="22"/>
          <w:szCs w:val="22"/>
          <w:color w:val="auto"/>
        </w:rPr>
        <w:t>following:</w:t>
      </w:r>
    </w:p>
    <w:p>
      <w:pPr>
        <w:spacing w:after="0" w:line="161" w:lineRule="exact"/>
        <w:rPr>
          <w:sz w:val="20"/>
          <w:szCs w:val="20"/>
          <w:color w:val="auto"/>
        </w:rPr>
      </w:pPr>
    </w:p>
    <w:p>
      <w:pPr>
        <w:jc w:val="both"/>
        <w:ind w:left="660" w:right="640"/>
        <w:spacing w:after="0" w:line="238" w:lineRule="auto"/>
        <w:rPr>
          <w:sz w:val="20"/>
          <w:szCs w:val="20"/>
          <w:color w:val="auto"/>
        </w:rPr>
      </w:pPr>
      <w:r>
        <w:rPr>
          <w:rFonts w:ascii="Arial" w:cs="Arial" w:eastAsia="Arial" w:hAnsi="Arial"/>
          <w:sz w:val="19"/>
          <w:szCs w:val="19"/>
          <w:color w:val="auto"/>
        </w:rPr>
        <w:t>“Tenant shall make no alterations, additions or improvements in or to the Premises or engage in any construction, demolition, reconstruction, renovation, or other work (whether major or minor) of any kind in, at, or serving the Premises (“</w:t>
      </w:r>
      <w:r>
        <w:rPr>
          <w:rFonts w:ascii="Arial" w:cs="Arial" w:eastAsia="Arial" w:hAnsi="Arial"/>
          <w:sz w:val="19"/>
          <w:szCs w:val="19"/>
          <w:u w:val="single" w:color="auto"/>
          <w:color w:val="auto"/>
        </w:rPr>
        <w:t>Alterations</w:t>
      </w:r>
      <w:r>
        <w:rPr>
          <w:rFonts w:ascii="Arial" w:cs="Arial" w:eastAsia="Arial" w:hAnsi="Arial"/>
          <w:sz w:val="19"/>
          <w:szCs w:val="19"/>
          <w:color w:val="auto"/>
        </w:rPr>
        <w:t xml:space="preserve">”) without Landlord’s prior written approval, which approval Landlord shall not unreasonably withhold, condition or delay;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in the event any proposed Alteration (a) any structural portions of the Building, including exterior walls, roof, foundation, foundation systems (including barriers and subslab systems), or core of the Building, (b) the exterior of the Building or (c) any Building systems, including elevator, plumbing, air conditioning, heating, electrical, security, life safety and power (each, a “</w:t>
      </w:r>
      <w:r>
        <w:rPr>
          <w:rFonts w:ascii="Arial" w:cs="Arial" w:eastAsia="Arial" w:hAnsi="Arial"/>
          <w:sz w:val="19"/>
          <w:szCs w:val="19"/>
          <w:u w:val="single" w:color="auto"/>
          <w:color w:val="auto"/>
        </w:rPr>
        <w:t>Material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Alteration</w:t>
      </w:r>
      <w:r>
        <w:rPr>
          <w:rFonts w:ascii="Arial" w:cs="Arial" w:eastAsia="Arial" w:hAnsi="Arial"/>
          <w:sz w:val="19"/>
          <w:szCs w:val="19"/>
          <w:color w:val="auto"/>
        </w:rPr>
        <w:t>”), then Landlord may withhold its approval with respect thereto in its sole and absolute discretion. Notwithstanding the foregoing, with respect to any Material Alterations that are critical or essential for biologics manufacturing as intended by Tenant, Landlord shall not unreasonably withhold, condition or delay its consent with respect to any such Material Alterations. Tenant shall, in making any such Alterations, use only those architects, general contractors and material suppliers and mechanics of which Landlord has given prior written approval, which approval shall not be unreasonably withheld, conditioned or delayed. In seeking Landlord’s approval, Tenant shall provide Landlord, at least fourteen (14) days in advance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(collectively, the “</w:t>
      </w:r>
      <w:r>
        <w:rPr>
          <w:rFonts w:ascii="Arial" w:cs="Arial" w:eastAsia="Arial" w:hAnsi="Arial"/>
          <w:sz w:val="19"/>
          <w:szCs w:val="19"/>
          <w:u w:val="single" w:color="auto"/>
          <w:color w:val="auto"/>
        </w:rPr>
        <w:t>Alterations Submittals</w:t>
      </w:r>
      <w:r>
        <w:rPr>
          <w:rFonts w:ascii="Arial" w:cs="Arial" w:eastAsia="Arial" w:hAnsi="Arial"/>
          <w:sz w:val="19"/>
          <w:szCs w:val="19"/>
          <w:color w:val="auto"/>
        </w:rPr>
        <w:t>”). With respect to any Alterations that require Landlord’s prior consent relating to the maintenance, repair, replacement or upgrade of any systems or equipment or the Building structure (including the floor load) involved in Tenant’s manufacturing operations which are required to comply with Applicable Laws, Landlord shall use commercially reasonable efforts to respond to a notice for approval of such Alterations within ten (10) days of Landlord’s receipt of Tenant’s request therefor and the applicable Alterations Submittals and Landlord shall not unreasonably withhold, condition or delay its consent with respect to any such Alterations. Notwithstanding the foregoing, Tenant may make strictly cosmetic changes to the Premises “</w:t>
      </w:r>
      <w:r>
        <w:rPr>
          <w:rFonts w:ascii="Arial" w:cs="Arial" w:eastAsia="Arial" w:hAnsi="Arial"/>
          <w:sz w:val="19"/>
          <w:szCs w:val="19"/>
          <w:u w:val="single" w:color="auto"/>
          <w:color w:val="auto"/>
        </w:rPr>
        <w:t>Cosmetic Alterations</w:t>
      </w:r>
      <w:r>
        <w:rPr>
          <w:rFonts w:ascii="Arial" w:cs="Arial" w:eastAsia="Arial" w:hAnsi="Arial"/>
          <w:sz w:val="19"/>
          <w:szCs w:val="19"/>
          <w:color w:val="auto"/>
        </w:rPr>
        <w:t>” without Landlord’s consent; provided that</w:t>
      </w:r>
    </w:p>
    <w:p>
      <w:pPr>
        <w:spacing w:after="0" w:line="1" w:lineRule="exact"/>
        <w:rPr>
          <w:sz w:val="20"/>
          <w:szCs w:val="20"/>
          <w:color w:val="auto"/>
        </w:rPr>
      </w:pPr>
    </w:p>
    <w:p>
      <w:pPr>
        <w:jc w:val="both"/>
        <w:ind w:left="660" w:right="660" w:hanging="4"/>
        <w:spacing w:after="0" w:line="212" w:lineRule="auto"/>
        <w:tabs>
          <w:tab w:leader="none" w:pos="1204" w:val="left"/>
        </w:tabs>
        <w:numPr>
          <w:ilvl w:val="0"/>
          <w:numId w:val="329"/>
        </w:numPr>
        <w:rPr>
          <w:rFonts w:ascii="Arial" w:cs="Arial" w:eastAsia="Arial" w:hAnsi="Arial"/>
          <w:sz w:val="22"/>
          <w:szCs w:val="22"/>
          <w:color w:val="auto"/>
        </w:rPr>
      </w:pPr>
      <w:r>
        <w:rPr>
          <w:rFonts w:ascii="Arial" w:cs="Arial" w:eastAsia="Arial" w:hAnsi="Arial"/>
          <w:sz w:val="22"/>
          <w:szCs w:val="22"/>
          <w:color w:val="auto"/>
        </w:rPr>
        <w:t>such Cosmetic Alterations do not (i) require any structural modifications to the Premises, (ii) require any changes to, or adversely affect, the Building systems, (iii) affect the exterior of the Buildings or (iv) trigger any requirement under Applicable Laws that would require Landlord to make any alteration or improvement to the Premises, the Building or the Project. Tenant shall give Landlord [***] prior written notice of any Cosmetic Alterations involving a third party contractor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21"/>
          <w:szCs w:val="21"/>
          <w:color w:val="auto"/>
        </w:rPr>
        <w:t>7</w:t>
      </w:r>
    </w:p>
    <w:p>
      <w:pPr>
        <w:sectPr>
          <w:pgSz w:w="11900" w:h="16838" w:orient="portrait"/>
          <w:cols w:equalWidth="0" w:num="1">
            <w:col w:w="11240"/>
          </w:cols>
          <w:pgMar w:left="320" w:top="1400" w:right="339" w:bottom="1440" w:gutter="0" w:footer="0" w:header="0"/>
        </w:sectPr>
      </w:pPr>
    </w:p>
    <w:bookmarkStart w:id="386" w:name="page387"/>
    <w:bookmarkEnd w:id="386"/>
    <w:p>
      <w:pPr>
        <w:jc w:val="both"/>
        <w:ind w:left="660" w:right="660"/>
        <w:spacing w:after="0" w:line="221" w:lineRule="auto"/>
        <w:rPr>
          <w:sz w:val="20"/>
          <w:szCs w:val="20"/>
          <w:color w:val="auto"/>
        </w:rPr>
      </w:pPr>
      <w:r>
        <w:rPr>
          <w:rFonts w:ascii="Arial" w:cs="Arial" w:eastAsia="Arial" w:hAnsi="Arial"/>
          <w:sz w:val="21"/>
          <w:szCs w:val="21"/>
          <w:color w:val="auto"/>
        </w:rPr>
        <w:t xml:space="preserve">supplier which could give rise to a mechanic’s lien. Promptly after the end of each calendar quarter of the Revised Term, Tenant shall give Landlord a written summary of any other Cosmetic Alterations made by Tenant at the Premises during such calendar quarter. To the extent that Tenant fails to give the required prior notice for Cosmetic Alterations that could give rise to a mechanic’s lien, Tenant may cure such default by providing Landlord with notice of such Cosmetic Alterations at the end of the applicable calendar quarter. Any notice of Cosmetic Alterations required to be delivered by Tenant to Landlord may be delivered by electronic mail to Landlord’s authorized recipients, which recipients shall initially be Kevin Reap and Erin Travis, subject to change by written notice from Landlord to Tenant.” Tenant shall [***] pay Landlord for additional premiums charged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12.3</w:t>
      </w:r>
      <w:r>
        <w:rPr>
          <w:rFonts w:ascii="Arial" w:cs="Arial" w:eastAsia="Arial" w:hAnsi="Arial"/>
          <w:sz w:val="21"/>
          <w:szCs w:val="21"/>
          <w:color w:val="auto"/>
        </w:rPr>
        <w:t xml:space="preserve"> of the Lease.</w:t>
      </w:r>
    </w:p>
    <w:p>
      <w:pPr>
        <w:spacing w:after="0" w:line="159" w:lineRule="exact"/>
        <w:rPr>
          <w:sz w:val="20"/>
          <w:szCs w:val="20"/>
          <w:color w:val="auto"/>
        </w:rPr>
      </w:pPr>
    </w:p>
    <w:p>
      <w:pPr>
        <w:jc w:val="both"/>
        <w:ind w:firstLine="1304"/>
        <w:spacing w:after="0" w:line="249" w:lineRule="auto"/>
        <w:tabs>
          <w:tab w:leader="none" w:pos="1728" w:val="left"/>
        </w:tabs>
        <w:numPr>
          <w:ilvl w:val="0"/>
          <w:numId w:val="330"/>
        </w:numPr>
        <w:rPr>
          <w:rFonts w:ascii="Arial" w:cs="Arial" w:eastAsia="Arial" w:hAnsi="Arial"/>
          <w:sz w:val="19"/>
          <w:szCs w:val="19"/>
          <w:color w:val="auto"/>
        </w:rPr>
      </w:pPr>
      <w:r>
        <w:rPr>
          <w:rFonts w:ascii="Arial" w:cs="Arial" w:eastAsia="Arial" w:hAnsi="Arial"/>
          <w:sz w:val="19"/>
          <w:szCs w:val="19"/>
          <w:u w:val="single" w:color="auto"/>
          <w:color w:val="auto"/>
        </w:rPr>
        <w:t>Surrender</w:t>
      </w:r>
      <w:r>
        <w:rPr>
          <w:rFonts w:ascii="Arial" w:cs="Arial" w:eastAsia="Arial" w:hAnsi="Arial"/>
          <w:sz w:val="19"/>
          <w:szCs w:val="19"/>
          <w:color w:val="auto"/>
        </w:rPr>
        <w:t>. Notwithstanding any other provision herein or in the Lease to the contrary, Tenant shall have no obligation to remove any Alterations, fixtures, equipment, additions, improvements, signage or Tenant’s Rooftop Equipment installed by or on behalf of JCVI at the Premises or the Building prior to the Revised Term Commencement Date. In addition, Landlord shall not be permitted to require that Tenant remove any Alterations at the end of the Revised Term other than Alterations which, at the time that Landlord granted its consent to such Alterations, Landlord advised Tenant, in writing with reasonable specificity, that such Alterations would be required to be removed at the end of the Revised Term.</w:t>
      </w:r>
    </w:p>
    <w:p>
      <w:pPr>
        <w:spacing w:after="0" w:line="151" w:lineRule="exact"/>
        <w:rPr>
          <w:rFonts w:ascii="Arial" w:cs="Arial" w:eastAsia="Arial" w:hAnsi="Arial"/>
          <w:sz w:val="19"/>
          <w:szCs w:val="19"/>
          <w:color w:val="auto"/>
        </w:rPr>
      </w:pPr>
    </w:p>
    <w:p>
      <w:pPr>
        <w:jc w:val="both"/>
        <w:ind w:firstLine="1304"/>
        <w:spacing w:after="0" w:line="214" w:lineRule="auto"/>
        <w:tabs>
          <w:tab w:leader="none" w:pos="1674" w:val="left"/>
        </w:tabs>
        <w:numPr>
          <w:ilvl w:val="0"/>
          <w:numId w:val="330"/>
        </w:numPr>
        <w:rPr>
          <w:rFonts w:ascii="Arial" w:cs="Arial" w:eastAsia="Arial" w:hAnsi="Arial"/>
          <w:sz w:val="22"/>
          <w:szCs w:val="22"/>
          <w:color w:val="auto"/>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 xml:space="preserve">. Notwithstanding </w:t>
      </w:r>
      <w:r>
        <w:rPr>
          <w:rFonts w:ascii="Arial" w:cs="Arial" w:eastAsia="Arial" w:hAnsi="Arial"/>
          <w:sz w:val="22"/>
          <w:szCs w:val="22"/>
          <w:u w:val="single" w:color="auto"/>
          <w:color w:val="auto"/>
        </w:rPr>
        <w:t>Section 41.3</w:t>
      </w:r>
      <w:r>
        <w:rPr>
          <w:rFonts w:ascii="Arial" w:cs="Arial" w:eastAsia="Arial" w:hAnsi="Arial"/>
          <w:sz w:val="22"/>
          <w:szCs w:val="22"/>
          <w:color w:val="auto"/>
        </w:rPr>
        <w:t xml:space="preserve"> of the Existing Lease to the contrary, so long as (i) Tenant (or, if Tenant’s financial statement is consolidated with its parent, Tenant’s parent) is a publicly traded company on an “over-the-counter” market or any recognized national or international securities exchange, and (ii) Tenant’s (or, if Tenant’s financial statement is consolidated with its parent, Tenant’s parent’s) current public annual report (in compliance with applicable securities laws) for such applicable year is available to Landlord in the public domain, then, Tenant shall have no obligation to provide financial statements to Landlord.</w:t>
      </w:r>
    </w:p>
    <w:p>
      <w:pPr>
        <w:spacing w:after="0" w:line="158" w:lineRule="exact"/>
        <w:rPr>
          <w:rFonts w:ascii="Arial" w:cs="Arial" w:eastAsia="Arial" w:hAnsi="Arial"/>
          <w:sz w:val="22"/>
          <w:szCs w:val="22"/>
          <w:color w:val="auto"/>
        </w:rPr>
      </w:pPr>
    </w:p>
    <w:p>
      <w:pPr>
        <w:jc w:val="both"/>
        <w:ind w:firstLine="1304"/>
        <w:spacing w:after="0" w:line="244" w:lineRule="auto"/>
        <w:tabs>
          <w:tab w:leader="none" w:pos="1701" w:val="left"/>
        </w:tabs>
        <w:numPr>
          <w:ilvl w:val="0"/>
          <w:numId w:val="330"/>
        </w:numPr>
        <w:rPr>
          <w:rFonts w:ascii="Arial" w:cs="Arial" w:eastAsia="Arial" w:hAnsi="Arial"/>
          <w:sz w:val="19"/>
          <w:szCs w:val="19"/>
          <w:color w:val="auto"/>
        </w:rPr>
      </w:pPr>
      <w:r>
        <w:rPr>
          <w:rFonts w:ascii="Arial" w:cs="Arial" w:eastAsia="Arial" w:hAnsi="Arial"/>
          <w:sz w:val="19"/>
          <w:szCs w:val="19"/>
          <w:u w:val="single" w:color="auto"/>
          <w:color w:val="auto"/>
        </w:rPr>
        <w:t>Landlord’s Access</w:t>
      </w:r>
      <w:r>
        <w:rPr>
          <w:rFonts w:ascii="Arial" w:cs="Arial" w:eastAsia="Arial" w:hAnsi="Arial"/>
          <w:sz w:val="19"/>
          <w:szCs w:val="19"/>
          <w:color w:val="auto"/>
        </w:rPr>
        <w:t xml:space="preserve">. Notwithstanding anything in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or any other provision of the Existing Lease to the contrary, neither Landlord nor its agents or employees may enter the portions of the Premises, unless accompanied by a representative of Tenant, provided that Tenant makes such a representative reasonably available to Landlord and further, provided that if a bona-fide health or safety emergency or an imminent risk of damage to the Premises or the Project or to persons or property necessitates immediate entry to the Premises, Landlord or any emergency response or service provider contacted by Landlord (e.g., the fire department or utility providers) may use whatever force is necessary to enter the Premises, and any such entry to the Premises in accordance with the preceding clauses shall not constitute a forcible or unlawful entry to the Premises, a detainer of the Premises or an eviction of Tenant from the Premises or any portion thereof or result in any liability to Landlord. In the event of an emergency, Landlord will use reasonable efforts to notify Tenant of the emergency situation as soon as reasonably practicable after Landlord becomes aware of such emergency.</w:t>
      </w:r>
    </w:p>
    <w:p>
      <w:pPr>
        <w:spacing w:after="0" w:line="154" w:lineRule="exact"/>
        <w:rPr>
          <w:rFonts w:ascii="Arial" w:cs="Arial" w:eastAsia="Arial" w:hAnsi="Arial"/>
          <w:sz w:val="19"/>
          <w:szCs w:val="19"/>
          <w:color w:val="auto"/>
        </w:rPr>
      </w:pPr>
    </w:p>
    <w:p>
      <w:pPr>
        <w:jc w:val="both"/>
        <w:ind w:firstLine="1304"/>
        <w:spacing w:after="0" w:line="252" w:lineRule="auto"/>
        <w:tabs>
          <w:tab w:leader="none" w:pos="1747" w:val="left"/>
        </w:tabs>
        <w:numPr>
          <w:ilvl w:val="0"/>
          <w:numId w:val="330"/>
        </w:numPr>
        <w:rPr>
          <w:rFonts w:ascii="Arial" w:cs="Arial" w:eastAsia="Arial" w:hAnsi="Arial"/>
          <w:sz w:val="19"/>
          <w:szCs w:val="19"/>
          <w:color w:val="auto"/>
        </w:rPr>
      </w:pPr>
      <w:r>
        <w:rPr>
          <w:rFonts w:ascii="Arial" w:cs="Arial" w:eastAsia="Arial" w:hAnsi="Arial"/>
          <w:sz w:val="19"/>
          <w:szCs w:val="19"/>
          <w:u w:val="single" w:color="auto"/>
          <w:color w:val="auto"/>
        </w:rPr>
        <w:t>Use</w:t>
      </w:r>
      <w:r>
        <w:rPr>
          <w:rFonts w:ascii="Arial" w:cs="Arial" w:eastAsia="Arial" w:hAnsi="Arial"/>
          <w:sz w:val="19"/>
          <w:szCs w:val="19"/>
          <w:color w:val="auto"/>
        </w:rPr>
        <w:t>. Without limitation of Section 2.7 of the Existing Lease, Tenant may use the Premises for biologics manufacturing, laboratory and vivarium uses, provided such uses are conducted in accordance with all Applicable Laws and the terms and provisions of the Lease. Landlord hereby acknowledges and agrees that Landlord and its affiliates and their respective employees will not assert that the biologics manufacturing, laboratory and vivarium uses constitute a “</w:t>
      </w:r>
      <w:r>
        <w:rPr>
          <w:rFonts w:ascii="Arial" w:cs="Arial" w:eastAsia="Arial" w:hAnsi="Arial"/>
          <w:sz w:val="19"/>
          <w:szCs w:val="19"/>
          <w:u w:val="single" w:color="auto"/>
          <w:color w:val="auto"/>
        </w:rPr>
        <w:t>waste</w:t>
      </w:r>
      <w:r>
        <w:rPr>
          <w:rFonts w:ascii="Arial" w:cs="Arial" w:eastAsia="Arial" w:hAnsi="Arial"/>
          <w:sz w:val="19"/>
          <w:szCs w:val="19"/>
          <w:color w:val="auto"/>
        </w:rPr>
        <w:t>” or “</w:t>
      </w:r>
      <w:r>
        <w:rPr>
          <w:rFonts w:ascii="Arial" w:cs="Arial" w:eastAsia="Arial" w:hAnsi="Arial"/>
          <w:sz w:val="19"/>
          <w:szCs w:val="19"/>
          <w:u w:val="single" w:color="auto"/>
          <w:color w:val="auto"/>
        </w:rPr>
        <w:t>nuisance</w:t>
      </w:r>
      <w:r>
        <w:rPr>
          <w:rFonts w:ascii="Arial" w:cs="Arial" w:eastAsia="Arial" w:hAnsi="Arial"/>
          <w:sz w:val="19"/>
          <w:szCs w:val="19"/>
          <w:color w:val="auto"/>
        </w:rPr>
        <w:t>” under the Lease, provided such uses are conducted in accordance with all Applicable Laws and the terms and provisions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21"/>
          <w:szCs w:val="21"/>
          <w:color w:val="auto"/>
        </w:rPr>
        <w:t>8</w:t>
      </w:r>
    </w:p>
    <w:p>
      <w:pPr>
        <w:sectPr>
          <w:pgSz w:w="11900" w:h="16838" w:orient="portrait"/>
          <w:cols w:equalWidth="0" w:num="1">
            <w:col w:w="11240"/>
          </w:cols>
          <w:pgMar w:left="320" w:top="1400" w:right="339" w:bottom="1440" w:gutter="0" w:footer="0" w:header="0"/>
        </w:sectPr>
      </w:pPr>
    </w:p>
    <w:bookmarkStart w:id="387" w:name="page388"/>
    <w:bookmarkEnd w:id="387"/>
    <w:p>
      <w:pPr>
        <w:jc w:val="both"/>
        <w:ind w:firstLine="1304"/>
        <w:spacing w:after="0" w:line="229" w:lineRule="auto"/>
        <w:tabs>
          <w:tab w:leader="none" w:pos="1771" w:val="left"/>
        </w:tabs>
        <w:numPr>
          <w:ilvl w:val="1"/>
          <w:numId w:val="331"/>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38(z)</w:t>
      </w:r>
      <w:r>
        <w:rPr>
          <w:rFonts w:ascii="Arial" w:cs="Arial" w:eastAsia="Arial" w:hAnsi="Arial"/>
          <w:sz w:val="21"/>
          <w:szCs w:val="21"/>
          <w:color w:val="auto"/>
        </w:rPr>
        <w:t xml:space="preserve"> of the Existing Lease shall include all bona fide prospective purchasers of Tenant or its assets. Notwithstanding anything in </w:t>
      </w:r>
      <w:r>
        <w:rPr>
          <w:rFonts w:ascii="Arial" w:cs="Arial" w:eastAsia="Arial" w:hAnsi="Arial"/>
          <w:sz w:val="21"/>
          <w:szCs w:val="21"/>
          <w:u w:val="single" w:color="auto"/>
          <w:color w:val="auto"/>
        </w:rPr>
        <w:t>Section 38</w:t>
      </w:r>
      <w:r>
        <w:rPr>
          <w:rFonts w:ascii="Arial" w:cs="Arial" w:eastAsia="Arial" w:hAnsi="Arial"/>
          <w:sz w:val="21"/>
          <w:szCs w:val="21"/>
          <w:color w:val="auto"/>
        </w:rPr>
        <w:t xml:space="preserve"> of the Existing Lease or otherwise herein to the contrary, Tenant shall be entitled to make any disclosure of the Lease that Tenant, in its good faith judgment, believes is required by Applicable Law or by any stock exchange on which its securities or those of its affiliates are listed.</w:t>
      </w:r>
    </w:p>
    <w:p>
      <w:pPr>
        <w:spacing w:after="0" w:line="158" w:lineRule="exact"/>
        <w:rPr>
          <w:rFonts w:ascii="Arial" w:cs="Arial" w:eastAsia="Arial" w:hAnsi="Arial"/>
          <w:sz w:val="21"/>
          <w:szCs w:val="21"/>
          <w:color w:val="auto"/>
        </w:rPr>
      </w:pPr>
    </w:p>
    <w:p>
      <w:pPr>
        <w:ind w:left="1760" w:hanging="456"/>
        <w:spacing w:after="0"/>
        <w:tabs>
          <w:tab w:leader="none" w:pos="1760" w:val="left"/>
        </w:tabs>
        <w:numPr>
          <w:ilvl w:val="1"/>
          <w:numId w:val="331"/>
        </w:numPr>
        <w:rPr>
          <w:rFonts w:ascii="Arial" w:cs="Arial" w:eastAsia="Arial" w:hAnsi="Arial"/>
          <w:sz w:val="19"/>
          <w:szCs w:val="19"/>
          <w:color w:val="auto"/>
        </w:rPr>
      </w:pPr>
      <w:r>
        <w:rPr>
          <w:rFonts w:ascii="Arial" w:cs="Arial" w:eastAsia="Arial" w:hAnsi="Arial"/>
          <w:sz w:val="19"/>
          <w:szCs w:val="19"/>
          <w:u w:val="single" w:color="auto"/>
          <w:color w:val="auto"/>
        </w:rPr>
        <w:t>Hazardous Materials</w:t>
      </w:r>
      <w:r>
        <w:rPr>
          <w:rFonts w:ascii="Arial" w:cs="Arial" w:eastAsia="Arial" w:hAnsi="Arial"/>
          <w:sz w:val="19"/>
          <w:szCs w:val="19"/>
          <w:color w:val="auto"/>
        </w:rPr>
        <w:t xml:space="preserve">. The second sentence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of the Existing Lease is hereby amended and</w:t>
      </w:r>
    </w:p>
    <w:p>
      <w:pPr>
        <w:spacing w:after="0" w:line="15"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19"/>
          <w:szCs w:val="19"/>
          <w:color w:val="auto"/>
        </w:rPr>
        <w:t>restated as follows: “If during any period of time needed by Tenant or Landlord after the expiration or earlier termination of this Lease to complete the removal from the Premises of any such Hazardous Materials, Landlord is prevented from or delayed in (a) performing work in the Premises or the Building necessary or desirable in order to prepare the Premises to be marketed or to be delivered to a subsequent tenant or occupant, and/or (b) delivering the Premises to a subsequent tenant or occupant, then Tenant shall be deemed a holdover tenant and subject to the provisions of Section 27.2; provided, however, that, in such event, the monthly holdover rent under Section 27.2(a) shall be calculated to exclude any portion of the monthly holdover rent that is allocable to any floor or floors of the Building (if any) that do not contain Hazardous Material in violation of this Lease.”</w:t>
      </w:r>
    </w:p>
    <w:p>
      <w:pPr>
        <w:spacing w:after="0" w:line="155" w:lineRule="exact"/>
        <w:rPr>
          <w:rFonts w:ascii="Arial" w:cs="Arial" w:eastAsia="Arial" w:hAnsi="Arial"/>
          <w:sz w:val="19"/>
          <w:szCs w:val="19"/>
          <w:color w:val="auto"/>
        </w:rPr>
      </w:pPr>
    </w:p>
    <w:p>
      <w:pPr>
        <w:jc w:val="both"/>
        <w:ind w:firstLine="656"/>
        <w:spacing w:after="0" w:line="211" w:lineRule="auto"/>
        <w:tabs>
          <w:tab w:leader="none" w:pos="1147" w:val="left"/>
        </w:tabs>
        <w:numPr>
          <w:ilvl w:val="0"/>
          <w:numId w:val="332"/>
        </w:numPr>
        <w:rPr>
          <w:rFonts w:ascii="Arial" w:cs="Arial" w:eastAsia="Arial" w:hAnsi="Arial"/>
          <w:sz w:val="22"/>
          <w:szCs w:val="22"/>
          <w:color w:val="auto"/>
        </w:rPr>
      </w:pPr>
      <w:r>
        <w:rPr>
          <w:rFonts w:ascii="Arial" w:cs="Arial" w:eastAsia="Arial" w:hAnsi="Arial"/>
          <w:sz w:val="22"/>
          <w:szCs w:val="22"/>
          <w:u w:val="single" w:color="auto"/>
          <w:color w:val="auto"/>
        </w:rPr>
        <w:t>Early Access to Premises</w:t>
      </w:r>
      <w:r>
        <w:rPr>
          <w:rFonts w:ascii="Arial" w:cs="Arial" w:eastAsia="Arial" w:hAnsi="Arial"/>
          <w:sz w:val="22"/>
          <w:szCs w:val="22"/>
          <w:color w:val="auto"/>
        </w:rPr>
        <w:t xml:space="preserve">. Subject to JCVI’s compliance with its obligation to allow Tenant early access to the Premises under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the Assignment Agreement, [***] Landlord shall use commercially reasonable efforts to grant Tenant access to the Premises and Common Areas prior to the Revised Term Commencement Date for the purpose of constructing improvements, installing furniture, fixtures and equipment or the placement of personal property, but not for the purpose of conducting Tenant’s business, provided Tenant shall furnish to Landlord evidence satisfactory to Landlord in advance that insurance coverages required of Tenant under the provisions of </w:t>
      </w:r>
      <w:r>
        <w:rPr>
          <w:rFonts w:ascii="Arial" w:cs="Arial" w:eastAsia="Arial" w:hAnsi="Arial"/>
          <w:sz w:val="22"/>
          <w:szCs w:val="22"/>
          <w:u w:val="single" w:color="auto"/>
          <w:color w:val="auto"/>
        </w:rPr>
        <w:t>Article 23</w:t>
      </w:r>
      <w:r>
        <w:rPr>
          <w:rFonts w:ascii="Arial" w:cs="Arial" w:eastAsia="Arial" w:hAnsi="Arial"/>
          <w:sz w:val="22"/>
          <w:szCs w:val="22"/>
          <w:color w:val="auto"/>
        </w:rPr>
        <w:t xml:space="preserve"> of the Existing Lease are in effect, and such entry shall be subject to all the terms and conditions of the Lease other than the payment of Base Rent or Tenant’s Share of Operating Expenses.</w:t>
      </w:r>
    </w:p>
    <w:p>
      <w:pPr>
        <w:spacing w:after="0" w:line="164" w:lineRule="exact"/>
        <w:rPr>
          <w:rFonts w:ascii="Arial" w:cs="Arial" w:eastAsia="Arial" w:hAnsi="Arial"/>
          <w:sz w:val="22"/>
          <w:szCs w:val="22"/>
          <w:color w:val="auto"/>
        </w:rPr>
      </w:pPr>
    </w:p>
    <w:p>
      <w:pPr>
        <w:ind w:left="1040" w:hanging="384"/>
        <w:spacing w:after="0"/>
        <w:tabs>
          <w:tab w:leader="none" w:pos="1040" w:val="left"/>
        </w:tabs>
        <w:numPr>
          <w:ilvl w:val="0"/>
          <w:numId w:val="332"/>
        </w:numPr>
        <w:rPr>
          <w:rFonts w:ascii="Arial" w:cs="Arial" w:eastAsia="Arial" w:hAnsi="Arial"/>
          <w:sz w:val="22"/>
          <w:szCs w:val="22"/>
          <w:color w:val="auto"/>
        </w:rPr>
      </w:pPr>
      <w:r>
        <w:rPr>
          <w:rFonts w:ascii="Arial" w:cs="Arial" w:eastAsia="Arial" w:hAnsi="Arial"/>
          <w:sz w:val="22"/>
          <w:szCs w:val="22"/>
          <w:u w:val="single" w:color="auto"/>
          <w:color w:val="auto"/>
        </w:rPr>
        <w:t>TI Allowance; Construction of Tenant Improvements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41" w:lineRule="auto"/>
        <w:tabs>
          <w:tab w:leader="none" w:pos="1689" w:val="left"/>
        </w:tabs>
        <w:numPr>
          <w:ilvl w:val="1"/>
          <w:numId w:val="332"/>
        </w:numPr>
        <w:rPr>
          <w:rFonts w:ascii="Arial" w:cs="Arial" w:eastAsia="Arial" w:hAnsi="Arial"/>
          <w:sz w:val="19"/>
          <w:szCs w:val="19"/>
          <w:color w:val="auto"/>
        </w:rPr>
      </w:pPr>
      <w:r>
        <w:rPr>
          <w:rFonts w:ascii="Arial" w:cs="Arial" w:eastAsia="Arial" w:hAnsi="Arial"/>
          <w:sz w:val="19"/>
          <w:szCs w:val="19"/>
          <w:u w:val="single" w:color="auto"/>
          <w:color w:val="auto"/>
        </w:rPr>
        <w:t>TI Allowance</w:t>
      </w:r>
      <w:r>
        <w:rPr>
          <w:rFonts w:ascii="Arial" w:cs="Arial" w:eastAsia="Arial" w:hAnsi="Arial"/>
          <w:sz w:val="19"/>
          <w:szCs w:val="19"/>
          <w:color w:val="auto"/>
        </w:rPr>
        <w:t>. In accordance with the terms and conditions of this Second Amendment, Landlord shall make available to Tenant (i) a tenant improvement allowance [***] (the “</w:t>
      </w:r>
      <w:r>
        <w:rPr>
          <w:rFonts w:ascii="Arial" w:cs="Arial" w:eastAsia="Arial" w:hAnsi="Arial"/>
          <w:sz w:val="19"/>
          <w:szCs w:val="19"/>
          <w:u w:val="single" w:color="auto"/>
          <w:color w:val="auto"/>
        </w:rPr>
        <w:t>Base TI Allowance</w:t>
      </w:r>
      <w:r>
        <w:rPr>
          <w:rFonts w:ascii="Arial" w:cs="Arial" w:eastAsia="Arial" w:hAnsi="Arial"/>
          <w:sz w:val="19"/>
          <w:szCs w:val="19"/>
          <w:color w:val="auto"/>
        </w:rPr>
        <w:t xml:space="preserve">”) plus (ii) if properly requested by Tenant pursuant to this </w:t>
      </w:r>
      <w:r>
        <w:rPr>
          <w:rFonts w:ascii="Arial" w:cs="Arial" w:eastAsia="Arial" w:hAnsi="Arial"/>
          <w:sz w:val="19"/>
          <w:szCs w:val="19"/>
          <w:u w:val="single" w:color="auto"/>
          <w:color w:val="auto"/>
        </w:rPr>
        <w:t>Section 6.a</w:t>
      </w:r>
      <w:r>
        <w:rPr>
          <w:rFonts w:ascii="Arial" w:cs="Arial" w:eastAsia="Arial" w:hAnsi="Arial"/>
          <w:sz w:val="19"/>
          <w:szCs w:val="19"/>
          <w:color w:val="auto"/>
        </w:rPr>
        <w:t>, an additional tenant allowance [***] the “</w:t>
      </w:r>
      <w:r>
        <w:rPr>
          <w:rFonts w:ascii="Arial" w:cs="Arial" w:eastAsia="Arial" w:hAnsi="Arial"/>
          <w:sz w:val="19"/>
          <w:szCs w:val="19"/>
          <w:u w:val="single" w:color="auto"/>
          <w:color w:val="auto"/>
        </w:rPr>
        <w:t>Additional TI Allowance</w:t>
      </w:r>
      <w:r>
        <w:rPr>
          <w:rFonts w:ascii="Arial" w:cs="Arial" w:eastAsia="Arial" w:hAnsi="Arial"/>
          <w:sz w:val="19"/>
          <w:szCs w:val="19"/>
          <w:color w:val="auto"/>
        </w:rPr>
        <w:t>”), [***] for use for any purpose elected by Tenant, in Tenant’s sole discretion, which may include, among others, improvements to the Premises (the “</w:t>
      </w:r>
      <w:r>
        <w:rPr>
          <w:rFonts w:ascii="Arial" w:cs="Arial" w:eastAsia="Arial" w:hAnsi="Arial"/>
          <w:sz w:val="19"/>
          <w:szCs w:val="19"/>
          <w:u w:val="single" w:color="auto"/>
          <w:color w:val="auto"/>
        </w:rPr>
        <w:t>Tenant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Improvements</w:t>
      </w:r>
      <w:r>
        <w:rPr>
          <w:rFonts w:ascii="Arial" w:cs="Arial" w:eastAsia="Arial" w:hAnsi="Arial"/>
          <w:sz w:val="19"/>
          <w:szCs w:val="19"/>
          <w:color w:val="auto"/>
        </w:rPr>
        <w:t xml:space="preserve">”) as described in the Work Letter attached to this Amendment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Work Letter</w:t>
      </w:r>
      <w:r>
        <w:rPr>
          <w:rFonts w:ascii="Arial" w:cs="Arial" w:eastAsia="Arial" w:hAnsi="Arial"/>
          <w:sz w:val="19"/>
          <w:szCs w:val="19"/>
          <w:color w:val="auto"/>
        </w:rPr>
        <w:t xml:space="preserve">”) and as otherwise provided in this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The Base TI Allowance, together with Additional TI Allowance (if properly requested by Tenant pursuant to this </w:t>
      </w:r>
      <w:r>
        <w:rPr>
          <w:rFonts w:ascii="Arial" w:cs="Arial" w:eastAsia="Arial" w:hAnsi="Arial"/>
          <w:sz w:val="19"/>
          <w:szCs w:val="19"/>
          <w:u w:val="single" w:color="auto"/>
          <w:color w:val="auto"/>
        </w:rPr>
        <w:t>Section 6.a</w:t>
      </w:r>
      <w:r>
        <w:rPr>
          <w:rFonts w:ascii="Arial" w:cs="Arial" w:eastAsia="Arial" w:hAnsi="Arial"/>
          <w:sz w:val="19"/>
          <w:szCs w:val="19"/>
          <w:color w:val="auto"/>
        </w:rPr>
        <w:t>), shall be referred to herein as the “</w:t>
      </w:r>
      <w:r>
        <w:rPr>
          <w:rFonts w:ascii="Arial" w:cs="Arial" w:eastAsia="Arial" w:hAnsi="Arial"/>
          <w:sz w:val="19"/>
          <w:szCs w:val="19"/>
          <w:u w:val="single" w:color="auto"/>
          <w:color w:val="auto"/>
        </w:rPr>
        <w:t>TI Allowance.</w:t>
      </w:r>
      <w:r>
        <w:rPr>
          <w:rFonts w:ascii="Arial" w:cs="Arial" w:eastAsia="Arial" w:hAnsi="Arial"/>
          <w:sz w:val="19"/>
          <w:szCs w:val="19"/>
          <w:color w:val="auto"/>
        </w:rPr>
        <w:t xml:space="preserve">” Landlord shall disburse the Base TI Allowance to Tenant [***] by wire transfer of immediately available funds to an account specified by Tenant. If Tenant desires all or any portion of the Additional TI Allowance, then Tenant shall deliver to Landlord a written request for such Additional TI Allowance, in the form attached to this Amendment as </w:t>
      </w:r>
      <w:r>
        <w:rPr>
          <w:rFonts w:ascii="Arial" w:cs="Arial" w:eastAsia="Arial" w:hAnsi="Arial"/>
          <w:sz w:val="19"/>
          <w:szCs w:val="19"/>
          <w:u w:val="single" w:color="auto"/>
          <w:color w:val="auto"/>
        </w:rPr>
        <w:t>Exhibit D</w:t>
      </w:r>
      <w:r>
        <w:rPr>
          <w:rFonts w:ascii="Arial" w:cs="Arial" w:eastAsia="Arial" w:hAnsi="Arial"/>
          <w:sz w:val="19"/>
          <w:szCs w:val="19"/>
          <w:color w:val="auto"/>
        </w:rPr>
        <w:t>, executed by an authorized officer of Tenant (an “</w:t>
      </w:r>
      <w:r>
        <w:rPr>
          <w:rFonts w:ascii="Arial" w:cs="Arial" w:eastAsia="Arial" w:hAnsi="Arial"/>
          <w:sz w:val="19"/>
          <w:szCs w:val="19"/>
          <w:u w:val="single" w:color="auto"/>
          <w:color w:val="auto"/>
        </w:rPr>
        <w:t>Additional TI Allowance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Request</w:t>
      </w:r>
      <w:r>
        <w:rPr>
          <w:rFonts w:ascii="Arial" w:cs="Arial" w:eastAsia="Arial" w:hAnsi="Arial"/>
          <w:sz w:val="19"/>
          <w:szCs w:val="19"/>
          <w:color w:val="auto"/>
        </w:rPr>
        <w:t xml:space="preserve">”), and, provided that no monetary or material non-monetary Default has occurred and is then continuing, Landlord shall disburse the requested amount of the Additional TI Allowance b wire transfer of immediate) available funds [***]. Tenant may make multiple draws against the Additional TI Allowance until such time as the entire Additional TI Allowance has been disbursed or the occurrence of the TI Deadline (as defined below), whichever occurs first. Tenant may use the Base TI Allowance (and Additional TI Allowance, if properly requested by Tenant pursuant to this </w:t>
      </w:r>
      <w:r>
        <w:rPr>
          <w:rFonts w:ascii="Arial" w:cs="Arial" w:eastAsia="Arial" w:hAnsi="Arial"/>
          <w:sz w:val="19"/>
          <w:szCs w:val="19"/>
          <w:u w:val="single" w:color="auto"/>
          <w:color w:val="auto"/>
        </w:rPr>
        <w:t>Section 6.a</w:t>
      </w:r>
      <w:r>
        <w:rPr>
          <w:rFonts w:ascii="Arial" w:cs="Arial" w:eastAsia="Arial" w:hAnsi="Arial"/>
          <w:sz w:val="19"/>
          <w:szCs w:val="19"/>
          <w:color w:val="auto"/>
        </w:rPr>
        <w:t>) in Tenant’s sole discretion for, among other things, financing hard and soft costs of the Tenant Improvements, purchasing furniture, fixtures and equipment for Tenant’s use at the Premises or defraying the cost of moving expenses and costs incurred by Tenant for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21"/>
          <w:szCs w:val="21"/>
          <w:color w:val="auto"/>
        </w:rPr>
        <w:t>9</w:t>
      </w:r>
    </w:p>
    <w:p>
      <w:pPr>
        <w:sectPr>
          <w:pgSz w:w="11900" w:h="16838" w:orient="portrait"/>
          <w:cols w:equalWidth="0" w:num="1">
            <w:col w:w="11240"/>
          </w:cols>
          <w:pgMar w:left="320" w:top="1400" w:right="339" w:bottom="1440" w:gutter="0" w:footer="0" w:header="0"/>
        </w:sectPr>
      </w:pPr>
    </w:p>
    <w:bookmarkStart w:id="388" w:name="page389"/>
    <w:bookmarkEnd w:id="388"/>
    <w:p>
      <w:pPr>
        <w:jc w:val="both"/>
        <w:spacing w:after="0" w:line="218" w:lineRule="auto"/>
        <w:rPr>
          <w:sz w:val="20"/>
          <w:szCs w:val="20"/>
          <w:color w:val="auto"/>
        </w:rPr>
      </w:pPr>
      <w:r>
        <w:rPr>
          <w:rFonts w:ascii="Arial" w:cs="Arial" w:eastAsia="Arial" w:hAnsi="Arial"/>
          <w:sz w:val="22"/>
          <w:szCs w:val="22"/>
          <w:color w:val="auto"/>
        </w:rPr>
        <w:t>lease obligations, or for any other purpose desired by Tenant. Landlord shall not be obligated to disburse any portion of the Additional TI Allowance unless and until Landlord shall have received from Tenant an Additional TI Allowance Request. In no event shall any portion of the TI Allowance not properly requested by Tenant pursuant to this Section 6.a entitle Tenant to a credit against Rent payable under this Lease.</w:t>
      </w:r>
    </w:p>
    <w:p>
      <w:pPr>
        <w:spacing w:after="0" w:line="161" w:lineRule="exact"/>
        <w:rPr>
          <w:sz w:val="20"/>
          <w:szCs w:val="20"/>
          <w:color w:val="auto"/>
        </w:rPr>
      </w:pPr>
    </w:p>
    <w:p>
      <w:pPr>
        <w:jc w:val="both"/>
        <w:ind w:firstLine="1304"/>
        <w:spacing w:after="0" w:line="246" w:lineRule="auto"/>
        <w:tabs>
          <w:tab w:leader="none" w:pos="1728" w:val="left"/>
        </w:tabs>
        <w:numPr>
          <w:ilvl w:val="1"/>
          <w:numId w:val="333"/>
        </w:numPr>
        <w:rPr>
          <w:rFonts w:ascii="Arial" w:cs="Arial" w:eastAsia="Arial" w:hAnsi="Arial"/>
          <w:sz w:val="19"/>
          <w:szCs w:val="19"/>
          <w:color w:val="auto"/>
        </w:rPr>
      </w:pPr>
      <w:r>
        <w:rPr>
          <w:rFonts w:ascii="Arial" w:cs="Arial" w:eastAsia="Arial" w:hAnsi="Arial"/>
          <w:sz w:val="19"/>
          <w:szCs w:val="19"/>
          <w:u w:val="single" w:color="auto"/>
          <w:color w:val="auto"/>
        </w:rPr>
        <w:t>TI Deadline; TI True-Up Date.</w:t>
      </w:r>
      <w:r>
        <w:rPr>
          <w:rFonts w:ascii="Arial" w:cs="Arial" w:eastAsia="Arial" w:hAnsi="Arial"/>
          <w:sz w:val="19"/>
          <w:szCs w:val="19"/>
          <w:color w:val="auto"/>
        </w:rPr>
        <w:t xml:space="preserve"> Tenant shall [***] request disbursement of any portion of the Additional TI Allowance not previously disbursed, after which date Landlord’s obligation to fund such costs shall expire. Upon disbursement of any portion of the Additional TI Allowance, Base Rent shall be increased to include such amount of the Additional TI Allowance then disbursed by Landlord in accordance with this Lease amortized over the Revised Term [***]. The amount by which Base Rent shall be increased with respect to any disbursement of the Additional IT Allowance shall be determined (and Base Rent shall be increased accordingly) as of the date of such disbursement, with Tenant paying (on the next succeeding day that Base Rent is due under this Lease (the “</w:t>
      </w:r>
      <w:r>
        <w:rPr>
          <w:rFonts w:ascii="Arial" w:cs="Arial" w:eastAsia="Arial" w:hAnsi="Arial"/>
          <w:sz w:val="19"/>
          <w:szCs w:val="19"/>
          <w:u w:val="single" w:color="auto"/>
          <w:color w:val="auto"/>
        </w:rPr>
        <w:t>TI True-Up Date</w:t>
      </w:r>
      <w:r>
        <w:rPr>
          <w:rFonts w:ascii="Arial" w:cs="Arial" w:eastAsia="Arial" w:hAnsi="Arial"/>
          <w:sz w:val="19"/>
          <w:szCs w:val="19"/>
          <w:color w:val="auto"/>
        </w:rPr>
        <w:t>”)) any underpayment of the further adjusted Base Rent for the period beginning on the Revised Term Commencement Date and ending on the TI True-Up Date.</w:t>
      </w:r>
    </w:p>
    <w:p>
      <w:pPr>
        <w:spacing w:after="0" w:line="152" w:lineRule="exact"/>
        <w:rPr>
          <w:rFonts w:ascii="Arial" w:cs="Arial" w:eastAsia="Arial" w:hAnsi="Arial"/>
          <w:sz w:val="19"/>
          <w:szCs w:val="19"/>
          <w:color w:val="auto"/>
        </w:rPr>
      </w:pPr>
    </w:p>
    <w:p>
      <w:pPr>
        <w:jc w:val="both"/>
        <w:ind w:firstLine="1304"/>
        <w:spacing w:after="0" w:line="244" w:lineRule="auto"/>
        <w:tabs>
          <w:tab w:leader="none" w:pos="1905" w:val="left"/>
        </w:tabs>
        <w:numPr>
          <w:ilvl w:val="1"/>
          <w:numId w:val="333"/>
        </w:numPr>
        <w:rPr>
          <w:rFonts w:ascii="Arial" w:cs="Arial" w:eastAsia="Arial" w:hAnsi="Arial"/>
          <w:sz w:val="19"/>
          <w:szCs w:val="19"/>
          <w:color w:val="auto"/>
        </w:rPr>
      </w:pPr>
      <w:r>
        <w:rPr>
          <w:rFonts w:ascii="Arial" w:cs="Arial" w:eastAsia="Arial" w:hAnsi="Arial"/>
          <w:sz w:val="19"/>
          <w:szCs w:val="19"/>
          <w:u w:val="single" w:color="auto"/>
          <w:color w:val="auto"/>
        </w:rPr>
        <w:t>Completion Evidence.</w:t>
      </w:r>
      <w:r>
        <w:rPr>
          <w:rFonts w:ascii="Arial" w:cs="Arial" w:eastAsia="Arial" w:hAnsi="Arial"/>
          <w:sz w:val="19"/>
          <w:szCs w:val="19"/>
          <w:color w:val="auto"/>
        </w:rPr>
        <w:t xml:space="preserve"> Tenant shall deliver to Landlord the following (collectively, the “</w:t>
      </w:r>
      <w:r>
        <w:rPr>
          <w:rFonts w:ascii="Arial" w:cs="Arial" w:eastAsia="Arial" w:hAnsi="Arial"/>
          <w:sz w:val="19"/>
          <w:szCs w:val="19"/>
          <w:u w:val="single" w:color="auto"/>
          <w:color w:val="auto"/>
        </w:rPr>
        <w:t>Completion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Evidence</w:t>
      </w:r>
      <w:r>
        <w:rPr>
          <w:rFonts w:ascii="Arial" w:cs="Arial" w:eastAsia="Arial" w:hAnsi="Arial"/>
          <w:sz w:val="19"/>
          <w:szCs w:val="19"/>
          <w:color w:val="auto"/>
        </w:rPr>
        <w:t xml:space="preserve">”) on or before the TI Deadline (time being of the essence): (i) a statement setting forth the total cost of the Tenant Improvements, including supporting invoices (paid or presently due and payable) for Tenant’s costs; (ii) all of the TI Submittals (as defined in the Work Letter); and (iii) such other deliveries as Landlord or one of its lenders reasonably requests. Notwithstanding the TI Deadline, Tenant shall cooperate with Landlord’s reasonable requests for portions of the Completion Evidence from time to time as the same become available. Tenant’s failure to deliver the Completion Evidence on or before the TI Deadline shall constitute a Default under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of the Existing Lease, and in addition to all other remedies available to Landlord under the Lease, at law and in equity, shall permit Landlord to obtain such Completion Evidence on Tenant’s behalf and Tenant shall immediately reimburse Landlord for the reasonable costs thereof as Additional Rent.</w:t>
      </w:r>
    </w:p>
    <w:p>
      <w:pPr>
        <w:spacing w:after="0" w:line="160" w:lineRule="exact"/>
        <w:rPr>
          <w:rFonts w:ascii="Arial" w:cs="Arial" w:eastAsia="Arial" w:hAnsi="Arial"/>
          <w:sz w:val="19"/>
          <w:szCs w:val="19"/>
          <w:color w:val="auto"/>
        </w:rPr>
      </w:pPr>
    </w:p>
    <w:p>
      <w:pPr>
        <w:jc w:val="both"/>
        <w:ind w:firstLine="1304"/>
        <w:spacing w:after="0" w:line="218" w:lineRule="auto"/>
        <w:tabs>
          <w:tab w:leader="none" w:pos="1890" w:val="left"/>
        </w:tabs>
        <w:numPr>
          <w:ilvl w:val="1"/>
          <w:numId w:val="333"/>
        </w:numPr>
        <w:rPr>
          <w:rFonts w:ascii="Arial" w:cs="Arial" w:eastAsia="Arial" w:hAnsi="Arial"/>
          <w:sz w:val="22"/>
          <w:szCs w:val="22"/>
          <w:color w:val="auto"/>
        </w:rPr>
      </w:pPr>
      <w:r>
        <w:rPr>
          <w:rFonts w:ascii="Arial" w:cs="Arial" w:eastAsia="Arial" w:hAnsi="Arial"/>
          <w:sz w:val="22"/>
          <w:szCs w:val="22"/>
          <w:u w:val="single" w:color="auto"/>
          <w:color w:val="auto"/>
        </w:rPr>
        <w:t>Insurance Coverage</w:t>
      </w:r>
      <w:r>
        <w:rPr>
          <w:rFonts w:ascii="Arial" w:cs="Arial" w:eastAsia="Arial" w:hAnsi="Arial"/>
          <w:sz w:val="22"/>
          <w:szCs w:val="22"/>
          <w:color w:val="auto"/>
        </w:rPr>
        <w:t xml:space="preserve">. Prior to entering upon the Premises, Tenant shall furnish to Landlord evidence satisfactory to Landlord that insurance coverages required of Tenant under the provisions of </w:t>
      </w:r>
      <w:r>
        <w:rPr>
          <w:rFonts w:ascii="Arial" w:cs="Arial" w:eastAsia="Arial" w:hAnsi="Arial"/>
          <w:sz w:val="22"/>
          <w:szCs w:val="22"/>
          <w:u w:val="single" w:color="auto"/>
          <w:color w:val="auto"/>
        </w:rPr>
        <w:t>Article 23</w:t>
      </w:r>
      <w:r>
        <w:rPr>
          <w:rFonts w:ascii="Arial" w:cs="Arial" w:eastAsia="Arial" w:hAnsi="Arial"/>
          <w:sz w:val="22"/>
          <w:szCs w:val="22"/>
          <w:color w:val="auto"/>
        </w:rPr>
        <w:t xml:space="preserve"> of the Existing Lease are in effect, and such entry shall be subject to all the terms and conditions of this Lease other than the payment of Base Rent or Tenant’s Share of Operating Expenses.</w:t>
      </w:r>
    </w:p>
    <w:p>
      <w:pPr>
        <w:spacing w:after="0" w:line="160" w:lineRule="exact"/>
        <w:rPr>
          <w:rFonts w:ascii="Arial" w:cs="Arial" w:eastAsia="Arial" w:hAnsi="Arial"/>
          <w:sz w:val="22"/>
          <w:szCs w:val="22"/>
          <w:color w:val="auto"/>
        </w:rPr>
      </w:pPr>
    </w:p>
    <w:p>
      <w:pPr>
        <w:jc w:val="both"/>
        <w:ind w:firstLine="1304"/>
        <w:spacing w:after="0" w:line="244" w:lineRule="auto"/>
        <w:tabs>
          <w:tab w:leader="none" w:pos="1716" w:val="left"/>
        </w:tabs>
        <w:numPr>
          <w:ilvl w:val="1"/>
          <w:numId w:val="333"/>
        </w:numPr>
        <w:rPr>
          <w:rFonts w:ascii="Arial" w:cs="Arial" w:eastAsia="Arial" w:hAnsi="Arial"/>
          <w:sz w:val="19"/>
          <w:szCs w:val="19"/>
          <w:color w:val="auto"/>
        </w:rPr>
      </w:pPr>
      <w:r>
        <w:rPr>
          <w:rFonts w:ascii="Arial" w:cs="Arial" w:eastAsia="Arial" w:hAnsi="Arial"/>
          <w:sz w:val="19"/>
          <w:szCs w:val="19"/>
          <w:u w:val="single" w:color="auto"/>
          <w:color w:val="auto"/>
        </w:rPr>
        <w:t>Construction of Tenant Improvements</w:t>
      </w:r>
      <w:r>
        <w:rPr>
          <w:rFonts w:ascii="Arial" w:cs="Arial" w:eastAsia="Arial" w:hAnsi="Arial"/>
          <w:sz w:val="19"/>
          <w:szCs w:val="19"/>
          <w:color w:val="auto"/>
        </w:rPr>
        <w:t>. Tenant shall select the architect, engineer, and general contractor for the construction of the Tenant Improvements, subject to Landlord’s approval, such approval not to be unreasonably withheld, conditioned or delayed. Notwithstanding anything to the contrary set forth in the Lease, Tenant shall not be obligated to pay Landlord a construction management fee or any similar construction oversight fee with respect to the Tenant Improvements. Upon Substantial Completion (as hereinafter defined) of the Tenant Improvements, Tenant shall deliver to Landlord (i) a certificate of occupancy for the Premises suitable for the Permitted Use and (ii) a Certificate of Substantial Completion in the form of the American Institute of Architects document G704, executed by the project architect and the general contractor. The term “</w:t>
      </w:r>
      <w:r>
        <w:rPr>
          <w:rFonts w:ascii="Arial" w:cs="Arial" w:eastAsia="Arial" w:hAnsi="Arial"/>
          <w:sz w:val="19"/>
          <w:szCs w:val="19"/>
          <w:u w:val="single" w:color="auto"/>
          <w:color w:val="auto"/>
        </w:rPr>
        <w:t>Substantially Complete</w:t>
      </w:r>
      <w:r>
        <w:rPr>
          <w:rFonts w:ascii="Arial" w:cs="Arial" w:eastAsia="Arial" w:hAnsi="Arial"/>
          <w:sz w:val="19"/>
          <w:szCs w:val="19"/>
          <w:color w:val="auto"/>
        </w:rPr>
        <w:t>” or “</w:t>
      </w:r>
      <w:r>
        <w:rPr>
          <w:rFonts w:ascii="Arial" w:cs="Arial" w:eastAsia="Arial" w:hAnsi="Arial"/>
          <w:sz w:val="19"/>
          <w:szCs w:val="19"/>
          <w:u w:val="single" w:color="auto"/>
          <w:color w:val="auto"/>
        </w:rPr>
        <w:t>Substantial Completion</w:t>
      </w:r>
      <w:r>
        <w:rPr>
          <w:rFonts w:ascii="Arial" w:cs="Arial" w:eastAsia="Arial" w:hAnsi="Arial"/>
          <w:sz w:val="19"/>
          <w:szCs w:val="19"/>
          <w:color w:val="auto"/>
        </w:rPr>
        <w:t>” means that the Tenant Improvements are substantially complete in accordance with the Approved Plans (as defined in the Work Letter), except for punch list items.</w:t>
      </w:r>
    </w:p>
    <w:p>
      <w:pPr>
        <w:spacing w:after="0" w:line="160" w:lineRule="exact"/>
        <w:rPr>
          <w:rFonts w:ascii="Arial" w:cs="Arial" w:eastAsia="Arial" w:hAnsi="Arial"/>
          <w:sz w:val="19"/>
          <w:szCs w:val="19"/>
          <w:color w:val="auto"/>
        </w:rPr>
      </w:pPr>
    </w:p>
    <w:p>
      <w:pPr>
        <w:jc w:val="both"/>
        <w:ind w:firstLine="656"/>
        <w:spacing w:after="0" w:line="268" w:lineRule="auto"/>
        <w:tabs>
          <w:tab w:leader="none" w:pos="1026" w:val="left"/>
        </w:tabs>
        <w:numPr>
          <w:ilvl w:val="0"/>
          <w:numId w:val="334"/>
        </w:numPr>
        <w:rPr>
          <w:rFonts w:ascii="Arial" w:cs="Arial" w:eastAsia="Arial" w:hAnsi="Arial"/>
          <w:sz w:val="19"/>
          <w:szCs w:val="19"/>
          <w:color w:val="auto"/>
        </w:rPr>
      </w:pPr>
      <w:r>
        <w:rPr>
          <w:rFonts w:ascii="Arial" w:cs="Arial" w:eastAsia="Arial" w:hAnsi="Arial"/>
          <w:sz w:val="19"/>
          <w:szCs w:val="19"/>
          <w:u w:val="single" w:color="auto"/>
          <w:color w:val="auto"/>
        </w:rPr>
        <w:t>Controllable Operating Expenses</w:t>
      </w:r>
      <w:r>
        <w:rPr>
          <w:rFonts w:ascii="Arial" w:cs="Arial" w:eastAsia="Arial" w:hAnsi="Arial"/>
          <w:sz w:val="19"/>
          <w:szCs w:val="19"/>
          <w:color w:val="auto"/>
        </w:rPr>
        <w:t>. Notwithstanding anything to the contrary set forth in the Lease, during the Revised Term, Tenant shall not be obligated to pay any increase in Controllable Operating Expenses (as hereinafter defined) on a non-cumulative basis by more than [***] in any calendar year over the amount of Controllable Operating Expenses chargeable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10</w:t>
      </w:r>
    </w:p>
    <w:p>
      <w:pPr>
        <w:sectPr>
          <w:pgSz w:w="11900" w:h="16838" w:orient="portrait"/>
          <w:cols w:equalWidth="0" w:num="1">
            <w:col w:w="11240"/>
          </w:cols>
          <w:pgMar w:left="320" w:top="1400" w:right="339" w:bottom="1440" w:gutter="0" w:footer="0" w:header="0"/>
        </w:sectPr>
      </w:pPr>
    </w:p>
    <w:bookmarkStart w:id="389" w:name="page390"/>
    <w:bookmarkEnd w:id="389"/>
    <w:p>
      <w:pPr>
        <w:jc w:val="both"/>
        <w:spacing w:after="0" w:line="211" w:lineRule="auto"/>
        <w:rPr>
          <w:sz w:val="20"/>
          <w:szCs w:val="20"/>
          <w:color w:val="auto"/>
        </w:rPr>
      </w:pPr>
      <w:r>
        <w:rPr>
          <w:rFonts w:ascii="Arial" w:cs="Arial" w:eastAsia="Arial" w:hAnsi="Arial"/>
          <w:sz w:val="22"/>
          <w:szCs w:val="22"/>
          <w:color w:val="auto"/>
        </w:rPr>
        <w:t>to Tenant for the immediately preceding calendar year, beginning with Controllable Operating Expenses from the calendar year immediately succeeding the calendar year in which the Revised Term Commencement Date occurs. The term “</w:t>
      </w:r>
      <w:r>
        <w:rPr>
          <w:rFonts w:ascii="Arial" w:cs="Arial" w:eastAsia="Arial" w:hAnsi="Arial"/>
          <w:sz w:val="22"/>
          <w:szCs w:val="22"/>
          <w:u w:val="single" w:color="auto"/>
          <w:color w:val="auto"/>
        </w:rPr>
        <w:t>Controllable</w:t>
      </w:r>
      <w:r>
        <w:rPr>
          <w:rFonts w:ascii="Arial" w:cs="Arial" w:eastAsia="Arial" w:hAnsi="Arial"/>
          <w:sz w:val="22"/>
          <w:szCs w:val="22"/>
          <w:color w:val="auto"/>
        </w:rPr>
        <w:t xml:space="preserve"> </w:t>
      </w:r>
      <w:r>
        <w:rPr>
          <w:rFonts w:ascii="Arial" w:cs="Arial" w:eastAsia="Arial" w:hAnsi="Arial"/>
          <w:sz w:val="22"/>
          <w:szCs w:val="22"/>
          <w:u w:val="single" w:color="auto"/>
          <w:color w:val="auto"/>
        </w:rPr>
        <w:t>Operating Expenses</w:t>
      </w:r>
      <w:r>
        <w:rPr>
          <w:rFonts w:ascii="Arial" w:cs="Arial" w:eastAsia="Arial" w:hAnsi="Arial"/>
          <w:sz w:val="22"/>
          <w:szCs w:val="22"/>
          <w:color w:val="auto"/>
        </w:rPr>
        <w:t>” shall mean all Operating Expenses except for taxes, assessments or impositions, Capital Expenditures, costs for repairs and maintenance (excluding preventative maintenance), utility charges, sewer fees, license, permit or inspection fees imposed by a Governmental Authority, insurance premiums, mandatory payments under CC&amp;R’s or to an owners’ association, costs for snow removal, costs associated with repairs due to casualty, vandalism, costs for snow removal or other costs outside of Landlord’s reasonable control or costs that Landlord reasonably determines are necessary to prevent an adverse effect on the Building structure.</w:t>
      </w:r>
    </w:p>
    <w:p>
      <w:pPr>
        <w:spacing w:after="0" w:line="165" w:lineRule="exact"/>
        <w:rPr>
          <w:sz w:val="20"/>
          <w:szCs w:val="20"/>
          <w:color w:val="auto"/>
        </w:rPr>
      </w:pPr>
    </w:p>
    <w:p>
      <w:pPr>
        <w:jc w:val="both"/>
        <w:ind w:firstLine="656"/>
        <w:spacing w:after="0" w:line="220" w:lineRule="auto"/>
        <w:tabs>
          <w:tab w:leader="none" w:pos="1026" w:val="left"/>
        </w:tabs>
        <w:numPr>
          <w:ilvl w:val="1"/>
          <w:numId w:val="335"/>
        </w:numPr>
        <w:rPr>
          <w:rFonts w:ascii="Arial" w:cs="Arial" w:eastAsia="Arial" w:hAnsi="Arial"/>
          <w:sz w:val="21"/>
          <w:szCs w:val="21"/>
          <w:color w:val="auto"/>
        </w:rPr>
      </w:pPr>
      <w:r>
        <w:rPr>
          <w:rFonts w:ascii="Arial" w:cs="Arial" w:eastAsia="Arial" w:hAnsi="Arial"/>
          <w:sz w:val="21"/>
          <w:szCs w:val="21"/>
          <w:u w:val="single" w:color="auto"/>
          <w:color w:val="auto"/>
        </w:rPr>
        <w:t>Project Amenities</w:t>
      </w:r>
      <w:r>
        <w:rPr>
          <w:rFonts w:ascii="Arial" w:cs="Arial" w:eastAsia="Arial" w:hAnsi="Arial"/>
          <w:sz w:val="21"/>
          <w:szCs w:val="21"/>
          <w:color w:val="auto"/>
        </w:rPr>
        <w:t>. [***] Tenant shall be entitled to use the large conference areas and exercise/fitness areas located at 9714 Medical Center Drive in the Lower Campus and the parking spaces serving such areas (the “</w:t>
      </w:r>
      <w:r>
        <w:rPr>
          <w:rFonts w:ascii="Arial" w:cs="Arial" w:eastAsia="Arial" w:hAnsi="Arial"/>
          <w:sz w:val="21"/>
          <w:szCs w:val="21"/>
          <w:u w:val="single" w:color="auto"/>
          <w:color w:val="auto"/>
        </w:rPr>
        <w:t>Amenities</w:t>
      </w:r>
      <w:r>
        <w:rPr>
          <w:rFonts w:ascii="Arial" w:cs="Arial" w:eastAsia="Arial" w:hAnsi="Arial"/>
          <w:sz w:val="21"/>
          <w:szCs w:val="21"/>
          <w:color w:val="auto"/>
        </w:rPr>
        <w:t>”) at no additional charge (except as provided in this Section), provided such use shall be subject to the use of such Amenities by other tenants of the Project on a first come, first served basis, as well as any temporary closures of the Amenities (or any portion thereof) by Landlord in connection with any maintenance, repair, alterations or improvements to be performed. During the Revised Term, Tenant shall be required to pay its proportionate share of the operating costs paid or incurred by Landlord in connection with the operation or maintenance of such Amenities, to the extent considered Operating Expenses under Section 9 of the Lease. During the Revised Term, Landlord shall continue to operate and maintain the Amenities in a manner substantially consistent with its current practices, subject to temporary closures for maintenance and repairs, alterations or additions necessitated by Applicable Laws and events of Force Majeure.</w:t>
      </w:r>
    </w:p>
    <w:p>
      <w:pPr>
        <w:spacing w:after="0" w:line="162" w:lineRule="exact"/>
        <w:rPr>
          <w:rFonts w:ascii="Arial" w:cs="Arial" w:eastAsia="Arial" w:hAnsi="Arial"/>
          <w:sz w:val="21"/>
          <w:szCs w:val="21"/>
          <w:color w:val="auto"/>
        </w:rPr>
      </w:pPr>
    </w:p>
    <w:p>
      <w:pPr>
        <w:jc w:val="both"/>
        <w:ind w:firstLine="656"/>
        <w:spacing w:after="0"/>
        <w:tabs>
          <w:tab w:leader="none" w:pos="1039" w:val="left"/>
        </w:tabs>
        <w:numPr>
          <w:ilvl w:val="1"/>
          <w:numId w:val="335"/>
        </w:numPr>
        <w:rPr>
          <w:rFonts w:ascii="Arial" w:cs="Arial" w:eastAsia="Arial" w:hAnsi="Arial"/>
          <w:sz w:val="19"/>
          <w:szCs w:val="19"/>
          <w:color w:val="auto"/>
        </w:rPr>
      </w:pPr>
      <w:r>
        <w:rPr>
          <w:rFonts w:ascii="Arial" w:cs="Arial" w:eastAsia="Arial" w:hAnsi="Arial"/>
          <w:sz w:val="19"/>
          <w:szCs w:val="19"/>
          <w:u w:val="single" w:color="auto"/>
          <w:color w:val="auto"/>
        </w:rPr>
        <w:t>Condition of Premises.</w:t>
      </w:r>
      <w:r>
        <w:rPr>
          <w:rFonts w:ascii="Arial" w:cs="Arial" w:eastAsia="Arial" w:hAnsi="Arial"/>
          <w:sz w:val="19"/>
          <w:szCs w:val="19"/>
          <w:color w:val="auto"/>
        </w:rPr>
        <w:t xml:space="preserve"> Landlord shall deliver to Tenant a copy of each final Exit Survey submitted by JCVI pursuant to the Assignment Agreement (“</w:t>
      </w:r>
      <w:r>
        <w:rPr>
          <w:rFonts w:ascii="Arial" w:cs="Arial" w:eastAsia="Arial" w:hAnsi="Arial"/>
          <w:sz w:val="19"/>
          <w:szCs w:val="19"/>
          <w:u w:val="single" w:color="auto"/>
          <w:color w:val="auto"/>
        </w:rPr>
        <w:t>JCVI Exit Survey</w:t>
      </w:r>
      <w:r>
        <w:rPr>
          <w:rFonts w:ascii="Arial" w:cs="Arial" w:eastAsia="Arial" w:hAnsi="Arial"/>
          <w:sz w:val="19"/>
          <w:szCs w:val="19"/>
          <w:color w:val="auto"/>
        </w:rPr>
        <w:t>”) upon Landlord’s receipt, without any representation or warranty, express or implied, including but not limited to any representation or warranty regarding the accuracy or completeness of the JCVI Exit Survey. The delivery of such JCVI Exit Survey shall not be deemed to be a representation or warranty regarding the physical or environmental condition of the Premises. On the Revised Term Commencement Date, Landlord shall deliver possession of the Premises to Tenant in broom clean condition. Tenant acknowledges that (a) except as expressly provided in this Second Amendment or the Lease, Tenant agrees to take the Premises in its condition “as is” as of the first day of the Revised Term, and</w:t>
      </w:r>
    </w:p>
    <w:p>
      <w:pPr>
        <w:jc w:val="both"/>
        <w:ind w:firstLine="8"/>
        <w:spacing w:after="0"/>
        <w:tabs>
          <w:tab w:leader="none" w:pos="314" w:val="left"/>
        </w:tabs>
        <w:numPr>
          <w:ilvl w:val="0"/>
          <w:numId w:val="336"/>
        </w:numPr>
        <w:rPr>
          <w:rFonts w:ascii="Arial" w:cs="Arial" w:eastAsia="Arial" w:hAnsi="Arial"/>
          <w:sz w:val="19"/>
          <w:szCs w:val="19"/>
          <w:color w:val="auto"/>
        </w:rPr>
      </w:pPr>
      <w:r>
        <w:rPr>
          <w:rFonts w:ascii="Arial" w:cs="Arial" w:eastAsia="Arial" w:hAnsi="Arial"/>
          <w:sz w:val="19"/>
          <w:szCs w:val="19"/>
          <w:color w:val="auto"/>
        </w:rPr>
        <w:t>Landlord shall have no obligation to alter, repair or otherwise prepare the Premises for Tenant’s continued occupancy for the Revised Term or to pay for any improvements to the Premises, except as expressly provided in this Second Amendment or the Lease. Tenant’s taking of possession of the Premises on the Revised Term Commencement Date shall, except as otherwise agreed to in writing by Landlord and Tenant, conclusively establish that the Premises, the Building, the Building systems and the Project were at such time in good, sanitary and satisfactory condition and repair. Notwithstanding the foregoing, at any time during the first twenty-four (24) months of the Revised Term (the “</w:t>
      </w:r>
      <w:r>
        <w:rPr>
          <w:rFonts w:ascii="Arial" w:cs="Arial" w:eastAsia="Arial" w:hAnsi="Arial"/>
          <w:sz w:val="19"/>
          <w:szCs w:val="19"/>
          <w:u w:val="single" w:color="auto"/>
          <w:color w:val="auto"/>
        </w:rPr>
        <w:t>Warranty Period</w:t>
      </w:r>
      <w:r>
        <w:rPr>
          <w:rFonts w:ascii="Arial" w:cs="Arial" w:eastAsia="Arial" w:hAnsi="Arial"/>
          <w:sz w:val="19"/>
          <w:szCs w:val="19"/>
          <w:color w:val="auto"/>
        </w:rPr>
        <w:t xml:space="preserve">”), if any standard HVAC units (but specifically excluding any specialized HVAC units added by Tenant, such as those units that may be required for manufacturing) serving the Premises shall fail to be in good working order, then Tenant may deliver written notice to Landlord describing in reasonable detail such failure, and Landlord will perform the work necessary to put the HVAC unit in good working order with reasonable promptness and at Landlord’s sole cost as Tenant’s sole remedy for any such failure (and Tenant shall not be entitled to damages or any other remedy as a result of such failure, except as provided in </w:t>
      </w:r>
      <w:r>
        <w:rPr>
          <w:rFonts w:ascii="Arial" w:cs="Arial" w:eastAsia="Arial" w:hAnsi="Arial"/>
          <w:sz w:val="19"/>
          <w:szCs w:val="19"/>
          <w:u w:val="single" w:color="auto"/>
          <w:color w:val="auto"/>
        </w:rPr>
        <w:t>Section 16.2</w:t>
      </w:r>
      <w:r>
        <w:rPr>
          <w:rFonts w:ascii="Arial" w:cs="Arial" w:eastAsia="Arial" w:hAnsi="Arial"/>
          <w:sz w:val="19"/>
          <w:szCs w:val="19"/>
          <w:color w:val="auto"/>
        </w:rPr>
        <w:t xml:space="preserve"> of the Lease); provided, however, that Landlord’s obligations pursuant to the foregoing shall be limited to necessary repairs and/or replacements, as determined by Landlord in its reasonable discretion, and Tenant shall remain responsible for the standard preventative maintenance and upkeep of such HVAC units in the ordinary course. During the Warranty Period, all costs which are the obligation of Landlord pursuant to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be borne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11</w:t>
      </w:r>
    </w:p>
    <w:p>
      <w:pPr>
        <w:sectPr>
          <w:pgSz w:w="11900" w:h="16838" w:orient="portrait"/>
          <w:cols w:equalWidth="0" w:num="1">
            <w:col w:w="11240"/>
          </w:cols>
          <w:pgMar w:left="320" w:top="1400" w:right="339" w:bottom="1440" w:gutter="0" w:footer="0" w:header="0"/>
        </w:sectPr>
      </w:pPr>
    </w:p>
    <w:bookmarkStart w:id="390" w:name="page391"/>
    <w:bookmarkEnd w:id="390"/>
    <w:p>
      <w:pPr>
        <w:jc w:val="both"/>
        <w:spacing w:after="0" w:line="223" w:lineRule="auto"/>
        <w:rPr>
          <w:sz w:val="20"/>
          <w:szCs w:val="20"/>
          <w:color w:val="auto"/>
        </w:rPr>
      </w:pPr>
      <w:r>
        <w:rPr>
          <w:rFonts w:ascii="Arial" w:cs="Arial" w:eastAsia="Arial" w:hAnsi="Arial"/>
          <w:sz w:val="22"/>
          <w:szCs w:val="22"/>
          <w:color w:val="auto"/>
        </w:rPr>
        <w:t>solely by Landlord and not included as Operating Expenses, provided Tenant (and not Landlord) shall be responsible for all costs, in whole or in part, that are incurred to the extent attributable to the negligence or willful misconduct of Tenant or any of its employees, contractors or subcontractors.</w:t>
      </w:r>
    </w:p>
    <w:p>
      <w:pPr>
        <w:spacing w:after="0" w:line="159" w:lineRule="exact"/>
        <w:rPr>
          <w:sz w:val="20"/>
          <w:szCs w:val="20"/>
          <w:color w:val="auto"/>
        </w:rPr>
      </w:pPr>
    </w:p>
    <w:p>
      <w:pPr>
        <w:jc w:val="both"/>
        <w:ind w:firstLine="656"/>
        <w:spacing w:after="0" w:line="241" w:lineRule="auto"/>
        <w:tabs>
          <w:tab w:leader="none" w:pos="1188" w:val="left"/>
        </w:tabs>
        <w:numPr>
          <w:ilvl w:val="0"/>
          <w:numId w:val="337"/>
        </w:numPr>
        <w:rPr>
          <w:rFonts w:ascii="Arial" w:cs="Arial" w:eastAsia="Arial" w:hAnsi="Arial"/>
          <w:sz w:val="19"/>
          <w:szCs w:val="19"/>
          <w:color w:val="auto"/>
        </w:rPr>
      </w:pPr>
      <w:r>
        <w:rPr>
          <w:rFonts w:ascii="Arial" w:cs="Arial" w:eastAsia="Arial" w:hAnsi="Arial"/>
          <w:sz w:val="19"/>
          <w:szCs w:val="19"/>
          <w:u w:val="single" w:color="auto"/>
          <w:color w:val="auto"/>
        </w:rPr>
        <w:t>Utilities and Services.</w:t>
      </w:r>
      <w:r>
        <w:rPr>
          <w:rFonts w:ascii="Arial" w:cs="Arial" w:eastAsia="Arial" w:hAnsi="Arial"/>
          <w:sz w:val="19"/>
          <w:szCs w:val="19"/>
          <w:color w:val="auto"/>
        </w:rPr>
        <w:t xml:space="preserve"> During the Revised Term, Tenant shall, at its sole cost and expense, promptly and properly observe and comply with (including in the making by Tenant of any Alterations to the Premises) all orders, regulations, directions, rules, laws, ordinances, and requirements of all Governmental Authorities from the use or occupancy of, or applicable to, the Premises or any portion thereof, except as otherwise provided under this Second Amendment or the Lease, and subject to the terms and conditions of the Landlord Consent. During the Revised Term, Tenant shall, at Tenant’s sole cost and expense, procure and maintain standard preventative maintenance contracts, with copies of the same, in customary form and substance for, and with contractors specializing and experienced in, the maintenance of the following equipment and improvements, if any, if and when installed on the Premises: (i) heating, ventilating and air conditioning (“</w:t>
      </w:r>
      <w:r>
        <w:rPr>
          <w:rFonts w:ascii="Arial" w:cs="Arial" w:eastAsia="Arial" w:hAnsi="Arial"/>
          <w:sz w:val="19"/>
          <w:szCs w:val="19"/>
          <w:u w:val="single" w:color="auto"/>
          <w:color w:val="auto"/>
        </w:rPr>
        <w:t>HVAC</w:t>
      </w:r>
      <w:r>
        <w:rPr>
          <w:rFonts w:ascii="Arial" w:cs="Arial" w:eastAsia="Arial" w:hAnsi="Arial"/>
          <w:sz w:val="19"/>
          <w:szCs w:val="19"/>
          <w:color w:val="auto"/>
        </w:rPr>
        <w:t>”) equipment, (ii) boilers and pressure vessels, (iii) fire extinguishing systems, including fire alarm and smoke detection devices, (iv) roof coverings and drains, (v) clarifiers, (vi) basic utility feeds to the perimeter of the Building, (vii) hoods, and (viii) any other equipment located in the Premises reasonably required by Landlord. Tenant shall make all arrangements for and pay for all water, electricity, air, sewer, refuse, gas, heat, light, power, telephone service and any other service or utility Tenant required at the Premises. Tenant shall not be liable for the cost of utilities supplied to the Premises attributable to the time period prior to the Revised Term Commencement Date; provided, however, that, if Landlord shall permit Tenant possession of the Premises prior to the Revised Term Commencement Date and Tenant uses the Premises for any purpose other than the installation of furniture, fixtures and equipment and the placement of personal property as set forth in Section 5 above, then Tenant shall be responsible for the actual out-of-pocket cost of utilities supplied to the Premises from such earlier date of possession.</w:t>
      </w:r>
    </w:p>
    <w:p>
      <w:pPr>
        <w:spacing w:after="0" w:line="158" w:lineRule="exact"/>
        <w:rPr>
          <w:rFonts w:ascii="Arial" w:cs="Arial" w:eastAsia="Arial" w:hAnsi="Arial"/>
          <w:sz w:val="19"/>
          <w:szCs w:val="19"/>
          <w:color w:val="auto"/>
        </w:rPr>
      </w:pPr>
    </w:p>
    <w:p>
      <w:pPr>
        <w:jc w:val="both"/>
        <w:ind w:firstLine="656"/>
        <w:spacing w:after="0" w:line="220" w:lineRule="auto"/>
        <w:tabs>
          <w:tab w:leader="none" w:pos="1126" w:val="left"/>
        </w:tabs>
        <w:numPr>
          <w:ilvl w:val="0"/>
          <w:numId w:val="337"/>
        </w:numPr>
        <w:rPr>
          <w:rFonts w:ascii="Arial" w:cs="Arial" w:eastAsia="Arial" w:hAnsi="Arial"/>
          <w:sz w:val="21"/>
          <w:szCs w:val="21"/>
          <w:color w:val="auto"/>
        </w:rPr>
      </w:pPr>
      <w:r>
        <w:rPr>
          <w:rFonts w:ascii="Arial" w:cs="Arial" w:eastAsia="Arial" w:hAnsi="Arial"/>
          <w:sz w:val="21"/>
          <w:szCs w:val="21"/>
          <w:u w:val="single" w:color="auto"/>
          <w:color w:val="auto"/>
        </w:rPr>
        <w:t>Repairs and Maintenance</w:t>
      </w:r>
      <w:r>
        <w:rPr>
          <w:rFonts w:ascii="Arial" w:cs="Arial" w:eastAsia="Arial" w:hAnsi="Arial"/>
          <w:sz w:val="21"/>
          <w:szCs w:val="21"/>
          <w:color w:val="auto"/>
        </w:rPr>
        <w:t xml:space="preserve">. Except to the extent required to be performed by Landlord pursuant to </w:t>
      </w:r>
      <w:r>
        <w:rPr>
          <w:rFonts w:ascii="Arial" w:cs="Arial" w:eastAsia="Arial" w:hAnsi="Arial"/>
          <w:sz w:val="21"/>
          <w:szCs w:val="21"/>
          <w:u w:val="single" w:color="auto"/>
          <w:color w:val="auto"/>
        </w:rPr>
        <w:t>Section 18.1</w:t>
      </w:r>
      <w:r>
        <w:rPr>
          <w:rFonts w:ascii="Arial" w:cs="Arial" w:eastAsia="Arial" w:hAnsi="Arial"/>
          <w:sz w:val="21"/>
          <w:szCs w:val="21"/>
          <w:color w:val="auto"/>
        </w:rPr>
        <w:t xml:space="preserve"> of the Existing Lease, and subject to Landlord’s obligations under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above, Tenant shall repair, replace and maintain in accordance with standards for comparable first-class buildings in the Rockville, Maryland area and in accordance with all Applicable Laws the Premises, including the elevators and the base Building plumbing, fire and life safety, HVAC, electrical, security and mechanical systems (collectively, the “</w:t>
      </w:r>
      <w:r>
        <w:rPr>
          <w:rFonts w:ascii="Arial" w:cs="Arial" w:eastAsia="Arial" w:hAnsi="Arial"/>
          <w:sz w:val="21"/>
          <w:szCs w:val="21"/>
          <w:u w:val="single" w:color="auto"/>
          <w:color w:val="auto"/>
        </w:rPr>
        <w:t>Building System Improvements</w:t>
      </w:r>
      <w:r>
        <w:rPr>
          <w:rFonts w:ascii="Arial" w:cs="Arial" w:eastAsia="Arial" w:hAnsi="Arial"/>
          <w:sz w:val="21"/>
          <w:szCs w:val="21"/>
          <w:color w:val="auto"/>
        </w:rPr>
        <w:t xml:space="preserve">”). Notwithstanding anything to the contrary in the Lease, in the event that Tenant’s performance of any of its repair, replacement or maintenance obligations under the Lease requires prior notice to Landlord, in an emergency, Tenant shall have the right to perform such repair, replacement or maintenance obligations after reasonable (in the circumstances) oral notice to Landlord, followed by written notice to Landlord within three (3) days after such emergency. As used in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“emergency” shall have the meaning ascribed thereto in </w:t>
      </w:r>
      <w:r>
        <w:rPr>
          <w:rFonts w:ascii="Arial" w:cs="Arial" w:eastAsia="Arial" w:hAnsi="Arial"/>
          <w:sz w:val="21"/>
          <w:szCs w:val="21"/>
          <w:u w:val="single" w:color="auto"/>
          <w:color w:val="auto"/>
        </w:rPr>
        <w:t>Section 31.14</w:t>
      </w:r>
      <w:r>
        <w:rPr>
          <w:rFonts w:ascii="Arial" w:cs="Arial" w:eastAsia="Arial" w:hAnsi="Arial"/>
          <w:sz w:val="21"/>
          <w:szCs w:val="21"/>
          <w:color w:val="auto"/>
        </w:rPr>
        <w:t xml:space="preserve"> of the Existing Lease.</w:t>
      </w:r>
    </w:p>
    <w:p>
      <w:pPr>
        <w:spacing w:after="0" w:line="162" w:lineRule="exact"/>
        <w:rPr>
          <w:rFonts w:ascii="Arial" w:cs="Arial" w:eastAsia="Arial" w:hAnsi="Arial"/>
          <w:sz w:val="21"/>
          <w:szCs w:val="21"/>
          <w:color w:val="auto"/>
        </w:rPr>
      </w:pPr>
    </w:p>
    <w:p>
      <w:pPr>
        <w:jc w:val="both"/>
        <w:ind w:firstLine="656"/>
        <w:spacing w:after="0" w:line="221" w:lineRule="auto"/>
        <w:tabs>
          <w:tab w:leader="none" w:pos="1134" w:val="left"/>
        </w:tabs>
        <w:numPr>
          <w:ilvl w:val="0"/>
          <w:numId w:val="337"/>
        </w:numPr>
        <w:rPr>
          <w:rFonts w:ascii="Arial" w:cs="Arial" w:eastAsia="Arial" w:hAnsi="Arial"/>
          <w:sz w:val="21"/>
          <w:szCs w:val="21"/>
          <w:color w:val="auto"/>
        </w:rPr>
      </w:pPr>
      <w:r>
        <w:rPr>
          <w:rFonts w:ascii="Arial" w:cs="Arial" w:eastAsia="Arial" w:hAnsi="Arial"/>
          <w:sz w:val="21"/>
          <w:szCs w:val="21"/>
          <w:u w:val="single" w:color="auto"/>
          <w:color w:val="auto"/>
        </w:rPr>
        <w:t>Generator</w:t>
      </w:r>
      <w:r>
        <w:rPr>
          <w:rFonts w:ascii="Arial" w:cs="Arial" w:eastAsia="Arial" w:hAnsi="Arial"/>
          <w:sz w:val="21"/>
          <w:szCs w:val="21"/>
          <w:color w:val="auto"/>
        </w:rPr>
        <w:t>. Landlord acknowledges that JCVI has conveyed ownership of the existing 1000 kw generator serving the Premises (the “</w:t>
      </w:r>
      <w:r>
        <w:rPr>
          <w:rFonts w:ascii="Arial" w:cs="Arial" w:eastAsia="Arial" w:hAnsi="Arial"/>
          <w:sz w:val="21"/>
          <w:szCs w:val="21"/>
          <w:u w:val="single" w:color="auto"/>
          <w:color w:val="auto"/>
        </w:rPr>
        <w:t>Generator</w:t>
      </w:r>
      <w:r>
        <w:rPr>
          <w:rFonts w:ascii="Arial" w:cs="Arial" w:eastAsia="Arial" w:hAnsi="Arial"/>
          <w:sz w:val="21"/>
          <w:szCs w:val="21"/>
          <w:color w:val="auto"/>
        </w:rPr>
        <w:t>”) to Tenant pursuant to a separate agreement between JCVI and Tenant and Tenant has accepted the Generator in its existing condition “</w:t>
      </w:r>
      <w:r>
        <w:rPr>
          <w:rFonts w:ascii="Arial" w:cs="Arial" w:eastAsia="Arial" w:hAnsi="Arial"/>
          <w:sz w:val="21"/>
          <w:szCs w:val="21"/>
          <w:u w:val="single" w:color="auto"/>
          <w:color w:val="auto"/>
        </w:rPr>
        <w:t>as is</w:t>
      </w:r>
      <w:r>
        <w:rPr>
          <w:rFonts w:ascii="Arial" w:cs="Arial" w:eastAsia="Arial" w:hAnsi="Arial"/>
          <w:sz w:val="21"/>
          <w:szCs w:val="21"/>
          <w:color w:val="auto"/>
        </w:rPr>
        <w:t>” as of the Revised Term Commencement Date. Tenant shall be entitled to use the Generator and, if so desired by Tenant, to replace such Generator. Tenant shall maintain, repair and (if necessary) replace the Generator at its sole cost and expense. Landlord expressly disclaims any warranties, whether express or implied, with regard to the Generator or the installation thereof, including any warranty of merchantability, suitability or fitness for a particular purpose. Tenant expressly assumes all risks arising from Tenant’s failure to perform (or properly perform) the maintenance, repair and/or or replacement of the Generator, the Generator’s malfunction, any failure or interruption of power to the Premises attributable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12</w:t>
      </w:r>
    </w:p>
    <w:p>
      <w:pPr>
        <w:sectPr>
          <w:pgSz w:w="11900" w:h="16838" w:orient="portrait"/>
          <w:cols w:equalWidth="0" w:num="1">
            <w:col w:w="11240"/>
          </w:cols>
          <w:pgMar w:left="320" w:top="1400" w:right="339" w:bottom="1440" w:gutter="0" w:footer="0" w:header="0"/>
        </w:sectPr>
      </w:pPr>
    </w:p>
    <w:bookmarkStart w:id="391" w:name="page392"/>
    <w:bookmarkEnd w:id="391"/>
    <w:p>
      <w:pPr>
        <w:jc w:val="both"/>
        <w:spacing w:after="0" w:line="212" w:lineRule="auto"/>
        <w:rPr>
          <w:sz w:val="20"/>
          <w:szCs w:val="20"/>
          <w:color w:val="auto"/>
        </w:rPr>
      </w:pPr>
      <w:r>
        <w:rPr>
          <w:rFonts w:ascii="Arial" w:cs="Arial" w:eastAsia="Arial" w:hAnsi="Arial"/>
          <w:sz w:val="22"/>
          <w:szCs w:val="22"/>
          <w:color w:val="auto"/>
        </w:rPr>
        <w:t xml:space="preserve">Generator or any election by Tenant to remove the Generator, and Landlord expressly disclaims any liability or responsibility therefor, except as expressly provided in </w:t>
      </w:r>
      <w:r>
        <w:rPr>
          <w:rFonts w:ascii="Arial" w:cs="Arial" w:eastAsia="Arial" w:hAnsi="Arial"/>
          <w:sz w:val="22"/>
          <w:szCs w:val="22"/>
          <w:u w:val="single" w:color="auto"/>
          <w:color w:val="auto"/>
        </w:rPr>
        <w:t>Section 16.2</w:t>
      </w:r>
      <w:r>
        <w:rPr>
          <w:rFonts w:ascii="Arial" w:cs="Arial" w:eastAsia="Arial" w:hAnsi="Arial"/>
          <w:sz w:val="22"/>
          <w:szCs w:val="22"/>
          <w:color w:val="auto"/>
        </w:rPr>
        <w:t xml:space="preserve"> of the Existing Lease. In the event of any malfunction or failure of the Generator, Tenant shall not be entitled to any termination of the Lease or any abatement or reduction of Rent, and Tenant shall not be relieved from the operation of any covenant, obligation or agreement of this Lease. Tenant may remove the Generator from the Premises at any time at Tenant’s sole cost and expense. In addition, Tenant shall have the right to place new generators on the Land during the Term, subject to Landlord’s prior written consent, which consent shall not be unreasonably withheld, conditioned or delayed.</w:t>
      </w:r>
    </w:p>
    <w:p>
      <w:pPr>
        <w:spacing w:after="0" w:line="164" w:lineRule="exact"/>
        <w:rPr>
          <w:sz w:val="20"/>
          <w:szCs w:val="20"/>
          <w:color w:val="auto"/>
        </w:rPr>
      </w:pPr>
    </w:p>
    <w:p>
      <w:pPr>
        <w:jc w:val="both"/>
        <w:ind w:firstLine="656"/>
        <w:spacing w:after="0" w:line="242" w:lineRule="auto"/>
        <w:tabs>
          <w:tab w:leader="none" w:pos="1147" w:val="left"/>
        </w:tabs>
        <w:numPr>
          <w:ilvl w:val="1"/>
          <w:numId w:val="338"/>
        </w:numPr>
        <w:rPr>
          <w:rFonts w:ascii="Arial" w:cs="Arial" w:eastAsia="Arial" w:hAnsi="Arial"/>
          <w:sz w:val="19"/>
          <w:szCs w:val="19"/>
          <w:color w:val="auto"/>
        </w:rPr>
      </w:pPr>
      <w:r>
        <w:rPr>
          <w:rFonts w:ascii="Arial" w:cs="Arial" w:eastAsia="Arial" w:hAnsi="Arial"/>
          <w:sz w:val="19"/>
          <w:szCs w:val="19"/>
          <w:u w:val="single" w:color="auto"/>
          <w:color w:val="auto"/>
        </w:rPr>
        <w:t>Environmental Indemnification</w:t>
      </w:r>
      <w:r>
        <w:rPr>
          <w:rFonts w:ascii="Arial" w:cs="Arial" w:eastAsia="Arial" w:hAnsi="Arial"/>
          <w:sz w:val="19"/>
          <w:szCs w:val="19"/>
          <w:color w:val="auto"/>
        </w:rPr>
        <w:t>. Notwithstanding anything in the Existing Lease to the contrary, (i) Tenant shall not be responsible for (A) any recognized environmental conditions set forth in any JCVI Exit Survey or (B) the presence of Hazardous Materials at the Premises or the Building as of the Revised Term Commencement Date, unless placed at the Premises or the Building by a Tenant Party, or the presence of Hazardous Materials at the Premises or the Building placed at the Premises or the Building by Landlord or Landlord’s affiliates, employees, agents, contractors or invitees and (ii) Landlord shall indemnify, save, defend (at Tenant’s option and with counsel reasonably acceptable to Tenant) and hold the Tenant and Tenant’s affiliates, employees, agents, contractors or invitees (each, a “</w:t>
      </w:r>
      <w:r>
        <w:rPr>
          <w:rFonts w:ascii="Arial" w:cs="Arial" w:eastAsia="Arial" w:hAnsi="Arial"/>
          <w:sz w:val="19"/>
          <w:szCs w:val="19"/>
          <w:u w:val="single" w:color="auto"/>
          <w:color w:val="auto"/>
        </w:rPr>
        <w:t>Tenant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Tenant Parties</w:t>
      </w:r>
      <w:r>
        <w:rPr>
          <w:rFonts w:ascii="Arial" w:cs="Arial" w:eastAsia="Arial" w:hAnsi="Arial"/>
          <w:sz w:val="19"/>
          <w:szCs w:val="19"/>
          <w:color w:val="auto"/>
        </w:rPr>
        <w:t>”) harmless from and against any and all Claims resulting from (y) the presence of Hazardous Materials at the Premises or the Building as of the Revised Term Commencement Date, unless such Hazardous Materials were placed at the Premises or the Building by a Tenant Party or Tenant agreed to permit such Hazardous Materials to remain at the Premises for use and operation of the Premises following JCVI’s surrender of the Premises in accordance with the Assignment Agreement, and (z) the presence of Hazardous Materials at the Premises or the Building placed at the Premises or the Building by Landlord or Landlord’s affiliates, employees, agents, contractors or invitees.</w:t>
      </w:r>
    </w:p>
    <w:p>
      <w:pPr>
        <w:spacing w:after="0" w:line="380" w:lineRule="exact"/>
        <w:rPr>
          <w:rFonts w:ascii="Arial" w:cs="Arial" w:eastAsia="Arial" w:hAnsi="Arial"/>
          <w:sz w:val="19"/>
          <w:szCs w:val="19"/>
          <w:color w:val="auto"/>
        </w:rPr>
      </w:pPr>
    </w:p>
    <w:p>
      <w:pPr>
        <w:jc w:val="both"/>
        <w:ind w:firstLine="656"/>
        <w:spacing w:after="0" w:line="247" w:lineRule="auto"/>
        <w:tabs>
          <w:tab w:leader="none" w:pos="1188" w:val="left"/>
        </w:tabs>
        <w:numPr>
          <w:ilvl w:val="1"/>
          <w:numId w:val="338"/>
        </w:numPr>
        <w:rPr>
          <w:rFonts w:ascii="Arial" w:cs="Arial" w:eastAsia="Arial" w:hAnsi="Arial"/>
          <w:sz w:val="19"/>
          <w:szCs w:val="19"/>
          <w:color w:val="auto"/>
        </w:rPr>
      </w:pPr>
      <w:r>
        <w:rPr>
          <w:rFonts w:ascii="Arial" w:cs="Arial" w:eastAsia="Arial" w:hAnsi="Arial"/>
          <w:sz w:val="19"/>
          <w:szCs w:val="19"/>
          <w:u w:val="single" w:color="auto"/>
          <w:color w:val="auto"/>
        </w:rPr>
        <w:t>Option to Extend</w:t>
      </w:r>
      <w:r>
        <w:rPr>
          <w:rFonts w:ascii="Arial" w:cs="Arial" w:eastAsia="Arial" w:hAnsi="Arial"/>
          <w:sz w:val="19"/>
          <w:szCs w:val="19"/>
          <w:color w:val="auto"/>
        </w:rPr>
        <w:t>. Tenant shall have two (2) options (each, an “</w:t>
      </w:r>
      <w:r>
        <w:rPr>
          <w:rFonts w:ascii="Arial" w:cs="Arial" w:eastAsia="Arial" w:hAnsi="Arial"/>
          <w:sz w:val="19"/>
          <w:szCs w:val="19"/>
          <w:u w:val="single" w:color="auto"/>
          <w:color w:val="auto"/>
        </w:rPr>
        <w:t>Option</w:t>
      </w:r>
      <w:r>
        <w:rPr>
          <w:rFonts w:ascii="Arial" w:cs="Arial" w:eastAsia="Arial" w:hAnsi="Arial"/>
          <w:sz w:val="19"/>
          <w:szCs w:val="19"/>
          <w:color w:val="auto"/>
        </w:rPr>
        <w:t>”) to extend the Revised Term by seven (7) years each as to the entire Premises (and no less than the entire Premises) upon the following terms and conditions (each seven</w:t>
      </w:r>
    </w:p>
    <w:p>
      <w:pPr>
        <w:ind w:firstLine="8"/>
        <w:spacing w:after="0" w:line="224" w:lineRule="auto"/>
        <w:tabs>
          <w:tab w:leader="none" w:pos="310" w:val="left"/>
        </w:tabs>
        <w:numPr>
          <w:ilvl w:val="0"/>
          <w:numId w:val="339"/>
        </w:numPr>
        <w:rPr>
          <w:rFonts w:ascii="Arial" w:cs="Arial" w:eastAsia="Arial" w:hAnsi="Arial"/>
          <w:sz w:val="22"/>
          <w:szCs w:val="22"/>
          <w:color w:val="auto"/>
        </w:rPr>
      </w:pPr>
      <w:r>
        <w:rPr>
          <w:rFonts w:ascii="Arial" w:cs="Arial" w:eastAsia="Arial" w:hAnsi="Arial"/>
          <w:sz w:val="22"/>
          <w:szCs w:val="22"/>
          <w:color w:val="auto"/>
        </w:rPr>
        <w:t>year period being referred to herein as an “</w:t>
      </w:r>
      <w:r>
        <w:rPr>
          <w:rFonts w:ascii="Arial" w:cs="Arial" w:eastAsia="Arial" w:hAnsi="Arial"/>
          <w:sz w:val="22"/>
          <w:szCs w:val="22"/>
          <w:u w:val="single" w:color="auto"/>
          <w:color w:val="auto"/>
        </w:rPr>
        <w:t>Extension Term</w:t>
      </w:r>
      <w:r>
        <w:rPr>
          <w:rFonts w:ascii="Arial" w:cs="Arial" w:eastAsia="Arial" w:hAnsi="Arial"/>
          <w:sz w:val="22"/>
          <w:szCs w:val="22"/>
          <w:color w:val="auto"/>
        </w:rPr>
        <w:t>”). Any extension of the Revised Term pursuant to an Option shall be on all the same terms and conditions as this Lease, except as follows:</w:t>
      </w:r>
    </w:p>
    <w:p>
      <w:pPr>
        <w:spacing w:after="0" w:line="157" w:lineRule="exact"/>
        <w:rPr>
          <w:rFonts w:ascii="Arial" w:cs="Arial" w:eastAsia="Arial" w:hAnsi="Arial"/>
          <w:sz w:val="22"/>
          <w:szCs w:val="22"/>
          <w:color w:val="auto"/>
        </w:rPr>
      </w:pPr>
    </w:p>
    <w:p>
      <w:pPr>
        <w:jc w:val="both"/>
        <w:ind w:firstLine="1304"/>
        <w:spacing w:after="0" w:line="238" w:lineRule="auto"/>
        <w:tabs>
          <w:tab w:leader="none" w:pos="1667" w:val="left"/>
        </w:tabs>
        <w:numPr>
          <w:ilvl w:val="2"/>
          <w:numId w:val="339"/>
        </w:numPr>
        <w:rPr>
          <w:rFonts w:ascii="Arial" w:cs="Arial" w:eastAsia="Arial" w:hAnsi="Arial"/>
          <w:sz w:val="19"/>
          <w:szCs w:val="19"/>
          <w:color w:val="auto"/>
        </w:rPr>
      </w:pPr>
      <w:r>
        <w:rPr>
          <w:rFonts w:ascii="Arial" w:cs="Arial" w:eastAsia="Arial" w:hAnsi="Arial"/>
          <w:sz w:val="19"/>
          <w:szCs w:val="19"/>
          <w:color w:val="auto"/>
        </w:rPr>
        <w:t>Base Rent at the commencement of each Extension Term shall equal (i) if there are no brokerage commissions payable by Landlord to Tenant’s broker in connection with the Option, ninety-five percent (95%) of the then-current FMV (as defined below), or (ii) if there are brokerage commissions payable by Landlord to Tenant’s broker in connection with the Option, one hundred percent (100%) of the then-current FMV, and in each case shall be further increased on each annual anniversary of the Extension Term commencement date by two and one-half percent (2.5%). Tenant may, no more than fifteen (15) months prior to the date the then-current Term is then scheduled to expire, request Landlord’s estimate of the FMV for the next Extension Term. Landlord shall, within fifteen (15) days after receipt of such request, give Tenant a written proposal of such FMV. If Tenant gives written notice to exercise an Option (“</w:t>
      </w:r>
      <w:r>
        <w:rPr>
          <w:rFonts w:ascii="Arial" w:cs="Arial" w:eastAsia="Arial" w:hAnsi="Arial"/>
          <w:sz w:val="19"/>
          <w:szCs w:val="19"/>
          <w:u w:val="single" w:color="auto"/>
          <w:color w:val="auto"/>
        </w:rPr>
        <w:t>Extension Notice</w:t>
      </w:r>
      <w:r>
        <w:rPr>
          <w:rFonts w:ascii="Arial" w:cs="Arial" w:eastAsia="Arial" w:hAnsi="Arial"/>
          <w:sz w:val="19"/>
          <w:szCs w:val="19"/>
          <w:color w:val="auto"/>
        </w:rPr>
        <w:t>”), such Extension Notice shall specify whether Tenant accepts Landlord’s proposed estimate of FMV. If Tenant does not accept the FMV, then the parties shall endeavor to agree upon the FMV, taking into account all relevant factors. In the event that the parties are unable to agree upon the FMV within thirty (30) days after Landlord’s receipt of the Extension Notice, then same shall be determined as follows: (i) Landlord and Tenant shall each appoint one broker who shall, by profession, be a licensed real estate broker, of good reputation, and who shall have been active over the ten (10) year period ending on the date of Landlord’s receipt of the Extension Notice in the leasing of similar properties within the Rockville, Maryland laboratory/research and development leasing market. Each such broker shall be appointed within thirty</w:t>
      </w:r>
    </w:p>
    <w:p>
      <w:pPr>
        <w:spacing w:after="0" w:line="8" w:lineRule="exact"/>
        <w:rPr>
          <w:rFonts w:ascii="Arial" w:cs="Arial" w:eastAsia="Arial" w:hAnsi="Arial"/>
          <w:sz w:val="19"/>
          <w:szCs w:val="19"/>
          <w:color w:val="auto"/>
        </w:rPr>
      </w:pPr>
    </w:p>
    <w:p>
      <w:pPr>
        <w:ind w:left="420" w:hanging="412"/>
        <w:spacing w:after="0"/>
        <w:tabs>
          <w:tab w:leader="none" w:pos="42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days after the date of Landlord’s receipt of the applicable Extension Notice.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13</w:t>
      </w:r>
    </w:p>
    <w:p>
      <w:pPr>
        <w:sectPr>
          <w:pgSz w:w="11900" w:h="16838" w:orient="portrait"/>
          <w:cols w:equalWidth="0" w:num="1">
            <w:col w:w="11240"/>
          </w:cols>
          <w:pgMar w:left="320" w:top="1400" w:right="339" w:bottom="1440" w:gutter="0" w:footer="0" w:header="0"/>
        </w:sectPr>
      </w:pPr>
    </w:p>
    <w:bookmarkStart w:id="392" w:name="page393"/>
    <w:bookmarkEnd w:id="392"/>
    <w:p>
      <w:pPr>
        <w:jc w:val="both"/>
        <w:spacing w:after="0"/>
        <w:rPr>
          <w:sz w:val="20"/>
          <w:szCs w:val="20"/>
          <w:color w:val="auto"/>
        </w:rPr>
      </w:pPr>
      <w:r>
        <w:rPr>
          <w:rFonts w:ascii="Arial" w:cs="Arial" w:eastAsia="Arial" w:hAnsi="Arial"/>
          <w:sz w:val="19"/>
          <w:szCs w:val="19"/>
          <w:color w:val="auto"/>
        </w:rPr>
        <w:t>two brokers so appointed shall, within ten (10) days of the date of the appointment of the last appointed broker, agree upon and appoint a third broker who shall be qualified based upon the same criteria set forth hereinabove for the qualification of the initial two brokers and shall not have been employed or retained by either Landlord or Tenant or any affiliate of either for a period of at least ten (10) years prior to appointment pursuant hereto. The third broker shall be paid for jointly by Landlord and Tenant. If Landlord and Tenant are unable to agree upon the third broker, then the same shall be designated by the Washington, D.C. local chapter of the Judicial Arbitration and Mediation Services or any successor organization thereto (the “</w:t>
      </w:r>
      <w:r>
        <w:rPr>
          <w:rFonts w:ascii="Arial" w:cs="Arial" w:eastAsia="Arial" w:hAnsi="Arial"/>
          <w:sz w:val="19"/>
          <w:szCs w:val="19"/>
          <w:u w:val="single" w:color="auto"/>
          <w:color w:val="auto"/>
        </w:rPr>
        <w:t>JAMS</w:t>
      </w:r>
      <w:r>
        <w:rPr>
          <w:rFonts w:ascii="Arial" w:cs="Arial" w:eastAsia="Arial" w:hAnsi="Arial"/>
          <w:sz w:val="19"/>
          <w:szCs w:val="19"/>
          <w:color w:val="auto"/>
        </w:rPr>
        <w:t xml:space="preserve">”). (iii) The three brokers shall within ten (10) business days of the appointment of the third broker reach a decision regarding the determination of the FMV, and shall notify Landlord and Tenant thereof. (iv) The decision of the majority of the three brokers shall be binding upon Landlord and Tenant and shall serve as the basis for determination of Base Rent payable for the applicable Extension Term. Failure of a majority of such brokers to reach agreement shall result in the FMV being designated by averaging the appraisals of the three brokers, ignoring for the purposes of such averaging the high and/or low appraisal which is more than ten percent (10%) in excess of or less than the middle appraisal, if applicable. (v) If either Landlord or Tenant fails to appoint a broker within the time period specified in subparagraph (i) hereinabove, the broker appointed by one of them shall reach a decision and notify Landlord and Tenant thereof, and such broker’s decision shall be binding upon Landlord and Tenant. (vi) The cost of the three-broker determination shall be paid by Landlord and Tenant equally. (vii) If, as of the commencement date of an Extension Term, the amount of Base Rent payable during the Extension Term shall not have been determined, then, pending such determination, Tenant shall pay Base Rent equal to the Base Rent payable with respect to the last year of the then-current Term. After the final determination of Base Rent payable for the Extension Term, the parties shall promptly execute a written amendment to this Lease specifying the amount of Base Rent to be paid during the applicable Extension Term. Any failure of the parties to execute such amendment shall not affect the validity of the FMV determined pursuant to this </w:t>
      </w:r>
      <w:r>
        <w:rPr>
          <w:rFonts w:ascii="Arial" w:cs="Arial" w:eastAsia="Arial" w:hAnsi="Arial"/>
          <w:sz w:val="19"/>
          <w:szCs w:val="19"/>
          <w:u w:val="single" w:color="auto"/>
          <w:color w:val="auto"/>
        </w:rPr>
        <w:t>Section 14.a</w:t>
      </w:r>
      <w:r>
        <w:rPr>
          <w:rFonts w:ascii="Arial" w:cs="Arial" w:eastAsia="Arial" w:hAnsi="Arial"/>
          <w:sz w:val="19"/>
          <w:szCs w:val="19"/>
          <w:color w:val="auto"/>
        </w:rPr>
        <w:t xml:space="preserve"> or the extension of the Revised Term for such Extension Term.</w:t>
      </w:r>
    </w:p>
    <w:p>
      <w:pPr>
        <w:spacing w:after="0" w:line="382" w:lineRule="exact"/>
        <w:rPr>
          <w:sz w:val="20"/>
          <w:szCs w:val="20"/>
          <w:color w:val="auto"/>
        </w:rPr>
      </w:pPr>
    </w:p>
    <w:p>
      <w:pPr>
        <w:jc w:val="both"/>
        <w:ind w:firstLine="1304"/>
        <w:spacing w:after="0" w:line="268" w:lineRule="auto"/>
        <w:tabs>
          <w:tab w:leader="none" w:pos="1767" w:val="left"/>
        </w:tabs>
        <w:numPr>
          <w:ilvl w:val="0"/>
          <w:numId w:val="341"/>
        </w:numPr>
        <w:rPr>
          <w:rFonts w:ascii="Arial" w:cs="Arial" w:eastAsia="Arial" w:hAnsi="Arial"/>
          <w:sz w:val="19"/>
          <w:szCs w:val="19"/>
          <w:color w:val="auto"/>
        </w:rPr>
      </w:pPr>
      <w:r>
        <w:rPr>
          <w:rFonts w:ascii="Arial" w:cs="Arial" w:eastAsia="Arial" w:hAnsi="Arial"/>
          <w:sz w:val="19"/>
          <w:szCs w:val="19"/>
          <w:color w:val="auto"/>
        </w:rPr>
        <w:t xml:space="preserve">No Option is assignable separate and apart from this Lease. Tenant’s rights under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shall be transferable in connection with an assignment of this Lease to an Exempt Transferee, but shall not be transferable to any other assignee without the prior written consent of Landlord, which consent Landlord may withhold in its sole and absolute discretion.</w:t>
      </w:r>
    </w:p>
    <w:p>
      <w:pPr>
        <w:spacing w:after="0" w:line="132" w:lineRule="exact"/>
        <w:rPr>
          <w:rFonts w:ascii="Arial" w:cs="Arial" w:eastAsia="Arial" w:hAnsi="Arial"/>
          <w:sz w:val="19"/>
          <w:szCs w:val="19"/>
          <w:color w:val="auto"/>
        </w:rPr>
      </w:pPr>
    </w:p>
    <w:p>
      <w:pPr>
        <w:jc w:val="both"/>
        <w:ind w:firstLine="1304"/>
        <w:spacing w:after="0" w:line="216" w:lineRule="auto"/>
        <w:tabs>
          <w:tab w:leader="none" w:pos="1683" w:val="left"/>
        </w:tabs>
        <w:numPr>
          <w:ilvl w:val="0"/>
          <w:numId w:val="341"/>
        </w:numPr>
        <w:rPr>
          <w:rFonts w:ascii="Arial" w:cs="Arial" w:eastAsia="Arial" w:hAnsi="Arial"/>
          <w:sz w:val="22"/>
          <w:szCs w:val="22"/>
          <w:color w:val="auto"/>
        </w:rPr>
      </w:pPr>
      <w:r>
        <w:rPr>
          <w:rFonts w:ascii="Arial" w:cs="Arial" w:eastAsia="Arial" w:hAnsi="Arial"/>
          <w:sz w:val="22"/>
          <w:szCs w:val="22"/>
          <w:color w:val="auto"/>
        </w:rPr>
        <w:t xml:space="preserve">Each Option is conditional upon Tenant giving Landlord written notice of its election to exercise such Option at least twelve (12) months prior to the expiration of the then-current Term. Time shall be of the essence as to Tenant’s exercise of an Option. Tenant assumes full responsibility for maintaining a record of the deadlines to exercise an Option. Tenant acknowledges that it would be inequitable to require Landlord to accept any exercise of an Option after the date provided for in this </w:t>
      </w:r>
      <w:r>
        <w:rPr>
          <w:rFonts w:ascii="Arial" w:cs="Arial" w:eastAsia="Arial" w:hAnsi="Arial"/>
          <w:sz w:val="22"/>
          <w:szCs w:val="22"/>
          <w:u w:val="single" w:color="auto"/>
          <w:color w:val="auto"/>
        </w:rPr>
        <w:t>Article 14</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firstLine="1304"/>
        <w:spacing w:after="0" w:line="232" w:lineRule="auto"/>
        <w:tabs>
          <w:tab w:leader="none" w:pos="180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 xml:space="preserve">Notwithstanding anything contained in this </w:t>
      </w:r>
      <w:r>
        <w:rPr>
          <w:rFonts w:ascii="Arial" w:cs="Arial" w:eastAsia="Arial" w:hAnsi="Arial"/>
          <w:sz w:val="22"/>
          <w:szCs w:val="22"/>
          <w:u w:val="single" w:color="auto"/>
          <w:color w:val="auto"/>
        </w:rPr>
        <w:t>Article 14</w:t>
      </w:r>
      <w:r>
        <w:rPr>
          <w:rFonts w:ascii="Arial" w:cs="Arial" w:eastAsia="Arial" w:hAnsi="Arial"/>
          <w:sz w:val="22"/>
          <w:szCs w:val="22"/>
          <w:color w:val="auto"/>
        </w:rPr>
        <w:t xml:space="preserve"> to the contrary, Tenant shall not have the right to exercise an Option or to commence an Extension Term unless Tenant is not then in Default.</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728" w:val="left"/>
        </w:tabs>
        <w:numPr>
          <w:ilvl w:val="0"/>
          <w:numId w:val="341"/>
        </w:numPr>
        <w:rPr>
          <w:rFonts w:ascii="Arial" w:cs="Arial" w:eastAsia="Arial" w:hAnsi="Arial"/>
          <w:sz w:val="19"/>
          <w:szCs w:val="19"/>
          <w:color w:val="auto"/>
        </w:rPr>
      </w:pPr>
      <w:r>
        <w:rPr>
          <w:rFonts w:ascii="Arial" w:cs="Arial" w:eastAsia="Arial" w:hAnsi="Arial"/>
          <w:sz w:val="19"/>
          <w:szCs w:val="19"/>
          <w:color w:val="auto"/>
        </w:rPr>
        <w:t>For purposes of this Lease, “</w:t>
      </w:r>
      <w:r>
        <w:rPr>
          <w:rFonts w:ascii="Arial" w:cs="Arial" w:eastAsia="Arial" w:hAnsi="Arial"/>
          <w:sz w:val="19"/>
          <w:szCs w:val="19"/>
          <w:u w:val="single" w:color="auto"/>
          <w:color w:val="auto"/>
        </w:rPr>
        <w:t>FMV</w:t>
      </w:r>
      <w:r>
        <w:rPr>
          <w:rFonts w:ascii="Arial" w:cs="Arial" w:eastAsia="Arial" w:hAnsi="Arial"/>
          <w:sz w:val="19"/>
          <w:szCs w:val="19"/>
          <w:color w:val="auto"/>
        </w:rPr>
        <w:t>” for the Premises shall be based on a seven (7) year extension term and shall be equal to the monthly base rental rate (on a per square foot of rentable area basis) agreed to by willing sophisticated tenants and willing sophisticated landlords in leasing transactions (the “</w:t>
      </w:r>
      <w:r>
        <w:rPr>
          <w:rFonts w:ascii="Arial" w:cs="Arial" w:eastAsia="Arial" w:hAnsi="Arial"/>
          <w:sz w:val="19"/>
          <w:szCs w:val="19"/>
          <w:u w:val="single" w:color="auto"/>
          <w:color w:val="auto"/>
        </w:rPr>
        <w:t>Comparable Transactions</w:t>
      </w:r>
      <w:r>
        <w:rPr>
          <w:rFonts w:ascii="Arial" w:cs="Arial" w:eastAsia="Arial" w:hAnsi="Arial"/>
          <w:sz w:val="19"/>
          <w:szCs w:val="19"/>
          <w:color w:val="auto"/>
        </w:rPr>
        <w:t>”), as of a particular time, in arms-length transactions for non-sublease, non-encumbered, non-equity, non-expansion, non-renewal space comparable in size, location, height and quality to the Premises, with a commencement date not more than eighteen (18) months prior to the commencement date of the extension term, or if there are no Comparable Transactions, in other first-class combined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14</w:t>
      </w:r>
    </w:p>
    <w:p>
      <w:pPr>
        <w:sectPr>
          <w:pgSz w:w="11900" w:h="16838" w:orient="portrait"/>
          <w:cols w:equalWidth="0" w:num="1">
            <w:col w:w="11240"/>
          </w:cols>
          <w:pgMar w:left="320" w:top="1400" w:right="339" w:bottom="1440" w:gutter="0" w:footer="0" w:header="0"/>
        </w:sectPr>
      </w:pPr>
    </w:p>
    <w:bookmarkStart w:id="393" w:name="page394"/>
    <w:bookmarkEnd w:id="393"/>
    <w:p>
      <w:pPr>
        <w:jc w:val="both"/>
        <w:spacing w:after="0" w:line="241" w:lineRule="auto"/>
        <w:rPr>
          <w:sz w:val="20"/>
          <w:szCs w:val="20"/>
          <w:color w:val="auto"/>
        </w:rPr>
      </w:pPr>
      <w:r>
        <w:rPr>
          <w:rFonts w:ascii="Arial" w:cs="Arial" w:eastAsia="Arial" w:hAnsi="Arial"/>
          <w:sz w:val="19"/>
          <w:szCs w:val="19"/>
          <w:color w:val="auto"/>
        </w:rPr>
        <w:t>laboratory facilities containing located in the Rockville, Maryland area, with appropriate adjustments to account for differences in the Adjustment Factors (as defined below) and all other factors reasonably relevant to a fair market rent determination. In any determination of FMV, appropriate consideration should be given to any reasonably relevant factor (or difference in the subject transaction or Comparable Transactions used for purposes of comparison), including without limitation, the following factors (the “</w:t>
      </w:r>
      <w:r>
        <w:rPr>
          <w:rFonts w:ascii="Arial" w:cs="Arial" w:eastAsia="Arial" w:hAnsi="Arial"/>
          <w:sz w:val="19"/>
          <w:szCs w:val="19"/>
          <w:u w:val="single" w:color="auto"/>
          <w:color w:val="auto"/>
        </w:rPr>
        <w:t>Adjustment Factors</w:t>
      </w:r>
      <w:r>
        <w:rPr>
          <w:rFonts w:ascii="Arial" w:cs="Arial" w:eastAsia="Arial" w:hAnsi="Arial"/>
          <w:sz w:val="19"/>
          <w:szCs w:val="19"/>
          <w:color w:val="auto"/>
        </w:rPr>
        <w:t>”): (a) monthly base rental rates per rentable square foot; (b) abatement provisions reflecting free rent or early occupancy during the lease term; (c) the size, location and floor height of the premises being leased; (d) the condition and market value of the existing tenant improvements, if any (from a general marketing perspective and without regard to their value, usability or function to Tenant or to any tenant in any Comparable Transaction), and the existence and amount of any tenant improvement or comparable allowance; (e) the existence and amount of any other cash payment or other equivalent concession, including, without limitation, moving allowances, lease takeover allowances (or where a lease assumption is applicable, the value thereof), and any comparable tenant inducement; (f) the existence of favorable expansion and/or extension options, and the value thereof; (g) any special parking rights, rates or concessions; (h) whether the lease transaction in question grants to the tenant any protection from increases in real property taxes and/or operating expenses, and if so, the amount, value or cost associated therewith; and (i) the credit standing of the tenant in question and/or the amount of letters of credit, cash security deposits, and/or other credit enhancements required to be made available by the tenant in question.</w:t>
      </w:r>
    </w:p>
    <w:p>
      <w:pPr>
        <w:spacing w:after="0" w:line="165" w:lineRule="exact"/>
        <w:rPr>
          <w:sz w:val="20"/>
          <w:szCs w:val="20"/>
          <w:color w:val="auto"/>
        </w:rPr>
      </w:pPr>
    </w:p>
    <w:p>
      <w:pPr>
        <w:jc w:val="both"/>
        <w:ind w:firstLine="1304"/>
        <w:spacing w:after="0" w:line="218" w:lineRule="auto"/>
        <w:tabs>
          <w:tab w:leader="none" w:pos="1651" w:val="left"/>
        </w:tabs>
        <w:numPr>
          <w:ilvl w:val="1"/>
          <w:numId w:val="342"/>
        </w:numPr>
        <w:rPr>
          <w:rFonts w:ascii="Arial" w:cs="Arial" w:eastAsia="Arial" w:hAnsi="Arial"/>
          <w:sz w:val="22"/>
          <w:szCs w:val="22"/>
          <w:color w:val="auto"/>
        </w:rPr>
      </w:pPr>
      <w:r>
        <w:rPr>
          <w:rFonts w:ascii="Arial" w:cs="Arial" w:eastAsia="Arial" w:hAnsi="Arial"/>
          <w:sz w:val="22"/>
          <w:szCs w:val="22"/>
          <w:color w:val="auto"/>
        </w:rPr>
        <w:t>For purposes of calculating the FMV, the following presumptions shall apply: the Premises is free and clear of all leases and tenancies (including this Lease), the Premises is available for the purposes permitted by this Lease in the then rental market, that Landlord has had a reasonable time to locate a tenant, and that neither Landlord nor the prospective tenant is under any compulsion to rent, and taking into account all relevant factors.</w:t>
      </w:r>
    </w:p>
    <w:p>
      <w:pPr>
        <w:spacing w:after="0" w:line="160" w:lineRule="exact"/>
        <w:rPr>
          <w:rFonts w:ascii="Arial" w:cs="Arial" w:eastAsia="Arial" w:hAnsi="Arial"/>
          <w:sz w:val="22"/>
          <w:szCs w:val="22"/>
          <w:color w:val="auto"/>
        </w:rPr>
      </w:pPr>
    </w:p>
    <w:p>
      <w:pPr>
        <w:jc w:val="both"/>
        <w:ind w:firstLine="656"/>
        <w:spacing w:after="0" w:line="243" w:lineRule="auto"/>
        <w:tabs>
          <w:tab w:leader="none" w:pos="1161" w:val="left"/>
        </w:tabs>
        <w:numPr>
          <w:ilvl w:val="0"/>
          <w:numId w:val="343"/>
        </w:numPr>
        <w:rPr>
          <w:rFonts w:ascii="Arial" w:cs="Arial" w:eastAsia="Arial" w:hAnsi="Arial"/>
          <w:sz w:val="19"/>
          <w:szCs w:val="19"/>
          <w:color w:val="auto"/>
        </w:rPr>
      </w:pPr>
      <w:r>
        <w:rPr>
          <w:rFonts w:ascii="Arial" w:cs="Arial" w:eastAsia="Arial" w:hAnsi="Arial"/>
          <w:sz w:val="19"/>
          <w:szCs w:val="19"/>
          <w:u w:val="single" w:color="auto"/>
          <w:color w:val="auto"/>
        </w:rPr>
        <w:t>Right of First Offer to Lease</w:t>
      </w:r>
      <w:r>
        <w:rPr>
          <w:rFonts w:ascii="Arial" w:cs="Arial" w:eastAsia="Arial" w:hAnsi="Arial"/>
          <w:sz w:val="19"/>
          <w:szCs w:val="19"/>
          <w:color w:val="auto"/>
        </w:rPr>
        <w:t>. For so long as MacroGenics, Inc. and/or an Exempt Transferee of MacroGenics, Inc. pursuant to an Exempt Transfer (a “</w:t>
      </w:r>
      <w:r>
        <w:rPr>
          <w:rFonts w:ascii="Arial" w:cs="Arial" w:eastAsia="Arial" w:hAnsi="Arial"/>
          <w:sz w:val="19"/>
          <w:szCs w:val="19"/>
          <w:u w:val="single" w:color="auto"/>
          <w:color w:val="auto"/>
        </w:rPr>
        <w:t>MacroGenics Exempt Transferee</w:t>
      </w:r>
      <w:r>
        <w:rPr>
          <w:rFonts w:ascii="Arial" w:cs="Arial" w:eastAsia="Arial" w:hAnsi="Arial"/>
          <w:sz w:val="19"/>
          <w:szCs w:val="19"/>
          <w:color w:val="auto"/>
        </w:rPr>
        <w:t>”) leases the entire Premises and personally occupies at least ninety percent (90%) of the entire Premises and subject to any other parties’ pre-existing rights with respect to Available ROFO Premises (as defined below), Tenant shall have a right of first offer to lease (“</w:t>
      </w:r>
      <w:r>
        <w:rPr>
          <w:rFonts w:ascii="Arial" w:cs="Arial" w:eastAsia="Arial" w:hAnsi="Arial"/>
          <w:sz w:val="19"/>
          <w:szCs w:val="19"/>
          <w:u w:val="single" w:color="auto"/>
          <w:color w:val="auto"/>
        </w:rPr>
        <w:t>Lease ROFO</w:t>
      </w:r>
      <w:r>
        <w:rPr>
          <w:rFonts w:ascii="Arial" w:cs="Arial" w:eastAsia="Arial" w:hAnsi="Arial"/>
          <w:sz w:val="19"/>
          <w:szCs w:val="19"/>
          <w:color w:val="auto"/>
        </w:rPr>
        <w:t>”) as to any rentable premises in the buildings located at 9708, 9712 and 9714 Medical Center Drive which Landlord is marketing and for which Landlord is seeking a tenant (“</w:t>
      </w:r>
      <w:r>
        <w:rPr>
          <w:rFonts w:ascii="Arial" w:cs="Arial" w:eastAsia="Arial" w:hAnsi="Arial"/>
          <w:sz w:val="19"/>
          <w:szCs w:val="19"/>
          <w:u w:val="single" w:color="auto"/>
          <w:color w:val="auto"/>
        </w:rPr>
        <w:t>Available ROFO Premises</w:t>
      </w:r>
      <w:r>
        <w:rPr>
          <w:rFonts w:ascii="Arial" w:cs="Arial" w:eastAsia="Arial" w:hAnsi="Arial"/>
          <w:sz w:val="19"/>
          <w:szCs w:val="19"/>
          <w:color w:val="auto"/>
        </w:rPr>
        <w:t>”); provided, however, that in no event shall Landlord be required to lease any Available ROFO Premises to Tenant for any period past the date on which this Lease expires or is terminated pursuant to its terms (including available Options). To the extent that Landlord renews or extends a then-existing lease with such then existing tenant for the same premises pursuant to a contractual extension option existing as of the date hereof, the affected space shall not be deemed to be Available ROFO Premises. In the event Landlord intends to market Available ROFO Premises, Landlord shall provide written notice thereof to Tenant (the “</w:t>
      </w:r>
      <w:r>
        <w:rPr>
          <w:rFonts w:ascii="Arial" w:cs="Arial" w:eastAsia="Arial" w:hAnsi="Arial"/>
          <w:sz w:val="19"/>
          <w:szCs w:val="19"/>
          <w:u w:val="single" w:color="auto"/>
          <w:color w:val="auto"/>
        </w:rPr>
        <w:t>Notice of Marketing to Lease</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304"/>
        <w:spacing w:after="0" w:line="216" w:lineRule="auto"/>
        <w:tabs>
          <w:tab w:leader="none" w:pos="1744" w:val="left"/>
        </w:tabs>
        <w:numPr>
          <w:ilvl w:val="1"/>
          <w:numId w:val="343"/>
        </w:numPr>
        <w:rPr>
          <w:rFonts w:ascii="Arial" w:cs="Arial" w:eastAsia="Arial" w:hAnsi="Arial"/>
          <w:sz w:val="22"/>
          <w:szCs w:val="22"/>
          <w:color w:val="auto"/>
        </w:rPr>
      </w:pPr>
      <w:r>
        <w:rPr>
          <w:rFonts w:ascii="Arial" w:cs="Arial" w:eastAsia="Arial" w:hAnsi="Arial"/>
          <w:sz w:val="22"/>
          <w:szCs w:val="22"/>
          <w:color w:val="auto"/>
        </w:rPr>
        <w:t>Within fifteen (15) days following its receipt of a Notice of Marketing to Lease (time being strictly of the essence), Tenant shall advise Landlord in writing whether Tenant elects to lease all (not just a portion) of the Available ROFO Premises and on what terms and conditions. If Tenant fails to notify Landlord of Tenant’s election within such fifteen (15) day period (time being strictly of the essence), then Tenant shall be deemed to have elected not to lease the Available ROFO Premises.</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735" w:val="left"/>
        </w:tabs>
        <w:numPr>
          <w:ilvl w:val="1"/>
          <w:numId w:val="343"/>
        </w:numPr>
        <w:rPr>
          <w:rFonts w:ascii="Arial" w:cs="Arial" w:eastAsia="Arial" w:hAnsi="Arial"/>
          <w:sz w:val="22"/>
          <w:szCs w:val="22"/>
          <w:color w:val="auto"/>
        </w:rPr>
      </w:pPr>
      <w:r>
        <w:rPr>
          <w:rFonts w:ascii="Arial" w:cs="Arial" w:eastAsia="Arial" w:hAnsi="Arial"/>
          <w:sz w:val="22"/>
          <w:szCs w:val="22"/>
          <w:color w:val="auto"/>
        </w:rPr>
        <w:t>If Tenant notifies Landlord that Tenant elects to lease all of the Available ROFO Premises and of the terms and conditions therefore (“</w:t>
      </w:r>
      <w:r>
        <w:rPr>
          <w:rFonts w:ascii="Arial" w:cs="Arial" w:eastAsia="Arial" w:hAnsi="Arial"/>
          <w:sz w:val="22"/>
          <w:szCs w:val="22"/>
          <w:u w:val="single" w:color="auto"/>
          <w:color w:val="auto"/>
        </w:rPr>
        <w:t>Tenant’s Leasing Offer</w:t>
      </w:r>
      <w:r>
        <w:rPr>
          <w:rFonts w:ascii="Arial" w:cs="Arial" w:eastAsia="Arial" w:hAnsi="Arial"/>
          <w:sz w:val="22"/>
          <w:szCs w:val="22"/>
          <w:color w:val="auto"/>
        </w:rPr>
        <w:t>”) within the [***] period described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Tenant shall be required to lease the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15</w:t>
      </w:r>
    </w:p>
    <w:p>
      <w:pPr>
        <w:sectPr>
          <w:pgSz w:w="11900" w:h="16838" w:orient="portrait"/>
          <w:cols w:equalWidth="0" w:num="1">
            <w:col w:w="11240"/>
          </w:cols>
          <w:pgMar w:left="320" w:top="1400" w:right="339" w:bottom="1440" w:gutter="0" w:footer="0" w:header="0"/>
        </w:sectPr>
      </w:pPr>
    </w:p>
    <w:bookmarkStart w:id="394" w:name="page395"/>
    <w:bookmarkEnd w:id="394"/>
    <w:p>
      <w:pPr>
        <w:jc w:val="both"/>
        <w:spacing w:after="0" w:line="246" w:lineRule="auto"/>
        <w:rPr>
          <w:sz w:val="20"/>
          <w:szCs w:val="20"/>
          <w:color w:val="auto"/>
        </w:rPr>
      </w:pPr>
      <w:r>
        <w:rPr>
          <w:rFonts w:ascii="Arial" w:cs="Arial" w:eastAsia="Arial" w:hAnsi="Arial"/>
          <w:sz w:val="19"/>
          <w:szCs w:val="19"/>
          <w:color w:val="auto"/>
        </w:rPr>
        <w:t>ROFO Premises for at least the remainder of the then-current Revised Term), then Landlord shall have [***] days after receipt of Tenant’s Leasing Offer to respond to Tenant in writing whether Landlord elects to lease the Available ROFO Premises to Tenant on the terms and conditions set forth in Tenant’s Leasing Offer. If Tenant delivers Tenant’s Leasing Offer within the [***] period described above and Landlord elects to lease the Available ROFO Premises to Tenant on the terms and conditions set forth in Tenant’s Leasing Offer, then Landlord shall lease the Available ROFO Premises to Tenant upon the terms and conditions set forth in Tenant’s Leasing Offer. If Landlord fails to deliver notice of Landlord’s election to lease the Available ROFO Premises to Tenant within such [***] period, then Landlord shall be deemed to have elected not to lease the Available ROFO Premises to Tenant upon the terms and conditions set forth in Tenant’s Leasing Offer.</w:t>
      </w:r>
    </w:p>
    <w:p>
      <w:pPr>
        <w:spacing w:after="0" w:line="152" w:lineRule="exact"/>
        <w:rPr>
          <w:sz w:val="20"/>
          <w:szCs w:val="20"/>
          <w:color w:val="auto"/>
        </w:rPr>
      </w:pPr>
    </w:p>
    <w:p>
      <w:pPr>
        <w:jc w:val="both"/>
        <w:ind w:firstLine="1304"/>
        <w:spacing w:after="0" w:line="249" w:lineRule="auto"/>
        <w:tabs>
          <w:tab w:leader="none" w:pos="1672" w:val="left"/>
        </w:tabs>
        <w:numPr>
          <w:ilvl w:val="1"/>
          <w:numId w:val="344"/>
        </w:numPr>
        <w:rPr>
          <w:rFonts w:ascii="Arial" w:cs="Arial" w:eastAsia="Arial" w:hAnsi="Arial"/>
          <w:sz w:val="19"/>
          <w:szCs w:val="19"/>
          <w:color w:val="auto"/>
        </w:rPr>
      </w:pPr>
      <w:r>
        <w:rPr>
          <w:rFonts w:ascii="Arial" w:cs="Arial" w:eastAsia="Arial" w:hAnsi="Arial"/>
          <w:sz w:val="19"/>
          <w:szCs w:val="19"/>
          <w:color w:val="auto"/>
        </w:rPr>
        <w:t>If (i) Tenant notifies Landlord that Tenant elects not to lease the Available ROFO Premises, (ii) Tenant fails to notify Landlord of Tenant’s election within the [***] period described above (time being strictly of the essence), (iii) Landlord declines (or is deemed to have declined) to lease the Available ROFO Premises to Tenant on the terms and conditions set forth in Tenant’s Leasing Offer or (iv) Landlord fails to notify Tenant of Landlord’s election to lease the Available ROFO Premises to Tenant on the terms and conditions set forth in Tenant’s Leasing Offer within the [***] period described above (time being strictly of the essence), then Landlord shall have the right to consummate a lease of the Available ROFO Premises [***].</w:t>
      </w:r>
    </w:p>
    <w:p>
      <w:pPr>
        <w:spacing w:after="0" w:line="151" w:lineRule="exact"/>
        <w:rPr>
          <w:rFonts w:ascii="Arial" w:cs="Arial" w:eastAsia="Arial" w:hAnsi="Arial"/>
          <w:sz w:val="19"/>
          <w:szCs w:val="19"/>
          <w:color w:val="auto"/>
        </w:rPr>
      </w:pPr>
    </w:p>
    <w:p>
      <w:pPr>
        <w:jc w:val="both"/>
        <w:ind w:firstLine="1304"/>
        <w:spacing w:after="0" w:line="247" w:lineRule="auto"/>
        <w:tabs>
          <w:tab w:leader="none" w:pos="1762" w:val="left"/>
        </w:tabs>
        <w:numPr>
          <w:ilvl w:val="1"/>
          <w:numId w:val="344"/>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w:t>
      </w:r>
      <w:r>
        <w:rPr>
          <w:rFonts w:ascii="Arial" w:cs="Arial" w:eastAsia="Arial" w:hAnsi="Arial"/>
          <w:sz w:val="19"/>
          <w:szCs w:val="19"/>
          <w:u w:val="single" w:color="auto"/>
          <w:color w:val="auto"/>
        </w:rPr>
        <w:t>Article 15</w:t>
      </w:r>
      <w:r>
        <w:rPr>
          <w:rFonts w:ascii="Arial" w:cs="Arial" w:eastAsia="Arial" w:hAnsi="Arial"/>
          <w:sz w:val="19"/>
          <w:szCs w:val="19"/>
          <w:color w:val="auto"/>
        </w:rPr>
        <w:t xml:space="preserve"> to the contrary, Tenant shall not have the right to exercise the Lease ROFO during such period of time that there exists a monetary default or material non-monetary default by Tenant under any provision of this Lease for which notice has been given to Tenant by Landlord (to the extent notice is required under this Lease). Any attempted exercise of the Lease ROFO during a period of time in which Tenant is so in default shall be void and of no effect. Notwithstanding anything in this Lease to the contrary, Tenant shall not assign or transfer the Lease ROFO, except in conjunction with an assignment or transfer of Tenant’s interest in the Lease to an Exempt Transferee pursuant to an Exempt Transfer, without Landlord’s prior written consent, which consent Landlord shall not unreasonably withhold, condition or delay.</w:t>
      </w:r>
    </w:p>
    <w:p>
      <w:pPr>
        <w:spacing w:after="0" w:line="153" w:lineRule="exact"/>
        <w:rPr>
          <w:rFonts w:ascii="Arial" w:cs="Arial" w:eastAsia="Arial" w:hAnsi="Arial"/>
          <w:sz w:val="19"/>
          <w:szCs w:val="19"/>
          <w:color w:val="auto"/>
        </w:rPr>
      </w:pPr>
    </w:p>
    <w:p>
      <w:pPr>
        <w:jc w:val="both"/>
        <w:ind w:firstLine="1304"/>
        <w:spacing w:after="0" w:line="249" w:lineRule="auto"/>
        <w:tabs>
          <w:tab w:leader="none" w:pos="1697" w:val="left"/>
        </w:tabs>
        <w:numPr>
          <w:ilvl w:val="1"/>
          <w:numId w:val="344"/>
        </w:numPr>
        <w:rPr>
          <w:rFonts w:ascii="Arial" w:cs="Arial" w:eastAsia="Arial" w:hAnsi="Arial"/>
          <w:sz w:val="19"/>
          <w:szCs w:val="19"/>
          <w:color w:val="auto"/>
        </w:rPr>
      </w:pPr>
      <w:r>
        <w:rPr>
          <w:rFonts w:ascii="Arial" w:cs="Arial" w:eastAsia="Arial" w:hAnsi="Arial"/>
          <w:sz w:val="19"/>
          <w:szCs w:val="19"/>
          <w:color w:val="auto"/>
        </w:rPr>
        <w:t>If Tenant exercises the Lease ROFO, Landlord does not guarantee that the Available ROFO Premises will be available on the anticipated commencement date for the Lease as to such Premises due to a holdover by the then-existing occupants of the Available ROFO Premises or for any other reason beyond Landlord’s reasonable control, so long as Landlord acts in good faith to promptly and diligently pursue all reasonable means to obtain possession of such space, including the commencement of eviction proceedings when appropriate, as soon as reasonably practicable, but Tenant shall not be liable for any rent until the time when Landlord can deliver possession of the ROFO Premises to Tenant.</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641" w:val="left"/>
        </w:tabs>
        <w:numPr>
          <w:ilvl w:val="1"/>
          <w:numId w:val="344"/>
        </w:numPr>
        <w:rPr>
          <w:rFonts w:ascii="Arial" w:cs="Arial" w:eastAsia="Arial" w:hAnsi="Arial"/>
          <w:sz w:val="22"/>
          <w:szCs w:val="22"/>
          <w:color w:val="auto"/>
        </w:rPr>
      </w:pPr>
      <w:r>
        <w:rPr>
          <w:rFonts w:ascii="Arial" w:cs="Arial" w:eastAsia="Arial" w:hAnsi="Arial"/>
          <w:sz w:val="22"/>
          <w:szCs w:val="22"/>
          <w:color w:val="auto"/>
        </w:rPr>
        <w:t xml:space="preserve">Tenant’s rights under this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shall be transferable in connection with an assignment of this Lease to an Exempt Transferee, but shall not be transferable to any other assignee without the prior written consent of Landlord, which consent Landlord may withhold in its sole and absolute discretion.</w:t>
      </w:r>
    </w:p>
    <w:p>
      <w:pPr>
        <w:spacing w:after="0" w:line="158" w:lineRule="exact"/>
        <w:rPr>
          <w:rFonts w:ascii="Arial" w:cs="Arial" w:eastAsia="Arial" w:hAnsi="Arial"/>
          <w:sz w:val="22"/>
          <w:szCs w:val="22"/>
          <w:color w:val="auto"/>
        </w:rPr>
      </w:pPr>
    </w:p>
    <w:p>
      <w:pPr>
        <w:jc w:val="both"/>
        <w:ind w:firstLine="656"/>
        <w:spacing w:after="0" w:line="249" w:lineRule="auto"/>
        <w:tabs>
          <w:tab w:leader="none" w:pos="1228" w:val="left"/>
        </w:tabs>
        <w:numPr>
          <w:ilvl w:val="0"/>
          <w:numId w:val="345"/>
        </w:numPr>
        <w:rPr>
          <w:rFonts w:ascii="Arial" w:cs="Arial" w:eastAsia="Arial" w:hAnsi="Arial"/>
          <w:sz w:val="19"/>
          <w:szCs w:val="19"/>
          <w:color w:val="auto"/>
        </w:rPr>
      </w:pPr>
      <w:r>
        <w:rPr>
          <w:rFonts w:ascii="Arial" w:cs="Arial" w:eastAsia="Arial" w:hAnsi="Arial"/>
          <w:sz w:val="19"/>
          <w:szCs w:val="19"/>
          <w:u w:val="single" w:color="auto"/>
          <w:color w:val="auto"/>
        </w:rPr>
        <w:t>Right of First Offer to Purchase</w:t>
      </w:r>
      <w:r>
        <w:rPr>
          <w:rFonts w:ascii="Arial" w:cs="Arial" w:eastAsia="Arial" w:hAnsi="Arial"/>
          <w:sz w:val="19"/>
          <w:szCs w:val="19"/>
          <w:color w:val="auto"/>
        </w:rPr>
        <w:t>. For so long as MacroGenics and/or a MacroGenics Exempt Transferee leases all, and personally occupies at least ninety percent (90%), of the entire Premises, Tenant shall have a right of first offer to purchase the fee interest (“</w:t>
      </w:r>
      <w:r>
        <w:rPr>
          <w:rFonts w:ascii="Arial" w:cs="Arial" w:eastAsia="Arial" w:hAnsi="Arial"/>
          <w:sz w:val="19"/>
          <w:szCs w:val="19"/>
          <w:u w:val="single" w:color="auto"/>
          <w:color w:val="auto"/>
        </w:rPr>
        <w:t>Purchase ROFO</w:t>
      </w:r>
      <w:r>
        <w:rPr>
          <w:rFonts w:ascii="Arial" w:cs="Arial" w:eastAsia="Arial" w:hAnsi="Arial"/>
          <w:sz w:val="19"/>
          <w:szCs w:val="19"/>
          <w:color w:val="auto"/>
        </w:rPr>
        <w:t>”) in the Building and underlying parcel of land (the “</w:t>
      </w:r>
      <w:r>
        <w:rPr>
          <w:rFonts w:ascii="Arial" w:cs="Arial" w:eastAsia="Arial" w:hAnsi="Arial"/>
          <w:sz w:val="19"/>
          <w:szCs w:val="19"/>
          <w:u w:val="single" w:color="auto"/>
          <w:color w:val="auto"/>
        </w:rPr>
        <w:t>ROFO Real Property</w:t>
      </w:r>
      <w:r>
        <w:rPr>
          <w:rFonts w:ascii="Arial" w:cs="Arial" w:eastAsia="Arial" w:hAnsi="Arial"/>
          <w:sz w:val="19"/>
          <w:szCs w:val="19"/>
          <w:color w:val="auto"/>
        </w:rPr>
        <w:t>”). Landlord shall not sell the entire Building in fee simple unless Landlord shall first offer the Building to Tenant as follows: (i) Landlord shall give to Tenant an irrevocable written notice (“</w:t>
      </w:r>
      <w:r>
        <w:rPr>
          <w:rFonts w:ascii="Arial" w:cs="Arial" w:eastAsia="Arial" w:hAnsi="Arial"/>
          <w:sz w:val="19"/>
          <w:szCs w:val="19"/>
          <w:u w:val="single" w:color="auto"/>
          <w:color w:val="auto"/>
        </w:rPr>
        <w:t>Landlord’s Purchase ROFO Notice</w:t>
      </w:r>
      <w:r>
        <w:rPr>
          <w:rFonts w:ascii="Arial" w:cs="Arial" w:eastAsia="Arial" w:hAnsi="Arial"/>
          <w:sz w:val="19"/>
          <w:szCs w:val="19"/>
          <w:color w:val="auto"/>
        </w:rPr>
        <w:t>”) specifying the Basic Sale Terms (as hereinafter defined) upon which Landlord desires to sell the Building; and (ii) Tenant shall then have the one-time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16</w:t>
      </w:r>
    </w:p>
    <w:p>
      <w:pPr>
        <w:sectPr>
          <w:pgSz w:w="11900" w:h="16838" w:orient="portrait"/>
          <w:cols w:equalWidth="0" w:num="1">
            <w:col w:w="11240"/>
          </w:cols>
          <w:pgMar w:left="320" w:top="1400" w:right="339" w:bottom="1440" w:gutter="0" w:footer="0" w:header="0"/>
        </w:sectPr>
      </w:pPr>
    </w:p>
    <w:bookmarkStart w:id="395" w:name="page396"/>
    <w:bookmarkEnd w:id="395"/>
    <w:p>
      <w:pPr>
        <w:spacing w:after="0"/>
        <w:rPr>
          <w:sz w:val="20"/>
          <w:szCs w:val="20"/>
          <w:color w:val="auto"/>
        </w:rPr>
      </w:pPr>
      <w:r>
        <w:rPr>
          <w:rFonts w:ascii="Arial" w:cs="Arial" w:eastAsia="Arial" w:hAnsi="Arial"/>
          <w:sz w:val="19"/>
          <w:szCs w:val="19"/>
          <w:color w:val="auto"/>
        </w:rPr>
        <w:t>right to purchase the Building (the “</w:t>
      </w:r>
      <w:r>
        <w:rPr>
          <w:rFonts w:ascii="Arial" w:cs="Arial" w:eastAsia="Arial" w:hAnsi="Arial"/>
          <w:sz w:val="19"/>
          <w:szCs w:val="19"/>
          <w:u w:val="single" w:color="auto"/>
          <w:color w:val="auto"/>
        </w:rPr>
        <w:t>Purchase ROFO</w:t>
      </w:r>
      <w:r>
        <w:rPr>
          <w:rFonts w:ascii="Arial" w:cs="Arial" w:eastAsia="Arial" w:hAnsi="Arial"/>
          <w:sz w:val="19"/>
          <w:szCs w:val="19"/>
          <w:color w:val="auto"/>
        </w:rPr>
        <w:t>”) by notifying Landlord in writing of the exercise of such Purchase ROFO</w:t>
      </w:r>
    </w:p>
    <w:p>
      <w:pPr>
        <w:spacing w:after="0" w:line="16" w:lineRule="exact"/>
        <w:rPr>
          <w:sz w:val="20"/>
          <w:szCs w:val="20"/>
          <w:color w:val="auto"/>
        </w:rPr>
      </w:pPr>
    </w:p>
    <w:p>
      <w:pPr>
        <w:ind w:firstLine="8"/>
        <w:spacing w:after="0" w:line="224" w:lineRule="auto"/>
        <w:tabs>
          <w:tab w:leader="none" w:pos="523" w:val="left"/>
        </w:tabs>
        <w:numPr>
          <w:ilvl w:val="0"/>
          <w:numId w:val="346"/>
        </w:numPr>
        <w:rPr>
          <w:rFonts w:ascii="Arial" w:cs="Arial" w:eastAsia="Arial" w:hAnsi="Arial"/>
          <w:sz w:val="22"/>
          <w:szCs w:val="22"/>
          <w:color w:val="auto"/>
        </w:rPr>
      </w:pPr>
      <w:r>
        <w:rPr>
          <w:rFonts w:ascii="Arial" w:cs="Arial" w:eastAsia="Arial" w:hAnsi="Arial"/>
          <w:sz w:val="22"/>
          <w:szCs w:val="22"/>
          <w:color w:val="auto"/>
        </w:rPr>
        <w:t>and delivering one-half of the deposit required pursuant to the Additional Sale Terms (as hereinafter defined), time being of the essence.</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1708" w:val="left"/>
        </w:tabs>
        <w:numPr>
          <w:ilvl w:val="1"/>
          <w:numId w:val="346"/>
        </w:numPr>
        <w:rPr>
          <w:rFonts w:ascii="Arial" w:cs="Arial" w:eastAsia="Arial" w:hAnsi="Arial"/>
          <w:sz w:val="22"/>
          <w:szCs w:val="22"/>
          <w:color w:val="auto"/>
        </w:rPr>
      </w:pPr>
      <w:r>
        <w:rPr>
          <w:rFonts w:ascii="Arial" w:cs="Arial" w:eastAsia="Arial" w:hAnsi="Arial"/>
          <w:sz w:val="22"/>
          <w:szCs w:val="22"/>
          <w:color w:val="auto"/>
        </w:rPr>
        <w:t>If Tenant exercises the Purchase ROFO [***] (time being strictly of the essence), then Tenant shall have the one-time right and obligation (subject to Landlord and Tenant entering into a Purchase Agreement pursuant to the Additional Sale Terms) to purchase the Building upon the Basic Sale Terms and the Additional Sale Terms to the extent such Additional Sale Terms are not inconsistent with the Basic Sale Terms.</w:t>
      </w:r>
    </w:p>
    <w:p>
      <w:pPr>
        <w:spacing w:after="0" w:line="160" w:lineRule="exact"/>
        <w:rPr>
          <w:rFonts w:ascii="Arial" w:cs="Arial" w:eastAsia="Arial" w:hAnsi="Arial"/>
          <w:sz w:val="22"/>
          <w:szCs w:val="22"/>
          <w:color w:val="auto"/>
        </w:rPr>
      </w:pPr>
    </w:p>
    <w:p>
      <w:pPr>
        <w:ind w:left="1680" w:hanging="376"/>
        <w:spacing w:after="0"/>
        <w:tabs>
          <w:tab w:leader="none" w:pos="1680" w:val="left"/>
        </w:tabs>
        <w:numPr>
          <w:ilvl w:val="1"/>
          <w:numId w:val="346"/>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Tenant’s rights under this </w:t>
      </w:r>
      <w:r>
        <w:rPr>
          <w:rFonts w:ascii="Arial" w:cs="Arial" w:eastAsia="Arial" w:hAnsi="Arial"/>
          <w:sz w:val="21"/>
          <w:szCs w:val="21"/>
          <w:u w:val="single" w:color="auto"/>
          <w:color w:val="auto"/>
        </w:rPr>
        <w:t>Article 16</w:t>
      </w:r>
      <w:r>
        <w:rPr>
          <w:rFonts w:ascii="Arial" w:cs="Arial" w:eastAsia="Arial" w:hAnsi="Arial"/>
          <w:sz w:val="21"/>
          <w:szCs w:val="21"/>
          <w:color w:val="auto"/>
        </w:rPr>
        <w:t xml:space="preserve"> shall not apply to:</w:t>
      </w:r>
    </w:p>
    <w:p>
      <w:pPr>
        <w:spacing w:after="0" w:line="190" w:lineRule="exact"/>
        <w:rPr>
          <w:rFonts w:ascii="Arial" w:cs="Arial" w:eastAsia="Arial" w:hAnsi="Arial"/>
          <w:sz w:val="21"/>
          <w:szCs w:val="21"/>
          <w:color w:val="auto"/>
        </w:rPr>
      </w:pPr>
    </w:p>
    <w:p>
      <w:pPr>
        <w:ind w:left="2380" w:hanging="428"/>
        <w:spacing w:after="0"/>
        <w:tabs>
          <w:tab w:leader="none" w:pos="2380" w:val="left"/>
        </w:tabs>
        <w:numPr>
          <w:ilvl w:val="2"/>
          <w:numId w:val="346"/>
        </w:numPr>
        <w:rPr>
          <w:rFonts w:ascii="Arial" w:cs="Arial" w:eastAsia="Arial" w:hAnsi="Arial"/>
          <w:sz w:val="22"/>
          <w:szCs w:val="22"/>
          <w:color w:val="auto"/>
        </w:rPr>
      </w:pPr>
      <w:r>
        <w:rPr>
          <w:rFonts w:ascii="Arial" w:cs="Arial" w:eastAsia="Arial" w:hAnsi="Arial"/>
          <w:sz w:val="22"/>
          <w:szCs w:val="22"/>
          <w:color w:val="auto"/>
        </w:rPr>
        <w:t xml:space="preserve">any sale/leaseback transaction made in connection with a </w:t>
      </w:r>
      <w:r>
        <w:rPr>
          <w:rFonts w:ascii="Arial" w:cs="Arial" w:eastAsia="Arial" w:hAnsi="Arial"/>
          <w:sz w:val="22"/>
          <w:szCs w:val="22"/>
          <w:u w:val="single" w:color="auto"/>
          <w:color w:val="auto"/>
        </w:rPr>
        <w:t>bona fide</w:t>
      </w:r>
      <w:r>
        <w:rPr>
          <w:rFonts w:ascii="Arial" w:cs="Arial" w:eastAsia="Arial" w:hAnsi="Arial"/>
          <w:sz w:val="22"/>
          <w:szCs w:val="22"/>
          <w:color w:val="auto"/>
        </w:rPr>
        <w:t xml:space="preserve"> financing;</w:t>
      </w:r>
    </w:p>
    <w:p>
      <w:pPr>
        <w:spacing w:after="0" w:line="179" w:lineRule="exact"/>
        <w:rPr>
          <w:rFonts w:ascii="Arial" w:cs="Arial" w:eastAsia="Arial" w:hAnsi="Arial"/>
          <w:sz w:val="22"/>
          <w:szCs w:val="22"/>
          <w:color w:val="auto"/>
        </w:rPr>
      </w:pPr>
    </w:p>
    <w:p>
      <w:pPr>
        <w:jc w:val="both"/>
        <w:ind w:firstLine="1952"/>
        <w:spacing w:after="0" w:line="222" w:lineRule="auto"/>
        <w:tabs>
          <w:tab w:leader="none" w:pos="2527" w:val="left"/>
        </w:tabs>
        <w:numPr>
          <w:ilvl w:val="2"/>
          <w:numId w:val="346"/>
        </w:numPr>
        <w:rPr>
          <w:rFonts w:ascii="Arial" w:cs="Arial" w:eastAsia="Arial" w:hAnsi="Arial"/>
          <w:sz w:val="21"/>
          <w:szCs w:val="21"/>
          <w:color w:val="auto"/>
        </w:rPr>
      </w:pPr>
      <w:r>
        <w:rPr>
          <w:rFonts w:ascii="Arial" w:cs="Arial" w:eastAsia="Arial" w:hAnsi="Arial"/>
          <w:sz w:val="21"/>
          <w:szCs w:val="21"/>
          <w:color w:val="auto"/>
        </w:rPr>
        <w:t xml:space="preserve">any sale or transfer of less than eighty percent (80%) of all of the direct and indirect interests in Landlord (but, whether or not in excess of eighty percent (80%), in no event shall Tenant’s rights apply to a sale or transfer among then-existing direct or indirect interest holders in Landlord, sales or transfers of beneficial interests in direct or indirect interest holders in Landlord that are part of a portfolio transaction that includes properties other than the Building, and mergers, acquisitions, sales or transfers of or in entities with a direct or indirect interest in Landlord that own direct or indirect interests in properties other than the Building, in each case unless such transfers are made with the intention of allowing a transfer of the Building in avoidance of Tenant’s rights under this </w:t>
      </w:r>
      <w:r>
        <w:rPr>
          <w:rFonts w:ascii="Arial" w:cs="Arial" w:eastAsia="Arial" w:hAnsi="Arial"/>
          <w:sz w:val="21"/>
          <w:szCs w:val="21"/>
          <w:u w:val="single" w:color="auto"/>
          <w:color w:val="auto"/>
        </w:rPr>
        <w:t>Article 16</w:t>
      </w:r>
      <w:r>
        <w:rPr>
          <w:rFonts w:ascii="Arial" w:cs="Arial" w:eastAsia="Arial" w:hAnsi="Arial"/>
          <w:sz w:val="21"/>
          <w:szCs w:val="21"/>
          <w:color w:val="auto"/>
        </w:rPr>
        <w:t>);</w:t>
      </w:r>
    </w:p>
    <w:p>
      <w:pPr>
        <w:spacing w:after="0" w:line="164" w:lineRule="exact"/>
        <w:rPr>
          <w:rFonts w:ascii="Arial" w:cs="Arial" w:eastAsia="Arial" w:hAnsi="Arial"/>
          <w:sz w:val="21"/>
          <w:szCs w:val="21"/>
          <w:color w:val="auto"/>
        </w:rPr>
      </w:pPr>
    </w:p>
    <w:p>
      <w:pPr>
        <w:jc w:val="both"/>
        <w:ind w:firstLine="1952"/>
        <w:spacing w:after="0" w:line="223" w:lineRule="auto"/>
        <w:tabs>
          <w:tab w:leader="none" w:pos="2532" w:val="left"/>
        </w:tabs>
        <w:numPr>
          <w:ilvl w:val="2"/>
          <w:numId w:val="346"/>
        </w:numPr>
        <w:rPr>
          <w:rFonts w:ascii="Arial" w:cs="Arial" w:eastAsia="Arial" w:hAnsi="Arial"/>
          <w:sz w:val="22"/>
          <w:szCs w:val="22"/>
          <w:color w:val="auto"/>
        </w:rPr>
      </w:pPr>
      <w:r>
        <w:rPr>
          <w:rFonts w:ascii="Arial" w:cs="Arial" w:eastAsia="Arial" w:hAnsi="Arial"/>
          <w:sz w:val="22"/>
          <w:szCs w:val="22"/>
          <w:color w:val="auto"/>
        </w:rPr>
        <w:t xml:space="preserve">any sale or transfer of the Building to a partnership, corporation, limited liability company, trust or other entity that is under control by, common control with, or controls Landlord or any direct or indirect owner of Landlord, but any such transferee shall hold title subject to Tenant’s rights under this </w:t>
      </w:r>
      <w:r>
        <w:rPr>
          <w:rFonts w:ascii="Arial" w:cs="Arial" w:eastAsia="Arial" w:hAnsi="Arial"/>
          <w:sz w:val="22"/>
          <w:szCs w:val="22"/>
          <w:u w:val="single" w:color="auto"/>
          <w:color w:val="auto"/>
        </w:rPr>
        <w:t>Article 16</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952"/>
        <w:spacing w:after="0" w:line="268" w:lineRule="auto"/>
        <w:tabs>
          <w:tab w:leader="none" w:pos="2559" w:val="left"/>
        </w:tabs>
        <w:numPr>
          <w:ilvl w:val="2"/>
          <w:numId w:val="346"/>
        </w:numPr>
        <w:rPr>
          <w:rFonts w:ascii="Arial" w:cs="Arial" w:eastAsia="Arial" w:hAnsi="Arial"/>
          <w:sz w:val="19"/>
          <w:szCs w:val="19"/>
          <w:color w:val="auto"/>
        </w:rPr>
      </w:pPr>
      <w:r>
        <w:rPr>
          <w:rFonts w:ascii="Arial" w:cs="Arial" w:eastAsia="Arial" w:hAnsi="Arial"/>
          <w:sz w:val="19"/>
          <w:szCs w:val="19"/>
          <w:color w:val="auto"/>
        </w:rPr>
        <w:t xml:space="preserve">any transfer in the nature of a financing transaction with a financial institution that is made for a </w:t>
      </w:r>
      <w:r>
        <w:rPr>
          <w:rFonts w:ascii="Arial" w:cs="Arial" w:eastAsia="Arial" w:hAnsi="Arial"/>
          <w:sz w:val="19"/>
          <w:szCs w:val="19"/>
          <w:u w:val="single" w:color="auto"/>
          <w:color w:val="auto"/>
        </w:rPr>
        <w:t>bona fide</w:t>
      </w:r>
      <w:r>
        <w:rPr>
          <w:rFonts w:ascii="Arial" w:cs="Arial" w:eastAsia="Arial" w:hAnsi="Arial"/>
          <w:sz w:val="19"/>
          <w:szCs w:val="19"/>
          <w:color w:val="auto"/>
        </w:rPr>
        <w:t xml:space="preserve"> business purpose (i.e., other than in order to allow a transfer of the Building in avoidance of Tenant’s rights under this </w:t>
      </w:r>
      <w:r>
        <w:rPr>
          <w:rFonts w:ascii="Arial" w:cs="Arial" w:eastAsia="Arial" w:hAnsi="Arial"/>
          <w:sz w:val="19"/>
          <w:szCs w:val="19"/>
          <w:u w:val="single" w:color="auto"/>
          <w:color w:val="auto"/>
        </w:rPr>
        <w:t>Article 16</w:t>
      </w:r>
      <w:r>
        <w:rPr>
          <w:rFonts w:ascii="Arial" w:cs="Arial" w:eastAsia="Arial" w:hAnsi="Arial"/>
          <w:sz w:val="19"/>
          <w:szCs w:val="19"/>
          <w:color w:val="auto"/>
        </w:rPr>
        <w:t>), including without limitation the granting of, or foreclosure or deed-in-lieu of foreclosure, under a mortgage; and</w:t>
      </w:r>
    </w:p>
    <w:p>
      <w:pPr>
        <w:spacing w:after="0" w:line="132" w:lineRule="exact"/>
        <w:rPr>
          <w:rFonts w:ascii="Arial" w:cs="Arial" w:eastAsia="Arial" w:hAnsi="Arial"/>
          <w:sz w:val="19"/>
          <w:szCs w:val="19"/>
          <w:color w:val="auto"/>
        </w:rPr>
      </w:pPr>
    </w:p>
    <w:p>
      <w:pPr>
        <w:jc w:val="both"/>
        <w:ind w:firstLine="1952"/>
        <w:spacing w:after="0" w:line="216" w:lineRule="auto"/>
        <w:tabs>
          <w:tab w:leader="none" w:pos="2431" w:val="left"/>
        </w:tabs>
        <w:numPr>
          <w:ilvl w:val="2"/>
          <w:numId w:val="346"/>
        </w:numPr>
        <w:rPr>
          <w:rFonts w:ascii="Arial" w:cs="Arial" w:eastAsia="Arial" w:hAnsi="Arial"/>
          <w:sz w:val="22"/>
          <w:szCs w:val="22"/>
          <w:color w:val="auto"/>
        </w:rPr>
      </w:pPr>
      <w:r>
        <w:rPr>
          <w:rFonts w:ascii="Arial" w:cs="Arial" w:eastAsia="Arial" w:hAnsi="Arial"/>
          <w:sz w:val="22"/>
          <w:szCs w:val="22"/>
          <w:color w:val="auto"/>
        </w:rPr>
        <w:t xml:space="preserve">any portfolio transaction that includes at least one other real estate asset consisting of a building with at least 40,000 square feet in gross floor area or land capable of accommodating a new building of at least 40,000 rentable square feet in area. In connection with any portfolio transaction that includes only the Building and a related asset, and, therefore, is subject to the provisions of this </w:t>
      </w:r>
      <w:r>
        <w:rPr>
          <w:rFonts w:ascii="Arial" w:cs="Arial" w:eastAsia="Arial" w:hAnsi="Arial"/>
          <w:sz w:val="22"/>
          <w:szCs w:val="22"/>
          <w:u w:val="single" w:color="auto"/>
          <w:color w:val="auto"/>
        </w:rPr>
        <w:t>Article 16</w:t>
      </w:r>
      <w:r>
        <w:rPr>
          <w:rFonts w:ascii="Arial" w:cs="Arial" w:eastAsia="Arial" w:hAnsi="Arial"/>
          <w:sz w:val="22"/>
          <w:szCs w:val="22"/>
          <w:color w:val="auto"/>
        </w:rPr>
        <w:t>, Tenant must exercise its election to purchase, if at all, with respect to the entire portfolio transaction offered in Landlord’s Purchase ROFO Notice.</w:t>
      </w:r>
    </w:p>
    <w:p>
      <w:pPr>
        <w:spacing w:after="0" w:line="157" w:lineRule="exact"/>
        <w:rPr>
          <w:rFonts w:ascii="Arial" w:cs="Arial" w:eastAsia="Arial" w:hAnsi="Arial"/>
          <w:sz w:val="22"/>
          <w:szCs w:val="22"/>
          <w:color w:val="auto"/>
        </w:rPr>
      </w:pPr>
    </w:p>
    <w:p>
      <w:pPr>
        <w:jc w:val="both"/>
        <w:ind w:firstLine="1304"/>
        <w:spacing w:after="0" w:line="221" w:lineRule="auto"/>
        <w:tabs>
          <w:tab w:leader="none" w:pos="1673" w:val="left"/>
        </w:tabs>
        <w:numPr>
          <w:ilvl w:val="1"/>
          <w:numId w:val="346"/>
        </w:numPr>
        <w:rPr>
          <w:rFonts w:ascii="Arial" w:cs="Arial" w:eastAsia="Arial" w:hAnsi="Arial"/>
          <w:sz w:val="21"/>
          <w:szCs w:val="21"/>
          <w:color w:val="auto"/>
        </w:rPr>
      </w:pPr>
      <w:r>
        <w:rPr>
          <w:rFonts w:ascii="Arial" w:cs="Arial" w:eastAsia="Arial" w:hAnsi="Arial"/>
          <w:sz w:val="21"/>
          <w:szCs w:val="21"/>
          <w:color w:val="auto"/>
        </w:rPr>
        <w:t>If Tenant either rejects the Landlord’s Purchase ROFO Notice or does not exercise the Purchase ROFO within the [***] period described above (time being strictly of the essence), then Landlord shall be free to sell the Building to a third-party person or entity upon terms and conditions no less favorable to Landlord in any material respect than the Basic Sale Terms without further obligation to Tenant, except that the purchase price may be as much as ten percent (10%) less than that reflected in the Basic Sale Terms. If after Tenant either rejects the Landlord’s Purchase ROFO Notice or does not exercise the Purchase ROFO within the [***] period described above, and Landlord desires to offer the Building for sale upon terms that are materially less favorable to Landlord than the Basic Sale Terms and/or at a purchase price that is more than ten percent (10%) less than the purchase price stated in the Basic Sale Terms, then Landlord must resubmit a Landlord’s Purchase ROFO Notice in accordance with the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17</w:t>
      </w:r>
    </w:p>
    <w:p>
      <w:pPr>
        <w:sectPr>
          <w:pgSz w:w="11900" w:h="16838" w:orient="portrait"/>
          <w:cols w:equalWidth="0" w:num="1">
            <w:col w:w="11240"/>
          </w:cols>
          <w:pgMar w:left="320" w:top="1400" w:right="339" w:bottom="1440" w:gutter="0" w:footer="0" w:header="0"/>
        </w:sectPr>
      </w:pPr>
    </w:p>
    <w:bookmarkStart w:id="396" w:name="page397"/>
    <w:bookmarkEnd w:id="396"/>
    <w:p>
      <w:pPr>
        <w:spacing w:after="0" w:line="232" w:lineRule="auto"/>
        <w:rPr>
          <w:sz w:val="20"/>
          <w:szCs w:val="20"/>
          <w:color w:val="auto"/>
        </w:rPr>
      </w:pPr>
      <w:r>
        <w:rPr>
          <w:rFonts w:ascii="Arial" w:cs="Arial" w:eastAsia="Arial" w:hAnsi="Arial"/>
          <w:sz w:val="22"/>
          <w:szCs w:val="22"/>
          <w:color w:val="auto"/>
        </w:rPr>
        <w:t>set forth above. However, if the new notice to Tenant is given not more than [***] after the previous notice to Tenant, then Tenant’s time to exercise its Right of First Offer pursuant to such new notice shall be reduced to [***].</w:t>
      </w:r>
    </w:p>
    <w:p>
      <w:pPr>
        <w:spacing w:after="0" w:line="159" w:lineRule="exact"/>
        <w:rPr>
          <w:sz w:val="20"/>
          <w:szCs w:val="20"/>
          <w:color w:val="auto"/>
        </w:rPr>
      </w:pPr>
    </w:p>
    <w:p>
      <w:pPr>
        <w:jc w:val="both"/>
        <w:ind w:firstLine="1304"/>
        <w:spacing w:after="0" w:line="218" w:lineRule="auto"/>
        <w:tabs>
          <w:tab w:leader="none" w:pos="1780" w:val="left"/>
        </w:tabs>
        <w:numPr>
          <w:ilvl w:val="1"/>
          <w:numId w:val="347"/>
        </w:numPr>
        <w:rPr>
          <w:rFonts w:ascii="Arial" w:cs="Arial" w:eastAsia="Arial" w:hAnsi="Arial"/>
          <w:sz w:val="22"/>
          <w:szCs w:val="22"/>
          <w:color w:val="auto"/>
        </w:rPr>
      </w:pPr>
      <w:r>
        <w:rPr>
          <w:rFonts w:ascii="Arial" w:cs="Arial" w:eastAsia="Arial" w:hAnsi="Arial"/>
          <w:sz w:val="22"/>
          <w:szCs w:val="22"/>
          <w:color w:val="auto"/>
        </w:rPr>
        <w:t xml:space="preserve">Upon (i) any sale of the Building, (ii) any portfolio transaction sale that includes the Building and is not subject to the rights of Tenant under this </w:t>
      </w:r>
      <w:r>
        <w:rPr>
          <w:rFonts w:ascii="Arial" w:cs="Arial" w:eastAsia="Arial" w:hAnsi="Arial"/>
          <w:sz w:val="22"/>
          <w:szCs w:val="22"/>
          <w:u w:val="single" w:color="auto"/>
          <w:color w:val="auto"/>
        </w:rPr>
        <w:t>Article 16</w:t>
      </w:r>
      <w:r>
        <w:rPr>
          <w:rFonts w:ascii="Arial" w:cs="Arial" w:eastAsia="Arial" w:hAnsi="Arial"/>
          <w:sz w:val="22"/>
          <w:szCs w:val="22"/>
          <w:color w:val="auto"/>
        </w:rPr>
        <w:t xml:space="preserve">, or (iii) any foreclosure of a mortgage on the Building or conveyance by deed-in-lieu of foreclosure, in each case to a third-party person or entity in accordance with the terms of this </w:t>
      </w:r>
      <w:r>
        <w:rPr>
          <w:rFonts w:ascii="Arial" w:cs="Arial" w:eastAsia="Arial" w:hAnsi="Arial"/>
          <w:sz w:val="22"/>
          <w:szCs w:val="22"/>
          <w:u w:val="single" w:color="auto"/>
          <w:color w:val="auto"/>
        </w:rPr>
        <w:t>Article 16</w:t>
      </w:r>
      <w:r>
        <w:rPr>
          <w:rFonts w:ascii="Arial" w:cs="Arial" w:eastAsia="Arial" w:hAnsi="Arial"/>
          <w:sz w:val="22"/>
          <w:szCs w:val="22"/>
          <w:color w:val="auto"/>
        </w:rPr>
        <w:t>, Tenant’s Purchase ROFO shall forever terminate.</w:t>
      </w:r>
    </w:p>
    <w:p>
      <w:pPr>
        <w:spacing w:after="0" w:line="160" w:lineRule="exact"/>
        <w:rPr>
          <w:rFonts w:ascii="Arial" w:cs="Arial" w:eastAsia="Arial" w:hAnsi="Arial"/>
          <w:sz w:val="22"/>
          <w:szCs w:val="22"/>
          <w:color w:val="auto"/>
        </w:rPr>
      </w:pPr>
    </w:p>
    <w:p>
      <w:pPr>
        <w:jc w:val="both"/>
        <w:ind w:right="20" w:firstLine="1304"/>
        <w:spacing w:after="0" w:line="223" w:lineRule="auto"/>
        <w:tabs>
          <w:tab w:leader="none" w:pos="1658" w:val="left"/>
        </w:tabs>
        <w:numPr>
          <w:ilvl w:val="1"/>
          <w:numId w:val="347"/>
        </w:numPr>
        <w:rPr>
          <w:rFonts w:ascii="Arial" w:cs="Arial" w:eastAsia="Arial" w:hAnsi="Arial"/>
          <w:sz w:val="22"/>
          <w:szCs w:val="22"/>
          <w:color w:val="auto"/>
        </w:rPr>
      </w:pPr>
      <w:r>
        <w:rPr>
          <w:rFonts w:ascii="Arial" w:cs="Arial" w:eastAsia="Arial" w:hAnsi="Arial"/>
          <w:sz w:val="22"/>
          <w:szCs w:val="22"/>
          <w:color w:val="auto"/>
        </w:rPr>
        <w:t>As used herein: “</w:t>
      </w:r>
      <w:r>
        <w:rPr>
          <w:rFonts w:ascii="Arial" w:cs="Arial" w:eastAsia="Arial" w:hAnsi="Arial"/>
          <w:sz w:val="22"/>
          <w:szCs w:val="22"/>
          <w:u w:val="single" w:color="auto"/>
          <w:color w:val="auto"/>
        </w:rPr>
        <w:t>Basic Sale Terms</w:t>
      </w:r>
      <w:r>
        <w:rPr>
          <w:rFonts w:ascii="Arial" w:cs="Arial" w:eastAsia="Arial" w:hAnsi="Arial"/>
          <w:sz w:val="22"/>
          <w:szCs w:val="22"/>
          <w:color w:val="auto"/>
        </w:rPr>
        <w:t>” shall mean the purchase price and terms of any seller financing offered by Landlord; and “</w:t>
      </w:r>
      <w:r>
        <w:rPr>
          <w:rFonts w:ascii="Arial" w:cs="Arial" w:eastAsia="Arial" w:hAnsi="Arial"/>
          <w:sz w:val="22"/>
          <w:szCs w:val="22"/>
          <w:u w:val="single" w:color="auto"/>
          <w:color w:val="auto"/>
        </w:rPr>
        <w:t>Additional Sale Terms</w:t>
      </w:r>
      <w:r>
        <w:rPr>
          <w:rFonts w:ascii="Arial" w:cs="Arial" w:eastAsia="Arial" w:hAnsi="Arial"/>
          <w:sz w:val="22"/>
          <w:szCs w:val="22"/>
          <w:color w:val="auto"/>
        </w:rPr>
        <w:t xml:space="preserve">” shall mean those terms set forth on Exhibit E attached to this Amendment. The Lease shall terminate upon transfer of title to Tenant pursuant to this </w:t>
      </w:r>
      <w:r>
        <w:rPr>
          <w:rFonts w:ascii="Arial" w:cs="Arial" w:eastAsia="Arial" w:hAnsi="Arial"/>
          <w:sz w:val="22"/>
          <w:szCs w:val="22"/>
          <w:u w:val="single" w:color="auto"/>
          <w:color w:val="auto"/>
        </w:rPr>
        <w:t>Article 16</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722" w:val="left"/>
        </w:tabs>
        <w:numPr>
          <w:ilvl w:val="1"/>
          <w:numId w:val="347"/>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this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to the contrary, Tenant’s rights under this Article shall be void (i) at Landlord’s election, if a Default is then continuing at the time Tenant makes any election with under this Article or at the time the closing under the purchase contemplated by this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is scheduled to occur, and (ii) [***] prior to the then-scheduled expiration of the term of this Lease unless Tenant has properly exercised its right to extend the term of this Lease pursuant to an Option (if any such right remains). If Tenant asserts any rights in the Building by means of lis pendens or similar notice, or any method claiming any rights or interest in any space in the applicable building (as opposed to a claim strictly for monetary damages, for which the indemnity set forth in this sentence will not apply), and fails to prevail in such proceeding, then Tenant shall indemnify, defend and hold harmless Landlord for any loss, cost, damage or injury that Landlord suffers or incurs on account of the delay caused by such proceeding, including without limitation any lost sale transaction or tenant leases for space in the Building or change in market conditions directly affecting a sale or lease for tenant space in the Building. Furthermore, the provisions of this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are personal to MacroGenics, Inc. and may not be assigned except to a MacroGenics Exempt Transferee in connection with an Exempt Transfer of this Lease to such MacroGenics Exempt Transferee without Landlord’s prior written consent, which consent may be withheld in Landlord’s sole and absolute discretion.</w:t>
      </w:r>
    </w:p>
    <w:p>
      <w:pPr>
        <w:spacing w:after="0" w:line="160" w:lineRule="exact"/>
        <w:rPr>
          <w:rFonts w:ascii="Arial" w:cs="Arial" w:eastAsia="Arial" w:hAnsi="Arial"/>
          <w:sz w:val="19"/>
          <w:szCs w:val="19"/>
          <w:color w:val="auto"/>
        </w:rPr>
      </w:pPr>
    </w:p>
    <w:p>
      <w:pPr>
        <w:jc w:val="both"/>
        <w:ind w:firstLine="1304"/>
        <w:spacing w:after="0" w:line="247" w:lineRule="auto"/>
        <w:tabs>
          <w:tab w:leader="none" w:pos="1841" w:val="left"/>
        </w:tabs>
        <w:numPr>
          <w:ilvl w:val="1"/>
          <w:numId w:val="347"/>
        </w:numPr>
        <w:rPr>
          <w:rFonts w:ascii="Arial" w:cs="Arial" w:eastAsia="Arial" w:hAnsi="Arial"/>
          <w:sz w:val="19"/>
          <w:szCs w:val="19"/>
          <w:color w:val="auto"/>
        </w:rPr>
      </w:pPr>
      <w:r>
        <w:rPr>
          <w:rFonts w:ascii="Arial" w:cs="Arial" w:eastAsia="Arial" w:hAnsi="Arial"/>
          <w:sz w:val="19"/>
          <w:szCs w:val="19"/>
          <w:color w:val="auto"/>
        </w:rPr>
        <w:t xml:space="preserve">Any Landlord’s Purchase ROFO Notice and information in connection therewith, and any information regarding a sale of the Building, provided to Tenant by Landlord pursuant to this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shall be held confidential by Tenant and not disclosed to any third party except as required by Applicable Laws or in connection with any dispute between Landlord and Tenant regarding this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and for disclosures to Tenant’s attorneys and third-party consultants to the extent such attorneys and consultants are reasonably required for Tenant to evaluate such information and, in each case, provided that such attorneys and consultants are made subject to the provisions of this paragraph. Any such information shall be returned by Tenant to Landlord in the event that Tenant’s rights under this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terminate in accordance with the terms hereof.</w:t>
      </w:r>
    </w:p>
    <w:p>
      <w:pPr>
        <w:spacing w:after="0" w:line="153" w:lineRule="exact"/>
        <w:rPr>
          <w:rFonts w:ascii="Arial" w:cs="Arial" w:eastAsia="Arial" w:hAnsi="Arial"/>
          <w:sz w:val="19"/>
          <w:szCs w:val="19"/>
          <w:color w:val="auto"/>
        </w:rPr>
      </w:pPr>
    </w:p>
    <w:p>
      <w:pPr>
        <w:jc w:val="both"/>
        <w:ind w:firstLine="1304"/>
        <w:spacing w:after="0" w:line="247" w:lineRule="auto"/>
        <w:tabs>
          <w:tab w:leader="none" w:pos="1677" w:val="left"/>
        </w:tabs>
        <w:numPr>
          <w:ilvl w:val="1"/>
          <w:numId w:val="347"/>
        </w:numPr>
        <w:rPr>
          <w:rFonts w:ascii="Arial" w:cs="Arial" w:eastAsia="Arial" w:hAnsi="Arial"/>
          <w:sz w:val="19"/>
          <w:szCs w:val="19"/>
          <w:color w:val="auto"/>
        </w:rPr>
      </w:pPr>
      <w:r>
        <w:rPr>
          <w:rFonts w:ascii="Arial" w:cs="Arial" w:eastAsia="Arial" w:hAnsi="Arial"/>
          <w:sz w:val="19"/>
          <w:szCs w:val="19"/>
          <w:color w:val="auto"/>
        </w:rPr>
        <w:t xml:space="preserve">Any disputes regarding the provisions of this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shall be resolved by arbitration as follows: the parties shall promptly meet and confer to attempt in good faith to resolve such dispute, and if such dispute is not resolved within thirty</w:t>
      </w:r>
    </w:p>
    <w:p>
      <w:pPr>
        <w:jc w:val="both"/>
        <w:ind w:firstLine="8"/>
        <w:spacing w:after="0" w:line="221" w:lineRule="auto"/>
        <w:tabs>
          <w:tab w:leader="none" w:pos="416" w:val="left"/>
        </w:tabs>
        <w:numPr>
          <w:ilvl w:val="0"/>
          <w:numId w:val="348"/>
        </w:numPr>
        <w:rPr>
          <w:rFonts w:ascii="Arial" w:cs="Arial" w:eastAsia="Arial" w:hAnsi="Arial"/>
          <w:sz w:val="21"/>
          <w:szCs w:val="21"/>
          <w:color w:val="auto"/>
        </w:rPr>
      </w:pPr>
      <w:r>
        <w:rPr>
          <w:rFonts w:ascii="Arial" w:cs="Arial" w:eastAsia="Arial" w:hAnsi="Arial"/>
          <w:sz w:val="21"/>
          <w:szCs w:val="21"/>
          <w:color w:val="auto"/>
        </w:rPr>
        <w:t>days after Landlord or Tenant delivers written notice of such dispute to the other, the parties shall direct the Washington, DC office of the JAMS to appoint an arbitrator who shall have a minimum of ten (10) years’ experience in commercial real estate disputes and who shall not be affiliated with either Landlord or Tenant and has not worked for either party or its affiliates at any time during the prior five (5) years. Both Landlord and Tenant shall have the opportunity to present evidence and outside consultants to the arbitrator. The arbitration shall be conducted in accordance with the expedited commercial arbitration rules of the JAMS insofar as such rules are not inconsistent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18</w:t>
      </w:r>
    </w:p>
    <w:p>
      <w:pPr>
        <w:sectPr>
          <w:pgSz w:w="11900" w:h="16838" w:orient="portrait"/>
          <w:cols w:equalWidth="0" w:num="1">
            <w:col w:w="11240"/>
          </w:cols>
          <w:pgMar w:left="320" w:top="1400" w:right="339" w:bottom="1440" w:gutter="0" w:footer="0" w:header="0"/>
        </w:sectPr>
      </w:pPr>
    </w:p>
    <w:bookmarkStart w:id="397" w:name="page398"/>
    <w:bookmarkEnd w:id="397"/>
    <w:p>
      <w:pPr>
        <w:jc w:val="both"/>
        <w:spacing w:after="0" w:line="223" w:lineRule="auto"/>
        <w:rPr>
          <w:sz w:val="20"/>
          <w:szCs w:val="20"/>
          <w:color w:val="auto"/>
        </w:rPr>
      </w:pPr>
      <w:r>
        <w:rPr>
          <w:rFonts w:ascii="Arial" w:cs="Arial" w:eastAsia="Arial" w:hAnsi="Arial"/>
          <w:sz w:val="22"/>
          <w:szCs w:val="22"/>
          <w:color w:val="auto"/>
        </w:rPr>
        <w:t>with the provisions of this Lease (in which case the provisions of this Lease shall govern). The cost of the arbitration (exclusive of each party’s witness and attorneys’ fees, which shall be paid by such party) shall be borne equally by the parties. The arbitrator’s decision shall be final and binding on the parties.</w:t>
      </w:r>
    </w:p>
    <w:p>
      <w:pPr>
        <w:spacing w:after="0" w:line="159" w:lineRule="exact"/>
        <w:rPr>
          <w:sz w:val="20"/>
          <w:szCs w:val="20"/>
          <w:color w:val="auto"/>
        </w:rPr>
      </w:pPr>
    </w:p>
    <w:p>
      <w:pPr>
        <w:jc w:val="both"/>
        <w:ind w:firstLine="1304"/>
        <w:spacing w:after="0" w:line="246" w:lineRule="auto"/>
        <w:tabs>
          <w:tab w:leader="none" w:pos="1643" w:val="left"/>
        </w:tabs>
        <w:numPr>
          <w:ilvl w:val="1"/>
          <w:numId w:val="349"/>
        </w:numPr>
        <w:rPr>
          <w:rFonts w:ascii="Arial" w:cs="Arial" w:eastAsia="Arial" w:hAnsi="Arial"/>
          <w:sz w:val="19"/>
          <w:szCs w:val="19"/>
          <w:color w:val="auto"/>
        </w:rPr>
      </w:pPr>
      <w:r>
        <w:rPr>
          <w:rFonts w:ascii="Arial" w:cs="Arial" w:eastAsia="Arial" w:hAnsi="Arial"/>
          <w:sz w:val="19"/>
          <w:szCs w:val="19"/>
          <w:color w:val="auto"/>
        </w:rPr>
        <w:t>Upon Tenant’s request, Landlord agrees to execute and deliver to Tenant a memorandum of Tenant’s Purchase ROFO, in form and substance reasonably acceptable to Landlord and Tenant (the “</w:t>
      </w:r>
      <w:r>
        <w:rPr>
          <w:rFonts w:ascii="Arial" w:cs="Arial" w:eastAsia="Arial" w:hAnsi="Arial"/>
          <w:sz w:val="19"/>
          <w:szCs w:val="19"/>
          <w:u w:val="single" w:color="auto"/>
          <w:color w:val="auto"/>
        </w:rPr>
        <w:t>Purchase ROFO Memorandum</w:t>
      </w:r>
      <w:r>
        <w:rPr>
          <w:rFonts w:ascii="Arial" w:cs="Arial" w:eastAsia="Arial" w:hAnsi="Arial"/>
          <w:sz w:val="19"/>
          <w:szCs w:val="19"/>
          <w:color w:val="auto"/>
        </w:rPr>
        <w:t>”), provided that Tenant executes and delivers to Landlord or a third party escrow agent reasonably acceptable to Landlord and Tenant an instrument acknowledging the termination of Tenant’s Purchase ROFO, in form and substance reasonably acceptable to Landlord and Tenant, to be held in escrow and recorded upon the earlier to occur of the termination of this Lease or the termination of Tenant’s Purchase ROFO in accordance with the terms of this Second Amendment. Tenant may, but shall not be obligated to, record the Purchase ROFO Memorandum, provided Tenant shall be obligated to pay all costs and expenses relating thereto, including any taxes assessed as a result of such recording.</w:t>
      </w:r>
    </w:p>
    <w:p>
      <w:pPr>
        <w:spacing w:after="0" w:line="152" w:lineRule="exact"/>
        <w:rPr>
          <w:rFonts w:ascii="Arial" w:cs="Arial" w:eastAsia="Arial" w:hAnsi="Arial"/>
          <w:sz w:val="19"/>
          <w:szCs w:val="19"/>
          <w:color w:val="auto"/>
        </w:rPr>
      </w:pPr>
    </w:p>
    <w:p>
      <w:pPr>
        <w:jc w:val="both"/>
        <w:ind w:firstLine="656"/>
        <w:spacing w:after="0" w:line="244" w:lineRule="auto"/>
        <w:tabs>
          <w:tab w:leader="none" w:pos="1242" w:val="left"/>
        </w:tabs>
        <w:numPr>
          <w:ilvl w:val="0"/>
          <w:numId w:val="350"/>
        </w:numPr>
        <w:rPr>
          <w:rFonts w:ascii="Arial" w:cs="Arial" w:eastAsia="Arial" w:hAnsi="Arial"/>
          <w:sz w:val="19"/>
          <w:szCs w:val="19"/>
          <w:color w:val="auto"/>
        </w:rPr>
      </w:pPr>
      <w:r>
        <w:rPr>
          <w:rFonts w:ascii="Arial" w:cs="Arial" w:eastAsia="Arial" w:hAnsi="Arial"/>
          <w:sz w:val="19"/>
          <w:szCs w:val="19"/>
          <w:u w:val="single" w:color="auto"/>
          <w:color w:val="auto"/>
        </w:rPr>
        <w:t>Broker</w:t>
      </w:r>
      <w:r>
        <w:rPr>
          <w:rFonts w:ascii="Arial" w:cs="Arial" w:eastAsia="Arial" w:hAnsi="Arial"/>
          <w:sz w:val="19"/>
          <w:szCs w:val="19"/>
          <w:color w:val="auto"/>
        </w:rPr>
        <w:t>. Tenant and Landlord each represents and warrants that it has not dealt with any broker or agent in the negotiation for or the obtaining of this Second Amendment, other than CBRE, Inc. (“</w:t>
      </w:r>
      <w:r>
        <w:rPr>
          <w:rFonts w:ascii="Arial" w:cs="Arial" w:eastAsia="Arial" w:hAnsi="Arial"/>
          <w:sz w:val="19"/>
          <w:szCs w:val="19"/>
          <w:u w:val="single" w:color="auto"/>
          <w:color w:val="auto"/>
        </w:rPr>
        <w:t>Broker</w:t>
      </w:r>
      <w:r>
        <w:rPr>
          <w:rFonts w:ascii="Arial" w:cs="Arial" w:eastAsia="Arial" w:hAnsi="Arial"/>
          <w:sz w:val="19"/>
          <w:szCs w:val="19"/>
          <w:color w:val="auto"/>
        </w:rPr>
        <w:t>”), and agrees to reimburse, indemnify, save, defend (at the indemnified party’s option and with counsel reasonably acceptable to the indemnified party, at the indemnifying party’s sole cost and expense) and hold harmless the indemnified party for, from and against any and all cost or liability for compensation claimed by any such broker or agent, other than Broker, employed or engaged by it or claiming to have been employed or engaged by it. Broker is entitled to a leasing commission in connection with the making of the Assignment Agreement, the Landlord Consent and this Second Amendment, and Landlord shall pay such commission to Broker pursuant to a separate agreement between Landlord and Broker and Tenant shall have no obligation to pay Broker a leasing commission in connection with the making of the Assignment Agreement, the Landlord Consent and this Second Amendment.</w:t>
      </w:r>
    </w:p>
    <w:p>
      <w:pPr>
        <w:spacing w:after="0" w:line="160" w:lineRule="exact"/>
        <w:rPr>
          <w:rFonts w:ascii="Arial" w:cs="Arial" w:eastAsia="Arial" w:hAnsi="Arial"/>
          <w:sz w:val="19"/>
          <w:szCs w:val="19"/>
          <w:color w:val="auto"/>
        </w:rPr>
      </w:pPr>
    </w:p>
    <w:p>
      <w:pPr>
        <w:ind w:firstLine="656"/>
        <w:spacing w:after="0" w:line="232" w:lineRule="auto"/>
        <w:tabs>
          <w:tab w:leader="none" w:pos="1215" w:val="left"/>
        </w:tabs>
        <w:numPr>
          <w:ilvl w:val="0"/>
          <w:numId w:val="35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Tenant confirms that, notwithstanding anything in the Lease to the contrary, notices delivered to Tenant pursuant to the Lease should be sent to:</w:t>
      </w:r>
    </w:p>
    <w:p>
      <w:pPr>
        <w:spacing w:after="0" w:line="14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MacroGenics, Inc.</w:t>
      </w:r>
    </w:p>
    <w:p>
      <w:pPr>
        <w:ind w:left="1960"/>
        <w:spacing w:after="0" w:line="204" w:lineRule="auto"/>
        <w:rPr>
          <w:sz w:val="20"/>
          <w:szCs w:val="20"/>
          <w:color w:val="auto"/>
        </w:rPr>
      </w:pPr>
      <w:r>
        <w:rPr>
          <w:rFonts w:ascii="Arial" w:cs="Arial" w:eastAsia="Arial" w:hAnsi="Arial"/>
          <w:sz w:val="22"/>
          <w:szCs w:val="22"/>
          <w:color w:val="auto"/>
        </w:rPr>
        <w:t>9704 Medical Center Drive</w:t>
      </w:r>
    </w:p>
    <w:p>
      <w:pPr>
        <w:ind w:left="1960"/>
        <w:spacing w:after="0" w:line="205" w:lineRule="auto"/>
        <w:rPr>
          <w:sz w:val="20"/>
          <w:szCs w:val="20"/>
          <w:color w:val="auto"/>
        </w:rPr>
      </w:pPr>
      <w:r>
        <w:rPr>
          <w:rFonts w:ascii="Arial" w:cs="Arial" w:eastAsia="Arial" w:hAnsi="Arial"/>
          <w:sz w:val="22"/>
          <w:szCs w:val="22"/>
          <w:color w:val="auto"/>
        </w:rPr>
        <w:t>Rockville, Maryland 20850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General Counsel</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 (which copy shall not constitute notice):</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Covington &amp; Burling LLP</w:t>
      </w:r>
    </w:p>
    <w:p>
      <w:pPr>
        <w:ind w:left="1960"/>
        <w:spacing w:after="0" w:line="204" w:lineRule="auto"/>
        <w:rPr>
          <w:sz w:val="20"/>
          <w:szCs w:val="20"/>
          <w:color w:val="auto"/>
        </w:rPr>
      </w:pPr>
      <w:r>
        <w:rPr>
          <w:rFonts w:ascii="Arial" w:cs="Arial" w:eastAsia="Arial" w:hAnsi="Arial"/>
          <w:sz w:val="22"/>
          <w:szCs w:val="22"/>
          <w:color w:val="auto"/>
        </w:rPr>
        <w:t>One CityCenter</w:t>
      </w:r>
    </w:p>
    <w:p>
      <w:pPr>
        <w:ind w:left="1960"/>
        <w:spacing w:after="0" w:line="205" w:lineRule="auto"/>
        <w:rPr>
          <w:sz w:val="20"/>
          <w:szCs w:val="20"/>
          <w:color w:val="auto"/>
        </w:rPr>
      </w:pPr>
      <w:r>
        <w:rPr>
          <w:rFonts w:ascii="Arial" w:cs="Arial" w:eastAsia="Arial" w:hAnsi="Arial"/>
          <w:sz w:val="22"/>
          <w:szCs w:val="22"/>
          <w:color w:val="auto"/>
        </w:rPr>
        <w:t>850 Tenth Street, NW</w:t>
      </w:r>
    </w:p>
    <w:p>
      <w:pPr>
        <w:ind w:left="1960"/>
        <w:spacing w:after="0" w:line="205" w:lineRule="auto"/>
        <w:rPr>
          <w:sz w:val="20"/>
          <w:szCs w:val="20"/>
          <w:color w:val="auto"/>
        </w:rPr>
      </w:pPr>
      <w:r>
        <w:rPr>
          <w:rFonts w:ascii="Arial" w:cs="Arial" w:eastAsia="Arial" w:hAnsi="Arial"/>
          <w:sz w:val="22"/>
          <w:szCs w:val="22"/>
          <w:color w:val="auto"/>
        </w:rPr>
        <w:t>Washington, DC 20001</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Heather G. Haberl</w:t>
      </w:r>
    </w:p>
    <w:p>
      <w:pPr>
        <w:spacing w:after="0" w:line="161" w:lineRule="exact"/>
        <w:rPr>
          <w:sz w:val="20"/>
          <w:szCs w:val="20"/>
          <w:color w:val="auto"/>
        </w:rPr>
      </w:pPr>
    </w:p>
    <w:p>
      <w:pPr>
        <w:jc w:val="both"/>
        <w:ind w:firstLine="656"/>
        <w:spacing w:after="0" w:line="216" w:lineRule="auto"/>
        <w:tabs>
          <w:tab w:leader="none" w:pos="1134" w:val="left"/>
        </w:tabs>
        <w:numPr>
          <w:ilvl w:val="0"/>
          <w:numId w:val="351"/>
        </w:numPr>
        <w:rPr>
          <w:rFonts w:ascii="Arial" w:cs="Arial" w:eastAsia="Arial" w:hAnsi="Arial"/>
          <w:sz w:val="22"/>
          <w:szCs w:val="22"/>
          <w:color w:val="auto"/>
        </w:rPr>
      </w:pPr>
      <w:r>
        <w:rPr>
          <w:rFonts w:ascii="Arial" w:cs="Arial" w:eastAsia="Arial" w:hAnsi="Arial"/>
          <w:sz w:val="22"/>
          <w:szCs w:val="22"/>
          <w:u w:val="single" w:color="auto"/>
          <w:color w:val="auto"/>
        </w:rPr>
        <w:t>Effect of Amendment</w:t>
      </w:r>
      <w:r>
        <w:rPr>
          <w:rFonts w:ascii="Arial" w:cs="Arial" w:eastAsia="Arial" w:hAnsi="Arial"/>
          <w:sz w:val="22"/>
          <w:szCs w:val="22"/>
          <w:color w:val="auto"/>
        </w:rPr>
        <w:t>. Except as modified by this Second Amendment and the Assignment Agreement and Landlord Consent, the Existing Lease and all the covenants, agreements, terms, provisions and conditions thereof shall remain in full force and effect and are hereby ratified and affirmed. In the event of any conflict between the terms contained in this Second Amendment and the Existing Lease, the terms herein contained shall supersede and control the obligations and liabilities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19</w:t>
      </w:r>
    </w:p>
    <w:p>
      <w:pPr>
        <w:sectPr>
          <w:pgSz w:w="11900" w:h="16838" w:orient="portrait"/>
          <w:cols w:equalWidth="0" w:num="1">
            <w:col w:w="11240"/>
          </w:cols>
          <w:pgMar w:left="320" w:top="1400" w:right="339" w:bottom="1440" w:gutter="0" w:footer="0" w:header="0"/>
        </w:sectPr>
      </w:pPr>
    </w:p>
    <w:bookmarkStart w:id="398" w:name="page399"/>
    <w:bookmarkEnd w:id="398"/>
    <w:p>
      <w:pPr>
        <w:jc w:val="both"/>
        <w:ind w:firstLine="656"/>
        <w:spacing w:after="0" w:line="229" w:lineRule="auto"/>
        <w:tabs>
          <w:tab w:leader="none" w:pos="1201" w:val="left"/>
        </w:tabs>
        <w:numPr>
          <w:ilvl w:val="1"/>
          <w:numId w:val="352"/>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Each of the covenants, conditions and agreements contained in this Second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58" w:lineRule="exact"/>
        <w:rPr>
          <w:rFonts w:ascii="Arial" w:cs="Arial" w:eastAsia="Arial" w:hAnsi="Arial"/>
          <w:sz w:val="21"/>
          <w:szCs w:val="21"/>
          <w:color w:val="auto"/>
        </w:rPr>
      </w:pPr>
    </w:p>
    <w:p>
      <w:pPr>
        <w:jc w:val="both"/>
        <w:ind w:firstLine="656"/>
        <w:spacing w:after="0" w:line="214" w:lineRule="auto"/>
        <w:tabs>
          <w:tab w:leader="none" w:pos="1188" w:val="left"/>
        </w:tabs>
        <w:numPr>
          <w:ilvl w:val="1"/>
          <w:numId w:val="35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This Second Amendment becomes effective only upon execution and delivery hereof by Landlord and Tenant. The captions of the paragraphs and subparagraphs in this Second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58" w:lineRule="exact"/>
        <w:rPr>
          <w:rFonts w:ascii="Arial" w:cs="Arial" w:eastAsia="Arial" w:hAnsi="Arial"/>
          <w:sz w:val="22"/>
          <w:szCs w:val="22"/>
          <w:color w:val="auto"/>
        </w:rPr>
      </w:pPr>
    </w:p>
    <w:p>
      <w:pPr>
        <w:jc w:val="both"/>
        <w:ind w:firstLine="656"/>
        <w:spacing w:after="0" w:line="238" w:lineRule="auto"/>
        <w:tabs>
          <w:tab w:leader="none" w:pos="1147" w:val="left"/>
        </w:tabs>
        <w:numPr>
          <w:ilvl w:val="1"/>
          <w:numId w:val="352"/>
        </w:numPr>
        <w:rPr>
          <w:rFonts w:ascii="Arial" w:cs="Arial" w:eastAsia="Arial" w:hAnsi="Arial"/>
          <w:sz w:val="19"/>
          <w:szCs w:val="19"/>
          <w:color w:val="auto"/>
        </w:rPr>
      </w:pPr>
      <w:r>
        <w:rPr>
          <w:rFonts w:ascii="Arial" w:cs="Arial" w:eastAsia="Arial" w:hAnsi="Arial"/>
          <w:sz w:val="19"/>
          <w:szCs w:val="19"/>
          <w:u w:val="single" w:color="auto"/>
          <w:color w:val="auto"/>
        </w:rPr>
        <w:t>Landlord Representations, Warranties and Covenants</w:t>
      </w:r>
      <w:r>
        <w:rPr>
          <w:rFonts w:ascii="Arial" w:cs="Arial" w:eastAsia="Arial" w:hAnsi="Arial"/>
          <w:sz w:val="19"/>
          <w:szCs w:val="19"/>
          <w:color w:val="auto"/>
        </w:rPr>
        <w:t xml:space="preserve">. Landlord hereby represents and warrants to Tenant that, as of date hereof and as of the Revised Term Commencement Date: (i) the Existing Lease attached hereto as </w:t>
      </w:r>
      <w:r>
        <w:rPr>
          <w:rFonts w:ascii="Arial" w:cs="Arial" w:eastAsia="Arial" w:hAnsi="Arial"/>
          <w:sz w:val="19"/>
          <w:szCs w:val="19"/>
          <w:u w:val="single" w:color="auto"/>
          <w:color w:val="auto"/>
        </w:rPr>
        <w:t>Exhibit L</w:t>
      </w:r>
      <w:r>
        <w:rPr>
          <w:rFonts w:ascii="Arial" w:cs="Arial" w:eastAsia="Arial" w:hAnsi="Arial"/>
          <w:sz w:val="19"/>
          <w:szCs w:val="19"/>
          <w:color w:val="auto"/>
        </w:rPr>
        <w:t xml:space="preserve"> is the true, complete and correct copy of the Existing Lease and the Existing Lease has not been amended or modified except as otherwise set forth in this Second Amendment and as set forth in </w:t>
      </w:r>
      <w:r>
        <w:rPr>
          <w:rFonts w:ascii="Arial" w:cs="Arial" w:eastAsia="Arial" w:hAnsi="Arial"/>
          <w:sz w:val="19"/>
          <w:szCs w:val="19"/>
          <w:u w:val="single" w:color="auto"/>
          <w:color w:val="auto"/>
        </w:rPr>
        <w:t>Exhibit L</w:t>
      </w:r>
      <w:r>
        <w:rPr>
          <w:rFonts w:ascii="Arial" w:cs="Arial" w:eastAsia="Arial" w:hAnsi="Arial"/>
          <w:sz w:val="19"/>
          <w:szCs w:val="19"/>
          <w:color w:val="auto"/>
        </w:rPr>
        <w:t xml:space="preserve"> hereto; (ii) the Existing Lease is valid, binding and in full force and effect, and enforceable in accordance with its terms by Landlord and Tenant; (iv) to Landlord’s knowledge, no party is in breach or default under the Existing Lease (whether monetary or otherwise) or has given or received any notice of breach or default or termination under the Existing Lease; (v) to Landlord’s knowledge, JCVI did not made any assignment, sublease, transfer, conveyance or other disposition of the Existing Lease or any interest therein, or grant any sublease, license, occupancy agreement or other use or occupancy right to any other person or entity, except for JCVI’s grant of the Early Access Rights (as defined in the Assignment Agreement) pursuant to the Assignment Agreement; and (vi) to Landlord’s knowledge, there are no parties in possession of the Premises other than Tenant. Each Party guarantees, warrants and represent to the other and to Landlord that the execution and consummation of this Assignment have been duly authorized by all appropriate company action, and the individual or individuals signing this Assignment have the power, authority and legal capacity to sign this Assignment on behalf of and to bind all entities, corporations, partnerships, limited liability companies, joint ventures or other organizations and entities on whose behalf such individual or individuals have signed. Notwithstanding anything to the contrary contained in the Lease, the Assignment or the Landlord Consent, Landlord hereby covenants that Landlord shall not exercise Landlord’s remedy to terminate the Lease or Tenant’s possession of the Premises, nor shall Tenant be prohibited from exercising an Option, the Lease ROFO or the Purchase ROFO, nor shall Landlord (a) refuse to fund the Base TI Allowance or Additional TI Allowance,</w:t>
      </w:r>
    </w:p>
    <w:p>
      <w:pPr>
        <w:spacing w:after="0" w:line="6" w:lineRule="exact"/>
        <w:rPr>
          <w:rFonts w:ascii="Arial" w:cs="Arial" w:eastAsia="Arial" w:hAnsi="Arial"/>
          <w:sz w:val="19"/>
          <w:szCs w:val="19"/>
          <w:color w:val="auto"/>
        </w:rPr>
      </w:pPr>
    </w:p>
    <w:p>
      <w:pPr>
        <w:jc w:val="both"/>
        <w:ind w:firstLine="8"/>
        <w:spacing w:after="0" w:line="237" w:lineRule="auto"/>
        <w:tabs>
          <w:tab w:leader="none" w:pos="310" w:val="left"/>
        </w:tabs>
        <w:numPr>
          <w:ilvl w:val="0"/>
          <w:numId w:val="353"/>
        </w:numPr>
        <w:rPr>
          <w:rFonts w:ascii="Arial" w:cs="Arial" w:eastAsia="Arial" w:hAnsi="Arial"/>
          <w:sz w:val="19"/>
          <w:szCs w:val="19"/>
          <w:color w:val="auto"/>
        </w:rPr>
      </w:pPr>
      <w:r>
        <w:rPr>
          <w:rFonts w:ascii="Arial" w:cs="Arial" w:eastAsia="Arial" w:hAnsi="Arial"/>
          <w:sz w:val="19"/>
          <w:szCs w:val="19"/>
          <w:color w:val="auto"/>
        </w:rPr>
        <w:t>fail to deliver any SNDA required by the Lease, (c) fail to make casualty insurance proceeds available under Section 24.10 of the Lease, (d) refuse to permit a Transfer or allow Tenant to collect rents directly from a transferee under Section 29 of the Lease,</w:t>
      </w:r>
    </w:p>
    <w:p>
      <w:pPr>
        <w:jc w:val="both"/>
        <w:ind w:firstLine="8"/>
        <w:spacing w:after="0" w:line="218" w:lineRule="auto"/>
        <w:tabs>
          <w:tab w:leader="none" w:pos="301" w:val="left"/>
        </w:tabs>
        <w:numPr>
          <w:ilvl w:val="0"/>
          <w:numId w:val="354"/>
        </w:numPr>
        <w:rPr>
          <w:rFonts w:ascii="Arial" w:cs="Arial" w:eastAsia="Arial" w:hAnsi="Arial"/>
          <w:sz w:val="21"/>
          <w:szCs w:val="21"/>
          <w:color w:val="auto"/>
        </w:rPr>
      </w:pPr>
      <w:r>
        <w:rPr>
          <w:rFonts w:ascii="Arial" w:cs="Arial" w:eastAsia="Arial" w:hAnsi="Arial"/>
          <w:sz w:val="21"/>
          <w:szCs w:val="21"/>
          <w:color w:val="auto"/>
        </w:rPr>
        <w:t xml:space="preserve">charge Additional Rent under Section 7.2 of the Lease, (f) draw against the Security Deposit or (g) fail to recognize Tenant’s quiet enjoyment rights under Section 15 of the Lease, solely by reason of any breach or default of JCVI under the Existing Lease existing as of the Revised Term Commencement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in no way be deemed to limit Landlord’s ability to exercise any remedies under the Lease, including without limitation the termination of the Lease or Tenant’s possession of the Premises, due to any Default caused by Macrogenics, Inc. as the Tenant during its early access to the Premises pursuant to Section 5 of this Second Amendment or any Default resulting from its exacerbation of a breach or default of JCVI under the Existing Lease existing as of the Revised Term Commencement Date. In no event shall Tenant be required to make any certification in an estoppel certificate about the existence of tenant defaults under the Lease as of the Revised Term Commencement Date. In addition, notwithstanding any provision to the contrary contained in the Existing Lease, Landlord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20</w:t>
      </w:r>
    </w:p>
    <w:p>
      <w:pPr>
        <w:sectPr>
          <w:pgSz w:w="11900" w:h="16838" w:orient="portrait"/>
          <w:cols w:equalWidth="0" w:num="1">
            <w:col w:w="11240"/>
          </w:cols>
          <w:pgMar w:left="320" w:top="1400" w:right="339" w:bottom="1440" w:gutter="0" w:footer="0" w:header="0"/>
        </w:sectPr>
      </w:pPr>
    </w:p>
    <w:bookmarkStart w:id="399" w:name="page400"/>
    <w:bookmarkEnd w:id="399"/>
    <w:p>
      <w:pPr>
        <w:jc w:val="both"/>
        <w:spacing w:after="0" w:line="244" w:lineRule="auto"/>
        <w:rPr>
          <w:sz w:val="20"/>
          <w:szCs w:val="20"/>
          <w:color w:val="auto"/>
        </w:rPr>
      </w:pPr>
      <w:r>
        <w:rPr>
          <w:rFonts w:ascii="Arial" w:cs="Arial" w:eastAsia="Arial" w:hAnsi="Arial"/>
          <w:sz w:val="19"/>
          <w:szCs w:val="19"/>
          <w:color w:val="auto"/>
        </w:rPr>
        <w:t xml:space="preserve">to look solely to JCVI for satisfaction of any default of the tenant’s obligations under the Lease occurring prior to or existing as of the Revised Commencement Date and for satisfaction of all obligations of the tenant under the Lease to the extent accruing prior to or existing as of the Revised Commencement Date, including, without limitation, the obligation to pay any amount payable by the tenant under the Lease to the extent accruing prior to or existing as of the Revised Commencement Date, and the recovery of any losses accruing to Landlord and recoverable under the Lease, at law or in equity, to the extent arising under the Lease prior to or existing as of the Revised Commencement Date, provided that the foregoing shall in no way be deemed to limit Landlord’s ability to exercise any remedies under the Lease due to any Default caused by Macrogenics, Inc. as the Tenant during its early access to the Premises pursuant to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of this Second Amendment or any Default resulting from Tenant’s exacerbation of a breach or default of JCVI under the Existing Lease existing as of the Revised Term Commencement Date.</w:t>
      </w:r>
    </w:p>
    <w:p>
      <w:pPr>
        <w:spacing w:after="0" w:line="161" w:lineRule="exact"/>
        <w:rPr>
          <w:sz w:val="20"/>
          <w:szCs w:val="20"/>
          <w:color w:val="auto"/>
        </w:rPr>
      </w:pPr>
    </w:p>
    <w:p>
      <w:pPr>
        <w:jc w:val="both"/>
        <w:ind w:firstLine="656"/>
        <w:spacing w:after="0" w:line="222" w:lineRule="auto"/>
        <w:tabs>
          <w:tab w:leader="none" w:pos="1323" w:val="left"/>
        </w:tabs>
        <w:numPr>
          <w:ilvl w:val="0"/>
          <w:numId w:val="355"/>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Tenant guarantees, warrants and represents that the individual or individuals signing this Second Amendment have the power, authority and legal capacity to sign this Second Amendment on behalf of and to bind all entities, corporations, partnerships, limited liability companies, joint venturers or other organizations and entities on whose behalf such individual or individuals have signed. Landlord guarantees, warrants and represents that the individual or individuals signing this Second Amendment have the power, authority and legal capacity to sign this Second Amendment on behalf of and to bind all entities, corporations, partnerships, limited liability companies, joint venturers or other organizations and entities on whose behalf such individual or individuals have signed.</w:t>
      </w:r>
    </w:p>
    <w:p>
      <w:pPr>
        <w:spacing w:after="0" w:line="164" w:lineRule="exact"/>
        <w:rPr>
          <w:rFonts w:ascii="Arial" w:cs="Arial" w:eastAsia="Arial" w:hAnsi="Arial"/>
          <w:sz w:val="21"/>
          <w:szCs w:val="21"/>
          <w:color w:val="auto"/>
        </w:rPr>
      </w:pPr>
    </w:p>
    <w:p>
      <w:pPr>
        <w:jc w:val="both"/>
        <w:ind w:right="20" w:firstLine="656"/>
        <w:spacing w:after="0" w:line="218" w:lineRule="auto"/>
        <w:tabs>
          <w:tab w:leader="none" w:pos="1377" w:val="left"/>
        </w:tabs>
        <w:numPr>
          <w:ilvl w:val="0"/>
          <w:numId w:val="355"/>
        </w:numPr>
        <w:rPr>
          <w:rFonts w:ascii="Arial" w:cs="Arial" w:eastAsia="Arial" w:hAnsi="Arial"/>
          <w:sz w:val="22"/>
          <w:szCs w:val="22"/>
          <w:color w:val="auto"/>
        </w:rPr>
      </w:pPr>
      <w:r>
        <w:rPr>
          <w:rFonts w:ascii="Arial" w:cs="Arial" w:eastAsia="Arial" w:hAnsi="Arial"/>
          <w:sz w:val="22"/>
          <w:szCs w:val="22"/>
          <w:u w:val="single" w:color="auto"/>
          <w:color w:val="auto"/>
        </w:rPr>
        <w:t>Counterparts; Facsimile and PDF Signatures.</w:t>
      </w:r>
      <w:r>
        <w:rPr>
          <w:rFonts w:ascii="Arial" w:cs="Arial" w:eastAsia="Arial" w:hAnsi="Arial"/>
          <w:sz w:val="22"/>
          <w:szCs w:val="22"/>
          <w:color w:val="auto"/>
        </w:rPr>
        <w:t xml:space="preserve"> This Second Amendment may be executed in one or more counterparts, each of which, when taken together, shall constitute one and the same document. A facsimile or portable document format (PDF) signature on this Second Amendment shall be equivalent to, and have the same force and effect as, an original signature.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21</w:t>
      </w:r>
    </w:p>
    <w:p>
      <w:pPr>
        <w:sectPr>
          <w:pgSz w:w="11900" w:h="16838" w:orient="portrait"/>
          <w:cols w:equalWidth="0" w:num="1">
            <w:col w:w="11240"/>
          </w:cols>
          <w:pgMar w:left="320" w:top="1400" w:right="339" w:bottom="1440" w:gutter="0" w:footer="0" w:header="0"/>
        </w:sectPr>
      </w:pPr>
    </w:p>
    <w:bookmarkStart w:id="400" w:name="page401"/>
    <w:bookmarkEnd w:id="400"/>
    <w:p>
      <w:pPr>
        <w:spacing w:after="0" w:line="200" w:lineRule="exact"/>
        <w:rPr>
          <w:sz w:val="20"/>
          <w:szCs w:val="20"/>
          <w:color w:val="auto"/>
        </w:rPr>
      </w:pPr>
    </w:p>
    <w:p>
      <w:pPr>
        <w:spacing w:after="0" w:line="220"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Landlord and Tenant have executed this Second Amendment as of the date and year first above written.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BMR-MEDICAL CENTER DRIVE LLC,</w:t>
      </w:r>
    </w:p>
    <w:p>
      <w:pPr>
        <w:spacing w:after="0"/>
        <w:rPr>
          <w:sz w:val="20"/>
          <w:szCs w:val="20"/>
          <w:color w:val="auto"/>
        </w:rPr>
      </w:pPr>
      <w:r>
        <w:rPr>
          <w:rFonts w:ascii="Arial" w:cs="Arial" w:eastAsia="Arial" w:hAnsi="Arial"/>
          <w:sz w:val="22"/>
          <w:szCs w:val="22"/>
          <w:color w:val="auto"/>
        </w:rPr>
        <w:t>a Delaware limited liability company</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Jonathan P. Klassen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4490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144907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Jonathan P. Klassen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-5080</wp:posOffset>
            </wp:positionV>
            <wp:extent cx="12573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1583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158369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MACROGENICS, INC.,</w:t>
      </w:r>
    </w:p>
    <w:p>
      <w:pPr>
        <w:spacing w:after="0"/>
        <w:rPr>
          <w:sz w:val="20"/>
          <w:szCs w:val="20"/>
          <w:color w:val="auto"/>
        </w:rPr>
      </w:pPr>
      <w:r>
        <w:rPr>
          <w:rFonts w:ascii="Arial" w:cs="Arial" w:eastAsia="Arial" w:hAnsi="Arial"/>
          <w:sz w:val="22"/>
          <w:szCs w:val="22"/>
          <w:color w:val="auto"/>
        </w:rPr>
        <w:t>a Delaware corporation</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0401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1040130"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-5080</wp:posOffset>
            </wp:positionV>
            <wp:extent cx="8915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4457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4813-5202-3331.13</w:t>
      </w:r>
      <w:r>
        <w:rPr>
          <w:sz w:val="20"/>
          <w:szCs w:val="20"/>
          <w:color w:val="auto"/>
        </w:rPr>
        <w:tab/>
      </w:r>
      <w:r>
        <w:rPr>
          <w:rFonts w:ascii="Arial" w:cs="Arial" w:eastAsia="Arial" w:hAnsi="Arial"/>
          <w:sz w:val="19"/>
          <w:szCs w:val="19"/>
          <w:color w:val="auto"/>
        </w:rPr>
        <w:t>22</w:t>
      </w:r>
    </w:p>
    <w:p>
      <w:pPr>
        <w:sectPr>
          <w:pgSz w:w="11900" w:h="16838" w:orient="portrait"/>
          <w:cols w:equalWidth="0" w:num="1">
            <w:col w:w="11240"/>
          </w:cols>
          <w:pgMar w:left="320" w:top="1440" w:right="339" w:bottom="1440" w:gutter="0" w:footer="0" w:header="0"/>
        </w:sectPr>
      </w:pPr>
    </w:p>
    <w:bookmarkStart w:id="401" w:name="page402"/>
    <w:bookmarkEnd w:id="401"/>
    <w:p>
      <w:pPr>
        <w:jc w:val="right"/>
        <w:spacing w:after="0"/>
        <w:rPr>
          <w:sz w:val="20"/>
          <w:szCs w:val="20"/>
          <w:color w:val="auto"/>
        </w:rPr>
      </w:pPr>
      <w:r>
        <w:rPr>
          <w:rFonts w:ascii="Arial" w:cs="Arial" w:eastAsia="Arial" w:hAnsi="Arial"/>
          <w:sz w:val="22"/>
          <w:szCs w:val="22"/>
          <w:b w:val="1"/>
          <w:bCs w:val="1"/>
          <w:color w:val="auto"/>
        </w:rPr>
        <w:t>Exhibit.10.28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LEASE</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THIS THIRD AMENDMENT TO LEASE (this “</w:t>
      </w:r>
      <w:r>
        <w:rPr>
          <w:rFonts w:ascii="Arial" w:cs="Arial" w:eastAsia="Arial" w:hAnsi="Arial"/>
          <w:sz w:val="22"/>
          <w:szCs w:val="22"/>
          <w:u w:val="single" w:color="auto"/>
          <w:color w:val="auto"/>
        </w:rPr>
        <w:t>Third Amendment</w:t>
      </w:r>
      <w:r>
        <w:rPr>
          <w:rFonts w:ascii="Arial" w:cs="Arial" w:eastAsia="Arial" w:hAnsi="Arial"/>
          <w:sz w:val="22"/>
          <w:szCs w:val="22"/>
          <w:color w:val="auto"/>
        </w:rPr>
        <w:t>”) is entered into as of this [***] day of [***], [***] (the “</w:t>
      </w:r>
      <w:r>
        <w:rPr>
          <w:rFonts w:ascii="Arial" w:cs="Arial" w:eastAsia="Arial" w:hAnsi="Arial"/>
          <w:sz w:val="22"/>
          <w:szCs w:val="22"/>
          <w:u w:val="single" w:color="auto"/>
          <w:color w:val="auto"/>
        </w:rPr>
        <w:t>Third Amendment Execution Date</w:t>
      </w:r>
      <w:r>
        <w:rPr>
          <w:rFonts w:ascii="Arial" w:cs="Arial" w:eastAsia="Arial" w:hAnsi="Arial"/>
          <w:sz w:val="22"/>
          <w:szCs w:val="22"/>
          <w:color w:val="auto"/>
        </w:rPr>
        <w:t>”), by and between BMR-MEDICAL CENTER DRIVE LLC, 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and MACROGENICS, INC., a Delaware corporation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85" w:lineRule="exact"/>
        <w:rPr>
          <w:sz w:val="20"/>
          <w:szCs w:val="20"/>
          <w:color w:val="auto"/>
        </w:rPr>
      </w:pPr>
    </w:p>
    <w:p>
      <w:pPr>
        <w:jc w:val="both"/>
        <w:ind w:firstLine="656"/>
        <w:spacing w:after="0" w:line="247" w:lineRule="auto"/>
        <w:tabs>
          <w:tab w:leader="none" w:pos="1223" w:val="left"/>
        </w:tabs>
        <w:numPr>
          <w:ilvl w:val="1"/>
          <w:numId w:val="356"/>
        </w:numPr>
        <w:rPr>
          <w:rFonts w:ascii="Arial" w:cs="Arial" w:eastAsia="Arial" w:hAnsi="Arial"/>
          <w:sz w:val="19"/>
          <w:szCs w:val="19"/>
          <w:color w:val="auto"/>
        </w:rPr>
      </w:pPr>
      <w:r>
        <w:rPr>
          <w:rFonts w:ascii="Arial" w:cs="Arial" w:eastAsia="Arial" w:hAnsi="Arial"/>
          <w:sz w:val="19"/>
          <w:szCs w:val="19"/>
          <w:color w:val="auto"/>
        </w:rPr>
        <w:t>WHEREAS, pursuant to that certain Assignment and Assumption Agreement dated as of [***] (the “</w:t>
      </w:r>
      <w:r>
        <w:rPr>
          <w:rFonts w:ascii="Arial" w:cs="Arial" w:eastAsia="Arial" w:hAnsi="Arial"/>
          <w:sz w:val="19"/>
          <w:szCs w:val="19"/>
          <w:u w:val="single" w:color="auto"/>
          <w:color w:val="auto"/>
        </w:rPr>
        <w:t>Original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Assignment Agreement</w:t>
      </w:r>
      <w:r>
        <w:rPr>
          <w:rFonts w:ascii="Arial" w:cs="Arial" w:eastAsia="Arial" w:hAnsi="Arial"/>
          <w:sz w:val="19"/>
          <w:szCs w:val="19"/>
          <w:color w:val="auto"/>
        </w:rPr>
        <w:t>”, as amended by that certain First Amendment to Assignment and Assumption Agreement dated as of</w:t>
      </w:r>
    </w:p>
    <w:p>
      <w:pPr>
        <w:jc w:val="both"/>
        <w:ind w:firstLine="8"/>
        <w:spacing w:after="0" w:line="242" w:lineRule="auto"/>
        <w:tabs>
          <w:tab w:leader="none" w:pos="569" w:val="left"/>
        </w:tabs>
        <w:numPr>
          <w:ilvl w:val="0"/>
          <w:numId w:val="356"/>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First Amendment to Assignment</w:t>
      </w:r>
      <w:r>
        <w:rPr>
          <w:rFonts w:ascii="Arial" w:cs="Arial" w:eastAsia="Arial" w:hAnsi="Arial"/>
          <w:sz w:val="19"/>
          <w:szCs w:val="19"/>
          <w:color w:val="auto"/>
        </w:rPr>
        <w:t>” and collectively with the Original Assignment Agreement, the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between J. Craig Venter Institute, Inc. (“</w:t>
      </w:r>
      <w:r>
        <w:rPr>
          <w:rFonts w:ascii="Arial" w:cs="Arial" w:eastAsia="Arial" w:hAnsi="Arial"/>
          <w:sz w:val="19"/>
          <w:szCs w:val="19"/>
          <w:u w:val="single" w:color="auto"/>
          <w:color w:val="auto"/>
        </w:rPr>
        <w:t>JCVI</w:t>
      </w:r>
      <w:r>
        <w:rPr>
          <w:rFonts w:ascii="Arial" w:cs="Arial" w:eastAsia="Arial" w:hAnsi="Arial"/>
          <w:sz w:val="19"/>
          <w:szCs w:val="19"/>
          <w:color w:val="auto"/>
        </w:rPr>
        <w:t>”), as assignor, and Tenant, as assignee, and that certain Landlord Consent dated as of [***] attached to the Original Assignment Agreement and executed by Landlord (the “</w:t>
      </w:r>
      <w:r>
        <w:rPr>
          <w:rFonts w:ascii="Arial" w:cs="Arial" w:eastAsia="Arial" w:hAnsi="Arial"/>
          <w:sz w:val="19"/>
          <w:szCs w:val="19"/>
          <w:u w:val="single" w:color="auto"/>
          <w:color w:val="auto"/>
        </w:rPr>
        <w:t>Original Landlord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Consent</w:t>
      </w:r>
      <w:r>
        <w:rPr>
          <w:rFonts w:ascii="Arial" w:cs="Arial" w:eastAsia="Arial" w:hAnsi="Arial"/>
          <w:sz w:val="19"/>
          <w:szCs w:val="19"/>
          <w:color w:val="auto"/>
        </w:rPr>
        <w:t>”), as amended by that certain First Amendment to Landlord Consent dated as of [***] attached to the First Amendment to Assignment and executed by Landlord (the “</w:t>
      </w:r>
      <w:r>
        <w:rPr>
          <w:rFonts w:ascii="Arial" w:cs="Arial" w:eastAsia="Arial" w:hAnsi="Arial"/>
          <w:sz w:val="19"/>
          <w:szCs w:val="19"/>
          <w:u w:val="single" w:color="auto"/>
          <w:color w:val="auto"/>
        </w:rPr>
        <w:t>First Amendment to Landlord Consent</w:t>
      </w:r>
      <w:r>
        <w:rPr>
          <w:rFonts w:ascii="Arial" w:cs="Arial" w:eastAsia="Arial" w:hAnsi="Arial"/>
          <w:sz w:val="19"/>
          <w:szCs w:val="19"/>
          <w:color w:val="auto"/>
        </w:rPr>
        <w:t>” and collectively with the Original Landlord Consent, the “</w:t>
      </w:r>
      <w:r>
        <w:rPr>
          <w:rFonts w:ascii="Arial" w:cs="Arial" w:eastAsia="Arial" w:hAnsi="Arial"/>
          <w:sz w:val="19"/>
          <w:szCs w:val="19"/>
          <w:u w:val="single" w:color="auto"/>
          <w:color w:val="auto"/>
        </w:rPr>
        <w:t>Landlord Consent</w:t>
      </w:r>
      <w:r>
        <w:rPr>
          <w:rFonts w:ascii="Arial" w:cs="Arial" w:eastAsia="Arial" w:hAnsi="Arial"/>
          <w:sz w:val="19"/>
          <w:szCs w:val="19"/>
          <w:color w:val="auto"/>
        </w:rPr>
        <w:t>”), Landlord and Tenant are parties to that certain Lease dated as of [***], as amended by that certain First Amendment to Lease dated as of [***] and that certain Second Amendment to Lease dated as of [***] (the “</w:t>
      </w:r>
      <w:r>
        <w:rPr>
          <w:rFonts w:ascii="Arial" w:cs="Arial" w:eastAsia="Arial" w:hAnsi="Arial"/>
          <w:sz w:val="19"/>
          <w:szCs w:val="19"/>
          <w:u w:val="single" w:color="auto"/>
          <w:color w:val="auto"/>
        </w:rPr>
        <w:t>Second Amendment</w:t>
      </w:r>
      <w:r>
        <w:rPr>
          <w:rFonts w:ascii="Arial" w:cs="Arial" w:eastAsia="Arial" w:hAnsi="Arial"/>
          <w:sz w:val="19"/>
          <w:szCs w:val="19"/>
          <w:color w:val="auto"/>
        </w:rPr>
        <w:t>”) (collectively, the “</w:t>
      </w:r>
      <w:r>
        <w:rPr>
          <w:rFonts w:ascii="Arial" w:cs="Arial" w:eastAsia="Arial" w:hAnsi="Arial"/>
          <w:sz w:val="19"/>
          <w:szCs w:val="19"/>
          <w:u w:val="single" w:color="auto"/>
          <w:color w:val="auto"/>
        </w:rPr>
        <w:t>Existing Lease</w:t>
      </w:r>
      <w:r>
        <w:rPr>
          <w:rFonts w:ascii="Arial" w:cs="Arial" w:eastAsia="Arial" w:hAnsi="Arial"/>
          <w:sz w:val="19"/>
          <w:szCs w:val="19"/>
          <w:color w:val="auto"/>
        </w:rPr>
        <w:t>”), whereby Tenant leases certain premises (the “</w:t>
      </w:r>
      <w:r>
        <w:rPr>
          <w:rFonts w:ascii="Arial" w:cs="Arial" w:eastAsia="Arial" w:hAnsi="Arial"/>
          <w:sz w:val="19"/>
          <w:szCs w:val="19"/>
          <w:u w:val="single" w:color="auto"/>
          <w:color w:val="auto"/>
        </w:rPr>
        <w:t>Premises</w:t>
      </w:r>
      <w:r>
        <w:rPr>
          <w:rFonts w:ascii="Arial" w:cs="Arial" w:eastAsia="Arial" w:hAnsi="Arial"/>
          <w:sz w:val="19"/>
          <w:szCs w:val="19"/>
          <w:color w:val="auto"/>
        </w:rPr>
        <w:t>”) from Landlord at 9704 Medical Center Drive in Rockville, Maryland (the “</w:t>
      </w:r>
      <w:r>
        <w:rPr>
          <w:rFonts w:ascii="Arial" w:cs="Arial" w:eastAsia="Arial" w:hAnsi="Arial"/>
          <w:sz w:val="19"/>
          <w:szCs w:val="19"/>
          <w:u w:val="single" w:color="auto"/>
          <w:color w:val="auto"/>
        </w:rPr>
        <w:t>Building</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ind w:firstLine="656"/>
        <w:spacing w:after="0" w:line="232" w:lineRule="auto"/>
        <w:tabs>
          <w:tab w:leader="none" w:pos="1223" w:val="left"/>
        </w:tabs>
        <w:numPr>
          <w:ilvl w:val="1"/>
          <w:numId w:val="357"/>
        </w:numPr>
        <w:rPr>
          <w:rFonts w:ascii="Arial" w:cs="Arial" w:eastAsia="Arial" w:hAnsi="Arial"/>
          <w:sz w:val="22"/>
          <w:szCs w:val="22"/>
          <w:color w:val="auto"/>
        </w:rPr>
      </w:pPr>
      <w:r>
        <w:rPr>
          <w:rFonts w:ascii="Arial" w:cs="Arial" w:eastAsia="Arial" w:hAnsi="Arial"/>
          <w:sz w:val="22"/>
          <w:szCs w:val="22"/>
          <w:color w:val="auto"/>
        </w:rPr>
        <w:t>WHEREAS, Landlord and Tenant desire to modify certain provisions of the existing Lease on the terms and conditions set forth in this Third Amendment; and</w:t>
      </w:r>
    </w:p>
    <w:p>
      <w:pPr>
        <w:spacing w:after="0" w:line="158" w:lineRule="exact"/>
        <w:rPr>
          <w:rFonts w:ascii="Arial" w:cs="Arial" w:eastAsia="Arial" w:hAnsi="Arial"/>
          <w:sz w:val="22"/>
          <w:szCs w:val="22"/>
          <w:color w:val="auto"/>
        </w:rPr>
      </w:pPr>
    </w:p>
    <w:p>
      <w:pPr>
        <w:ind w:right="20" w:firstLine="656"/>
        <w:spacing w:after="0" w:line="232" w:lineRule="auto"/>
        <w:tabs>
          <w:tab w:leader="none" w:pos="1134" w:val="left"/>
        </w:tabs>
        <w:numPr>
          <w:ilvl w:val="1"/>
          <w:numId w:val="357"/>
        </w:numPr>
        <w:rPr>
          <w:rFonts w:ascii="Arial" w:cs="Arial" w:eastAsia="Arial" w:hAnsi="Arial"/>
          <w:sz w:val="22"/>
          <w:szCs w:val="22"/>
          <w:color w:val="auto"/>
        </w:rPr>
      </w:pPr>
      <w:r>
        <w:rPr>
          <w:rFonts w:ascii="Arial" w:cs="Arial" w:eastAsia="Arial" w:hAnsi="Arial"/>
          <w:sz w:val="22"/>
          <w:szCs w:val="22"/>
          <w:color w:val="auto"/>
        </w:rPr>
        <w:t>WHEREAS, Landlord and Tenant desire to modify and amend the Existing Lease only in the respects and on the conditions hereinafter stated.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59" w:lineRule="exact"/>
        <w:rPr>
          <w:sz w:val="20"/>
          <w:szCs w:val="20"/>
          <w:color w:val="auto"/>
        </w:rPr>
      </w:pPr>
    </w:p>
    <w:p>
      <w:pPr>
        <w:jc w:val="both"/>
        <w:ind w:firstLine="656"/>
        <w:spacing w:after="0" w:line="252" w:lineRule="auto"/>
        <w:tabs>
          <w:tab w:leader="none" w:pos="1296" w:val="left"/>
        </w:tabs>
        <w:numPr>
          <w:ilvl w:val="0"/>
          <w:numId w:val="358"/>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Third Amendment, capitalized terms shall have the meanings ascribed to them in the Existing Lease unless otherwise defined herein. The Existing Lease, as amended by this Third Amendment, is referred to collectively herein as the “</w:t>
      </w:r>
      <w:r>
        <w:rPr>
          <w:rFonts w:ascii="Arial" w:cs="Arial" w:eastAsia="Arial" w:hAnsi="Arial"/>
          <w:sz w:val="19"/>
          <w:szCs w:val="19"/>
          <w:u w:val="single" w:color="auto"/>
          <w:color w:val="auto"/>
        </w:rPr>
        <w:t>Lease.</w:t>
      </w:r>
      <w:r>
        <w:rPr>
          <w:rFonts w:ascii="Arial" w:cs="Arial" w:eastAsia="Arial" w:hAnsi="Arial"/>
          <w:sz w:val="19"/>
          <w:szCs w:val="19"/>
          <w:color w:val="auto"/>
        </w:rPr>
        <w:t>” From and after the date hereof, the term “</w:t>
      </w:r>
      <w:r>
        <w:rPr>
          <w:rFonts w:ascii="Arial" w:cs="Arial" w:eastAsia="Arial" w:hAnsi="Arial"/>
          <w:sz w:val="19"/>
          <w:szCs w:val="19"/>
          <w:u w:val="single" w:color="auto"/>
          <w:color w:val="auto"/>
        </w:rPr>
        <w:t>Lease,</w:t>
      </w:r>
      <w:r>
        <w:rPr>
          <w:rFonts w:ascii="Arial" w:cs="Arial" w:eastAsia="Arial" w:hAnsi="Arial"/>
          <w:sz w:val="19"/>
          <w:szCs w:val="19"/>
          <w:color w:val="auto"/>
        </w:rPr>
        <w:t>” as used in the Existing Lease, shall mean the Existing Lease, as amended by this Third Amendment. To the extent terms are defined in both the Existing Lease and the Third Amendment, the defined terms in this Third Amendment shall control for the entire Lease, as amended.</w:t>
      </w:r>
    </w:p>
    <w:p>
      <w:pPr>
        <w:spacing w:after="0" w:line="148" w:lineRule="exact"/>
        <w:rPr>
          <w:rFonts w:ascii="Arial" w:cs="Arial" w:eastAsia="Arial" w:hAnsi="Arial"/>
          <w:sz w:val="19"/>
          <w:szCs w:val="19"/>
          <w:color w:val="auto"/>
        </w:rPr>
      </w:pPr>
    </w:p>
    <w:p>
      <w:pPr>
        <w:jc w:val="both"/>
        <w:ind w:firstLine="656"/>
        <w:spacing w:after="0" w:line="268" w:lineRule="auto"/>
        <w:tabs>
          <w:tab w:leader="none" w:pos="1296" w:val="left"/>
        </w:tabs>
        <w:numPr>
          <w:ilvl w:val="0"/>
          <w:numId w:val="358"/>
        </w:numPr>
        <w:rPr>
          <w:rFonts w:ascii="Arial" w:cs="Arial" w:eastAsia="Arial" w:hAnsi="Arial"/>
          <w:sz w:val="19"/>
          <w:szCs w:val="19"/>
          <w:color w:val="auto"/>
        </w:rPr>
      </w:pPr>
      <w:r>
        <w:rPr>
          <w:rFonts w:ascii="Arial" w:cs="Arial" w:eastAsia="Arial" w:hAnsi="Arial"/>
          <w:sz w:val="19"/>
          <w:szCs w:val="19"/>
          <w:u w:val="single" w:color="auto"/>
          <w:color w:val="auto"/>
        </w:rPr>
        <w:t>Early Access to Premises</w:t>
      </w:r>
      <w:r>
        <w:rPr>
          <w:rFonts w:ascii="Arial" w:cs="Arial" w:eastAsia="Arial" w:hAnsi="Arial"/>
          <w:sz w:val="19"/>
          <w:szCs w:val="19"/>
          <w:color w:val="auto"/>
        </w:rPr>
        <w:t>. Section 5 of the Second Amendment is hereby deleted. Subject to JCVI’s compliance with its obligation to allow Tenant early access to the Premises under Section 2 of the Assignment Agreement, from and after the Third Amendment Execution Date, with respect to the Premises (excluding the Second Floor Premises (as defined in the First</w:t>
      </w:r>
    </w:p>
    <w:p>
      <w:pPr>
        <w:sectPr>
          <w:pgSz w:w="11900" w:h="16838" w:orient="portrait"/>
          <w:cols w:equalWidth="0" w:num="1">
            <w:col w:w="11240"/>
          </w:cols>
          <w:pgMar w:left="320" w:top="98" w:right="339" w:bottom="1440" w:gutter="0" w:footer="0" w:header="0"/>
        </w:sectPr>
      </w:pPr>
    </w:p>
    <w:bookmarkStart w:id="402" w:name="page403"/>
    <w:bookmarkEnd w:id="402"/>
    <w:p>
      <w:pPr>
        <w:jc w:val="both"/>
        <w:spacing w:after="0" w:line="212" w:lineRule="auto"/>
        <w:rPr>
          <w:sz w:val="20"/>
          <w:szCs w:val="20"/>
          <w:color w:val="auto"/>
        </w:rPr>
      </w:pPr>
      <w:r>
        <w:rPr>
          <w:rFonts w:ascii="Arial" w:cs="Arial" w:eastAsia="Arial" w:hAnsi="Arial"/>
          <w:sz w:val="22"/>
          <w:szCs w:val="22"/>
          <w:color w:val="auto"/>
        </w:rPr>
        <w:t>Amendment to Assignment)), Landlord shall use commercially reasonable efforts to grant Tenant access to the Premises and Common Areas prior to the Revised Term Commencement Date for the purposes of conducting design phase inspections, constructing improvements, installing furniture, fixtures and equipment or the placement of personal property, but not for the purpose of conducting Tenant’s business, provided Tenant shall furnish to Landlord evidence satisfactory to Landlord in advance that insurance coverages required of Tenant under the provisions of Article 23 of the Existing Lease are in effect, and such entry shall be subject to all the terms and conditions of the Lease other than the payment of Base Rent or Tenant’s Share of Operating Expenses.</w:t>
      </w:r>
    </w:p>
    <w:p>
      <w:pPr>
        <w:spacing w:after="0" w:line="164" w:lineRule="exact"/>
        <w:rPr>
          <w:sz w:val="20"/>
          <w:szCs w:val="20"/>
          <w:color w:val="auto"/>
        </w:rPr>
      </w:pPr>
    </w:p>
    <w:p>
      <w:pPr>
        <w:ind w:firstLine="656"/>
        <w:spacing w:after="0" w:line="232" w:lineRule="auto"/>
        <w:tabs>
          <w:tab w:leader="none" w:pos="1296" w:val="left"/>
        </w:tabs>
        <w:numPr>
          <w:ilvl w:val="0"/>
          <w:numId w:val="359"/>
        </w:numPr>
        <w:rPr>
          <w:rFonts w:ascii="Arial" w:cs="Arial" w:eastAsia="Arial" w:hAnsi="Arial"/>
          <w:sz w:val="22"/>
          <w:szCs w:val="22"/>
          <w:color w:val="auto"/>
        </w:rPr>
      </w:pPr>
      <w:r>
        <w:rPr>
          <w:rFonts w:ascii="Arial" w:cs="Arial" w:eastAsia="Arial" w:hAnsi="Arial"/>
          <w:sz w:val="22"/>
          <w:szCs w:val="22"/>
          <w:u w:val="single" w:color="auto"/>
          <w:color w:val="auto"/>
        </w:rPr>
        <w:t>Loading Dock</w:t>
      </w:r>
      <w:r>
        <w:rPr>
          <w:rFonts w:ascii="Arial" w:cs="Arial" w:eastAsia="Arial" w:hAnsi="Arial"/>
          <w:sz w:val="22"/>
          <w:szCs w:val="22"/>
          <w:color w:val="auto"/>
        </w:rPr>
        <w:t xml:space="preserve">. Exhibit K attached hereto shall replace </w:t>
      </w:r>
      <w:r>
        <w:rPr>
          <w:rFonts w:ascii="Arial" w:cs="Arial" w:eastAsia="Arial" w:hAnsi="Arial"/>
          <w:sz w:val="22"/>
          <w:szCs w:val="22"/>
          <w:u w:val="single" w:color="auto"/>
          <w:color w:val="auto"/>
        </w:rPr>
        <w:t>Exhibit K</w:t>
      </w:r>
      <w:r>
        <w:rPr>
          <w:rFonts w:ascii="Arial" w:cs="Arial" w:eastAsia="Arial" w:hAnsi="Arial"/>
          <w:sz w:val="22"/>
          <w:szCs w:val="22"/>
          <w:color w:val="auto"/>
        </w:rPr>
        <w:t xml:space="preserve"> attached to the Second Amendment, and shall hereafter be the </w:t>
      </w:r>
      <w:r>
        <w:rPr>
          <w:rFonts w:ascii="Arial" w:cs="Arial" w:eastAsia="Arial" w:hAnsi="Arial"/>
          <w:sz w:val="22"/>
          <w:szCs w:val="22"/>
          <w:u w:val="single" w:color="auto"/>
          <w:color w:val="auto"/>
        </w:rPr>
        <w:t>Exhibit K</w:t>
      </w:r>
      <w:r>
        <w:rPr>
          <w:rFonts w:ascii="Arial" w:cs="Arial" w:eastAsia="Arial" w:hAnsi="Arial"/>
          <w:sz w:val="22"/>
          <w:szCs w:val="22"/>
          <w:color w:val="auto"/>
        </w:rPr>
        <w:t xml:space="preserve"> referenced in Section 4(g) of the Second Amendment.</w:t>
      </w:r>
    </w:p>
    <w:p>
      <w:pPr>
        <w:spacing w:after="0" w:line="158" w:lineRule="exact"/>
        <w:rPr>
          <w:rFonts w:ascii="Arial" w:cs="Arial" w:eastAsia="Arial" w:hAnsi="Arial"/>
          <w:sz w:val="22"/>
          <w:szCs w:val="22"/>
          <w:color w:val="auto"/>
        </w:rPr>
      </w:pPr>
    </w:p>
    <w:p>
      <w:pPr>
        <w:jc w:val="both"/>
        <w:ind w:firstLine="656"/>
        <w:spacing w:after="0" w:line="252" w:lineRule="auto"/>
        <w:tabs>
          <w:tab w:leader="none" w:pos="1296" w:val="left"/>
        </w:tabs>
        <w:numPr>
          <w:ilvl w:val="0"/>
          <w:numId w:val="359"/>
        </w:numPr>
        <w:rPr>
          <w:rFonts w:ascii="Arial" w:cs="Arial" w:eastAsia="Arial" w:hAnsi="Arial"/>
          <w:sz w:val="19"/>
          <w:szCs w:val="19"/>
          <w:color w:val="auto"/>
        </w:rPr>
      </w:pPr>
      <w:r>
        <w:rPr>
          <w:rFonts w:ascii="Arial" w:cs="Arial" w:eastAsia="Arial" w:hAnsi="Arial"/>
          <w:sz w:val="19"/>
          <w:szCs w:val="19"/>
          <w:u w:val="single" w:color="auto"/>
          <w:color w:val="auto"/>
        </w:rPr>
        <w:t>Broker</w:t>
      </w:r>
      <w:r>
        <w:rPr>
          <w:rFonts w:ascii="Arial" w:cs="Arial" w:eastAsia="Arial" w:hAnsi="Arial"/>
          <w:sz w:val="19"/>
          <w:szCs w:val="19"/>
          <w:color w:val="auto"/>
        </w:rPr>
        <w:t>. Tenant and Landlord each represents and warrants that it has not dealt with any broker or agent in the negotiation for or the obtaining of this Third Amendment, and agrees to reimburse, indemnify, save, defend (at the indemnified party’s option and with counsel reasonably acceptable to the inclemnified party, at the indemnifying party’s sole cost and expense) and hold harmless the indemnified party for, from and against any and all cost or liability for compensation claimed by any such broker or agent employed or engaged by it or claiming to have been employed or engaged by it.</w:t>
      </w:r>
    </w:p>
    <w:p>
      <w:pPr>
        <w:spacing w:after="0" w:line="148" w:lineRule="exact"/>
        <w:rPr>
          <w:rFonts w:ascii="Arial" w:cs="Arial" w:eastAsia="Arial" w:hAnsi="Arial"/>
          <w:sz w:val="19"/>
          <w:szCs w:val="19"/>
          <w:color w:val="auto"/>
        </w:rPr>
      </w:pPr>
    </w:p>
    <w:p>
      <w:pPr>
        <w:jc w:val="both"/>
        <w:ind w:firstLine="656"/>
        <w:spacing w:after="0" w:line="216" w:lineRule="auto"/>
        <w:tabs>
          <w:tab w:leader="none" w:pos="1296" w:val="left"/>
        </w:tabs>
        <w:numPr>
          <w:ilvl w:val="0"/>
          <w:numId w:val="359"/>
        </w:numPr>
        <w:rPr>
          <w:rFonts w:ascii="Arial" w:cs="Arial" w:eastAsia="Arial" w:hAnsi="Arial"/>
          <w:sz w:val="22"/>
          <w:szCs w:val="22"/>
          <w:color w:val="auto"/>
        </w:rPr>
      </w:pPr>
      <w:r>
        <w:rPr>
          <w:rFonts w:ascii="Arial" w:cs="Arial" w:eastAsia="Arial" w:hAnsi="Arial"/>
          <w:sz w:val="22"/>
          <w:szCs w:val="22"/>
          <w:u w:val="single" w:color="auto"/>
          <w:color w:val="auto"/>
        </w:rPr>
        <w:t>Effect of Amendment</w:t>
      </w:r>
      <w:r>
        <w:rPr>
          <w:rFonts w:ascii="Arial" w:cs="Arial" w:eastAsia="Arial" w:hAnsi="Arial"/>
          <w:sz w:val="22"/>
          <w:szCs w:val="22"/>
          <w:color w:val="auto"/>
        </w:rPr>
        <w:t>. Except as modified by this Third Amendment and the Assignment Agreement and Landlord Consent, each as amended through the date hereof, the Existing Lease and all the covenants, agreements, terms, provisions and conditions thereof shall remain in full force and effect and are hereby ratified and affirmed. In the event of any conflict between the terms contained in this Third Amendment and the Existing Lease, the terms herein contained shall supersede and control the obligations and liabilities of the parties.</w:t>
      </w:r>
    </w:p>
    <w:p>
      <w:pPr>
        <w:spacing w:after="0" w:line="157" w:lineRule="exact"/>
        <w:rPr>
          <w:rFonts w:ascii="Arial" w:cs="Arial" w:eastAsia="Arial" w:hAnsi="Arial"/>
          <w:sz w:val="22"/>
          <w:szCs w:val="22"/>
          <w:color w:val="auto"/>
        </w:rPr>
      </w:pPr>
    </w:p>
    <w:p>
      <w:pPr>
        <w:jc w:val="both"/>
        <w:ind w:firstLine="656"/>
        <w:spacing w:after="0" w:line="229" w:lineRule="auto"/>
        <w:tabs>
          <w:tab w:leader="none" w:pos="1296" w:val="left"/>
        </w:tabs>
        <w:numPr>
          <w:ilvl w:val="0"/>
          <w:numId w:val="359"/>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Each of the covenants, conditions and agreements contained in this Third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58" w:lineRule="exact"/>
        <w:rPr>
          <w:rFonts w:ascii="Arial" w:cs="Arial" w:eastAsia="Arial" w:hAnsi="Arial"/>
          <w:sz w:val="21"/>
          <w:szCs w:val="21"/>
          <w:color w:val="auto"/>
        </w:rPr>
      </w:pPr>
    </w:p>
    <w:p>
      <w:pPr>
        <w:jc w:val="both"/>
        <w:ind w:firstLine="656"/>
        <w:spacing w:after="0" w:line="214" w:lineRule="auto"/>
        <w:tabs>
          <w:tab w:leader="none" w:pos="1296" w:val="left"/>
        </w:tabs>
        <w:numPr>
          <w:ilvl w:val="0"/>
          <w:numId w:val="35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This Third Amendment becomes effective only upon execution and delivery hereof by Landlord and Tenant. The captions of the paragraphs and subparagraphs in this Third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58" w:lineRule="exact"/>
        <w:rPr>
          <w:rFonts w:ascii="Arial" w:cs="Arial" w:eastAsia="Arial" w:hAnsi="Arial"/>
          <w:sz w:val="22"/>
          <w:szCs w:val="22"/>
          <w:color w:val="auto"/>
        </w:rPr>
      </w:pPr>
    </w:p>
    <w:p>
      <w:pPr>
        <w:jc w:val="both"/>
        <w:ind w:firstLine="656"/>
        <w:spacing w:after="0" w:line="212" w:lineRule="auto"/>
        <w:tabs>
          <w:tab w:leader="none" w:pos="1296" w:val="left"/>
        </w:tabs>
        <w:numPr>
          <w:ilvl w:val="0"/>
          <w:numId w:val="359"/>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Tenant guarantees, warrants and represents that the individual or individuals signing this Third Amendment have the power, authority and legal capacity to sign this Third Amendment on behalf of and to bind all entities, corporations, partnerships, limited liability companies, joint venturers or other organizations and entities on whose behalf such individual or individuals have signed. Landlord guarantees, warrants and represents that the individual or individuals signing this Third Amendment have the power, authority and legal capacity to sign this Third Amendment on behalf of and to bind all entities, corporations, partnerships, limited liability companies, joint venturers or other organizations and entities on whose behalf such individual or individuals have 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0" w:right="339" w:bottom="1440" w:gutter="0" w:footer="0" w:header="0"/>
        </w:sectPr>
      </w:pPr>
    </w:p>
    <w:bookmarkStart w:id="403" w:name="page404"/>
    <w:bookmarkEnd w:id="403"/>
    <w:p>
      <w:pPr>
        <w:jc w:val="both"/>
        <w:ind w:left="-20" w:firstLine="656"/>
        <w:spacing w:after="0" w:line="218" w:lineRule="auto"/>
        <w:tabs>
          <w:tab w:leader="none" w:pos="1276" w:val="left"/>
        </w:tabs>
        <w:numPr>
          <w:ilvl w:val="0"/>
          <w:numId w:val="360"/>
        </w:numPr>
        <w:rPr>
          <w:rFonts w:ascii="Arial" w:cs="Arial" w:eastAsia="Arial" w:hAnsi="Arial"/>
          <w:sz w:val="22"/>
          <w:szCs w:val="22"/>
          <w:color w:val="auto"/>
        </w:rPr>
      </w:pPr>
      <w:r>
        <w:rPr>
          <w:rFonts w:ascii="Arial" w:cs="Arial" w:eastAsia="Arial" w:hAnsi="Arial"/>
          <w:sz w:val="22"/>
          <w:szCs w:val="22"/>
          <w:u w:val="single" w:color="auto"/>
          <w:color w:val="auto"/>
        </w:rPr>
        <w:t>Counterparts; Facsimile and PDF Signatures</w:t>
      </w:r>
      <w:r>
        <w:rPr>
          <w:rFonts w:ascii="Arial" w:cs="Arial" w:eastAsia="Arial" w:hAnsi="Arial"/>
          <w:sz w:val="22"/>
          <w:szCs w:val="22"/>
          <w:color w:val="auto"/>
        </w:rPr>
        <w:t>. This Third Amendment may be executed in one or more counterparts, each of which, when taken together, shall constitute one and the same document. A facsimile or portable document format (PDF) signature on this Third Amendment shall be equivalent to, and have the same force and effect as, an original signature.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400" w:right="339" w:bottom="1440" w:gutter="0" w:footer="0" w:header="0"/>
        </w:sectPr>
      </w:pPr>
    </w:p>
    <w:bookmarkStart w:id="404" w:name="page405"/>
    <w:bookmarkEnd w:id="404"/>
    <w:p>
      <w:pPr>
        <w:spacing w:after="0" w:line="17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Landlord and Tenant have executed this Third Amendment as of the date and year first above written.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BMR-MEDICAL CENTER DRIVE LLC,</w:t>
      </w:r>
    </w:p>
    <w:p>
      <w:pPr>
        <w:spacing w:after="0"/>
        <w:rPr>
          <w:sz w:val="20"/>
          <w:szCs w:val="20"/>
          <w:color w:val="auto"/>
        </w:rPr>
      </w:pPr>
      <w:r>
        <w:rPr>
          <w:rFonts w:ascii="Arial" w:cs="Arial" w:eastAsia="Arial" w:hAnsi="Arial"/>
          <w:sz w:val="22"/>
          <w:szCs w:val="22"/>
          <w:color w:val="auto"/>
        </w:rPr>
        <w:t>a Delaware limited liability company</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Jonathan P. Klassen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4490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144907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Jonathan P. Klassen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-5080</wp:posOffset>
            </wp:positionV>
            <wp:extent cx="12573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1583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158369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MACROGENICS, INC.,</w:t>
      </w:r>
    </w:p>
    <w:p>
      <w:pPr>
        <w:spacing w:after="0"/>
        <w:rPr>
          <w:sz w:val="20"/>
          <w:szCs w:val="20"/>
          <w:color w:val="auto"/>
        </w:rPr>
      </w:pPr>
      <w:r>
        <w:rPr>
          <w:rFonts w:ascii="Arial" w:cs="Arial" w:eastAsia="Arial" w:hAnsi="Arial"/>
          <w:sz w:val="22"/>
          <w:szCs w:val="22"/>
          <w:color w:val="auto"/>
        </w:rPr>
        <w:t>a Delaware corporation</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Atul Saran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9258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Atul Saran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-5080</wp:posOffset>
            </wp:positionV>
            <wp:extent cx="7620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SVP &amp; 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7886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5" w:name="page406"/>
    <w:bookmarkEnd w:id="405"/>
    <w:p>
      <w:pPr>
        <w:jc w:val="right"/>
        <w:spacing w:after="0"/>
        <w:rPr>
          <w:sz w:val="20"/>
          <w:szCs w:val="20"/>
          <w:color w:val="auto"/>
        </w:rPr>
      </w:pPr>
      <w:r>
        <w:rPr>
          <w:rFonts w:ascii="Arial" w:cs="Arial" w:eastAsia="Arial" w:hAnsi="Arial"/>
          <w:sz w:val="22"/>
          <w:szCs w:val="22"/>
          <w:b w:val="1"/>
          <w:bCs w:val="1"/>
          <w:color w:val="auto"/>
        </w:rPr>
        <w:t>Exhibit.10.29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 LEASE</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THIS FOURTH AMENDMENT TO LEASE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this [***] day of [***] (the “</w:t>
      </w:r>
      <w:r>
        <w:rPr>
          <w:rFonts w:ascii="Arial" w:cs="Arial" w:eastAsia="Arial" w:hAnsi="Arial"/>
          <w:sz w:val="22"/>
          <w:szCs w:val="22"/>
          <w:u w:val="single" w:color="auto"/>
          <w:color w:val="auto"/>
        </w:rPr>
        <w:t>Execution Date</w:t>
      </w:r>
      <w:r>
        <w:rPr>
          <w:rFonts w:ascii="Arial" w:cs="Arial" w:eastAsia="Arial" w:hAnsi="Arial"/>
          <w:sz w:val="22"/>
          <w:szCs w:val="22"/>
          <w:color w:val="auto"/>
        </w:rPr>
        <w:t>”), by and between BMR-MEDICAL CENTER DRIVE LLC, 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and MACROGENICS, INC., a Delaware corporation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656"/>
        <w:spacing w:after="0" w:line="247" w:lineRule="auto"/>
        <w:tabs>
          <w:tab w:leader="none" w:pos="1223" w:val="left"/>
        </w:tabs>
        <w:numPr>
          <w:ilvl w:val="1"/>
          <w:numId w:val="361"/>
        </w:numPr>
        <w:rPr>
          <w:rFonts w:ascii="Arial" w:cs="Arial" w:eastAsia="Arial" w:hAnsi="Arial"/>
          <w:sz w:val="19"/>
          <w:szCs w:val="19"/>
          <w:color w:val="auto"/>
        </w:rPr>
      </w:pPr>
      <w:r>
        <w:rPr>
          <w:rFonts w:ascii="Arial" w:cs="Arial" w:eastAsia="Arial" w:hAnsi="Arial"/>
          <w:sz w:val="19"/>
          <w:szCs w:val="19"/>
          <w:color w:val="auto"/>
        </w:rPr>
        <w:t>WHEREAS, pursuant to that certain Assignment and Assumption Agreement dated as of [***] (the “</w:t>
      </w:r>
      <w:r>
        <w:rPr>
          <w:rFonts w:ascii="Arial" w:cs="Arial" w:eastAsia="Arial" w:hAnsi="Arial"/>
          <w:sz w:val="19"/>
          <w:szCs w:val="19"/>
          <w:u w:val="single" w:color="auto"/>
          <w:color w:val="auto"/>
        </w:rPr>
        <w:t>Original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Assignment Agreement</w:t>
      </w:r>
      <w:r>
        <w:rPr>
          <w:rFonts w:ascii="Arial" w:cs="Arial" w:eastAsia="Arial" w:hAnsi="Arial"/>
          <w:sz w:val="19"/>
          <w:szCs w:val="19"/>
          <w:color w:val="auto"/>
        </w:rPr>
        <w:t>”, as amended by that certain First Amendment to Assignment and Assumption Agreement dated as of</w:t>
      </w:r>
    </w:p>
    <w:p>
      <w:pPr>
        <w:jc w:val="both"/>
        <w:ind w:firstLine="8"/>
        <w:spacing w:after="0" w:line="218" w:lineRule="auto"/>
        <w:tabs>
          <w:tab w:leader="none" w:pos="569" w:val="left"/>
        </w:tabs>
        <w:numPr>
          <w:ilvl w:val="0"/>
          <w:numId w:val="361"/>
        </w:numPr>
        <w:rPr>
          <w:rFonts w:ascii="Arial" w:cs="Arial" w:eastAsia="Arial" w:hAnsi="Arial"/>
          <w:sz w:val="21"/>
          <w:szCs w:val="21"/>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First Amendment to Assignment</w:t>
      </w:r>
      <w:r>
        <w:rPr>
          <w:rFonts w:ascii="Arial" w:cs="Arial" w:eastAsia="Arial" w:hAnsi="Arial"/>
          <w:sz w:val="21"/>
          <w:szCs w:val="21"/>
          <w:color w:val="auto"/>
        </w:rPr>
        <w:t>” and collectively with the Original Assignment Agreement, the “</w:t>
      </w: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between J. Craig Venter Institute, Inc. “</w:t>
      </w:r>
      <w:r>
        <w:rPr>
          <w:rFonts w:ascii="Arial" w:cs="Arial" w:eastAsia="Arial" w:hAnsi="Arial"/>
          <w:sz w:val="21"/>
          <w:szCs w:val="21"/>
          <w:u w:val="single" w:color="auto"/>
          <w:color w:val="auto"/>
        </w:rPr>
        <w:t>JCVI</w:t>
      </w:r>
      <w:r>
        <w:rPr>
          <w:rFonts w:ascii="Arial" w:cs="Arial" w:eastAsia="Arial" w:hAnsi="Arial"/>
          <w:sz w:val="21"/>
          <w:szCs w:val="21"/>
          <w:color w:val="auto"/>
        </w:rPr>
        <w:t>” as assignor, and Tenant, as assignee, and that certain Landlord Consent dated as of [***] attached to the Original Assignment Agreement and executed by Landlord (the “</w:t>
      </w:r>
      <w:r>
        <w:rPr>
          <w:rFonts w:ascii="Arial" w:cs="Arial" w:eastAsia="Arial" w:hAnsi="Arial"/>
          <w:sz w:val="21"/>
          <w:szCs w:val="21"/>
          <w:u w:val="single" w:color="auto"/>
          <w:color w:val="auto"/>
        </w:rPr>
        <w:t>Original Landlord</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Consent</w:t>
      </w:r>
      <w:r>
        <w:rPr>
          <w:rFonts w:ascii="Arial" w:cs="Arial" w:eastAsia="Arial" w:hAnsi="Arial"/>
          <w:sz w:val="21"/>
          <w:szCs w:val="21"/>
          <w:color w:val="auto"/>
        </w:rPr>
        <w:t>”), as amended by that certain First Amendment to Landlord Consent dated as of [***] attached to the First Amendment to Assignment and executed by Landlord (the “</w:t>
      </w:r>
      <w:r>
        <w:rPr>
          <w:rFonts w:ascii="Arial" w:cs="Arial" w:eastAsia="Arial" w:hAnsi="Arial"/>
          <w:sz w:val="21"/>
          <w:szCs w:val="21"/>
          <w:u w:val="single" w:color="auto"/>
          <w:color w:val="auto"/>
        </w:rPr>
        <w:t>First Amendment to Landlord Consent</w:t>
      </w:r>
      <w:r>
        <w:rPr>
          <w:rFonts w:ascii="Arial" w:cs="Arial" w:eastAsia="Arial" w:hAnsi="Arial"/>
          <w:sz w:val="21"/>
          <w:szCs w:val="21"/>
          <w:color w:val="auto"/>
        </w:rPr>
        <w:t>” and collectively with the Original Landlord Consent the “</w:t>
      </w:r>
      <w:r>
        <w:rPr>
          <w:rFonts w:ascii="Arial" w:cs="Arial" w:eastAsia="Arial" w:hAnsi="Arial"/>
          <w:sz w:val="21"/>
          <w:szCs w:val="21"/>
          <w:u w:val="single" w:color="auto"/>
          <w:color w:val="auto"/>
        </w:rPr>
        <w:t>Landlord Consent</w:t>
      </w:r>
      <w:r>
        <w:rPr>
          <w:rFonts w:ascii="Arial" w:cs="Arial" w:eastAsia="Arial" w:hAnsi="Arial"/>
          <w:sz w:val="21"/>
          <w:szCs w:val="21"/>
          <w:color w:val="auto"/>
        </w:rPr>
        <w:t>”), Landlord and Tenant are parties to that certain Lease dated as of [***], as amended by that certain First Amendment to Lease dated as of [***] that certain Second Amendment to Lease dated as of [***] (the “</w:t>
      </w:r>
      <w:r>
        <w:rPr>
          <w:rFonts w:ascii="Arial" w:cs="Arial" w:eastAsia="Arial" w:hAnsi="Arial"/>
          <w:sz w:val="21"/>
          <w:szCs w:val="21"/>
          <w:u w:val="single" w:color="auto"/>
          <w:color w:val="auto"/>
        </w:rPr>
        <w:t>Second Amendment</w:t>
      </w:r>
      <w:r>
        <w:rPr>
          <w:rFonts w:ascii="Arial" w:cs="Arial" w:eastAsia="Arial" w:hAnsi="Arial"/>
          <w:sz w:val="21"/>
          <w:szCs w:val="21"/>
          <w:color w:val="auto"/>
        </w:rPr>
        <w:t>”) and that certain Third Amendment to Lease dated as of [***] (collectively, and as the same may have been further amended, amended and restated, supplemented or modified from time to time, the “</w:t>
      </w:r>
      <w:r>
        <w:rPr>
          <w:rFonts w:ascii="Arial" w:cs="Arial" w:eastAsia="Arial" w:hAnsi="Arial"/>
          <w:sz w:val="21"/>
          <w:szCs w:val="21"/>
          <w:u w:val="single" w:color="auto"/>
          <w:color w:val="auto"/>
        </w:rPr>
        <w:t>Existing Lease</w:t>
      </w:r>
      <w:r>
        <w:rPr>
          <w:rFonts w:ascii="Arial" w:cs="Arial" w:eastAsia="Arial" w:hAnsi="Arial"/>
          <w:sz w:val="21"/>
          <w:szCs w:val="21"/>
          <w:color w:val="auto"/>
        </w:rPr>
        <w:t>”), whereby Tenant leases certain premises (the “</w:t>
      </w:r>
      <w:r>
        <w:rPr>
          <w:rFonts w:ascii="Arial" w:cs="Arial" w:eastAsia="Arial" w:hAnsi="Arial"/>
          <w:sz w:val="21"/>
          <w:szCs w:val="21"/>
          <w:u w:val="single" w:color="auto"/>
          <w:color w:val="auto"/>
        </w:rPr>
        <w:t>Premises</w:t>
      </w:r>
      <w:r>
        <w:rPr>
          <w:rFonts w:ascii="Arial" w:cs="Arial" w:eastAsia="Arial" w:hAnsi="Arial"/>
          <w:sz w:val="21"/>
          <w:szCs w:val="21"/>
          <w:color w:val="auto"/>
        </w:rPr>
        <w:t>”) from Landlord at 9704 Medical Center Drive in Rockville, Maryland (the “</w:t>
      </w:r>
      <w:r>
        <w:rPr>
          <w:rFonts w:ascii="Arial" w:cs="Arial" w:eastAsia="Arial" w:hAnsi="Arial"/>
          <w:sz w:val="21"/>
          <w:szCs w:val="21"/>
          <w:u w:val="single" w:color="auto"/>
          <w:color w:val="auto"/>
        </w:rPr>
        <w:t>Building</w:t>
      </w:r>
      <w:r>
        <w:rPr>
          <w:rFonts w:ascii="Arial" w:cs="Arial" w:eastAsia="Arial" w:hAnsi="Arial"/>
          <w:sz w:val="21"/>
          <w:szCs w:val="21"/>
          <w:color w:val="auto"/>
        </w:rPr>
        <w:t>”);</w:t>
      </w:r>
    </w:p>
    <w:p>
      <w:pPr>
        <w:spacing w:after="0" w:line="161" w:lineRule="exact"/>
        <w:rPr>
          <w:rFonts w:ascii="Arial" w:cs="Arial" w:eastAsia="Arial" w:hAnsi="Arial"/>
          <w:sz w:val="21"/>
          <w:szCs w:val="21"/>
          <w:color w:val="auto"/>
        </w:rPr>
      </w:pPr>
    </w:p>
    <w:p>
      <w:pPr>
        <w:ind w:firstLine="656"/>
        <w:spacing w:after="0" w:line="232" w:lineRule="auto"/>
        <w:tabs>
          <w:tab w:leader="none" w:pos="1239" w:val="left"/>
        </w:tabs>
        <w:numPr>
          <w:ilvl w:val="1"/>
          <w:numId w:val="362"/>
        </w:numPr>
        <w:rPr>
          <w:rFonts w:ascii="Arial" w:cs="Arial" w:eastAsia="Arial" w:hAnsi="Arial"/>
          <w:sz w:val="22"/>
          <w:szCs w:val="22"/>
          <w:color w:val="auto"/>
        </w:rPr>
      </w:pPr>
      <w:r>
        <w:rPr>
          <w:rFonts w:ascii="Arial" w:cs="Arial" w:eastAsia="Arial" w:hAnsi="Arial"/>
          <w:sz w:val="22"/>
          <w:szCs w:val="22"/>
          <w:color w:val="auto"/>
        </w:rPr>
        <w:t>WHEREAS, Landlord and Tenant desire to extend the Term of the Existing Lease and modify certain other provisions of the existing Lease on the terms and conditions set forth in this Amendment; and</w:t>
      </w:r>
    </w:p>
    <w:p>
      <w:pPr>
        <w:spacing w:after="0" w:line="158" w:lineRule="exact"/>
        <w:rPr>
          <w:rFonts w:ascii="Arial" w:cs="Arial" w:eastAsia="Arial" w:hAnsi="Arial"/>
          <w:sz w:val="22"/>
          <w:szCs w:val="22"/>
          <w:color w:val="auto"/>
        </w:rPr>
      </w:pPr>
    </w:p>
    <w:p>
      <w:pPr>
        <w:ind w:right="20" w:firstLine="656"/>
        <w:spacing w:after="0" w:line="232" w:lineRule="auto"/>
        <w:tabs>
          <w:tab w:leader="none" w:pos="1134" w:val="left"/>
        </w:tabs>
        <w:numPr>
          <w:ilvl w:val="1"/>
          <w:numId w:val="362"/>
        </w:numPr>
        <w:rPr>
          <w:rFonts w:ascii="Arial" w:cs="Arial" w:eastAsia="Arial" w:hAnsi="Arial"/>
          <w:sz w:val="22"/>
          <w:szCs w:val="22"/>
          <w:color w:val="auto"/>
        </w:rPr>
      </w:pPr>
      <w:r>
        <w:rPr>
          <w:rFonts w:ascii="Arial" w:cs="Arial" w:eastAsia="Arial" w:hAnsi="Arial"/>
          <w:sz w:val="22"/>
          <w:szCs w:val="22"/>
          <w:color w:val="auto"/>
        </w:rPr>
        <w:t>WHEREAS, Landlord and Tenant desire to modify and amend the Existing Lease only in the respects and on the conditions hereinafter stated.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59" w:lineRule="exact"/>
        <w:rPr>
          <w:sz w:val="20"/>
          <w:szCs w:val="20"/>
          <w:color w:val="auto"/>
        </w:rPr>
      </w:pPr>
    </w:p>
    <w:p>
      <w:pPr>
        <w:jc w:val="both"/>
        <w:ind w:firstLine="8"/>
        <w:spacing w:after="0" w:line="218" w:lineRule="auto"/>
        <w:tabs>
          <w:tab w:leader="none" w:pos="648" w:val="left"/>
        </w:tabs>
        <w:numPr>
          <w:ilvl w:val="0"/>
          <w:numId w:val="36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Amendment, capitalized terms shall have the meanings ascribed to them in the Existing Lease unless otherwise defined herein. The Existing Lease, as amended by this Amendment, is referred to collectively herein as the “</w:t>
      </w:r>
      <w:r>
        <w:rPr>
          <w:rFonts w:ascii="Arial" w:cs="Arial" w:eastAsia="Arial" w:hAnsi="Arial"/>
          <w:sz w:val="22"/>
          <w:szCs w:val="22"/>
          <w:u w:val="single" w:color="auto"/>
          <w:color w:val="auto"/>
        </w:rPr>
        <w:t>Lease.</w:t>
      </w:r>
      <w:r>
        <w:rPr>
          <w:rFonts w:ascii="Arial" w:cs="Arial" w:eastAsia="Arial" w:hAnsi="Arial"/>
          <w:sz w:val="22"/>
          <w:szCs w:val="22"/>
          <w:color w:val="auto"/>
        </w:rPr>
        <w:t>” From and after the date hereof, the term “Lease,” as used in the Existing Lease, shall mean the Existing Lease,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DC: 6471715-2</w:t>
      </w:r>
      <w:r>
        <w:rPr>
          <w:sz w:val="20"/>
          <w:szCs w:val="20"/>
          <w:color w:val="auto"/>
        </w:rPr>
        <w:tab/>
      </w:r>
      <w:r>
        <w:rPr>
          <w:rFonts w:ascii="Arial" w:cs="Arial" w:eastAsia="Arial" w:hAnsi="Arial"/>
          <w:sz w:val="16"/>
          <w:szCs w:val="16"/>
          <w:color w:val="auto"/>
        </w:rPr>
        <w:t>BioMed Realty form dated 3/27/15</w:t>
      </w:r>
    </w:p>
    <w:p>
      <w:pPr>
        <w:sectPr>
          <w:pgSz w:w="11900" w:h="16838" w:orient="portrait"/>
          <w:cols w:equalWidth="0" w:num="1">
            <w:col w:w="11240"/>
          </w:cols>
          <w:pgMar w:left="320" w:top="98" w:right="339" w:bottom="1440" w:gutter="0" w:footer="0" w:header="0"/>
        </w:sectPr>
      </w:pPr>
    </w:p>
    <w:bookmarkStart w:id="406" w:name="page407"/>
    <w:bookmarkEnd w:id="406"/>
    <w:p>
      <w:pPr>
        <w:jc w:val="both"/>
        <w:ind w:firstLine="8"/>
        <w:spacing w:after="0" w:line="214" w:lineRule="auto"/>
        <w:tabs>
          <w:tab w:leader="none" w:pos="648" w:val="left"/>
        </w:tabs>
        <w:numPr>
          <w:ilvl w:val="0"/>
          <w:numId w:val="364"/>
        </w:numPr>
        <w:rPr>
          <w:rFonts w:ascii="Arial" w:cs="Arial" w:eastAsia="Arial" w:hAnsi="Arial"/>
          <w:sz w:val="22"/>
          <w:szCs w:val="22"/>
          <w:color w:val="auto"/>
        </w:rPr>
      </w:pPr>
      <w:r>
        <w:rPr>
          <w:rFonts w:ascii="Arial" w:cs="Arial" w:eastAsia="Arial" w:hAnsi="Arial"/>
          <w:sz w:val="22"/>
          <w:szCs w:val="22"/>
          <w:u w:val="single" w:color="auto"/>
          <w:color w:val="auto"/>
        </w:rPr>
        <w:t>Further Revised Term</w:t>
      </w:r>
      <w:r>
        <w:rPr>
          <w:rFonts w:ascii="Arial" w:cs="Arial" w:eastAsia="Arial" w:hAnsi="Arial"/>
          <w:sz w:val="22"/>
          <w:szCs w:val="22"/>
          <w:color w:val="auto"/>
        </w:rPr>
        <w:t>. The Revised Term of the Lease is hereby extended through the end of the ten (10)-year period commencing on [***] and expiring on [***] (the “</w:t>
      </w:r>
      <w:r>
        <w:rPr>
          <w:rFonts w:ascii="Arial" w:cs="Arial" w:eastAsia="Arial" w:hAnsi="Arial"/>
          <w:sz w:val="22"/>
          <w:szCs w:val="22"/>
          <w:u w:val="single" w:color="auto"/>
          <w:color w:val="auto"/>
        </w:rPr>
        <w:t>Further Revised Term</w:t>
      </w:r>
      <w:r>
        <w:rPr>
          <w:rFonts w:ascii="Arial" w:cs="Arial" w:eastAsia="Arial" w:hAnsi="Arial"/>
          <w:sz w:val="22"/>
          <w:szCs w:val="22"/>
          <w:color w:val="auto"/>
        </w:rPr>
        <w:t>” and the Term Expiration Date is hereby extended from [***] to [***]. From and after the Execution Date, any references in the Lease to the “</w:t>
      </w:r>
      <w:r>
        <w:rPr>
          <w:rFonts w:ascii="Arial" w:cs="Arial" w:eastAsia="Arial" w:hAnsi="Arial"/>
          <w:sz w:val="22"/>
          <w:szCs w:val="22"/>
          <w:u w:val="single" w:color="auto"/>
          <w:color w:val="auto"/>
        </w:rPr>
        <w:t>Term Expiration Date</w:t>
      </w:r>
      <w:r>
        <w:rPr>
          <w:rFonts w:ascii="Arial" w:cs="Arial" w:eastAsia="Arial" w:hAnsi="Arial"/>
          <w:sz w:val="22"/>
          <w:szCs w:val="22"/>
          <w:color w:val="auto"/>
        </w:rPr>
        <w:t xml:space="preserve">” shall mean [***] and any references in the Lease to “Term” shall mean the Revised Term, as extended by this Amendment, and as the same may be further extended pursuant to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of the Second Amendment, and subject to the earlier termination of the Lease as therein provided.</w:t>
      </w:r>
    </w:p>
    <w:p>
      <w:pPr>
        <w:spacing w:after="0" w:line="158" w:lineRule="exact"/>
        <w:rPr>
          <w:rFonts w:ascii="Arial" w:cs="Arial" w:eastAsia="Arial" w:hAnsi="Arial"/>
          <w:sz w:val="22"/>
          <w:szCs w:val="22"/>
          <w:color w:val="auto"/>
        </w:rPr>
      </w:pPr>
    </w:p>
    <w:p>
      <w:pPr>
        <w:jc w:val="both"/>
        <w:ind w:firstLine="8"/>
        <w:spacing w:after="0" w:line="247" w:lineRule="auto"/>
        <w:tabs>
          <w:tab w:leader="none" w:pos="648" w:val="left"/>
        </w:tabs>
        <w:numPr>
          <w:ilvl w:val="0"/>
          <w:numId w:val="364"/>
        </w:numPr>
        <w:rPr>
          <w:rFonts w:ascii="Arial" w:cs="Arial" w:eastAsia="Arial" w:hAnsi="Arial"/>
          <w:sz w:val="19"/>
          <w:szCs w:val="19"/>
          <w:color w:val="auto"/>
        </w:rPr>
      </w:pPr>
      <w:r>
        <w:rPr>
          <w:rFonts w:ascii="Arial" w:cs="Arial" w:eastAsia="Arial" w:hAnsi="Arial"/>
          <w:sz w:val="19"/>
          <w:szCs w:val="19"/>
          <w:u w:val="single" w:color="auto"/>
          <w:color w:val="auto"/>
        </w:rPr>
        <w:t>Condition of Premises</w:t>
      </w:r>
      <w:r>
        <w:rPr>
          <w:rFonts w:ascii="Arial" w:cs="Arial" w:eastAsia="Arial" w:hAnsi="Arial"/>
          <w:sz w:val="19"/>
          <w:szCs w:val="19"/>
          <w:color w:val="auto"/>
        </w:rPr>
        <w:t>. Tenant acknowledges that (a) as of the Execution Date it is in possession of and is fully familiar with the condition of the Premises and, notwithstanding anything contained in the Lease to the contrary, except as otherwise expressly provided in the Existing Lease, the Assignment Agreement or the Landlord Consent, agrees to take the same in its condition “as is” as of the first day of the Further Revised Term, subject to Landlord’s delivery of the Fourth Amendment TI Allowance, and (b) Landlord shall have no obligation to alter, repair or otherwise prepare the Premises for Tenant’s continued occupancy for the Further Revised Term or to pay for any improvements to the Premises, except, in each case, as may be expressly provided in the Lease, the Assignment Agreement, the Landlord Consent or this Amendment.</w:t>
      </w:r>
    </w:p>
    <w:p>
      <w:pPr>
        <w:spacing w:after="0" w:line="153" w:lineRule="exact"/>
        <w:rPr>
          <w:rFonts w:ascii="Arial" w:cs="Arial" w:eastAsia="Arial" w:hAnsi="Arial"/>
          <w:sz w:val="19"/>
          <w:szCs w:val="19"/>
          <w:color w:val="auto"/>
        </w:rPr>
      </w:pPr>
    </w:p>
    <w:p>
      <w:pPr>
        <w:jc w:val="both"/>
        <w:ind w:firstLine="8"/>
        <w:spacing w:after="0" w:line="218" w:lineRule="auto"/>
        <w:tabs>
          <w:tab w:leader="none" w:pos="648" w:val="left"/>
        </w:tabs>
        <w:numPr>
          <w:ilvl w:val="0"/>
          <w:numId w:val="364"/>
        </w:numPr>
        <w:rPr>
          <w:rFonts w:ascii="Arial" w:cs="Arial" w:eastAsia="Arial" w:hAnsi="Arial"/>
          <w:sz w:val="22"/>
          <w:szCs w:val="22"/>
          <w:color w:val="auto"/>
        </w:rPr>
      </w:pPr>
      <w:r>
        <w:rPr>
          <w:rFonts w:ascii="Arial" w:cs="Arial" w:eastAsia="Arial" w:hAnsi="Arial"/>
          <w:sz w:val="22"/>
          <w:szCs w:val="22"/>
          <w:u w:val="single" w:color="auto"/>
          <w:color w:val="auto"/>
        </w:rPr>
        <w:t>Base Rent</w:t>
      </w:r>
      <w:r>
        <w:rPr>
          <w:rFonts w:ascii="Arial" w:cs="Arial" w:eastAsia="Arial" w:hAnsi="Arial"/>
          <w:sz w:val="22"/>
          <w:szCs w:val="22"/>
          <w:color w:val="auto"/>
        </w:rPr>
        <w:t>. Effective as of [***] the chart in Section 4(b) of the Second Amendment is hereby amended for the period commencing on [***] and ending on [***] to be as set forth below and monthly and annual installments of Base Rent for the Premises during the Further Revised Term (as extended by this Amendment) shall be as set forth in the chart below, subject to adjustment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0" w:right="339" w:bottom="1440" w:gutter="0" w:footer="0" w:header="0"/>
        </w:sectPr>
      </w:pPr>
    </w:p>
    <w:bookmarkStart w:id="407" w:name="page408"/>
    <w:bookmarkEnd w:id="40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80" w:type="dxa"/>
            <w:vAlign w:val="bottom"/>
            <w:tcBorders>
              <w:top w:val="single" w:sz="8" w:color="auto"/>
              <w:left w:val="single" w:sz="8" w:color="auto"/>
            </w:tcBorders>
          </w:tcPr>
          <w:p>
            <w:pPr>
              <w:spacing w:after="0"/>
              <w:rPr>
                <w:sz w:val="19"/>
                <w:szCs w:val="19"/>
                <w:color w:val="auto"/>
              </w:rPr>
            </w:pPr>
          </w:p>
        </w:tc>
        <w:tc>
          <w:tcPr>
            <w:tcW w:w="138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22"/>
                <w:szCs w:val="22"/>
                <w:b w:val="1"/>
                <w:bCs w:val="1"/>
                <w:color w:val="auto"/>
              </w:rPr>
              <w:t>Dates</w:t>
            </w:r>
          </w:p>
        </w:tc>
        <w:tc>
          <w:tcPr>
            <w:tcW w:w="2240" w:type="dxa"/>
            <w:vAlign w:val="bottom"/>
            <w:tcBorders>
              <w:top w:val="single" w:sz="8" w:color="auto"/>
              <w:right w:val="single" w:sz="8" w:color="auto"/>
            </w:tcBorders>
            <w:gridSpan w:val="4"/>
          </w:tcPr>
          <w:p>
            <w:pPr>
              <w:jc w:val="center"/>
              <w:ind w:right="20"/>
              <w:spacing w:after="0" w:line="229" w:lineRule="exact"/>
              <w:rPr>
                <w:sz w:val="20"/>
                <w:szCs w:val="20"/>
                <w:color w:val="auto"/>
              </w:rPr>
            </w:pPr>
            <w:r>
              <w:rPr>
                <w:rFonts w:ascii="Arial" w:cs="Arial" w:eastAsia="Arial" w:hAnsi="Arial"/>
                <w:sz w:val="22"/>
                <w:szCs w:val="22"/>
                <w:b w:val="1"/>
                <w:bCs w:val="1"/>
                <w:color w:val="auto"/>
                <w:w w:val="87"/>
              </w:rPr>
              <w:t>Square Feet of</w:t>
            </w:r>
          </w:p>
        </w:tc>
        <w:tc>
          <w:tcPr>
            <w:tcW w:w="80" w:type="dxa"/>
            <w:vAlign w:val="bottom"/>
            <w:tcBorders>
              <w:top w:val="single" w:sz="8" w:color="auto"/>
            </w:tcBorders>
          </w:tcPr>
          <w:p>
            <w:pPr>
              <w:spacing w:after="0"/>
              <w:rPr>
                <w:sz w:val="19"/>
                <w:szCs w:val="19"/>
                <w:color w:val="auto"/>
              </w:rPr>
            </w:pPr>
          </w:p>
        </w:tc>
        <w:tc>
          <w:tcPr>
            <w:tcW w:w="2180" w:type="dxa"/>
            <w:vAlign w:val="bottom"/>
            <w:tcBorders>
              <w:top w:val="single" w:sz="8" w:color="auto"/>
              <w:right w:val="single" w:sz="8" w:color="auto"/>
            </w:tcBorders>
            <w:gridSpan w:val="4"/>
          </w:tcPr>
          <w:p>
            <w:pPr>
              <w:jc w:val="center"/>
              <w:ind w:right="120"/>
              <w:spacing w:after="0" w:line="229" w:lineRule="exact"/>
              <w:rPr>
                <w:sz w:val="20"/>
                <w:szCs w:val="20"/>
                <w:color w:val="auto"/>
              </w:rPr>
            </w:pPr>
            <w:r>
              <w:rPr>
                <w:rFonts w:ascii="Arial" w:cs="Arial" w:eastAsia="Arial" w:hAnsi="Arial"/>
                <w:sz w:val="22"/>
                <w:szCs w:val="22"/>
                <w:b w:val="1"/>
                <w:bCs w:val="1"/>
                <w:color w:val="auto"/>
                <w:w w:val="88"/>
              </w:rPr>
              <w:t>Base Rent per Square</w:t>
            </w:r>
          </w:p>
        </w:tc>
        <w:tc>
          <w:tcPr>
            <w:tcW w:w="220" w:type="dxa"/>
            <w:vAlign w:val="bottom"/>
            <w:tcBorders>
              <w:top w:val="single" w:sz="8" w:color="auto"/>
            </w:tcBorders>
          </w:tcPr>
          <w:p>
            <w:pPr>
              <w:spacing w:after="0"/>
              <w:rPr>
                <w:sz w:val="19"/>
                <w:szCs w:val="19"/>
                <w:color w:val="auto"/>
              </w:rPr>
            </w:pPr>
          </w:p>
        </w:tc>
        <w:tc>
          <w:tcPr>
            <w:tcW w:w="2020" w:type="dxa"/>
            <w:vAlign w:val="bottom"/>
            <w:tcBorders>
              <w:top w:val="single" w:sz="8" w:color="auto"/>
              <w:right w:val="single" w:sz="8" w:color="auto"/>
            </w:tcBorders>
            <w:gridSpan w:val="2"/>
            <w:vMerge w:val="restart"/>
          </w:tcPr>
          <w:p>
            <w:pPr>
              <w:jc w:val="center"/>
              <w:ind w:right="240"/>
              <w:spacing w:after="0"/>
              <w:rPr>
                <w:sz w:val="20"/>
                <w:szCs w:val="20"/>
                <w:color w:val="auto"/>
              </w:rPr>
            </w:pPr>
            <w:r>
              <w:rPr>
                <w:rFonts w:ascii="Arial" w:cs="Arial" w:eastAsia="Arial" w:hAnsi="Arial"/>
                <w:sz w:val="22"/>
                <w:szCs w:val="22"/>
                <w:b w:val="1"/>
                <w:bCs w:val="1"/>
                <w:color w:val="auto"/>
                <w:w w:val="89"/>
              </w:rPr>
              <w:t>Monthly Base Rent</w:t>
            </w:r>
          </w:p>
        </w:tc>
        <w:tc>
          <w:tcPr>
            <w:tcW w:w="226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22"/>
                <w:szCs w:val="22"/>
                <w:b w:val="1"/>
                <w:bCs w:val="1"/>
                <w:color w:val="auto"/>
                <w:w w:val="89"/>
              </w:rPr>
              <w:t>Annual Base Rent</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tcBorders>
          </w:tcPr>
          <w:p>
            <w:pPr>
              <w:spacing w:after="0"/>
              <w:rPr>
                <w:sz w:val="17"/>
                <w:szCs w:val="17"/>
                <w:color w:val="auto"/>
              </w:rPr>
            </w:pPr>
          </w:p>
        </w:tc>
        <w:tc>
          <w:tcPr>
            <w:tcW w:w="1380" w:type="dxa"/>
            <w:vAlign w:val="bottom"/>
            <w:tcBorders>
              <w:top w:val="single" w:sz="8" w:color="auto"/>
              <w:right w:val="single" w:sz="8" w:color="auto"/>
            </w:tcBorders>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0"/>
              <w:spacing w:after="0" w:line="195" w:lineRule="exact"/>
              <w:rPr>
                <w:sz w:val="20"/>
                <w:szCs w:val="20"/>
                <w:color w:val="auto"/>
              </w:rPr>
            </w:pPr>
            <w:r>
              <w:rPr>
                <w:rFonts w:ascii="Arial" w:cs="Arial" w:eastAsia="Arial" w:hAnsi="Arial"/>
                <w:sz w:val="22"/>
                <w:szCs w:val="22"/>
                <w:b w:val="1"/>
                <w:bCs w:val="1"/>
                <w:color w:val="auto"/>
                <w:w w:val="89"/>
              </w:rPr>
              <w:t>Rentable Area</w:t>
            </w:r>
          </w:p>
        </w:tc>
        <w:tc>
          <w:tcPr>
            <w:tcW w:w="4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w w:val="88"/>
              </w:rPr>
              <w:t>Foot of Rentable Area</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top w:val="single" w:sz="8" w:color="auto"/>
              <w:right w:val="single" w:sz="8" w:color="auto"/>
            </w:tcBorders>
            <w:gridSpan w:val="2"/>
            <w:vMerge w:val="continue"/>
          </w:tcPr>
          <w:p>
            <w:pPr>
              <w:spacing w:after="0"/>
              <w:rPr>
                <w:sz w:val="17"/>
                <w:szCs w:val="17"/>
                <w:color w:val="auto"/>
              </w:rPr>
            </w:pPr>
          </w:p>
        </w:tc>
        <w:tc>
          <w:tcPr>
            <w:tcW w:w="2260" w:type="dxa"/>
            <w:vAlign w:val="bottom"/>
            <w:tcBorders>
              <w:top w:val="single" w:sz="8" w:color="auto"/>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bottom w:val="single" w:sz="8" w:color="auto"/>
            </w:tcBorders>
            <w:gridSpan w:val="2"/>
          </w:tcPr>
          <w:p>
            <w:pPr>
              <w:ind w:left="900"/>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right="20" w:firstLine="8"/>
        <w:spacing w:after="0" w:line="223" w:lineRule="auto"/>
        <w:tabs>
          <w:tab w:leader="none" w:pos="648"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Operating Expenses</w:t>
      </w:r>
      <w:r>
        <w:rPr>
          <w:rFonts w:ascii="Arial" w:cs="Arial" w:eastAsia="Arial" w:hAnsi="Arial"/>
          <w:sz w:val="22"/>
          <w:szCs w:val="22"/>
          <w:color w:val="auto"/>
        </w:rPr>
        <w:t>. Effective as of [***] the last clause of Section 4(j) of the Second Amendment, commencing with the words “In addition, to the extent...” and including the chart set forth at the end of Section 4(j), shall be deleted and shall be of no further force or effect.</w:t>
      </w:r>
    </w:p>
    <w:p>
      <w:pPr>
        <w:spacing w:after="0" w:line="158" w:lineRule="exact"/>
        <w:rPr>
          <w:rFonts w:ascii="Arial" w:cs="Arial" w:eastAsia="Arial" w:hAnsi="Arial"/>
          <w:sz w:val="22"/>
          <w:szCs w:val="22"/>
          <w:color w:val="auto"/>
        </w:rPr>
      </w:pPr>
    </w:p>
    <w:p>
      <w:pPr>
        <w:ind w:left="660" w:hanging="652"/>
        <w:spacing w:after="0"/>
        <w:tabs>
          <w:tab w:leader="none" w:pos="660"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TI Allowance</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11" w:lineRule="auto"/>
        <w:rPr>
          <w:sz w:val="20"/>
          <w:szCs w:val="20"/>
          <w:color w:val="auto"/>
        </w:rPr>
      </w:pPr>
      <w:r>
        <w:rPr>
          <w:rFonts w:ascii="Arial" w:cs="Arial" w:eastAsia="Arial" w:hAnsi="Arial"/>
          <w:sz w:val="22"/>
          <w:szCs w:val="22"/>
          <w:color w:val="auto"/>
        </w:rPr>
        <w:t>6.1 Effective as of the Execution Date, (a) Landlord shall have no further obligation to fund, and Tenant shall have no further right receive, the Additional TI Allowance and (b) any rights and/or obligations with respect to such Additional TI Allowance shall be null and void and of no force or effect. As of the Execution Date, Landlord confirms that: (x) it has not disbursed any of the Additional TI Allowance to Tenant and (y) therefore, Landlord has not increased, and shall have no further right from and after the Execution Date to increase, Base Rent upon any disbursement of any Additional TI Allowance pursuant to Section 6(b) of the Second Amendment. From and after the Execution Date, Section 6(b) shall have no further force and effect, with the exception of the definition of “TI Deadline,” which shall be amended and restated to mean [***] for all purposes under the Lease.</w:t>
      </w:r>
    </w:p>
    <w:p>
      <w:pPr>
        <w:spacing w:after="0" w:line="165"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6.2 In accordance with the terms and conditions of this Amendment, Landlord shall make available to Tenant an additional tenant improvement allowance in the amount of [***] Dollars ($[***]) (the “</w:t>
      </w:r>
      <w:r>
        <w:rPr>
          <w:rFonts w:ascii="Arial" w:cs="Arial" w:eastAsia="Arial" w:hAnsi="Arial"/>
          <w:sz w:val="22"/>
          <w:szCs w:val="22"/>
          <w:u w:val="single" w:color="auto"/>
          <w:color w:val="auto"/>
        </w:rPr>
        <w:t>Fourth Amendment TI Allowance</w:t>
      </w:r>
      <w:r>
        <w:rPr>
          <w:rFonts w:ascii="Arial" w:cs="Arial" w:eastAsia="Arial" w:hAnsi="Arial"/>
          <w:sz w:val="22"/>
          <w:szCs w:val="22"/>
          <w:color w:val="auto"/>
        </w:rPr>
        <w:t>”) to be applied to the cost of the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60"/>
          </w:cols>
          <w:pgMar w:left="320" w:top="1440" w:right="319" w:bottom="1440" w:gutter="0" w:footer="0" w:header="0"/>
        </w:sectPr>
      </w:pPr>
    </w:p>
    <w:bookmarkStart w:id="408" w:name="page409"/>
    <w:bookmarkEnd w:id="408"/>
    <w:p>
      <w:pPr>
        <w:jc w:val="both"/>
        <w:spacing w:after="0"/>
        <w:rPr>
          <w:sz w:val="20"/>
          <w:szCs w:val="20"/>
          <w:color w:val="auto"/>
        </w:rPr>
      </w:pPr>
      <w:r>
        <w:rPr>
          <w:rFonts w:ascii="Arial" w:cs="Arial" w:eastAsia="Arial" w:hAnsi="Arial"/>
          <w:sz w:val="19"/>
          <w:szCs w:val="19"/>
          <w:color w:val="auto"/>
        </w:rPr>
        <w:t>Improvements (as defined below) performed by Tenant in the Premises within the [***] period immediately prior to the Execution Date or to be performed by Tenant after the Execution Date, pursuant to Section 6 of the Second Amendment and the Work Letter attached to the Second Amendment as Exhibit C (the “</w:t>
      </w:r>
      <w:r>
        <w:rPr>
          <w:rFonts w:ascii="Arial" w:cs="Arial" w:eastAsia="Arial" w:hAnsi="Arial"/>
          <w:sz w:val="19"/>
          <w:szCs w:val="19"/>
          <w:u w:val="single" w:color="auto"/>
          <w:color w:val="auto"/>
        </w:rPr>
        <w:t>Work Letter</w:t>
      </w:r>
      <w:r>
        <w:rPr>
          <w:rFonts w:ascii="Arial" w:cs="Arial" w:eastAsia="Arial" w:hAnsi="Arial"/>
          <w:sz w:val="19"/>
          <w:szCs w:val="19"/>
          <w:color w:val="auto"/>
        </w:rPr>
        <w:t>”), as the same may be amended by this Amendment. Landlord shall disburse the Fourth Amendment TI Allowance to Tenant on the Execution Date (provided that Tenant delivers its duly executed counterpart of this Amendment no later than 12:00 pm Pacific time on the Execution Date, otherwise Landlord shall disburse the Fourth Amendment TI Allowance to Tenant no later than one (1) business day after the Execution Date) by wire transfer of immediately available funds to an account specified by Tenant. Tenant shall apply the Fourth Amendment TI Allowance to finance hard and soft costs of the Tenant Improvements, including costs of commissioning of any mechanical, electrical and plumbing systems and preparation and review of any related commissioning report, building permits and other taxes, fees, charges and levies charged by Governmental Authorities for permits for or inspections of the Tenant Improvements, and costs and expenses for labor, material, equipment and fixtures. For purposes of this Amendment, “Tenant Improvements” shall mean the first floor, second floor and fifth floor renovations to be performed by Tenant in the Premises, as substantially described in the documents entitled “MacroGenics 9704 MCD Level 1 &amp; 2 Renovation Construction Set” dated May 18, 2016 prepared by CRB Architects-Engineers P.C. and consisting of 76 pages and approved by Landlord by a letter from Landlord to Tenant dated [***] with certain conditions stated therein, and “MacroGenics 9704 MCD Level 1 &amp; 2 Renovation Construction Set, Bulletin #1” dated [***] prepared by CRB Architects-Engineers P.C. and consisting of 130 pages, and approved by a letter from Landlord to Tenant dated [***], with certain conditions stated therein, and as each of the same may be modified or narrowed by Tenant from time to time, in its sole discretion, but subject to Landlord’s approval or consent, to the extent that Landlord’s approval or consent is required under the Work Letter.</w:t>
      </w:r>
    </w:p>
    <w:p>
      <w:pPr>
        <w:spacing w:after="0" w:line="3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Tenant shall perform the Tenant Improvements in accordance with Section 6 of the Second Amendment and the</w:t>
      </w:r>
    </w:p>
    <w:p>
      <w:pPr>
        <w:spacing w:after="0"/>
        <w:rPr>
          <w:sz w:val="20"/>
          <w:szCs w:val="20"/>
          <w:color w:val="auto"/>
        </w:rPr>
      </w:pPr>
      <w:r>
        <w:rPr>
          <w:rFonts w:ascii="Arial" w:cs="Arial" w:eastAsia="Arial" w:hAnsi="Arial"/>
          <w:sz w:val="22"/>
          <w:szCs w:val="22"/>
          <w:color w:val="auto"/>
        </w:rPr>
        <w:t>Work Letter, as the same may be modified by this Amendment. Without limiting the generality of the foregoing:</w:t>
      </w:r>
    </w:p>
    <w:p>
      <w:pPr>
        <w:spacing w:after="0" w:line="161" w:lineRule="exact"/>
        <w:rPr>
          <w:sz w:val="20"/>
          <w:szCs w:val="20"/>
          <w:color w:val="auto"/>
        </w:rPr>
      </w:pPr>
    </w:p>
    <w:p>
      <w:pPr>
        <w:jc w:val="both"/>
        <w:ind w:firstLine="1304"/>
        <w:spacing w:after="0" w:line="238" w:lineRule="auto"/>
        <w:tabs>
          <w:tab w:leader="none" w:pos="1941" w:val="left"/>
        </w:tabs>
        <w:numPr>
          <w:ilvl w:val="1"/>
          <w:numId w:val="366"/>
        </w:numPr>
        <w:rPr>
          <w:rFonts w:ascii="Arial" w:cs="Arial" w:eastAsia="Arial" w:hAnsi="Arial"/>
          <w:sz w:val="19"/>
          <w:szCs w:val="19"/>
          <w:color w:val="auto"/>
        </w:rPr>
      </w:pPr>
      <w:r>
        <w:rPr>
          <w:rFonts w:ascii="Arial" w:cs="Arial" w:eastAsia="Arial" w:hAnsi="Arial"/>
          <w:sz w:val="19"/>
          <w:szCs w:val="19"/>
          <w:color w:val="auto"/>
        </w:rPr>
        <w:t xml:space="preserve">Tenant shall deliver to Landlord the Completion Evidence for the Tenant Improvements on or before the TI Deadline (time being of the essence), and any failure to do so shall constitute a Default under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of the Lease. Landlord and Tenant hereby agree that Completion Evidence” shall consist of the following for purposes of this Amendment: (i) a statement setting forth the total cost of the Tenant Improvements, including supporting invoices (paid or presently due and payable) for Tenant’s costs of the Tenant Improvements, and certifying that the Fourth Amendment TI Allowance was applied to the Tenant Improvements in accordance with this Amendment; and (ii) all of the TI Submittals. Landlord and Tenant hereby agree that “TI Submittals” shall consist of the following for purposes of this Amendment: (t) commercially reasonable evidence satisfactory to Landlord that (i) all Tenant Improvements have been completed and paid for in full (an architect’s certificate of completion and the general contractor’s and each subcontractor’s and material supplier’s final unconditional waivers and releases of liens, each in a form acceptable to Landlord and complying with Applicable Laws, and a Certificate of Substantial Completion in the form of the American Institute of Architects document G704, executed by the project architect and the general contractor, together with a statutory notice of substantial completion from the general contractor shall be deemed evidence of completion of all Tenant Improvements and the same are paid in full), and (ii) any and all liens related to the Tenant Improvements have either been discharged of record (by payment, bond, order of a court of competent jurisdiction or otherwise) or waived by the party filing such lien; (u) certificates of insurance required by the Lease to be purchased and maintained by Tenant; (v) an affidavit from Tenant’s architect certifying that all work performed in, on or about the Premises is in accordance with the Approved Plans;</w:t>
      </w:r>
    </w:p>
    <w:p>
      <w:pPr>
        <w:spacing w:after="0" w:line="7" w:lineRule="exact"/>
        <w:rPr>
          <w:rFonts w:ascii="Arial" w:cs="Arial" w:eastAsia="Arial" w:hAnsi="Arial"/>
          <w:sz w:val="19"/>
          <w:szCs w:val="19"/>
          <w:color w:val="auto"/>
        </w:rPr>
      </w:pPr>
    </w:p>
    <w:p>
      <w:pPr>
        <w:ind w:right="20" w:firstLine="8"/>
        <w:spacing w:after="0" w:line="224" w:lineRule="auto"/>
        <w:tabs>
          <w:tab w:leader="none" w:pos="358" w:val="left"/>
        </w:tabs>
        <w:numPr>
          <w:ilvl w:val="0"/>
          <w:numId w:val="367"/>
        </w:numPr>
        <w:rPr>
          <w:rFonts w:ascii="Arial" w:cs="Arial" w:eastAsia="Arial" w:hAnsi="Arial"/>
          <w:sz w:val="22"/>
          <w:szCs w:val="22"/>
          <w:color w:val="auto"/>
        </w:rPr>
      </w:pPr>
      <w:r>
        <w:rPr>
          <w:rFonts w:ascii="Arial" w:cs="Arial" w:eastAsia="Arial" w:hAnsi="Arial"/>
          <w:sz w:val="22"/>
          <w:szCs w:val="22"/>
          <w:color w:val="auto"/>
        </w:rPr>
        <w:t>complete “as built” drawing print sets, project specifications and shop drawings and electronic CADD files on disc (showing the Tenant Improvements as an overlay on the Building “as built” plans (provided that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0" w:right="339" w:bottom="1440" w:gutter="0" w:footer="0" w:header="0"/>
        </w:sectPr>
      </w:pPr>
    </w:p>
    <w:bookmarkStart w:id="409" w:name="page410"/>
    <w:bookmarkEnd w:id="409"/>
    <w:p>
      <w:pPr>
        <w:jc w:val="both"/>
        <w:spacing w:after="0" w:line="220" w:lineRule="auto"/>
        <w:rPr>
          <w:sz w:val="20"/>
          <w:szCs w:val="20"/>
          <w:color w:val="auto"/>
        </w:rPr>
      </w:pPr>
      <w:r>
        <w:rPr>
          <w:rFonts w:ascii="Arial" w:cs="Arial" w:eastAsia="Arial" w:hAnsi="Arial"/>
          <w:sz w:val="21"/>
          <w:szCs w:val="21"/>
          <w:color w:val="auto"/>
        </w:rPr>
        <w:t>provides the Building “as-built” plans provided to Tenant) of all contract documents for work performed by their architect and engineers in relation to the Tenant Improvements, together with a consent by Tenant’s architects and engineers to Landlord’s use of such plans and specifications, as revised (if and to the extent such consent is granted following Tenant’s request therefor from Tenant’s architects and engineers, provided, that Tenant have no liability to Landlord, nor be in breach or default under the Lease or this Amendment, if Tenant’s architects or engineers fail to consent to Landlord’s use of such plans and specifications, as revised), upon the expiration or earlier termination of the Lease, in such form as Landlord shall reasonably require; and (x) a commissioning report prepared by a licensed, qualified commissioning agent hired by Tenant and approved by Landlord for all new or affected mechanical, electrical and plumbing systems (which report Landlord may hire a licensed, qualified commissioning agent to peer review, and whose reasonable recommendations Tenant’s commissioning agent shall perform and incorporate into a revised report).</w:t>
      </w:r>
    </w:p>
    <w:p>
      <w:pPr>
        <w:spacing w:after="0" w:line="162" w:lineRule="exact"/>
        <w:rPr>
          <w:sz w:val="20"/>
          <w:szCs w:val="20"/>
          <w:color w:val="auto"/>
        </w:rPr>
      </w:pPr>
    </w:p>
    <w:p>
      <w:pPr>
        <w:jc w:val="both"/>
        <w:ind w:firstLine="1304"/>
        <w:spacing w:after="0" w:line="216" w:lineRule="auto"/>
        <w:tabs>
          <w:tab w:leader="none" w:pos="1939" w:val="left"/>
        </w:tabs>
        <w:numPr>
          <w:ilvl w:val="1"/>
          <w:numId w:val="368"/>
        </w:numPr>
        <w:rPr>
          <w:rFonts w:ascii="Arial" w:cs="Arial" w:eastAsia="Arial" w:hAnsi="Arial"/>
          <w:sz w:val="22"/>
          <w:szCs w:val="22"/>
          <w:color w:val="auto"/>
        </w:rPr>
      </w:pPr>
      <w:r>
        <w:rPr>
          <w:rFonts w:ascii="Arial" w:cs="Arial" w:eastAsia="Arial" w:hAnsi="Arial"/>
          <w:sz w:val="22"/>
          <w:szCs w:val="22"/>
          <w:color w:val="auto"/>
        </w:rPr>
        <w:t>If not previously selected by Tenant and approved by Landlord, Tenant shall select the architect, engineer, and general contractor for the construction of the Tenant Improvements, subject to Landlord’s approval, such approval not to be unreasonably withheld, conditioned or delayed. Landlord hereby approves the following architect and for design of the Tenant Improvements: CRB Architects-Engineers P.C. Landlord hereby approves the following general contractor for construction of the Tenant Improvements: CRB Builders, LLC.</w:t>
      </w:r>
    </w:p>
    <w:p>
      <w:pPr>
        <w:spacing w:after="0" w:line="157" w:lineRule="exact"/>
        <w:rPr>
          <w:rFonts w:ascii="Arial" w:cs="Arial" w:eastAsia="Arial" w:hAnsi="Arial"/>
          <w:sz w:val="22"/>
          <w:szCs w:val="22"/>
          <w:color w:val="auto"/>
        </w:rPr>
      </w:pPr>
    </w:p>
    <w:p>
      <w:pPr>
        <w:ind w:left="1940" w:hanging="636"/>
        <w:spacing w:after="0"/>
        <w:tabs>
          <w:tab w:leader="none" w:pos="1940" w:val="left"/>
        </w:tabs>
        <w:numPr>
          <w:ilvl w:val="1"/>
          <w:numId w:val="368"/>
        </w:numPr>
        <w:rPr>
          <w:rFonts w:ascii="Arial" w:cs="Arial" w:eastAsia="Arial" w:hAnsi="Arial"/>
          <w:sz w:val="21"/>
          <w:szCs w:val="21"/>
          <w:color w:val="auto"/>
        </w:rPr>
      </w:pPr>
      <w:r>
        <w:rPr>
          <w:rFonts w:ascii="Arial" w:cs="Arial" w:eastAsia="Arial" w:hAnsi="Arial"/>
          <w:sz w:val="21"/>
          <w:szCs w:val="21"/>
          <w:color w:val="auto"/>
        </w:rPr>
        <w:t>Tenant’s Authorized Representatives shall continue to be Thomas Spitznagel and Chris Holmes.</w:t>
      </w:r>
    </w:p>
    <w:p>
      <w:pPr>
        <w:spacing w:after="0" w:line="190" w:lineRule="exact"/>
        <w:rPr>
          <w:rFonts w:ascii="Arial" w:cs="Arial" w:eastAsia="Arial" w:hAnsi="Arial"/>
          <w:sz w:val="21"/>
          <w:szCs w:val="21"/>
          <w:color w:val="auto"/>
        </w:rPr>
      </w:pPr>
    </w:p>
    <w:p>
      <w:pPr>
        <w:jc w:val="both"/>
        <w:ind w:firstLine="1304"/>
        <w:spacing w:after="0" w:line="223" w:lineRule="auto"/>
        <w:tabs>
          <w:tab w:leader="none" w:pos="1939" w:val="left"/>
        </w:tabs>
        <w:numPr>
          <w:ilvl w:val="1"/>
          <w:numId w:val="368"/>
        </w:numPr>
        <w:rPr>
          <w:rFonts w:ascii="Arial" w:cs="Arial" w:eastAsia="Arial" w:hAnsi="Arial"/>
          <w:sz w:val="22"/>
          <w:szCs w:val="22"/>
          <w:color w:val="auto"/>
        </w:rPr>
      </w:pPr>
      <w:r>
        <w:rPr>
          <w:rFonts w:ascii="Arial" w:cs="Arial" w:eastAsia="Arial" w:hAnsi="Arial"/>
          <w:sz w:val="22"/>
          <w:szCs w:val="22"/>
          <w:color w:val="auto"/>
        </w:rPr>
        <w:t>Tenant shall perform the Tenant Improvements in accordance with the Schedule and Approved Plans, and any changes to the Approved Plans required for the Tenant Improvements shall be requested and instituted in accordance with Article 2 of the Work Letter.</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941" w:val="left"/>
        </w:tabs>
        <w:numPr>
          <w:ilvl w:val="1"/>
          <w:numId w:val="368"/>
        </w:numPr>
        <w:rPr>
          <w:rFonts w:ascii="Arial" w:cs="Arial" w:eastAsia="Arial" w:hAnsi="Arial"/>
          <w:sz w:val="19"/>
          <w:szCs w:val="19"/>
          <w:color w:val="auto"/>
        </w:rPr>
      </w:pPr>
      <w:r>
        <w:rPr>
          <w:rFonts w:ascii="Arial" w:cs="Arial" w:eastAsia="Arial" w:hAnsi="Arial"/>
          <w:sz w:val="19"/>
          <w:szCs w:val="19"/>
          <w:color w:val="auto"/>
        </w:rPr>
        <w:t>Upon Substantial Completion of any Tenant Improvements in any portion of the Premises in which Tenant is not currently in occupancy and conducting business, prior to occupying and commencing to conduct business in such portion of the Premises (but without limitation of Tenant’s right to conduct installation, qualification and validation of equipment in such portion of the Premises at any time and without the Required Occupancy Approvals), Tenant shall deliver to Landlord any certifications and approvals with respect to the Tenant Improvements from any Governmental Authority and any board of fire underwriters or similar body for the use and occupancy of the Premises, to the extent required by Applicable Laws (including a certificate of occupancy for the Permitted Use, if such certificate of occupancy is required by Applicable Law) (collectively, the “</w:t>
      </w:r>
      <w:r>
        <w:rPr>
          <w:rFonts w:ascii="Arial" w:cs="Arial" w:eastAsia="Arial" w:hAnsi="Arial"/>
          <w:sz w:val="19"/>
          <w:szCs w:val="19"/>
          <w:u w:val="single" w:color="auto"/>
          <w:color w:val="auto"/>
        </w:rPr>
        <w:t>Required Occupancy Approvals</w:t>
      </w:r>
      <w:r>
        <w:rPr>
          <w:rFonts w:ascii="Arial" w:cs="Arial" w:eastAsia="Arial" w:hAnsi="Arial"/>
          <w:sz w:val="19"/>
          <w:szCs w:val="19"/>
          <w:color w:val="auto"/>
        </w:rPr>
        <w:t>”); provided, that, the Required Occupancy Approvals shall be not be considered Completion Evidence; further, provided, that, Tenant shall not be obligated to refund or repay any of the Fourth Amendment TI Allowance by reason of Tenant’s failure to deliver such Required Occupancy Approvals to Landlord (but Tenant may not occupy or commence to conduct business in the applicable portion of the Premises until Tenant delivers the Required Occupancy Approvals, and the failure to deliver to Required Occupancy Approvals shall not excuse, waive, postpone or constitute any defense to Tenant’s obligations under the Lease, including the obligation to pay Rent).</w:t>
      </w:r>
    </w:p>
    <w:p>
      <w:pPr>
        <w:spacing w:after="0" w:line="160" w:lineRule="exact"/>
        <w:rPr>
          <w:rFonts w:ascii="Arial" w:cs="Arial" w:eastAsia="Arial" w:hAnsi="Arial"/>
          <w:sz w:val="19"/>
          <w:szCs w:val="19"/>
          <w:color w:val="auto"/>
        </w:rPr>
      </w:pPr>
    </w:p>
    <w:p>
      <w:pPr>
        <w:ind w:right="20" w:firstLine="1304"/>
        <w:spacing w:after="0" w:line="232" w:lineRule="auto"/>
        <w:tabs>
          <w:tab w:leader="none" w:pos="1944" w:val="left"/>
        </w:tabs>
        <w:numPr>
          <w:ilvl w:val="1"/>
          <w:numId w:val="368"/>
        </w:numPr>
        <w:rPr>
          <w:rFonts w:ascii="Arial" w:cs="Arial" w:eastAsia="Arial" w:hAnsi="Arial"/>
          <w:sz w:val="22"/>
          <w:szCs w:val="22"/>
          <w:color w:val="auto"/>
        </w:rPr>
      </w:pPr>
      <w:r>
        <w:rPr>
          <w:rFonts w:ascii="Arial" w:cs="Arial" w:eastAsia="Arial" w:hAnsi="Arial"/>
          <w:sz w:val="22"/>
          <w:szCs w:val="22"/>
          <w:color w:val="auto"/>
        </w:rPr>
        <w:t>Landlord confirms that Tenant shall not be obligated to pay Landlord a construction management fee or any similar construction oversight fee with respect to the Tenant Improvements.</w:t>
      </w:r>
    </w:p>
    <w:p>
      <w:pPr>
        <w:spacing w:after="0" w:line="158" w:lineRule="exact"/>
        <w:rPr>
          <w:rFonts w:ascii="Arial" w:cs="Arial" w:eastAsia="Arial" w:hAnsi="Arial"/>
          <w:sz w:val="22"/>
          <w:szCs w:val="22"/>
          <w:color w:val="auto"/>
        </w:rPr>
      </w:pPr>
    </w:p>
    <w:p>
      <w:pPr>
        <w:jc w:val="both"/>
        <w:ind w:firstLine="8"/>
        <w:spacing w:after="0" w:line="223" w:lineRule="auto"/>
        <w:tabs>
          <w:tab w:leader="none" w:pos="648" w:val="left"/>
        </w:tabs>
        <w:numPr>
          <w:ilvl w:val="0"/>
          <w:numId w:val="369"/>
        </w:numPr>
        <w:rPr>
          <w:rFonts w:ascii="Arial" w:cs="Arial" w:eastAsia="Arial" w:hAnsi="Arial"/>
          <w:sz w:val="22"/>
          <w:szCs w:val="22"/>
          <w:color w:val="auto"/>
        </w:rPr>
      </w:pPr>
      <w:r>
        <w:rPr>
          <w:rFonts w:ascii="Arial" w:cs="Arial" w:eastAsia="Arial" w:hAnsi="Arial"/>
          <w:sz w:val="22"/>
          <w:szCs w:val="22"/>
          <w:u w:val="single" w:color="auto"/>
          <w:color w:val="auto"/>
        </w:rPr>
        <w:t>SNDA</w:t>
      </w:r>
      <w:r>
        <w:rPr>
          <w:rFonts w:ascii="Arial" w:cs="Arial" w:eastAsia="Arial" w:hAnsi="Arial"/>
          <w:sz w:val="22"/>
          <w:szCs w:val="22"/>
          <w:color w:val="auto"/>
        </w:rPr>
        <w:t>. Landlord agrees to request a subordination and non-disturbance agreement (an “</w:t>
      </w:r>
      <w:r>
        <w:rPr>
          <w:rFonts w:ascii="Arial" w:cs="Arial" w:eastAsia="Arial" w:hAnsi="Arial"/>
          <w:sz w:val="22"/>
          <w:szCs w:val="22"/>
          <w:u w:val="single" w:color="auto"/>
          <w:color w:val="auto"/>
        </w:rPr>
        <w:t>SNDA</w:t>
      </w:r>
      <w:r>
        <w:rPr>
          <w:rFonts w:ascii="Arial" w:cs="Arial" w:eastAsia="Arial" w:hAnsi="Arial"/>
          <w:sz w:val="22"/>
          <w:szCs w:val="22"/>
          <w:color w:val="auto"/>
        </w:rPr>
        <w:t xml:space="preserve">”) from its current Mortgagees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(which is consistent with the form of SNDA attached to that certain Loan Agreement dated as of [***],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0" w:right="339" w:bottom="1440" w:gutter="0" w:footer="0" w:header="0"/>
        </w:sectPr>
      </w:pPr>
    </w:p>
    <w:bookmarkStart w:id="410" w:name="page411"/>
    <w:bookmarkEnd w:id="410"/>
    <w:p>
      <w:pPr>
        <w:jc w:val="both"/>
        <w:spacing w:after="0" w:line="241" w:lineRule="auto"/>
        <w:rPr>
          <w:sz w:val="20"/>
          <w:szCs w:val="20"/>
          <w:color w:val="auto"/>
        </w:rPr>
      </w:pPr>
      <w:r>
        <w:rPr>
          <w:rFonts w:ascii="Arial" w:cs="Arial" w:eastAsia="Arial" w:hAnsi="Arial"/>
          <w:sz w:val="19"/>
          <w:szCs w:val="19"/>
          <w:color w:val="auto"/>
        </w:rPr>
        <w:t>amended by that certain First Amendment to Loan Agreement and Other Loan Documents dated as of [***] (collectively, as the same may be amended, restated and/or replaced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 by and among Landlord, as mortgagor, the current Mortgagees and certain other parties thereto (the “</w:t>
      </w:r>
      <w:r>
        <w:rPr>
          <w:rFonts w:ascii="Arial" w:cs="Arial" w:eastAsia="Arial" w:hAnsi="Arial"/>
          <w:sz w:val="19"/>
          <w:szCs w:val="19"/>
          <w:u w:val="single" w:color="auto"/>
          <w:color w:val="auto"/>
        </w:rPr>
        <w:t>Required Form of SNDA</w:t>
      </w:r>
      <w:r>
        <w:rPr>
          <w:rFonts w:ascii="Arial" w:cs="Arial" w:eastAsia="Arial" w:hAnsi="Arial"/>
          <w:sz w:val="19"/>
          <w:szCs w:val="19"/>
          <w:color w:val="auto"/>
        </w:rPr>
        <w:t xml:space="preserve">”)) with such changes requested by Tenant, within thirty (30) days after the Execution Date. Landlord agrees to use reasonable efforts, at no cost to Landlord, to obtain the SNDA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from such Mortgagees. Landlord will not obstruct Tenant’s negotiations with the Mortgagees regarding Tenant’s requested changes to such SNDA. Tenant acknowledges that, while Tenant may request changes to the Required Form of SNDA from the current Mortgagees, the current Mortgagees have no contractual or other obligation to deliver any SNDA other than the Required Form of SNDA, and there is no definite time period during which such Mortgagees are required to respond to any request for or to deliver a Required Form of SNDA under the Loan Agreement, and therefore, any refusal or failure to deliver or delay in delivering any SNDA to Tenant shall not constitute a default of Landlord under the Lease. For purposes of clarity, using “reasonable efforts” to obtain the Required Form of SNDA from the Mortgagees shall not require Landlord to assert any default of Mortgagees or otherwise take any enforcement actions under the Loan Agreement or any other loan documents affecting the Premises. Within [***] days after Landlord’s written demand therefor, together with reasonable supporting documentation, Tenant shall reimburse any fees charged by the Mortgagees or their legal counsel pursuant to the Loan Agreement and any other third party out-of-pocket costs incurred by Landlord in connection with the request for, drafting or negotiation of and/or delivery of any SNDA requested by Tenant under this Amendment, regardless of whether the current Mortgagees agree to or actually execute and deliver such SNDA.</w:t>
      </w:r>
    </w:p>
    <w:p>
      <w:pPr>
        <w:spacing w:after="0" w:line="158" w:lineRule="exact"/>
        <w:rPr>
          <w:sz w:val="20"/>
          <w:szCs w:val="20"/>
          <w:color w:val="auto"/>
        </w:rPr>
      </w:pPr>
    </w:p>
    <w:p>
      <w:pPr>
        <w:ind w:firstLine="8"/>
        <w:spacing w:after="0" w:line="232" w:lineRule="auto"/>
        <w:tabs>
          <w:tab w:leader="none" w:pos="648" w:val="left"/>
        </w:tabs>
        <w:numPr>
          <w:ilvl w:val="0"/>
          <w:numId w:val="370"/>
        </w:numPr>
        <w:rPr>
          <w:rFonts w:ascii="Arial" w:cs="Arial" w:eastAsia="Arial" w:hAnsi="Arial"/>
          <w:sz w:val="22"/>
          <w:szCs w:val="22"/>
          <w:color w:val="auto"/>
        </w:rPr>
      </w:pPr>
      <w:r>
        <w:rPr>
          <w:rFonts w:ascii="Arial" w:cs="Arial" w:eastAsia="Arial" w:hAnsi="Arial"/>
          <w:sz w:val="22"/>
          <w:szCs w:val="22"/>
          <w:u w:val="single" w:color="auto"/>
          <w:color w:val="auto"/>
        </w:rPr>
        <w:t>Security Deposit</w:t>
      </w:r>
      <w:r>
        <w:rPr>
          <w:rFonts w:ascii="Arial" w:cs="Arial" w:eastAsia="Arial" w:hAnsi="Arial"/>
          <w:sz w:val="22"/>
          <w:szCs w:val="22"/>
          <w:color w:val="auto"/>
        </w:rPr>
        <w:t>. Landlord acknowledges that pursuant to Section 4(c) of the Second Amendment, as of the Execution Date, it is currently holding a Security Deposit in the amount of [***] Dollars ($[***]).</w:t>
      </w:r>
    </w:p>
    <w:p>
      <w:pPr>
        <w:spacing w:after="0" w:line="158" w:lineRule="exact"/>
        <w:rPr>
          <w:rFonts w:ascii="Arial" w:cs="Arial" w:eastAsia="Arial" w:hAnsi="Arial"/>
          <w:sz w:val="22"/>
          <w:szCs w:val="22"/>
          <w:color w:val="auto"/>
        </w:rPr>
      </w:pPr>
    </w:p>
    <w:p>
      <w:pPr>
        <w:jc w:val="both"/>
        <w:ind w:firstLine="8"/>
        <w:spacing w:after="0" w:line="252" w:lineRule="auto"/>
        <w:tabs>
          <w:tab w:leader="none" w:pos="648" w:val="left"/>
        </w:tabs>
        <w:numPr>
          <w:ilvl w:val="0"/>
          <w:numId w:val="370"/>
        </w:numPr>
        <w:rPr>
          <w:rFonts w:ascii="Arial" w:cs="Arial" w:eastAsia="Arial" w:hAnsi="Arial"/>
          <w:sz w:val="19"/>
          <w:szCs w:val="19"/>
          <w:color w:val="auto"/>
        </w:rPr>
      </w:pPr>
      <w:r>
        <w:rPr>
          <w:rFonts w:ascii="Arial" w:cs="Arial" w:eastAsia="Arial" w:hAnsi="Arial"/>
          <w:sz w:val="19"/>
          <w:szCs w:val="19"/>
          <w:u w:val="single" w:color="auto"/>
          <w:color w:val="auto"/>
        </w:rPr>
        <w:t>ROFO</w:t>
      </w:r>
      <w:r>
        <w:rPr>
          <w:rFonts w:ascii="Arial" w:cs="Arial" w:eastAsia="Arial" w:hAnsi="Arial"/>
          <w:sz w:val="19"/>
          <w:szCs w:val="19"/>
          <w:color w:val="auto"/>
        </w:rPr>
        <w:t>. Upon Tenant’s request, Landlord agrees to execute and deliver to Tenant an amended and restated Purchase ROFO Memorandum, with the sole change to being to reflect the execution of this Amendment and the Further Revised Term, as the same may be further extended pursuant to Section 14 of the Second Amendment. Tenant may, but shall not be obligated to, record the amended and restated Purchase ROFO Memorandum, provided that Tenant shall be obligated to pay all costs and expenses relating thereto, including any taxes assessed as a result of such recording.</w:t>
      </w:r>
    </w:p>
    <w:p>
      <w:pPr>
        <w:spacing w:after="0" w:line="148" w:lineRule="exact"/>
        <w:rPr>
          <w:rFonts w:ascii="Arial" w:cs="Arial" w:eastAsia="Arial" w:hAnsi="Arial"/>
          <w:sz w:val="19"/>
          <w:szCs w:val="19"/>
          <w:color w:val="auto"/>
        </w:rPr>
      </w:pPr>
    </w:p>
    <w:p>
      <w:pPr>
        <w:jc w:val="both"/>
        <w:ind w:firstLine="8"/>
        <w:spacing w:after="0" w:line="221" w:lineRule="auto"/>
        <w:tabs>
          <w:tab w:leader="none" w:pos="648" w:val="left"/>
        </w:tabs>
        <w:numPr>
          <w:ilvl w:val="0"/>
          <w:numId w:val="370"/>
        </w:numPr>
        <w:rPr>
          <w:rFonts w:ascii="Arial" w:cs="Arial" w:eastAsia="Arial" w:hAnsi="Arial"/>
          <w:sz w:val="21"/>
          <w:szCs w:val="21"/>
          <w:color w:val="auto"/>
        </w:rPr>
      </w:pPr>
      <w:r>
        <w:rPr>
          <w:rFonts w:ascii="Arial" w:cs="Arial" w:eastAsia="Arial" w:hAnsi="Arial"/>
          <w:sz w:val="21"/>
          <w:szCs w:val="21"/>
          <w:u w:val="single" w:color="auto"/>
          <w:color w:val="auto"/>
        </w:rPr>
        <w:t>Broker</w:t>
      </w:r>
      <w:r>
        <w:rPr>
          <w:rFonts w:ascii="Arial" w:cs="Arial" w:eastAsia="Arial" w:hAnsi="Arial"/>
          <w:sz w:val="21"/>
          <w:szCs w:val="21"/>
          <w:color w:val="auto"/>
        </w:rPr>
        <w:t>. Tenant and Landlord each represents and warrants that it has not dealt with any broker or agent in the negotiation for or the obtaining of this Amendment, other than CBRE, Inc. (“</w:t>
      </w:r>
      <w:r>
        <w:rPr>
          <w:rFonts w:ascii="Arial" w:cs="Arial" w:eastAsia="Arial" w:hAnsi="Arial"/>
          <w:sz w:val="21"/>
          <w:szCs w:val="21"/>
          <w:u w:val="single" w:color="auto"/>
          <w:color w:val="auto"/>
        </w:rPr>
        <w:t>Broker</w:t>
      </w:r>
      <w:r>
        <w:rPr>
          <w:rFonts w:ascii="Arial" w:cs="Arial" w:eastAsia="Arial" w:hAnsi="Arial"/>
          <w:sz w:val="21"/>
          <w:szCs w:val="21"/>
          <w:color w:val="auto"/>
        </w:rPr>
        <w:t>”), and agrees to reimburse, indemnify, save, defend (at the indemnified party’s option and with counsel reasonably acceptable to the indemnified party, at the indemnifying party’s sole cost and expense) and hold harmless the indemnified party for, from and against any and all cost or liability for compensation claimed by any such broker or agent, other than Broker, employed or engaged by it or claiming to have been employed or engaged by it. Landlord shall pay any commission to the extent required to be paid to Broker in connection with making of this Amendment pursuant to a separate agreement between Landlord and Broker. Tenant shall have no obligation to pay Broker a leasing commission in connection with the making of this Amendment.</w:t>
      </w:r>
    </w:p>
    <w:p>
      <w:pPr>
        <w:spacing w:after="0" w:line="165" w:lineRule="exact"/>
        <w:rPr>
          <w:rFonts w:ascii="Arial" w:cs="Arial" w:eastAsia="Arial" w:hAnsi="Arial"/>
          <w:sz w:val="21"/>
          <w:szCs w:val="21"/>
          <w:color w:val="auto"/>
        </w:rPr>
      </w:pPr>
    </w:p>
    <w:p>
      <w:pPr>
        <w:jc w:val="both"/>
        <w:ind w:firstLine="8"/>
        <w:spacing w:after="0" w:line="257" w:lineRule="auto"/>
        <w:tabs>
          <w:tab w:leader="none" w:pos="640" w:val="left"/>
        </w:tabs>
        <w:numPr>
          <w:ilvl w:val="0"/>
          <w:numId w:val="370"/>
        </w:numPr>
        <w:rPr>
          <w:rFonts w:ascii="Arial" w:cs="Arial" w:eastAsia="Arial" w:hAnsi="Arial"/>
          <w:sz w:val="19"/>
          <w:szCs w:val="19"/>
          <w:color w:val="auto"/>
        </w:rPr>
      </w:pPr>
      <w:r>
        <w:rPr>
          <w:rFonts w:ascii="Arial" w:cs="Arial" w:eastAsia="Arial" w:hAnsi="Arial"/>
          <w:sz w:val="19"/>
          <w:szCs w:val="19"/>
          <w:u w:val="single" w:color="auto"/>
          <w:color w:val="auto"/>
        </w:rPr>
        <w:t>No Default</w:t>
      </w:r>
      <w:r>
        <w:rPr>
          <w:rFonts w:ascii="Arial" w:cs="Arial" w:eastAsia="Arial" w:hAnsi="Arial"/>
          <w:sz w:val="19"/>
          <w:szCs w:val="19"/>
          <w:color w:val="auto"/>
        </w:rPr>
        <w:t>. Tenant represents, warrants and covenants that, to the best of Tenant’s knowledge, Landlord and Tenant are not in default of any of their respective obligations under the Existing Lease beyond applicable notice and cure periods. Landlord represents, warrants and covenants that, to the best of Landlord’s knowledge, Landlord and Tenant are not in default of any of their respective obligations under the Existing Lease beyond applicable notice and cure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0" w:right="339" w:bottom="1440" w:gutter="0" w:footer="0" w:header="0"/>
        </w:sectPr>
      </w:pPr>
    </w:p>
    <w:bookmarkStart w:id="411" w:name="page412"/>
    <w:bookmarkEnd w:id="411"/>
    <w:p>
      <w:pPr>
        <w:ind w:firstLine="8"/>
        <w:spacing w:after="0" w:line="232" w:lineRule="auto"/>
        <w:tabs>
          <w:tab w:leader="none" w:pos="648" w:val="left"/>
        </w:tabs>
        <w:numPr>
          <w:ilvl w:val="0"/>
          <w:numId w:val="37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Tenant confirms that, notwithstanding anything in the Lease to the contrary, notices delivered to Tenant pursuant to the Lease should be sent to:</w:t>
      </w:r>
    </w:p>
    <w:p>
      <w:pPr>
        <w:spacing w:after="0" w:line="14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MacroGenics, Inc.</w:t>
      </w:r>
    </w:p>
    <w:p>
      <w:pPr>
        <w:ind w:left="2600"/>
        <w:spacing w:after="0" w:line="204" w:lineRule="auto"/>
        <w:rPr>
          <w:sz w:val="20"/>
          <w:szCs w:val="20"/>
          <w:color w:val="auto"/>
        </w:rPr>
      </w:pPr>
      <w:r>
        <w:rPr>
          <w:rFonts w:ascii="Arial" w:cs="Arial" w:eastAsia="Arial" w:hAnsi="Arial"/>
          <w:sz w:val="22"/>
          <w:szCs w:val="22"/>
          <w:color w:val="auto"/>
        </w:rPr>
        <w:t>9704 Medical Center Drive</w:t>
      </w:r>
    </w:p>
    <w:p>
      <w:pPr>
        <w:ind w:left="2600"/>
        <w:spacing w:after="0" w:line="205" w:lineRule="auto"/>
        <w:rPr>
          <w:sz w:val="20"/>
          <w:szCs w:val="20"/>
          <w:color w:val="auto"/>
        </w:rPr>
      </w:pPr>
      <w:r>
        <w:rPr>
          <w:rFonts w:ascii="Arial" w:cs="Arial" w:eastAsia="Arial" w:hAnsi="Arial"/>
          <w:sz w:val="22"/>
          <w:szCs w:val="22"/>
          <w:color w:val="auto"/>
        </w:rPr>
        <w:t>Rockville, Maryland 20850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General Counsel;</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Covington &amp; Burling LLP</w:t>
      </w:r>
    </w:p>
    <w:p>
      <w:pPr>
        <w:ind w:left="2600"/>
        <w:spacing w:after="0" w:line="204" w:lineRule="auto"/>
        <w:rPr>
          <w:sz w:val="20"/>
          <w:szCs w:val="20"/>
          <w:color w:val="auto"/>
        </w:rPr>
      </w:pPr>
      <w:r>
        <w:rPr>
          <w:rFonts w:ascii="Arial" w:cs="Arial" w:eastAsia="Arial" w:hAnsi="Arial"/>
          <w:sz w:val="22"/>
          <w:szCs w:val="22"/>
          <w:color w:val="auto"/>
        </w:rPr>
        <w:t>One CityCenter</w:t>
      </w:r>
    </w:p>
    <w:p>
      <w:pPr>
        <w:ind w:left="2600"/>
        <w:spacing w:after="0" w:line="205" w:lineRule="auto"/>
        <w:rPr>
          <w:sz w:val="20"/>
          <w:szCs w:val="20"/>
          <w:color w:val="auto"/>
        </w:rPr>
      </w:pPr>
      <w:r>
        <w:rPr>
          <w:rFonts w:ascii="Arial" w:cs="Arial" w:eastAsia="Arial" w:hAnsi="Arial"/>
          <w:sz w:val="22"/>
          <w:szCs w:val="22"/>
          <w:color w:val="auto"/>
        </w:rPr>
        <w:t>850 Tenth Street, NW</w:t>
      </w:r>
    </w:p>
    <w:p>
      <w:pPr>
        <w:ind w:left="2600"/>
        <w:spacing w:after="0" w:line="205" w:lineRule="auto"/>
        <w:rPr>
          <w:sz w:val="20"/>
          <w:szCs w:val="20"/>
          <w:color w:val="auto"/>
        </w:rPr>
      </w:pPr>
      <w:r>
        <w:rPr>
          <w:rFonts w:ascii="Arial" w:cs="Arial" w:eastAsia="Arial" w:hAnsi="Arial"/>
          <w:sz w:val="22"/>
          <w:szCs w:val="22"/>
          <w:color w:val="auto"/>
        </w:rPr>
        <w:t>Washington, DC 20001</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Heather G. Haberl</w:t>
      </w:r>
    </w:p>
    <w:p>
      <w:pPr>
        <w:spacing w:after="0" w:line="161" w:lineRule="exact"/>
        <w:rPr>
          <w:sz w:val="20"/>
          <w:szCs w:val="20"/>
          <w:color w:val="auto"/>
        </w:rPr>
      </w:pPr>
    </w:p>
    <w:p>
      <w:pPr>
        <w:jc w:val="both"/>
        <w:ind w:firstLine="8"/>
        <w:spacing w:after="0" w:line="218" w:lineRule="auto"/>
        <w:tabs>
          <w:tab w:leader="none" w:pos="648" w:val="left"/>
        </w:tabs>
        <w:numPr>
          <w:ilvl w:val="0"/>
          <w:numId w:val="372"/>
        </w:numPr>
        <w:rPr>
          <w:rFonts w:ascii="Arial" w:cs="Arial" w:eastAsia="Arial" w:hAnsi="Arial"/>
          <w:sz w:val="22"/>
          <w:szCs w:val="22"/>
          <w:color w:val="auto"/>
        </w:rPr>
      </w:pPr>
      <w:r>
        <w:rPr>
          <w:rFonts w:ascii="Arial" w:cs="Arial" w:eastAsia="Arial" w:hAnsi="Arial"/>
          <w:sz w:val="22"/>
          <w:szCs w:val="22"/>
          <w:u w:val="single" w:color="auto"/>
          <w:color w:val="auto"/>
        </w:rPr>
        <w:t>Effect of Amendment</w:t>
      </w:r>
      <w:r>
        <w:rPr>
          <w:rFonts w:ascii="Arial" w:cs="Arial" w:eastAsia="Arial" w:hAnsi="Arial"/>
          <w:sz w:val="22"/>
          <w:szCs w:val="22"/>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160" w:lineRule="exact"/>
        <w:rPr>
          <w:rFonts w:ascii="Arial" w:cs="Arial" w:eastAsia="Arial" w:hAnsi="Arial"/>
          <w:sz w:val="22"/>
          <w:szCs w:val="22"/>
          <w:color w:val="auto"/>
        </w:rPr>
      </w:pPr>
    </w:p>
    <w:p>
      <w:pPr>
        <w:jc w:val="both"/>
        <w:ind w:firstLine="8"/>
        <w:spacing w:after="0" w:line="218" w:lineRule="auto"/>
        <w:tabs>
          <w:tab w:leader="none" w:pos="648" w:val="left"/>
        </w:tabs>
        <w:numPr>
          <w:ilvl w:val="0"/>
          <w:numId w:val="37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60" w:lineRule="exact"/>
        <w:rPr>
          <w:rFonts w:ascii="Arial" w:cs="Arial" w:eastAsia="Arial" w:hAnsi="Arial"/>
          <w:sz w:val="22"/>
          <w:szCs w:val="22"/>
          <w:color w:val="auto"/>
        </w:rPr>
      </w:pPr>
    </w:p>
    <w:p>
      <w:pPr>
        <w:jc w:val="both"/>
        <w:ind w:firstLine="8"/>
        <w:spacing w:after="0" w:line="224" w:lineRule="auto"/>
        <w:tabs>
          <w:tab w:leader="none" w:pos="648" w:val="left"/>
        </w:tabs>
        <w:numPr>
          <w:ilvl w:val="0"/>
          <w:numId w:val="372"/>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This Amendment becomes effective only upon execution and delivery hereof by Landlord and Tenant and Tenant’s receipt of the Fourth Amendment TI Allowance from Landlord.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59" w:lineRule="exact"/>
        <w:rPr>
          <w:rFonts w:ascii="Arial" w:cs="Arial" w:eastAsia="Arial" w:hAnsi="Arial"/>
          <w:sz w:val="21"/>
          <w:szCs w:val="21"/>
          <w:color w:val="auto"/>
        </w:rPr>
      </w:pPr>
    </w:p>
    <w:p>
      <w:pPr>
        <w:jc w:val="both"/>
        <w:ind w:firstLine="8"/>
        <w:spacing w:after="0" w:line="218" w:lineRule="auto"/>
        <w:tabs>
          <w:tab w:leader="none" w:pos="648" w:val="left"/>
        </w:tabs>
        <w:numPr>
          <w:ilvl w:val="0"/>
          <w:numId w:val="372"/>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Tenant guarantees, warrants and represents that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160" w:lineRule="exact"/>
        <w:rPr>
          <w:rFonts w:ascii="Arial" w:cs="Arial" w:eastAsia="Arial" w:hAnsi="Arial"/>
          <w:sz w:val="22"/>
          <w:szCs w:val="22"/>
          <w:color w:val="auto"/>
        </w:rPr>
      </w:pPr>
    </w:p>
    <w:p>
      <w:pPr>
        <w:jc w:val="both"/>
        <w:ind w:firstLine="8"/>
        <w:spacing w:after="0" w:line="268" w:lineRule="auto"/>
        <w:tabs>
          <w:tab w:leader="none" w:pos="648" w:val="left"/>
        </w:tabs>
        <w:numPr>
          <w:ilvl w:val="0"/>
          <w:numId w:val="372"/>
        </w:numPr>
        <w:rPr>
          <w:rFonts w:ascii="Arial" w:cs="Arial" w:eastAsia="Arial" w:hAnsi="Arial"/>
          <w:sz w:val="19"/>
          <w:szCs w:val="19"/>
          <w:color w:val="auto"/>
        </w:rPr>
      </w:pPr>
      <w:r>
        <w:rPr>
          <w:rFonts w:ascii="Arial" w:cs="Arial" w:eastAsia="Arial" w:hAnsi="Arial"/>
          <w:sz w:val="19"/>
          <w:szCs w:val="19"/>
          <w:u w:val="single" w:color="auto"/>
          <w:color w:val="auto"/>
        </w:rPr>
        <w:t>Counterparts; Facsimile and PDF Signatures</w:t>
      </w:r>
      <w:r>
        <w:rPr>
          <w:rFonts w:ascii="Arial" w:cs="Arial" w:eastAsia="Arial" w:hAnsi="Arial"/>
          <w:sz w:val="19"/>
          <w:szCs w:val="19"/>
          <w:color w:val="auto"/>
        </w:rPr>
        <w:t>. This Amendment may be executed in one or more counterparts, each of which, when taken together, shall constitute one and the same document. A facsimile or portable document format (PDF) signature on this Amendment shall be equivalent to, and have the same force and effect as, an original signature.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0" w:right="339" w:bottom="1440" w:gutter="0" w:footer="0" w:header="0"/>
        </w:sectPr>
      </w:pPr>
    </w:p>
    <w:bookmarkStart w:id="412" w:name="page413"/>
    <w:bookmarkEnd w:id="412"/>
    <w:p>
      <w:pPr>
        <w:spacing w:after="0" w:line="17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Landlord and Tenant have executed this Amendment as of the date and year first above written.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BMR-MEDICAL CENTER DRIVE LLC,</w:t>
      </w:r>
    </w:p>
    <w:p>
      <w:pPr>
        <w:spacing w:after="0"/>
        <w:rPr>
          <w:sz w:val="20"/>
          <w:szCs w:val="20"/>
          <w:color w:val="auto"/>
        </w:rPr>
      </w:pPr>
      <w:r>
        <w:rPr>
          <w:rFonts w:ascii="Arial" w:cs="Arial" w:eastAsia="Arial" w:hAnsi="Arial"/>
          <w:sz w:val="22"/>
          <w:szCs w:val="22"/>
          <w:color w:val="auto"/>
        </w:rPr>
        <w:t>a Delaware limited liability company</w:t>
      </w:r>
    </w:p>
    <w:p>
      <w:pPr>
        <w:spacing w:after="0" w:line="14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Marie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-5715</wp:posOffset>
            </wp:positionV>
            <wp:extent cx="9982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Marie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8343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22"/>
          <w:szCs w:val="22"/>
          <w:color w:val="auto"/>
        </w:rPr>
        <w:t>Title:</w:t>
        <w:tab/>
        <w:t>Vice President,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-29210</wp:posOffset>
            </wp:positionV>
            <wp:extent cx="131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MACROGENICS, INC.,</w:t>
      </w:r>
    </w:p>
    <w:p>
      <w:pPr>
        <w:spacing w:after="0"/>
        <w:rPr>
          <w:sz w:val="20"/>
          <w:szCs w:val="20"/>
          <w:color w:val="auto"/>
        </w:rPr>
      </w:pPr>
      <w:r>
        <w:rPr>
          <w:rFonts w:ascii="Arial" w:cs="Arial" w:eastAsia="Arial" w:hAnsi="Arial"/>
          <w:sz w:val="22"/>
          <w:szCs w:val="22"/>
          <w:color w:val="auto"/>
        </w:rPr>
        <w:t>a Delaware corporation</w:t>
      </w:r>
    </w:p>
    <w:p>
      <w:pPr>
        <w:spacing w:after="0" w:line="14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-5715</wp:posOffset>
            </wp:positionV>
            <wp:extent cx="10210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8572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22"/>
          <w:szCs w:val="22"/>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-29210</wp:posOffset>
            </wp:positionV>
            <wp:extent cx="4114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t>Exhibit.10.30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LEASE</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THIS FIFTH AMENDMENT TO LEASE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this [***], [***] (“</w:t>
      </w:r>
      <w:r>
        <w:rPr>
          <w:rFonts w:ascii="Arial" w:cs="Arial" w:eastAsia="Arial" w:hAnsi="Arial"/>
          <w:sz w:val="18"/>
          <w:szCs w:val="18"/>
          <w:b w:val="1"/>
          <w:bCs w:val="1"/>
          <w:color w:val="auto"/>
        </w:rPr>
        <w:t>Execution Date</w:t>
      </w:r>
      <w:r>
        <w:rPr>
          <w:rFonts w:ascii="Arial" w:cs="Arial" w:eastAsia="Arial" w:hAnsi="Arial"/>
          <w:sz w:val="18"/>
          <w:szCs w:val="18"/>
          <w:color w:val="auto"/>
        </w:rPr>
        <w:t>”), by and between ARE-MARYLAND NO. 45,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MACROGENICS, INC., a Delaware corporation</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63" w:lineRule="exact"/>
        <w:rPr>
          <w:sz w:val="20"/>
          <w:szCs w:val="20"/>
          <w:color w:val="auto"/>
        </w:rPr>
      </w:pPr>
    </w:p>
    <w:p>
      <w:pPr>
        <w:jc w:val="both"/>
        <w:ind w:firstLine="656"/>
        <w:spacing w:after="0" w:line="214" w:lineRule="auto"/>
        <w:tabs>
          <w:tab w:leader="none" w:pos="111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Pursuant to that certain Assignment and Assumption Agreement dated as of [***] (“</w:t>
      </w:r>
      <w:r>
        <w:rPr>
          <w:rFonts w:ascii="Arial" w:cs="Arial" w:eastAsia="Arial" w:hAnsi="Arial"/>
          <w:sz w:val="18"/>
          <w:szCs w:val="18"/>
          <w:b w:val="1"/>
          <w:bCs w:val="1"/>
          <w:color w:val="auto"/>
        </w:rPr>
        <w:t>Original Assignment Agreement</w:t>
      </w:r>
      <w:r>
        <w:rPr>
          <w:rFonts w:ascii="Arial" w:cs="Arial" w:eastAsia="Arial" w:hAnsi="Arial"/>
          <w:sz w:val="18"/>
          <w:szCs w:val="18"/>
          <w:color w:val="auto"/>
        </w:rPr>
        <w:t>”), as amended by that certain First Amendment to Assignment and Assumption Agreement dated as of [***] (“</w:t>
      </w:r>
      <w:r>
        <w:rPr>
          <w:rFonts w:ascii="Arial" w:cs="Arial" w:eastAsia="Arial" w:hAnsi="Arial"/>
          <w:sz w:val="18"/>
          <w:szCs w:val="18"/>
          <w:b w:val="1"/>
          <w:bCs w:val="1"/>
          <w:color w:val="auto"/>
        </w:rPr>
        <w:t>First Amendment to Assignment</w:t>
      </w:r>
      <w:r>
        <w:rPr>
          <w:rFonts w:ascii="Arial" w:cs="Arial" w:eastAsia="Arial" w:hAnsi="Arial"/>
          <w:sz w:val="18"/>
          <w:szCs w:val="18"/>
          <w:color w:val="auto"/>
        </w:rPr>
        <w:t>” and collectively with the Original Assignment Agreement, the “</w:t>
      </w:r>
      <w:r>
        <w:rPr>
          <w:rFonts w:ascii="Arial" w:cs="Arial" w:eastAsia="Arial" w:hAnsi="Arial"/>
          <w:sz w:val="18"/>
          <w:szCs w:val="18"/>
          <w:b w:val="1"/>
          <w:bCs w:val="1"/>
          <w:color w:val="auto"/>
        </w:rPr>
        <w:t>Assignment Agreement</w:t>
      </w:r>
      <w:r>
        <w:rPr>
          <w:rFonts w:ascii="Arial" w:cs="Arial" w:eastAsia="Arial" w:hAnsi="Arial"/>
          <w:sz w:val="18"/>
          <w:szCs w:val="18"/>
          <w:color w:val="auto"/>
        </w:rPr>
        <w:t>” between J. Craig Venter Institute, Inc., (“</w:t>
      </w:r>
      <w:r>
        <w:rPr>
          <w:rFonts w:ascii="Arial" w:cs="Arial" w:eastAsia="Arial" w:hAnsi="Arial"/>
          <w:sz w:val="18"/>
          <w:szCs w:val="18"/>
          <w:b w:val="1"/>
          <w:bCs w:val="1"/>
          <w:color w:val="auto"/>
        </w:rPr>
        <w:t>JCVI</w:t>
      </w:r>
      <w:r>
        <w:rPr>
          <w:rFonts w:ascii="Arial" w:cs="Arial" w:eastAsia="Arial" w:hAnsi="Arial"/>
          <w:sz w:val="18"/>
          <w:szCs w:val="18"/>
          <w:color w:val="auto"/>
        </w:rPr>
        <w:t>”), as assignor, and Tenant, as assignee, and that certain Landlord Consent dated as of [***] attached to the Original Assignment Agreement and executed by BMR-Medical Center Drive LLC, a Delaware limited liability company (“</w:t>
      </w:r>
      <w:r>
        <w:rPr>
          <w:rFonts w:ascii="Arial" w:cs="Arial" w:eastAsia="Arial" w:hAnsi="Arial"/>
          <w:sz w:val="18"/>
          <w:szCs w:val="18"/>
          <w:b w:val="1"/>
          <w:bCs w:val="1"/>
          <w:color w:val="auto"/>
        </w:rPr>
        <w:t>BMR</w:t>
      </w:r>
      <w:r>
        <w:rPr>
          <w:rFonts w:ascii="Arial" w:cs="Arial" w:eastAsia="Arial" w:hAnsi="Arial"/>
          <w:sz w:val="18"/>
          <w:szCs w:val="18"/>
          <w:color w:val="auto"/>
        </w:rPr>
        <w:t>”) (“</w:t>
      </w:r>
      <w:r>
        <w:rPr>
          <w:rFonts w:ascii="Arial" w:cs="Arial" w:eastAsia="Arial" w:hAnsi="Arial"/>
          <w:sz w:val="18"/>
          <w:szCs w:val="18"/>
          <w:b w:val="1"/>
          <w:bCs w:val="1"/>
          <w:color w:val="auto"/>
        </w:rPr>
        <w:t>Original Landlord Consent</w:t>
      </w:r>
      <w:r>
        <w:rPr>
          <w:rFonts w:ascii="Arial" w:cs="Arial" w:eastAsia="Arial" w:hAnsi="Arial"/>
          <w:sz w:val="18"/>
          <w:szCs w:val="18"/>
          <w:color w:val="auto"/>
        </w:rPr>
        <w:t>”), as amended by that certain First Amendment to Landlord Consent dated as of [***] attached to the First Amendment to Assignment and executed by BMR First Amendment to Landlord Consent and collectively with the Original Landlord Consent, the “</w:t>
      </w:r>
      <w:r>
        <w:rPr>
          <w:rFonts w:ascii="Arial" w:cs="Arial" w:eastAsia="Arial" w:hAnsi="Arial"/>
          <w:sz w:val="18"/>
          <w:szCs w:val="18"/>
          <w:b w:val="1"/>
          <w:bCs w:val="1"/>
          <w:color w:val="auto"/>
        </w:rPr>
        <w:t>Landlord Consent</w:t>
      </w:r>
      <w:r>
        <w:rPr>
          <w:rFonts w:ascii="Arial" w:cs="Arial" w:eastAsia="Arial" w:hAnsi="Arial"/>
          <w:sz w:val="18"/>
          <w:szCs w:val="18"/>
          <w:color w:val="auto"/>
        </w:rPr>
        <w:t>”), BMR and Tenant are parties to that certain Lease dated as of [***]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that certain First Amendment to Lease dated as of [***] (“</w:t>
      </w:r>
      <w:r>
        <w:rPr>
          <w:rFonts w:ascii="Arial" w:cs="Arial" w:eastAsia="Arial" w:hAnsi="Arial"/>
          <w:sz w:val="18"/>
          <w:szCs w:val="18"/>
          <w:b w:val="1"/>
          <w:bCs w:val="1"/>
          <w:color w:val="auto"/>
        </w:rPr>
        <w:t>First Amendment</w:t>
      </w:r>
      <w:r>
        <w:rPr>
          <w:rFonts w:ascii="Arial" w:cs="Arial" w:eastAsia="Arial" w:hAnsi="Arial"/>
          <w:sz w:val="18"/>
          <w:szCs w:val="18"/>
          <w:color w:val="auto"/>
        </w:rPr>
        <w:t>”), that certain Second Amendment to Lease dated as of [***] (“</w:t>
      </w:r>
      <w:r>
        <w:rPr>
          <w:rFonts w:ascii="Arial" w:cs="Arial" w:eastAsia="Arial" w:hAnsi="Arial"/>
          <w:sz w:val="18"/>
          <w:szCs w:val="18"/>
          <w:b w:val="1"/>
          <w:bCs w:val="1"/>
          <w:color w:val="auto"/>
        </w:rPr>
        <w:t>Second Amendment</w:t>
      </w:r>
      <w:r>
        <w:rPr>
          <w:rFonts w:ascii="Arial" w:cs="Arial" w:eastAsia="Arial" w:hAnsi="Arial"/>
          <w:sz w:val="18"/>
          <w:szCs w:val="18"/>
          <w:color w:val="auto"/>
        </w:rPr>
        <w:t>”), that certain Third Amendment to Lease dated as of [***] (“</w:t>
      </w:r>
      <w:r>
        <w:rPr>
          <w:rFonts w:ascii="Arial" w:cs="Arial" w:eastAsia="Arial" w:hAnsi="Arial"/>
          <w:sz w:val="18"/>
          <w:szCs w:val="18"/>
          <w:b w:val="1"/>
          <w:bCs w:val="1"/>
          <w:color w:val="auto"/>
        </w:rPr>
        <w:t>Third Amendment</w:t>
      </w:r>
      <w:r>
        <w:rPr>
          <w:rFonts w:ascii="Arial" w:cs="Arial" w:eastAsia="Arial" w:hAnsi="Arial"/>
          <w:sz w:val="18"/>
          <w:szCs w:val="18"/>
          <w:color w:val="auto"/>
        </w:rPr>
        <w:t>”), and that certain Fourth Amendment to Lease dated as of [***] (“</w:t>
      </w:r>
      <w:r>
        <w:rPr>
          <w:rFonts w:ascii="Arial" w:cs="Arial" w:eastAsia="Arial" w:hAnsi="Arial"/>
          <w:sz w:val="18"/>
          <w:szCs w:val="18"/>
          <w:b w:val="1"/>
          <w:bCs w:val="1"/>
          <w:color w:val="auto"/>
        </w:rPr>
        <w:t>Fourth Amendment</w:t>
      </w:r>
      <w:r>
        <w:rPr>
          <w:rFonts w:ascii="Arial" w:cs="Arial" w:eastAsia="Arial" w:hAnsi="Arial"/>
          <w:sz w:val="18"/>
          <w:szCs w:val="18"/>
          <w:color w:val="auto"/>
        </w:rPr>
        <w:t>”); together with the Original Lease, the First Amendment, the Second Amendment, and the Third Amendment, the “</w:t>
      </w:r>
      <w:r>
        <w:rPr>
          <w:rFonts w:ascii="Arial" w:cs="Arial" w:eastAsia="Arial" w:hAnsi="Arial"/>
          <w:sz w:val="18"/>
          <w:szCs w:val="18"/>
          <w:b w:val="1"/>
          <w:bCs w:val="1"/>
          <w:color w:val="auto"/>
        </w:rPr>
        <w:t>Existing Lease</w:t>
      </w:r>
      <w:r>
        <w:rPr>
          <w:rFonts w:ascii="Arial" w:cs="Arial" w:eastAsia="Arial" w:hAnsi="Arial"/>
          <w:sz w:val="18"/>
          <w:szCs w:val="18"/>
          <w:color w:val="auto"/>
        </w:rPr>
        <w:t>”), whereby Tenant leases certain premises (“</w:t>
      </w:r>
      <w:r>
        <w:rPr>
          <w:rFonts w:ascii="Arial" w:cs="Arial" w:eastAsia="Arial" w:hAnsi="Arial"/>
          <w:sz w:val="18"/>
          <w:szCs w:val="18"/>
          <w:b w:val="1"/>
          <w:bCs w:val="1"/>
          <w:color w:val="auto"/>
        </w:rPr>
        <w:t>Premises</w:t>
      </w:r>
      <w:r>
        <w:rPr>
          <w:rFonts w:ascii="Arial" w:cs="Arial" w:eastAsia="Arial" w:hAnsi="Arial"/>
          <w:sz w:val="18"/>
          <w:szCs w:val="18"/>
          <w:color w:val="auto"/>
        </w:rPr>
        <w:t>”) from Landlord at 9704 Medical Center Drive in Rockville, Maryland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24" w:lineRule="auto"/>
        <w:tabs>
          <w:tab w:leader="none" w:pos="104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Landlord and Tenant desire to extend the Term of the Existing Lease, provide an abatement of certain of the Base Rent for the Premises, modify the existing options to extend the Term, and modify certain other provisions of the Existing Lease on the terms and conditions set forth in this Amendment.</w:t>
      </w:r>
    </w:p>
    <w:p>
      <w:pPr>
        <w:spacing w:after="0" w:line="158" w:lineRule="exact"/>
        <w:rPr>
          <w:rFonts w:ascii="Arial" w:cs="Arial" w:eastAsia="Arial" w:hAnsi="Arial"/>
          <w:sz w:val="18"/>
          <w:szCs w:val="18"/>
          <w:color w:val="auto"/>
        </w:rPr>
      </w:pPr>
    </w:p>
    <w:p>
      <w:pPr>
        <w:ind w:left="1100" w:hanging="444"/>
        <w:spacing w:after="0"/>
        <w:tabs>
          <w:tab w:leader="none" w:pos="11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Landlord and Tenant desire to modify and amend the Existing Lease only in the respects and on the conditions stated in this</w:t>
      </w:r>
    </w:p>
    <w:p>
      <w:pPr>
        <w:spacing w:after="0"/>
        <w:rPr>
          <w:rFonts w:ascii="Arial" w:cs="Arial" w:eastAsia="Arial" w:hAnsi="Arial"/>
          <w:sz w:val="18"/>
          <w:szCs w:val="18"/>
          <w:color w:val="auto"/>
        </w:rPr>
      </w:pPr>
      <w:r>
        <w:rPr>
          <w:rFonts w:ascii="Arial" w:cs="Arial" w:eastAsia="Arial" w:hAnsi="Arial"/>
          <w:sz w:val="18"/>
          <w:szCs w:val="18"/>
          <w:color w:val="auto"/>
        </w:rPr>
        <w:t>Amendment.</w:t>
      </w:r>
    </w:p>
    <w:p>
      <w:pPr>
        <w:spacing w:after="0" w:line="185" w:lineRule="exact"/>
        <w:rPr>
          <w:sz w:val="20"/>
          <w:szCs w:val="20"/>
          <w:color w:val="auto"/>
        </w:rPr>
      </w:pPr>
    </w:p>
    <w:p>
      <w:pPr>
        <w:ind w:firstLine="648"/>
        <w:spacing w:after="0" w:line="241" w:lineRule="auto"/>
        <w:rPr>
          <w:sz w:val="20"/>
          <w:szCs w:val="20"/>
          <w:color w:val="auto"/>
        </w:rPr>
      </w:pPr>
      <w:r>
        <w:rPr>
          <w:rFonts w:ascii="Arial" w:cs="Arial" w:eastAsia="Arial" w:hAnsi="Arial"/>
          <w:sz w:val="17"/>
          <w:szCs w:val="17"/>
          <w:color w:val="auto"/>
        </w:rPr>
        <w:t>NOW, THEREFORE, Landlord and Tenant, in consideration of the mutual promises contained herein and for other good and valuable consideration, the receipt and legal sufficiency of which are hereby acknowledged, and intending to be legally bound,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8"/>
        <w:spacing w:after="0" w:line="225" w:lineRule="auto"/>
        <w:tabs>
          <w:tab w:leader="none" w:pos="636"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Amendment, capitalized terms shall have the meanings ascribed to them in the Existing Lease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defined herein. The Existing Lease, as amended by this Amendment, is referred to collectively herein as the “</w:t>
      </w:r>
      <w:r>
        <w:rPr>
          <w:rFonts w:ascii="Arial" w:cs="Arial" w:eastAsia="Arial" w:hAnsi="Arial"/>
          <w:sz w:val="18"/>
          <w:szCs w:val="18"/>
          <w:b w:val="1"/>
          <w:bCs w:val="1"/>
          <w:color w:val="auto"/>
        </w:rPr>
        <w:t>Lease,</w:t>
      </w:r>
      <w:r>
        <w:rPr>
          <w:rFonts w:ascii="Arial" w:cs="Arial" w:eastAsia="Arial" w:hAnsi="Arial"/>
          <w:sz w:val="18"/>
          <w:szCs w:val="18"/>
          <w:color w:val="auto"/>
        </w:rPr>
        <w:t>” From and after the Execution Date, this term “</w:t>
      </w:r>
      <w:r>
        <w:rPr>
          <w:rFonts w:ascii="Arial" w:cs="Arial" w:eastAsia="Arial" w:hAnsi="Arial"/>
          <w:sz w:val="18"/>
          <w:szCs w:val="18"/>
          <w:b w:val="1"/>
          <w:bCs w:val="1"/>
          <w:color w:val="auto"/>
        </w:rPr>
        <w:t>Lease,</w:t>
      </w:r>
      <w:r>
        <w:rPr>
          <w:rFonts w:ascii="Arial" w:cs="Arial" w:eastAsia="Arial" w:hAnsi="Arial"/>
          <w:sz w:val="18"/>
          <w:szCs w:val="18"/>
          <w:color w:val="auto"/>
        </w:rPr>
        <w:t>” as used in the Existing Lease, shall mean the Existing Lease,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8"/>
        <w:spacing w:after="0" w:line="218" w:lineRule="auto"/>
        <w:tabs>
          <w:tab w:leader="none" w:pos="636"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Second Revised Term</w:t>
      </w:r>
      <w:r>
        <w:rPr>
          <w:rFonts w:ascii="Arial" w:cs="Arial" w:eastAsia="Arial" w:hAnsi="Arial"/>
          <w:sz w:val="18"/>
          <w:szCs w:val="18"/>
          <w:color w:val="auto"/>
        </w:rPr>
        <w:t>. The Further Revised Term of the Lease for the Premises (which was added to the Existing Lease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Fourth Amendment) expires on [***]. The Further Revised Term for the Premises is hereby extended for the period beginning on [***] and, unless earlier terminated or extended as provided in the Lease, expiring on [***] Second Revised Term, and the Term Expiration Date for the Premises is hereby extended from [***] to [***]. From and after the Execution Date, any references in the Lease to the “</w:t>
      </w:r>
      <w:r>
        <w:rPr>
          <w:rFonts w:ascii="Arial" w:cs="Arial" w:eastAsia="Arial" w:hAnsi="Arial"/>
          <w:sz w:val="18"/>
          <w:szCs w:val="18"/>
          <w:b w:val="1"/>
          <w:bCs w:val="1"/>
          <w:color w:val="auto"/>
        </w:rPr>
        <w:t>Term Expiration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shall mean [***] (and, if the Term is extended for the First Extension Term, [***], and if the Term is extended for the Second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Term, [***]), and any references in the Lease to “</w:t>
      </w:r>
      <w:r>
        <w:rPr>
          <w:rFonts w:ascii="Arial" w:cs="Arial" w:eastAsia="Arial" w:hAnsi="Arial"/>
          <w:sz w:val="18"/>
          <w:szCs w:val="18"/>
          <w:b w:val="1"/>
          <w:bCs w:val="1"/>
          <w:color w:val="auto"/>
        </w:rPr>
        <w:t>Term</w:t>
      </w:r>
      <w:r>
        <w:rPr>
          <w:rFonts w:ascii="Arial" w:cs="Arial" w:eastAsia="Arial" w:hAnsi="Arial"/>
          <w:sz w:val="18"/>
          <w:szCs w:val="18"/>
          <w:color w:val="auto"/>
        </w:rPr>
        <w:t xml:space="preserve">” shall mean the Revised Term, the Further Revised Term, all as extended by the Second Revised Term, and as the same may be further extended pursuant to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of this Amendment.</w:t>
      </w:r>
    </w:p>
    <w:p>
      <w:pPr>
        <w:sectPr>
          <w:pgSz w:w="11900" w:h="16838" w:orient="portrait"/>
          <w:cols w:equalWidth="0" w:num="1">
            <w:col w:w="11240"/>
          </w:cols>
          <w:pgMar w:left="320" w:top="104" w:right="339" w:bottom="1440" w:gutter="0" w:footer="0" w:header="0"/>
        </w:sectPr>
      </w:pPr>
    </w:p>
    <w:bookmarkStart w:id="414" w:name="page415"/>
    <w:bookmarkEnd w:id="414"/>
    <w:p>
      <w:pPr>
        <w:spacing w:after="0"/>
        <w:tabs>
          <w:tab w:leader="none" w:pos="4260" w:val="left"/>
        </w:tabs>
        <w:rPr>
          <w:sz w:val="20"/>
          <w:szCs w:val="20"/>
          <w:color w:val="auto"/>
        </w:rPr>
      </w:pPr>
      <w:r>
        <w:rPr>
          <w:rFonts w:ascii="Arial" w:cs="Arial" w:eastAsia="Arial" w:hAnsi="Arial"/>
          <w:sz w:val="18"/>
          <w:szCs w:val="18"/>
          <w:b w:val="1"/>
          <w:bCs w:val="1"/>
          <w:color w:val="auto"/>
        </w:rPr>
        <w:t>Fifth Amendment to Lease — MacroGenics, Inc.</w:t>
        <w:tab/>
        <w:t>Page - 2</w:t>
      </w:r>
    </w:p>
    <w:p>
      <w:pPr>
        <w:spacing w:after="0"/>
        <w:rPr>
          <w:sz w:val="20"/>
          <w:szCs w:val="20"/>
          <w:color w:val="auto"/>
        </w:rPr>
      </w:pPr>
      <w:r>
        <w:rPr>
          <w:rFonts w:ascii="Arial" w:cs="Arial" w:eastAsia="Arial" w:hAnsi="Arial"/>
          <w:sz w:val="18"/>
          <w:szCs w:val="18"/>
          <w:b w:val="1"/>
          <w:bCs w:val="1"/>
          <w:color w:val="auto"/>
        </w:rPr>
        <w:t>9704 Medical Center Drive, Rockville,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20" w:firstLine="8"/>
        <w:spacing w:after="0" w:line="220" w:lineRule="auto"/>
        <w:tabs>
          <w:tab w:leader="none" w:pos="636"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of Premises</w:t>
      </w:r>
      <w:r>
        <w:rPr>
          <w:rFonts w:ascii="Arial" w:cs="Arial" w:eastAsia="Arial" w:hAnsi="Arial"/>
          <w:sz w:val="18"/>
          <w:szCs w:val="18"/>
          <w:color w:val="auto"/>
        </w:rPr>
        <w:t>. Tenant acknowledges that (a) as of the Execution Date it is in possession of and is fully familiar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of the Premises and, except as otherwise expressly provided in the Existing Lease, the Assignment Agreement, the Landlord Consent, or this Amendment, agrees to take the Premises in its condition "</w:t>
      </w:r>
      <w:r>
        <w:rPr>
          <w:rFonts w:ascii="Arial" w:cs="Arial" w:eastAsia="Arial" w:hAnsi="Arial"/>
          <w:sz w:val="18"/>
          <w:szCs w:val="18"/>
          <w:b w:val="1"/>
          <w:bCs w:val="1"/>
          <w:color w:val="auto"/>
        </w:rPr>
        <w:t>as is</w:t>
      </w:r>
      <w:r>
        <w:rPr>
          <w:rFonts w:ascii="Arial" w:cs="Arial" w:eastAsia="Arial" w:hAnsi="Arial"/>
          <w:sz w:val="18"/>
          <w:szCs w:val="18"/>
          <w:color w:val="auto"/>
        </w:rPr>
        <w:t>" as of the first day of the Second Revised Term, and (b) Landlord shall have no obligation to alter, repair, or otherwise prepare the Premises for Tenant's continued occupancy for the Second Revised Term or to pay for any improvements to the Premises, except, in each case under clauses (a) and (b), as may be expressly provided in the Existing Lease or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8"/>
        <w:spacing w:after="0" w:line="256" w:lineRule="auto"/>
        <w:tabs>
          <w:tab w:leader="none" w:pos="636"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Base Rent for Premises</w:t>
      </w:r>
      <w:r>
        <w:rPr>
          <w:rFonts w:ascii="Arial" w:cs="Arial" w:eastAsia="Arial" w:hAnsi="Arial"/>
          <w:sz w:val="18"/>
          <w:szCs w:val="18"/>
          <w:color w:val="auto"/>
        </w:rPr>
        <w:t>. Effective as of the Execution Date, the table in Section 4 of the Fourth Amendment setting forth the Base</w:t>
      </w:r>
      <w:r>
        <w:rPr>
          <w:rFonts w:ascii="Arial" w:cs="Arial" w:eastAsia="Arial" w:hAnsi="Arial"/>
          <w:sz w:val="18"/>
          <w:szCs w:val="18"/>
          <w:b w:val="1"/>
          <w:bCs w:val="1"/>
          <w:color w:val="auto"/>
        </w:rPr>
        <w:t xml:space="preserve"> </w:t>
      </w:r>
      <w:r>
        <w:rPr>
          <w:rFonts w:ascii="Arial" w:cs="Arial" w:eastAsia="Arial" w:hAnsi="Arial"/>
          <w:sz w:val="18"/>
          <w:szCs w:val="18"/>
          <w:color w:val="auto"/>
        </w:rPr>
        <w:t>Rent for the Premises is hereby amended for the period commencing on [***] and ending on [***] as set forth in the table below:</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26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Dates</w:t>
            </w:r>
          </w:p>
        </w:tc>
        <w:tc>
          <w:tcPr>
            <w:tcW w:w="22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Square Feet of Rentable</w:t>
            </w:r>
          </w:p>
        </w:tc>
        <w:tc>
          <w:tcPr>
            <w:tcW w:w="22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Annual Base Rent per</w:t>
            </w:r>
          </w:p>
        </w:tc>
        <w:tc>
          <w:tcPr>
            <w:tcW w:w="22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Monthly Base Rent</w:t>
            </w:r>
          </w:p>
        </w:tc>
        <w:tc>
          <w:tcPr>
            <w:tcW w:w="22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Annual Base Rent</w:t>
            </w:r>
          </w:p>
        </w:tc>
      </w:tr>
      <w:tr>
        <w:trPr>
          <w:trHeight w:val="180"/>
        </w:trPr>
        <w:tc>
          <w:tcPr>
            <w:tcW w:w="226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rPr>
              <w:t>Area For Premises</w:t>
            </w:r>
          </w:p>
        </w:tc>
        <w:tc>
          <w:tcPr>
            <w:tcW w:w="22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w w:val="99"/>
              </w:rPr>
              <w:t>Square Foot of Rentable</w:t>
            </w:r>
          </w:p>
        </w:tc>
        <w:tc>
          <w:tcPr>
            <w:tcW w:w="22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r>
      <w:tr>
        <w:trPr>
          <w:trHeight w:val="239"/>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Area†</w:t>
            </w:r>
          </w:p>
        </w:tc>
        <w:tc>
          <w:tcPr>
            <w:tcW w:w="22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19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 xml:space="preserve">†The calculation of the Annual Base Rent and Monthly Base Rent in this table is based on escalating the Annual Base Rent per square foot of rentable area amount each year by </w:t>
      </w:r>
      <w:r>
        <w:rPr>
          <w:rFonts w:ascii="Arial" w:cs="Arial" w:eastAsia="Arial" w:hAnsi="Arial"/>
          <w:sz w:val="17"/>
          <w:szCs w:val="17"/>
          <w:color w:val="auto"/>
        </w:rPr>
        <w:t>[***]</w:t>
      </w:r>
      <w:r>
        <w:rPr>
          <w:rFonts w:ascii="Arial" w:cs="Arial" w:eastAsia="Arial" w:hAnsi="Arial"/>
          <w:sz w:val="16"/>
          <w:szCs w:val="16"/>
          <w:color w:val="auto"/>
        </w:rPr>
        <w:t xml:space="preserve">% and multiplying that amount by the rentable square footage of the Premises (i.e., </w:t>
      </w:r>
      <w:r>
        <w:rPr>
          <w:rFonts w:ascii="Arial" w:cs="Arial" w:eastAsia="Arial" w:hAnsi="Arial"/>
          <w:sz w:val="17"/>
          <w:szCs w:val="17"/>
          <w:color w:val="auto"/>
        </w:rPr>
        <w:t>[***]</w:t>
      </w:r>
      <w:r>
        <w:rPr>
          <w:rFonts w:ascii="Arial" w:cs="Arial" w:eastAsia="Arial" w:hAnsi="Arial"/>
          <w:sz w:val="16"/>
          <w:szCs w:val="16"/>
          <w:color w:val="auto"/>
        </w:rPr>
        <w:t xml:space="preserve"> rentable square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firstLine="8"/>
        <w:spacing w:after="0" w:line="215" w:lineRule="auto"/>
        <w:tabs>
          <w:tab w:leader="none" w:pos="636"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Abatement of Base Rent for Premises</w:t>
      </w:r>
      <w:r>
        <w:rPr>
          <w:rFonts w:ascii="Arial" w:cs="Arial" w:eastAsia="Arial" w:hAnsi="Arial"/>
          <w:sz w:val="18"/>
          <w:szCs w:val="18"/>
          <w:color w:val="auto"/>
        </w:rPr>
        <w:t>. Notwithstanding anything to the contrary contained in the Lease or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hereby grants Ten ant an abatement of [***] of the Base Rent payable for the Premises during the period beginning on the Execution Date and ending [***] months after the Execution Date ("</w:t>
      </w:r>
      <w:r>
        <w:rPr>
          <w:rFonts w:ascii="Arial" w:cs="Arial" w:eastAsia="Arial" w:hAnsi="Arial"/>
          <w:sz w:val="18"/>
          <w:szCs w:val="18"/>
          <w:b w:val="1"/>
          <w:bCs w:val="1"/>
          <w:color w:val="auto"/>
        </w:rPr>
        <w:t>Base Rent Abatement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during any period in which Tenant is in Default, Landlord may, upon prior written notice to Tenant accompanied by a rent invoice, suspend the Base Rent Abatement day for day, effective as of the first day of such Default until the day Tenant cures such Default, at which time the Base Rent Abatement shall be reinstituted for the full number of days that remained in the Base Rent Abatement period on the first day of such Default. For the avoidance of doubt, if the Execution Date occurs on the first day of a month, the Base Rent Abatement will be measured from that date. If the Execution Date occurs on a day other than the first day of a month, the Base Rent Abatement will be measured from the first day of the following month. Except as provided in the preceding sentences, Tenant shall pay the full amount of Base Rent for the Premises due in accordance with the provisions of the Lease. The Property Management Fee shall not be abated</w:t>
      </w:r>
    </w:p>
    <w:p>
      <w:pPr>
        <w:sectPr>
          <w:pgSz w:w="11900" w:h="16838" w:orient="portrait"/>
          <w:cols w:equalWidth="0" w:num="1">
            <w:col w:w="11260"/>
          </w:cols>
          <w:pgMar w:left="320" w:top="94" w:right="319" w:bottom="1046" w:gutter="0" w:footer="0" w:header="0"/>
        </w:sectPr>
      </w:pPr>
    </w:p>
    <w:bookmarkStart w:id="415" w:name="page416"/>
    <w:bookmarkEnd w:id="415"/>
    <w:p>
      <w:pPr>
        <w:jc w:val="both"/>
        <w:spacing w:after="0" w:line="215" w:lineRule="auto"/>
        <w:tabs>
          <w:tab w:leader="none" w:pos="636" w:val="left"/>
        </w:tabs>
        <w:rPr>
          <w:sz w:val="20"/>
          <w:szCs w:val="20"/>
          <w:color w:val="auto"/>
        </w:rPr>
      </w:pPr>
    </w:p>
    <w:p>
      <w:pPr>
        <w:sectPr>
          <w:pgSz w:w="11900" w:h="16838" w:orient="portrait"/>
          <w:cols w:equalWidth="1" w:num="1" w:space="0"/>
          <w:pgMar w:left="1440" w:top="1440" w:right="1440" w:bottom="875" w:gutter="0" w:footer="0" w:header="0"/>
        </w:sectPr>
      </w:pPr>
    </w:p>
    <w:bookmarkStart w:id="416" w:name="page417"/>
    <w:bookmarkEnd w:id="416"/>
    <w:p>
      <w:pPr>
        <w:spacing w:after="0"/>
        <w:tabs>
          <w:tab w:leader="none" w:pos="4260" w:val="left"/>
        </w:tabs>
        <w:rPr>
          <w:sz w:val="20"/>
          <w:szCs w:val="20"/>
          <w:color w:val="auto"/>
        </w:rPr>
      </w:pPr>
      <w:r>
        <w:rPr>
          <w:rFonts w:ascii="Arial" w:cs="Arial" w:eastAsia="Arial" w:hAnsi="Arial"/>
          <w:sz w:val="18"/>
          <w:szCs w:val="18"/>
          <w:b w:val="1"/>
          <w:bCs w:val="1"/>
          <w:color w:val="auto"/>
        </w:rPr>
        <w:t>Fifth Amendment to Lease — MacroGenics, Inc.</w:t>
        <w:tab/>
        <w:t>Page - 3</w:t>
      </w:r>
    </w:p>
    <w:p>
      <w:pPr>
        <w:spacing w:after="0"/>
        <w:rPr>
          <w:sz w:val="20"/>
          <w:szCs w:val="20"/>
          <w:color w:val="auto"/>
        </w:rPr>
      </w:pPr>
      <w:r>
        <w:rPr>
          <w:rFonts w:ascii="Arial" w:cs="Arial" w:eastAsia="Arial" w:hAnsi="Arial"/>
          <w:sz w:val="18"/>
          <w:szCs w:val="18"/>
          <w:b w:val="1"/>
          <w:bCs w:val="1"/>
          <w:color w:val="auto"/>
        </w:rPr>
        <w:t>9704 Medical Center Drive, Rockville,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and shall be based on the amount of Base Rent for the Premises that would have been payable but for the Base Rent Abatement.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firstLine="8"/>
        <w:spacing w:after="0"/>
        <w:tabs>
          <w:tab w:leader="none" w:pos="636"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Option to Extend</w:t>
      </w:r>
      <w:r>
        <w:rPr>
          <w:rFonts w:ascii="Arial" w:cs="Arial" w:eastAsia="Arial" w:hAnsi="Arial"/>
          <w:sz w:val="18"/>
          <w:szCs w:val="18"/>
          <w:color w:val="auto"/>
        </w:rPr>
        <w:t>. Section 14 of the Second Amendment is hereby deleted in its entirely and replaced with the words "</w:t>
      </w:r>
      <w:r>
        <w:rPr>
          <w:rFonts w:ascii="Arial" w:cs="Arial" w:eastAsia="Arial" w:hAnsi="Arial"/>
          <w:sz w:val="18"/>
          <w:szCs w:val="18"/>
          <w:b w:val="1"/>
          <w:bCs w:val="1"/>
          <w:color w:val="auto"/>
        </w:rPr>
        <w:t>Intentionally Deleted.</w:t>
      </w:r>
      <w:r>
        <w:rPr>
          <w:rFonts w:ascii="Arial" w:cs="Arial" w:eastAsia="Arial" w:hAnsi="Arial"/>
          <w:sz w:val="18"/>
          <w:szCs w:val="18"/>
          <w:color w:val="auto"/>
        </w:rPr>
        <w:t>" Tenant shall have the right to extend the Term of the Lease for the Premises upon the following terms and conditions:</w:t>
      </w:r>
    </w:p>
    <w:p>
      <w:pPr>
        <w:spacing w:after="0" w:line="153" w:lineRule="exact"/>
        <w:rPr>
          <w:rFonts w:ascii="Arial" w:cs="Arial" w:eastAsia="Arial" w:hAnsi="Arial"/>
          <w:sz w:val="18"/>
          <w:szCs w:val="18"/>
          <w:b w:val="1"/>
          <w:bCs w:val="1"/>
          <w:color w:val="auto"/>
        </w:rPr>
      </w:pPr>
    </w:p>
    <w:p>
      <w:pPr>
        <w:jc w:val="both"/>
        <w:ind w:right="20" w:firstLine="1304"/>
        <w:spacing w:after="0" w:line="216" w:lineRule="auto"/>
        <w:tabs>
          <w:tab w:leader="none" w:pos="1932" w:val="left"/>
        </w:tabs>
        <w:numPr>
          <w:ilvl w:val="1"/>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Rights</w:t>
      </w:r>
      <w:r>
        <w:rPr>
          <w:rFonts w:ascii="Arial" w:cs="Arial" w:eastAsia="Arial" w:hAnsi="Arial"/>
          <w:sz w:val="18"/>
          <w:szCs w:val="18"/>
          <w:color w:val="auto"/>
        </w:rPr>
        <w:t>. Tenant shall have 2 consecutive rights (each an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for the Premises for 5 years each (the “</w:t>
      </w:r>
      <w:r>
        <w:rPr>
          <w:rFonts w:ascii="Arial" w:cs="Arial" w:eastAsia="Arial" w:hAnsi="Arial"/>
          <w:sz w:val="18"/>
          <w:szCs w:val="18"/>
          <w:b w:val="1"/>
          <w:bCs w:val="1"/>
          <w:color w:val="auto"/>
        </w:rPr>
        <w:t>First Extension Term</w:t>
      </w:r>
      <w:r>
        <w:rPr>
          <w:rFonts w:ascii="Arial" w:cs="Arial" w:eastAsia="Arial" w:hAnsi="Arial"/>
          <w:sz w:val="18"/>
          <w:szCs w:val="18"/>
          <w:color w:val="auto"/>
        </w:rPr>
        <w:t>” and the “</w:t>
      </w:r>
      <w:r>
        <w:rPr>
          <w:rFonts w:ascii="Arial" w:cs="Arial" w:eastAsia="Arial" w:hAnsi="Arial"/>
          <w:sz w:val="18"/>
          <w:szCs w:val="18"/>
          <w:b w:val="1"/>
          <w:bCs w:val="1"/>
          <w:color w:val="auto"/>
        </w:rPr>
        <w:t>Second Extension Term</w:t>
      </w:r>
      <w:r>
        <w:rPr>
          <w:rFonts w:ascii="Arial" w:cs="Arial" w:eastAsia="Arial" w:hAnsi="Arial"/>
          <w:sz w:val="18"/>
          <w:szCs w:val="18"/>
          <w:color w:val="auto"/>
        </w:rPr>
        <w:t>” as applicable; collectively, the “</w:t>
      </w:r>
      <w:r>
        <w:rPr>
          <w:rFonts w:ascii="Arial" w:cs="Arial" w:eastAsia="Arial" w:hAnsi="Arial"/>
          <w:sz w:val="18"/>
          <w:szCs w:val="18"/>
          <w:b w:val="1"/>
          <w:bCs w:val="1"/>
          <w:color w:val="auto"/>
        </w:rPr>
        <w:t>Extension Term</w:t>
      </w:r>
      <w:r>
        <w:rPr>
          <w:rFonts w:ascii="Arial" w:cs="Arial" w:eastAsia="Arial" w:hAnsi="Arial"/>
          <w:sz w:val="18"/>
          <w:szCs w:val="18"/>
          <w:color w:val="auto"/>
        </w:rPr>
        <w:t>”) on the same terms and conditions as the Lease (other than Base Rent) by giving Landlord written notice of its election to exercise the Extension Right at least 12 months prior, and no earlier than 18 months prior, to the expiration of the Second Revised Term (with respect to the First Extension Term) or the First Extension Term (with respect to the Second Extension Term). The First Extension Term shall commence on [***] and, unless earlier terminated or extended in accordance with the terms and conditions of the Lease, expire on [***], and the Second Extension Term shall commence on [***] and, unless earlier terminated in accordance with the terms and conditions of the Lease, expire on [***]. For ease of reference, set forth in the table below are the dates for the Further Revised Term, Second Revised Term, First Extension Term, and Second Extension Term:</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shd w:val="clear" w:color="auto" w:fill="D9D9D9"/>
          </w:tcPr>
          <w:p>
            <w:pPr>
              <w:jc w:val="right"/>
              <w:ind w:right="2570"/>
              <w:spacing w:after="0"/>
              <w:rPr>
                <w:sz w:val="20"/>
                <w:szCs w:val="20"/>
                <w:color w:val="auto"/>
              </w:rPr>
            </w:pPr>
            <w:r>
              <w:rPr>
                <w:rFonts w:ascii="Arial" w:cs="Arial" w:eastAsia="Arial" w:hAnsi="Arial"/>
                <w:sz w:val="18"/>
                <w:szCs w:val="18"/>
                <w:color w:val="auto"/>
              </w:rPr>
              <w:t>[***]</w:t>
            </w:r>
          </w:p>
        </w:tc>
        <w:tc>
          <w:tcPr>
            <w:tcW w:w="5620" w:type="dxa"/>
            <w:vAlign w:val="bottom"/>
            <w:tcBorders>
              <w:top w:val="single" w:sz="8" w:color="auto"/>
              <w:bottom w:val="single" w:sz="8" w:color="auto"/>
              <w:right w:val="single" w:sz="8" w:color="auto"/>
            </w:tcBorders>
            <w:shd w:val="clear" w:color="auto" w:fill="D9D9D9"/>
          </w:tcPr>
          <w:p>
            <w:pPr>
              <w:jc w:val="right"/>
              <w:ind w:right="257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left w:val="single" w:sz="8" w:color="auto"/>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c>
          <w:tcPr>
            <w:tcW w:w="562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left w:val="single" w:sz="8" w:color="auto"/>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c>
          <w:tcPr>
            <w:tcW w:w="562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left w:val="single" w:sz="8" w:color="auto"/>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c>
          <w:tcPr>
            <w:tcW w:w="562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left w:val="single" w:sz="8" w:color="auto"/>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c>
          <w:tcPr>
            <w:tcW w:w="562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bl>
    <w:p>
      <w:pPr>
        <w:spacing w:after="0" w:line="274" w:lineRule="exact"/>
        <w:rPr>
          <w:sz w:val="20"/>
          <w:szCs w:val="20"/>
          <w:color w:val="auto"/>
        </w:rPr>
      </w:pPr>
    </w:p>
    <w:p>
      <w:pPr>
        <w:jc w:val="both"/>
        <w:ind w:right="20" w:firstLine="1304"/>
        <w:spacing w:after="0" w:line="216" w:lineRule="auto"/>
        <w:tabs>
          <w:tab w:leader="none" w:pos="1942"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Base Rent at the commencement of the applicable Extension Term shall equal the greater of (i)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Rate (as defined below), and (ii) the Base Rent payable immediately before the commencement of the applicable Extension Term multiplied by [***]%. Base Rent shall thereafter be adjusted on each anniversary of the commencement of the applicable Extension Term by a percentage as determined by Landlord and agreed to by Tenant at the time the Market Rate is determined. As used herein, “</w:t>
      </w:r>
      <w:r>
        <w:rPr>
          <w:rFonts w:ascii="Arial" w:cs="Arial" w:eastAsia="Arial" w:hAnsi="Arial"/>
          <w:sz w:val="18"/>
          <w:szCs w:val="18"/>
          <w:b w:val="1"/>
          <w:bCs w:val="1"/>
          <w:color w:val="auto"/>
        </w:rPr>
        <w:t>Market Rate</w:t>
      </w:r>
      <w:r>
        <w:rPr>
          <w:rFonts w:ascii="Arial" w:cs="Arial" w:eastAsia="Arial" w:hAnsi="Arial"/>
          <w:sz w:val="18"/>
          <w:szCs w:val="18"/>
          <w:color w:val="auto"/>
        </w:rPr>
        <w:t>” shall mean the then market base rental rate and annual escalations thereof for comparable space for a comparable term in buildings in the Rockville, Maryland submarket comparable in age, location, and quality to the Building, taking into account the existence and amount of any tenant improvement allowance or any other cash payment or other equivalent concession, including, without limitation, lease allowances, and any other comparable tenant inducement and market concession, leasehold improvements, and brokerage fees.</w:t>
      </w:r>
    </w:p>
    <w:p>
      <w:pPr>
        <w:spacing w:after="0" w:line="192" w:lineRule="exact"/>
        <w:rPr>
          <w:sz w:val="20"/>
          <w:szCs w:val="20"/>
          <w:color w:val="auto"/>
        </w:rPr>
      </w:pPr>
    </w:p>
    <w:p>
      <w:pPr>
        <w:jc w:val="both"/>
        <w:ind w:right="20" w:firstLine="648"/>
        <w:spacing w:after="0" w:line="208" w:lineRule="auto"/>
        <w:rPr>
          <w:sz w:val="20"/>
          <w:szCs w:val="20"/>
          <w:color w:val="auto"/>
        </w:rPr>
      </w:pPr>
      <w:r>
        <w:rPr>
          <w:rFonts w:ascii="Arial" w:cs="Arial" w:eastAsia="Arial" w:hAnsi="Arial"/>
          <w:sz w:val="18"/>
          <w:szCs w:val="18"/>
          <w:color w:val="auto"/>
        </w:rPr>
        <w:t>Tenant may, [***], request Landlord’s proposed Market Rate for the next Extension Term. Landlord shall, [***], give Tenant a written and binding proposal for the Market Rate. If, [***] Landlord and Tenant have not agreed on the determination of the Market Rate and the rent escalations during such subsequent Extension Term after negotiating in good faith, Tenant may by written notice to Landlord [***] elect</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 xml:space="preserve">arbitration as described in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below. If Tenant does not elect such arbitration, Tenant shall be deemed to have waived any right to extend the Term of the Lease and the Extension Right shall terminate.</w:t>
      </w:r>
    </w:p>
    <w:p>
      <w:pPr>
        <w:spacing w:after="0" w:line="153" w:lineRule="exact"/>
        <w:rPr>
          <w:sz w:val="20"/>
          <w:szCs w:val="20"/>
          <w:color w:val="auto"/>
        </w:rPr>
      </w:pPr>
    </w:p>
    <w:p>
      <w:pPr>
        <w:ind w:left="1940" w:hanging="636"/>
        <w:spacing w:after="0"/>
        <w:tabs>
          <w:tab w:leader="none" w:pos="194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0" w:lineRule="exact"/>
        <w:rPr>
          <w:rFonts w:ascii="Arial" w:cs="Arial" w:eastAsia="Arial" w:hAnsi="Arial"/>
          <w:sz w:val="18"/>
          <w:szCs w:val="18"/>
          <w:b w:val="1"/>
          <w:bCs w:val="1"/>
          <w:color w:val="auto"/>
        </w:rPr>
      </w:pPr>
    </w:p>
    <w:p>
      <w:pPr>
        <w:jc w:val="both"/>
        <w:ind w:right="20" w:firstLine="1944"/>
        <w:spacing w:after="0" w:line="214" w:lineRule="auto"/>
        <w:rPr>
          <w:rFonts w:ascii="Arial" w:cs="Arial" w:eastAsia="Arial" w:hAnsi="Arial"/>
          <w:sz w:val="18"/>
          <w:szCs w:val="18"/>
          <w:b w:val="1"/>
          <w:bCs w:val="1"/>
          <w:color w:val="auto"/>
        </w:rPr>
      </w:pPr>
      <w:r>
        <w:rPr>
          <w:rFonts w:ascii="Arial" w:cs="Arial" w:eastAsia="Arial" w:hAnsi="Arial"/>
          <w:sz w:val="18"/>
          <w:szCs w:val="18"/>
          <w:color w:val="auto"/>
        </w:rPr>
        <w:t>i. [***] each party shall deliver to the other a proposal containing the Market Rate and escalations that the submitting party believes to be correct (“</w:t>
      </w:r>
      <w:r>
        <w:rPr>
          <w:rFonts w:ascii="Arial" w:cs="Arial" w:eastAsia="Arial" w:hAnsi="Arial"/>
          <w:sz w:val="18"/>
          <w:szCs w:val="18"/>
          <w:b w:val="1"/>
          <w:bCs w:val="1"/>
          <w:color w:val="auto"/>
        </w:rPr>
        <w:t>Extension Proposal</w:t>
      </w:r>
      <w:r>
        <w:rPr>
          <w:rFonts w:ascii="Arial" w:cs="Arial" w:eastAsia="Arial" w:hAnsi="Arial"/>
          <w:sz w:val="18"/>
          <w:szCs w:val="18"/>
          <w:color w:val="auto"/>
        </w:rPr>
        <w:t>”). If either party fails to timely submit an Extension Proposal, the other party’s submitted proposal shall determine the Base Rent and escalations for the applicable Extension Term. If both parties submit Extension Proposals, then Landlord and Tenant shall meet [***] and make a good faith attempt to mutually appoint a single Arbitrator (as defined below) to determine the Market Rate and escalations. If Landlord and Tenant are unable to agree upon a single Arbitrator, then each shall, by written notice delivered to the other [***], select an Arbitrator. If either party fails to timely give notice of its selection for an Arbitrator, the other party’s submitted proposal shall be used to determine the Base Rent for the applicable Extension Term.</w:t>
      </w:r>
    </w:p>
    <w:p>
      <w:pPr>
        <w:sectPr>
          <w:pgSz w:w="11900" w:h="16838" w:orient="portrait"/>
          <w:cols w:equalWidth="0" w:num="1">
            <w:col w:w="11260"/>
          </w:cols>
          <w:pgMar w:left="320" w:top="94" w:right="319" w:bottom="1440" w:gutter="0" w:footer="0" w:header="0"/>
        </w:sectPr>
      </w:pPr>
    </w:p>
    <w:bookmarkStart w:id="417" w:name="page418"/>
    <w:bookmarkEnd w:id="417"/>
    <w:p>
      <w:pPr>
        <w:spacing w:after="0"/>
        <w:tabs>
          <w:tab w:leader="none" w:pos="4260" w:val="left"/>
        </w:tabs>
        <w:rPr>
          <w:sz w:val="20"/>
          <w:szCs w:val="20"/>
          <w:color w:val="auto"/>
        </w:rPr>
      </w:pPr>
      <w:r>
        <w:rPr>
          <w:rFonts w:ascii="Arial" w:cs="Arial" w:eastAsia="Arial" w:hAnsi="Arial"/>
          <w:sz w:val="18"/>
          <w:szCs w:val="18"/>
          <w:b w:val="1"/>
          <w:bCs w:val="1"/>
          <w:color w:val="auto"/>
        </w:rPr>
        <w:t>Fifth Amendment to Lease — MacroGenics, Inc.</w:t>
        <w:tab/>
        <w:t>Page - 4</w:t>
      </w:r>
    </w:p>
    <w:p>
      <w:pPr>
        <w:spacing w:after="0"/>
        <w:rPr>
          <w:sz w:val="20"/>
          <w:szCs w:val="20"/>
          <w:color w:val="auto"/>
        </w:rPr>
      </w:pPr>
      <w:r>
        <w:rPr>
          <w:rFonts w:ascii="Arial" w:cs="Arial" w:eastAsia="Arial" w:hAnsi="Arial"/>
          <w:sz w:val="18"/>
          <w:szCs w:val="18"/>
          <w:b w:val="1"/>
          <w:bCs w:val="1"/>
          <w:color w:val="auto"/>
        </w:rPr>
        <w:t>9704 Medical Center Drive, Rockville,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2 Arbitrators so appointed shall [***] appoint a third Arbitrator. If the 2 Arbitrators so selected cannot agree on the selection of the third</w:t>
      </w:r>
    </w:p>
    <w:p>
      <w:pPr>
        <w:spacing w:after="0" w:line="227" w:lineRule="auto"/>
        <w:rPr>
          <w:sz w:val="20"/>
          <w:szCs w:val="20"/>
          <w:color w:val="auto"/>
        </w:rPr>
      </w:pPr>
      <w:r>
        <w:rPr>
          <w:rFonts w:ascii="Arial" w:cs="Arial" w:eastAsia="Arial" w:hAnsi="Arial"/>
          <w:sz w:val="18"/>
          <w:szCs w:val="18"/>
          <w:color w:val="auto"/>
        </w:rPr>
        <w:t>Arbitrator within the time above specified, then either party, on behalf of both parties, may request such appointment of such third Arbitrator by application to any state court of general jurisdiction in the jurisdiction in which the Premises are located [***].</w:t>
      </w:r>
    </w:p>
    <w:p>
      <w:pPr>
        <w:spacing w:after="0" w:line="175" w:lineRule="exact"/>
        <w:rPr>
          <w:sz w:val="20"/>
          <w:szCs w:val="20"/>
          <w:color w:val="auto"/>
        </w:rPr>
      </w:pPr>
    </w:p>
    <w:p>
      <w:pPr>
        <w:jc w:val="both"/>
        <w:ind w:firstLine="1952"/>
        <w:spacing w:after="0" w:line="214" w:lineRule="auto"/>
        <w:tabs>
          <w:tab w:leader="none" w:pos="2587"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decision of the Arbitrator(s) shall be made [***].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applicable Extension Term, then Tenant shall pay Landlord Base Rent in an amount equal to the Base Rent in effect immediately prior to the applicable Extension Term and increased by [***]% until such determination is made. After the determination of the Base Rent and escalations, the parties shall make any necessary adjustments to such payments made by Tenant. Landlord and Tenant shall then execute and deliver an amendment recognizing the Base Rent (as determined in the first sentence of Section 6.b. above) and escalations for the applicable Extension Term.</w:t>
      </w:r>
    </w:p>
    <w:p>
      <w:pPr>
        <w:spacing w:after="0" w:line="152" w:lineRule="exact"/>
        <w:rPr>
          <w:rFonts w:ascii="Arial" w:cs="Arial" w:eastAsia="Arial" w:hAnsi="Arial"/>
          <w:sz w:val="18"/>
          <w:szCs w:val="18"/>
          <w:color w:val="auto"/>
        </w:rPr>
      </w:pPr>
    </w:p>
    <w:p>
      <w:pPr>
        <w:jc w:val="both"/>
        <w:ind w:firstLine="1952"/>
        <w:spacing w:after="0" w:line="220" w:lineRule="auto"/>
        <w:tabs>
          <w:tab w:leader="none" w:pos="258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Arbitrator</w:t>
      </w:r>
      <w:r>
        <w:rPr>
          <w:rFonts w:ascii="Arial" w:cs="Arial" w:eastAsia="Arial" w:hAnsi="Arial"/>
          <w:sz w:val="18"/>
          <w:szCs w:val="18"/>
          <w:color w:val="auto"/>
        </w:rPr>
        <w:t>” shall be any person appointed by or on behalf of either party or appointed pursuant to the provisions hereof and: (1) shall be (A) a member of the American Institute of Real Estate Appraisers with not less than 10 years of experience in the appraisal of improved office and high tech industrial real estate in the greater Rockville, Maryland metropolitan area, or (B) a licensed commercial real estate broker with not less than 15 years’ experience representing landlords and/or tenants in the leasing of high tech or life sciences space in the greater Rockville, Maryland metropolitan area, (2) devoting substantially all of their time to professional appraisal or brokerage work, as applicable, at the time of appointment and (3) be in all respects impartial and disinterested.</w:t>
      </w:r>
    </w:p>
    <w:p>
      <w:pPr>
        <w:spacing w:after="0" w:line="157" w:lineRule="exact"/>
        <w:rPr>
          <w:rFonts w:ascii="Arial" w:cs="Arial" w:eastAsia="Arial" w:hAnsi="Arial"/>
          <w:sz w:val="18"/>
          <w:szCs w:val="18"/>
          <w:color w:val="auto"/>
        </w:rPr>
      </w:pPr>
    </w:p>
    <w:p>
      <w:pPr>
        <w:jc w:val="both"/>
        <w:ind w:firstLine="1304"/>
        <w:spacing w:after="0" w:line="225" w:lineRule="auto"/>
        <w:tabs>
          <w:tab w:leader="none" w:pos="1942"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Extension Right</w:t>
      </w:r>
      <w:r>
        <w:rPr>
          <w:rFonts w:ascii="Arial" w:cs="Arial" w:eastAsia="Arial" w:hAnsi="Arial"/>
          <w:sz w:val="18"/>
          <w:szCs w:val="18"/>
          <w:color w:val="auto"/>
        </w:rPr>
        <w:t>. The Extension Right is not assignable separate and apart from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rights under this Section 6 shall be transferable in connection with an assignment of the Lease to an Exempt Transferee, but shall not be transferable to any other assignee without the prior written consent of Landlord, which consent Landlord may withhold in its sole and absolute discretion.</w:t>
      </w:r>
    </w:p>
    <w:p>
      <w:pPr>
        <w:spacing w:after="0" w:line="168" w:lineRule="exact"/>
        <w:rPr>
          <w:rFonts w:ascii="Arial" w:cs="Arial" w:eastAsia="Arial" w:hAnsi="Arial"/>
          <w:sz w:val="18"/>
          <w:szCs w:val="18"/>
          <w:b w:val="1"/>
          <w:bCs w:val="1"/>
          <w:color w:val="auto"/>
        </w:rPr>
      </w:pPr>
    </w:p>
    <w:p>
      <w:pPr>
        <w:jc w:val="both"/>
        <w:ind w:firstLine="1304"/>
        <w:spacing w:after="0" w:line="225" w:lineRule="auto"/>
        <w:tabs>
          <w:tab w:leader="none" w:pos="1932"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the Extension Right shall not be in effect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may not exercise the Extension Right: (i) during any period of time that Tenant is in Default under any provision of the Lease; or (ii) if Tenant has been in Default under any provision of the Lease 3 or more times, regardless of whether the Defaults are cured, during the [***] period immediately prior to the date that Tenant intends to exercise the Extension Right, regardless of whether the Defaults are cured.</w:t>
      </w:r>
    </w:p>
    <w:p>
      <w:pPr>
        <w:spacing w:after="0" w:line="155" w:lineRule="exact"/>
        <w:rPr>
          <w:rFonts w:ascii="Arial" w:cs="Arial" w:eastAsia="Arial" w:hAnsi="Arial"/>
          <w:sz w:val="18"/>
          <w:szCs w:val="18"/>
          <w:b w:val="1"/>
          <w:bCs w:val="1"/>
          <w:color w:val="auto"/>
        </w:rPr>
      </w:pPr>
    </w:p>
    <w:p>
      <w:pPr>
        <w:ind w:left="1940" w:hanging="636"/>
        <w:spacing w:after="0"/>
        <w:tabs>
          <w:tab w:leader="none" w:pos="194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No Extension</w:t>
      </w:r>
      <w:r>
        <w:rPr>
          <w:rFonts w:ascii="Arial" w:cs="Arial" w:eastAsia="Arial" w:hAnsi="Arial"/>
          <w:sz w:val="18"/>
          <w:szCs w:val="18"/>
          <w:color w:val="auto"/>
        </w:rPr>
        <w:t>. The period of time within which the Extension Right may be exercised shall not be extended or</w:t>
      </w:r>
    </w:p>
    <w:p>
      <w:pPr>
        <w:spacing w:after="0" w:line="184" w:lineRule="exact"/>
        <w:rPr>
          <w:rFonts w:ascii="Arial" w:cs="Arial" w:eastAsia="Arial" w:hAnsi="Arial"/>
          <w:sz w:val="18"/>
          <w:szCs w:val="18"/>
          <w:b w:val="1"/>
          <w:bCs w:val="1"/>
          <w:color w:val="auto"/>
        </w:rPr>
      </w:pPr>
    </w:p>
    <w:p>
      <w:pPr>
        <w:jc w:val="both"/>
        <w:ind w:firstLine="1304"/>
        <w:spacing w:after="0" w:line="225" w:lineRule="auto"/>
        <w:tabs>
          <w:tab w:leader="none" w:pos="1942"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Extension Right shall terminate and be of no further force or effect even after Tenant's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timely exercise of the Extension Right, if, after such exercise, but before the commencement date of the applicable Extension Term, Tenant has Defaulted 3 or more times during the period from the date of the exercise of the Extension Right to the date of the commencement of the Extension Term, regardless of whether such Defaults are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632"/>
        <w:spacing w:after="0"/>
        <w:tabs>
          <w:tab w:leader="none" w:pos="64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84" w:lineRule="exact"/>
        <w:rPr>
          <w:rFonts w:ascii="Arial" w:cs="Arial" w:eastAsia="Arial" w:hAnsi="Arial"/>
          <w:sz w:val="18"/>
          <w:szCs w:val="18"/>
          <w:b w:val="1"/>
          <w:bCs w:val="1"/>
          <w:color w:val="auto"/>
        </w:rPr>
      </w:pPr>
    </w:p>
    <w:p>
      <w:pPr>
        <w:jc w:val="both"/>
        <w:ind w:firstLine="1304"/>
        <w:spacing w:after="0" w:line="233" w:lineRule="auto"/>
        <w:tabs>
          <w:tab w:leader="none" w:pos="1932" w:val="left"/>
        </w:tabs>
        <w:numPr>
          <w:ilvl w:val="1"/>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Lease, as amended by this Amendment, is the entire agreement between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and supersedes all prior and contemporaneous oral and written agreements and discussions. The Lease, as so amended by this Amendment, may be amended only by an agreement in writing, signed by the parties hereto.</w:t>
      </w:r>
    </w:p>
    <w:p>
      <w:pPr>
        <w:spacing w:after="0" w:line="153" w:lineRule="exact"/>
        <w:rPr>
          <w:rFonts w:ascii="Arial" w:cs="Arial" w:eastAsia="Arial" w:hAnsi="Arial"/>
          <w:sz w:val="18"/>
          <w:szCs w:val="18"/>
          <w:b w:val="1"/>
          <w:bCs w:val="1"/>
          <w:color w:val="auto"/>
        </w:rPr>
      </w:pPr>
    </w:p>
    <w:p>
      <w:pPr>
        <w:jc w:val="both"/>
        <w:ind w:firstLine="1304"/>
        <w:spacing w:after="0" w:line="233" w:lineRule="auto"/>
        <w:tabs>
          <w:tab w:leader="none" w:pos="1942" w:val="left"/>
        </w:tabs>
        <w:numPr>
          <w:ilvl w:val="1"/>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is binding upon and shall inure to the benefit of the parties hereto,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agents, employees, members, representatives, officers, directors, divisions, subsidiaries, affiliates, assigns, heirs, successors in interest and shareholders.</w:t>
      </w:r>
    </w:p>
    <w:p>
      <w:pPr>
        <w:sectPr>
          <w:pgSz w:w="11900" w:h="16838" w:orient="portrait"/>
          <w:cols w:equalWidth="0" w:num="1">
            <w:col w:w="11240"/>
          </w:cols>
          <w:pgMar w:left="320" w:top="94" w:right="339" w:bottom="1440" w:gutter="0" w:footer="0" w:header="0"/>
        </w:sectPr>
      </w:pPr>
    </w:p>
    <w:bookmarkStart w:id="418" w:name="page419"/>
    <w:bookmarkEnd w:id="418"/>
    <w:p>
      <w:pPr>
        <w:spacing w:after="0"/>
        <w:tabs>
          <w:tab w:leader="none" w:pos="4260" w:val="left"/>
        </w:tabs>
        <w:rPr>
          <w:sz w:val="20"/>
          <w:szCs w:val="20"/>
          <w:color w:val="auto"/>
        </w:rPr>
      </w:pPr>
      <w:r>
        <w:rPr>
          <w:rFonts w:ascii="Arial" w:cs="Arial" w:eastAsia="Arial" w:hAnsi="Arial"/>
          <w:sz w:val="18"/>
          <w:szCs w:val="18"/>
          <w:b w:val="1"/>
          <w:bCs w:val="1"/>
          <w:color w:val="auto"/>
        </w:rPr>
        <w:t>Fifth Amendment to Lease — MacroGenics, Inc.</w:t>
        <w:tab/>
        <w:t>Page - 5</w:t>
      </w:r>
    </w:p>
    <w:p>
      <w:pPr>
        <w:spacing w:after="0"/>
        <w:rPr>
          <w:sz w:val="20"/>
          <w:szCs w:val="20"/>
          <w:color w:val="auto"/>
        </w:rPr>
      </w:pPr>
      <w:r>
        <w:rPr>
          <w:rFonts w:ascii="Arial" w:cs="Arial" w:eastAsia="Arial" w:hAnsi="Arial"/>
          <w:sz w:val="18"/>
          <w:szCs w:val="18"/>
          <w:b w:val="1"/>
          <w:bCs w:val="1"/>
          <w:color w:val="auto"/>
        </w:rPr>
        <w:t>9704 Medical Center Drive, Rockville,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1304"/>
        <w:spacing w:after="0" w:line="220" w:lineRule="auto"/>
        <w:tabs>
          <w:tab w:leader="none" w:pos="1932"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2 or more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Amendment and all matters related thereto, with such electronic signatures having the same legal effect as original signatures.</w:t>
      </w:r>
    </w:p>
    <w:p>
      <w:pPr>
        <w:spacing w:after="0" w:line="157" w:lineRule="exact"/>
        <w:rPr>
          <w:rFonts w:ascii="Arial" w:cs="Arial" w:eastAsia="Arial" w:hAnsi="Arial"/>
          <w:sz w:val="18"/>
          <w:szCs w:val="18"/>
          <w:b w:val="1"/>
          <w:bCs w:val="1"/>
          <w:color w:val="auto"/>
        </w:rPr>
      </w:pPr>
    </w:p>
    <w:p>
      <w:pPr>
        <w:jc w:val="both"/>
        <w:ind w:firstLine="1304"/>
        <w:spacing w:after="0" w:line="220" w:lineRule="auto"/>
        <w:tabs>
          <w:tab w:leader="none" w:pos="1942"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Broker</w:t>
      </w:r>
      <w:r>
        <w:rPr>
          <w:rFonts w:ascii="Arial" w:cs="Arial" w:eastAsia="Arial" w:hAnsi="Arial"/>
          <w:sz w:val="18"/>
          <w:szCs w:val="18"/>
          <w:color w:val="auto"/>
        </w:rPr>
        <w:t>. Landlord and Tenant each represents and warrants that it has not dealt with any broker, agent,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Amendment and that no Broker brought about this transaction, other than Tenant’s broker, Jones Lang LaSalle Brokerage, Inc. (“</w:t>
      </w:r>
      <w:r>
        <w:rPr>
          <w:rFonts w:ascii="Arial" w:cs="Arial" w:eastAsia="Arial" w:hAnsi="Arial"/>
          <w:sz w:val="18"/>
          <w:szCs w:val="18"/>
          <w:b w:val="1"/>
          <w:bCs w:val="1"/>
          <w:color w:val="auto"/>
        </w:rPr>
        <w:t>JLL</w:t>
      </w:r>
      <w:r>
        <w:rPr>
          <w:rFonts w:ascii="Arial" w:cs="Arial" w:eastAsia="Arial" w:hAnsi="Arial"/>
          <w:sz w:val="18"/>
          <w:szCs w:val="18"/>
          <w:color w:val="auto"/>
        </w:rPr>
        <w:t>”). JLL shall be paid by Landlord pursuant to a separate agreement between Landlord and JLL. Landlord and Tenant each hereby agree to indemnify and hold the other harmless from and against any claims by any Broker, other than JLL, claiming a commission or other form of compensation by virtue of having dealt with Tenant or Landlord, as applicable, with regard to this Amendment.</w:t>
      </w:r>
    </w:p>
    <w:p>
      <w:pPr>
        <w:spacing w:after="0" w:line="157" w:lineRule="exact"/>
        <w:rPr>
          <w:rFonts w:ascii="Arial" w:cs="Arial" w:eastAsia="Arial" w:hAnsi="Arial"/>
          <w:sz w:val="18"/>
          <w:szCs w:val="18"/>
          <w:b w:val="1"/>
          <w:bCs w:val="1"/>
          <w:color w:val="auto"/>
        </w:rPr>
      </w:pPr>
    </w:p>
    <w:p>
      <w:pPr>
        <w:jc w:val="both"/>
        <w:ind w:firstLine="1304"/>
        <w:spacing w:after="0" w:line="224" w:lineRule="auto"/>
        <w:tabs>
          <w:tab w:leader="none" w:pos="1932"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Conflicts</w:t>
      </w:r>
      <w:r>
        <w:rPr>
          <w:rFonts w:ascii="Arial" w:cs="Arial" w:eastAsia="Arial" w:hAnsi="Arial"/>
          <w:sz w:val="18"/>
          <w:szCs w:val="18"/>
          <w:color w:val="auto"/>
        </w:rPr>
        <w:t>. Except as amended and/or modified by this Amendment, the Lease is hereby ratified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confirmed and all other terms of the Lease shall remain in full force and effect, unaltered and unchanged by this Amendment. In the event of any conflict between the provisions of this Amendment and the provisions of the Lease, the provisions of this Amendment shall prevail. Regardless of whether specifically amended by this Amendment, all of the terms and provisions of the Lease are hereby amended to the extent necessary to give effect to the purpose and intent of this Amendment.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PAGE; SIGNATURES APPEAR ON FOLLOWING PAGE]</w:t>
      </w:r>
    </w:p>
    <w:p>
      <w:pPr>
        <w:sectPr>
          <w:pgSz w:w="11900" w:h="16838" w:orient="portrait"/>
          <w:cols w:equalWidth="0" w:num="1">
            <w:col w:w="11240"/>
          </w:cols>
          <w:pgMar w:left="320" w:top="94" w:right="339" w:bottom="1440" w:gutter="0" w:footer="0" w:header="0"/>
        </w:sectPr>
      </w:pPr>
    </w:p>
    <w:bookmarkStart w:id="419" w:name="page420"/>
    <w:bookmarkEnd w:id="419"/>
    <w:p>
      <w:pPr>
        <w:spacing w:after="0"/>
        <w:tabs>
          <w:tab w:leader="none" w:pos="4260" w:val="left"/>
        </w:tabs>
        <w:rPr>
          <w:sz w:val="20"/>
          <w:szCs w:val="20"/>
          <w:color w:val="auto"/>
        </w:rPr>
      </w:pPr>
      <w:r>
        <w:rPr>
          <w:rFonts w:ascii="Arial" w:cs="Arial" w:eastAsia="Arial" w:hAnsi="Arial"/>
          <w:sz w:val="18"/>
          <w:szCs w:val="18"/>
          <w:b w:val="1"/>
          <w:bCs w:val="1"/>
          <w:color w:val="auto"/>
        </w:rPr>
        <w:t>Fifth Amendment to Lease — MacroGenics, Inc.</w:t>
        <w:tab/>
        <w:t>Page - 6</w:t>
      </w:r>
    </w:p>
    <w:p>
      <w:pPr>
        <w:spacing w:after="0"/>
        <w:rPr>
          <w:sz w:val="20"/>
          <w:szCs w:val="20"/>
          <w:color w:val="auto"/>
        </w:rPr>
      </w:pPr>
      <w:r>
        <w:rPr>
          <w:rFonts w:ascii="Arial" w:cs="Arial" w:eastAsia="Arial" w:hAnsi="Arial"/>
          <w:sz w:val="18"/>
          <w:szCs w:val="18"/>
          <w:b w:val="1"/>
          <w:bCs w:val="1"/>
          <w:color w:val="auto"/>
        </w:rPr>
        <w:t>9704 Medical Center Drive, Rockville,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WITNESS WHEREOF, the parties hereto have executed this Amendment as a document under seal as of the day and year first above written.</w:t>
      </w:r>
    </w:p>
    <w:p>
      <w:pPr>
        <w:spacing w:after="0" w:line="153"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w:t>
      </w:r>
    </w:p>
    <w:p>
      <w:pPr>
        <w:spacing w:after="0" w:line="18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ARE-MARYLAND NO. 45, LLC,</w:t>
      </w:r>
    </w:p>
    <w:p>
      <w:pPr>
        <w:ind w:left="3240"/>
        <w:spacing w:after="0"/>
        <w:rPr>
          <w:sz w:val="20"/>
          <w:szCs w:val="20"/>
          <w:color w:val="auto"/>
        </w:rPr>
      </w:pPr>
      <w:r>
        <w:rPr>
          <w:rFonts w:ascii="Arial" w:cs="Arial" w:eastAsia="Arial" w:hAnsi="Arial"/>
          <w:sz w:val="18"/>
          <w:szCs w:val="18"/>
          <w:color w:val="auto"/>
        </w:rPr>
        <w:t>a Delaware limited liability company</w:t>
      </w:r>
    </w:p>
    <w:p>
      <w:pPr>
        <w:spacing w:after="0" w:line="153" w:lineRule="exact"/>
        <w:rPr>
          <w:sz w:val="20"/>
          <w:szCs w:val="20"/>
          <w:color w:val="auto"/>
        </w:rPr>
      </w:pPr>
    </w:p>
    <w:p>
      <w:pPr>
        <w:ind w:left="3240"/>
        <w:spacing w:after="0"/>
        <w:tabs>
          <w:tab w:leader="none" w:pos="3680" w:val="left"/>
        </w:tabs>
        <w:rPr>
          <w:sz w:val="20"/>
          <w:szCs w:val="20"/>
          <w:color w:val="auto"/>
        </w:rPr>
      </w:pPr>
      <w:r>
        <w:rPr>
          <w:rFonts w:ascii="Arial" w:cs="Arial" w:eastAsia="Arial" w:hAnsi="Arial"/>
          <w:sz w:val="18"/>
          <w:szCs w:val="18"/>
          <w:color w:val="auto"/>
        </w:rPr>
        <w:t>By:</w:t>
        <w:tab/>
        <w:t>Alexandria Real Estate Equities, LP.,</w:t>
      </w:r>
    </w:p>
    <w:p>
      <w:pPr>
        <w:ind w:left="3900"/>
        <w:spacing w:after="0" w:line="219" w:lineRule="auto"/>
        <w:rPr>
          <w:sz w:val="20"/>
          <w:szCs w:val="20"/>
          <w:color w:val="auto"/>
        </w:rPr>
      </w:pPr>
      <w:r>
        <w:rPr>
          <w:rFonts w:ascii="Arial" w:cs="Arial" w:eastAsia="Arial" w:hAnsi="Arial"/>
          <w:sz w:val="18"/>
          <w:szCs w:val="18"/>
          <w:color w:val="auto"/>
        </w:rPr>
        <w:t>a Delaware limited partnership,</w:t>
      </w:r>
    </w:p>
    <w:p>
      <w:pPr>
        <w:ind w:left="3900"/>
        <w:spacing w:after="0"/>
        <w:rPr>
          <w:sz w:val="20"/>
          <w:szCs w:val="20"/>
          <w:color w:val="auto"/>
        </w:rPr>
      </w:pPr>
      <w:r>
        <w:rPr>
          <w:rFonts w:ascii="Arial" w:cs="Arial" w:eastAsia="Arial" w:hAnsi="Arial"/>
          <w:sz w:val="18"/>
          <w:szCs w:val="18"/>
          <w:color w:val="auto"/>
        </w:rPr>
        <w:t>managing member</w:t>
      </w:r>
    </w:p>
    <w:p>
      <w:pPr>
        <w:spacing w:after="0" w:line="153"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tab/>
        <w:t>ARE-ORS CORP.,</w:t>
      </w:r>
    </w:p>
    <w:p>
      <w:pPr>
        <w:ind w:left="4540"/>
        <w:spacing w:after="0" w:line="219" w:lineRule="auto"/>
        <w:rPr>
          <w:sz w:val="20"/>
          <w:szCs w:val="20"/>
          <w:color w:val="auto"/>
        </w:rPr>
      </w:pPr>
      <w:r>
        <w:rPr>
          <w:rFonts w:ascii="Arial" w:cs="Arial" w:eastAsia="Arial" w:hAnsi="Arial"/>
          <w:sz w:val="18"/>
          <w:szCs w:val="18"/>
          <w:color w:val="auto"/>
        </w:rPr>
        <w:t>a Maryland corporation,</w:t>
      </w:r>
    </w:p>
    <w:p>
      <w:pPr>
        <w:ind w:left="4540"/>
        <w:spacing w:after="0"/>
        <w:rPr>
          <w:sz w:val="20"/>
          <w:szCs w:val="20"/>
          <w:color w:val="auto"/>
        </w:rPr>
      </w:pPr>
      <w:r>
        <w:rPr>
          <w:rFonts w:ascii="Arial" w:cs="Arial" w:eastAsia="Arial" w:hAnsi="Arial"/>
          <w:sz w:val="18"/>
          <w:szCs w:val="18"/>
          <w:color w:val="auto"/>
        </w:rPr>
        <w:t>general partner</w:t>
      </w:r>
    </w:p>
    <w:p>
      <w:pPr>
        <w:spacing w:after="0" w:line="363" w:lineRule="exact"/>
        <w:rPr>
          <w:sz w:val="20"/>
          <w:szCs w:val="20"/>
          <w:color w:val="auto"/>
        </w:rPr>
      </w:pPr>
    </w:p>
    <w:p>
      <w:pPr>
        <w:ind w:left="4540"/>
        <w:spacing w:after="0"/>
        <w:tabs>
          <w:tab w:leader="none" w:pos="5140" w:val="left"/>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Gregory Kay</w:t>
      </w:r>
      <w:r>
        <w:rPr>
          <w:sz w:val="20"/>
          <w:szCs w:val="20"/>
          <w:color w:val="auto"/>
        </w:rPr>
        <w:tab/>
      </w:r>
      <w:r>
        <w:rPr>
          <w:rFonts w:ascii="Arial" w:cs="Arial" w:eastAsia="Arial" w:hAnsi="Arial"/>
          <w:sz w:val="17"/>
          <w:szCs w:val="17"/>
          <w:color w:val="auto"/>
        </w:rPr>
        <w:t>(SEAL)</w:t>
      </w:r>
    </w:p>
    <w:p>
      <w:pPr>
        <w:ind w:left="4540"/>
        <w:spacing w:after="0" w:line="219" w:lineRule="auto"/>
        <w:tabs>
          <w:tab w:leader="none" w:pos="5260" w:val="left"/>
        </w:tabs>
        <w:rPr>
          <w:sz w:val="20"/>
          <w:szCs w:val="20"/>
          <w:color w:val="auto"/>
        </w:rPr>
      </w:pPr>
      <w:r>
        <w:rPr>
          <w:rFonts w:ascii="Arial" w:cs="Arial" w:eastAsia="Arial" w:hAnsi="Arial"/>
          <w:sz w:val="18"/>
          <w:szCs w:val="18"/>
          <w:color w:val="auto"/>
        </w:rPr>
        <w:t>Name:</w:t>
        <w:tab/>
        <w:t>Gregory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-118745</wp:posOffset>
            </wp:positionV>
            <wp:extent cx="8636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863600" cy="889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-7620</wp:posOffset>
            </wp:positionV>
            <wp:extent cx="8953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ind w:left="4540"/>
        <w:spacing w:after="0" w:line="203" w:lineRule="auto"/>
        <w:tabs>
          <w:tab w:leader="none" w:pos="5100" w:val="left"/>
        </w:tabs>
        <w:rPr>
          <w:sz w:val="20"/>
          <w:szCs w:val="20"/>
          <w:color w:val="auto"/>
        </w:rPr>
      </w:pPr>
      <w:r>
        <w:rPr>
          <w:rFonts w:ascii="Arial" w:cs="Arial" w:eastAsia="Arial" w:hAnsi="Arial"/>
          <w:sz w:val="18"/>
          <w:szCs w:val="18"/>
          <w:color w:val="auto"/>
        </w:rPr>
        <w:t>Title:</w:t>
        <w:tab/>
        <w:t>Senior Vice President</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-130175</wp:posOffset>
            </wp:positionV>
            <wp:extent cx="13506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359"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w:t>
      </w:r>
    </w:p>
    <w:p>
      <w:pPr>
        <w:spacing w:after="0" w:line="18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MACROGENICS, INC.,</w:t>
      </w:r>
    </w:p>
    <w:p>
      <w:pPr>
        <w:ind w:left="32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381" w:lineRule="exact"/>
        <w:rPr>
          <w:sz w:val="20"/>
          <w:szCs w:val="20"/>
          <w:color w:val="auto"/>
        </w:rPr>
      </w:pPr>
    </w:p>
    <w:p>
      <w:pPr>
        <w:ind w:left="3240"/>
        <w:spacing w:after="0"/>
        <w:tabs>
          <w:tab w:leader="none" w:pos="3640" w:val="left"/>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Scott Koenig</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-7620</wp:posOffset>
            </wp:positionV>
            <wp:extent cx="8699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869950" cy="8255"/>
                    </a:xfrm>
                    <a:prstGeom prst="rect">
                      <a:avLst/>
                    </a:prstGeom>
                    <a:noFill/>
                  </pic:spPr>
                </pic:pic>
              </a:graphicData>
            </a:graphic>
          </wp:anchor>
        </w:drawing>
      </w:r>
    </w:p>
    <w:p>
      <w:pPr>
        <w:ind w:left="3240"/>
        <w:spacing w:after="0" w:line="203" w:lineRule="auto"/>
        <w:tabs>
          <w:tab w:leader="none" w:pos="3960" w:val="left"/>
        </w:tabs>
        <w:rPr>
          <w:sz w:val="20"/>
          <w:szCs w:val="20"/>
          <w:color w:val="auto"/>
        </w:rPr>
      </w:pPr>
      <w:r>
        <w:rPr>
          <w:rFonts w:ascii="Arial" w:cs="Arial" w:eastAsia="Arial" w:hAnsi="Arial"/>
          <w:sz w:val="18"/>
          <w:szCs w:val="18"/>
          <w:color w:val="auto"/>
        </w:rPr>
        <w:t>Name:</w:t>
        <w:tab/>
        <w:t>Scott Koenig</w:t>
      </w:r>
    </w:p>
    <w:p>
      <w:pPr>
        <w:ind w:left="3240"/>
        <w:spacing w:after="0"/>
        <w:tabs>
          <w:tab w:leader="none" w:pos="382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-130175</wp:posOffset>
            </wp:positionV>
            <wp:extent cx="901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901700" cy="889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-19050</wp:posOffset>
            </wp:positionV>
            <wp:extent cx="50165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420" w:name="page421"/>
    <w:bookmarkEnd w:id="420"/>
    <w:p>
      <w:pPr>
        <w:spacing w:after="0"/>
        <w:tabs>
          <w:tab w:leader="none" w:pos="4260" w:val="left"/>
        </w:tabs>
        <w:rPr>
          <w:sz w:val="20"/>
          <w:szCs w:val="20"/>
          <w:color w:val="auto"/>
        </w:rPr>
      </w:pPr>
      <w:r>
        <w:rPr>
          <w:rFonts w:ascii="Arial" w:cs="Arial" w:eastAsia="Arial" w:hAnsi="Arial"/>
          <w:sz w:val="18"/>
          <w:szCs w:val="18"/>
          <w:b w:val="1"/>
          <w:bCs w:val="1"/>
          <w:color w:val="auto"/>
        </w:rPr>
        <w:t>Fifth Amendment to Lease — MacroGenics, Inc.</w:t>
        <w:tab/>
        <w:t>Page - 6</w:t>
      </w:r>
    </w:p>
    <w:p>
      <w:pPr>
        <w:spacing w:after="0"/>
        <w:rPr>
          <w:sz w:val="20"/>
          <w:szCs w:val="20"/>
          <w:color w:val="auto"/>
        </w:rPr>
      </w:pPr>
      <w:r>
        <w:rPr>
          <w:rFonts w:ascii="Arial" w:cs="Arial" w:eastAsia="Arial" w:hAnsi="Arial"/>
          <w:sz w:val="18"/>
          <w:szCs w:val="18"/>
          <w:b w:val="1"/>
          <w:bCs w:val="1"/>
          <w:color w:val="auto"/>
        </w:rPr>
        <w:t>9704 Medical Center Drive, Rockville,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WITNESS WHEREOF, the parties hereto have executed this Amendment as a document under seal as of the day and year first above written.</w:t>
      </w:r>
    </w:p>
    <w:p>
      <w:pPr>
        <w:spacing w:after="0" w:line="153"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w:t>
      </w:r>
    </w:p>
    <w:p>
      <w:pPr>
        <w:spacing w:after="0" w:line="18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ARE-MARYLAND NO. 45, LLC,</w:t>
      </w:r>
    </w:p>
    <w:p>
      <w:pPr>
        <w:ind w:left="3240"/>
        <w:spacing w:after="0"/>
        <w:rPr>
          <w:sz w:val="20"/>
          <w:szCs w:val="20"/>
          <w:color w:val="auto"/>
        </w:rPr>
      </w:pPr>
      <w:r>
        <w:rPr>
          <w:rFonts w:ascii="Arial" w:cs="Arial" w:eastAsia="Arial" w:hAnsi="Arial"/>
          <w:sz w:val="18"/>
          <w:szCs w:val="18"/>
          <w:color w:val="auto"/>
        </w:rPr>
        <w:t>a Delaware limited liability company</w:t>
      </w:r>
    </w:p>
    <w:p>
      <w:pPr>
        <w:spacing w:after="0" w:line="153" w:lineRule="exact"/>
        <w:rPr>
          <w:sz w:val="20"/>
          <w:szCs w:val="20"/>
          <w:color w:val="auto"/>
        </w:rPr>
      </w:pPr>
    </w:p>
    <w:p>
      <w:pPr>
        <w:ind w:left="3240"/>
        <w:spacing w:after="0"/>
        <w:tabs>
          <w:tab w:leader="none" w:pos="3680" w:val="left"/>
        </w:tabs>
        <w:rPr>
          <w:sz w:val="20"/>
          <w:szCs w:val="20"/>
          <w:color w:val="auto"/>
        </w:rPr>
      </w:pPr>
      <w:r>
        <w:rPr>
          <w:rFonts w:ascii="Arial" w:cs="Arial" w:eastAsia="Arial" w:hAnsi="Arial"/>
          <w:sz w:val="18"/>
          <w:szCs w:val="18"/>
          <w:color w:val="auto"/>
        </w:rPr>
        <w:t>By:</w:t>
        <w:tab/>
        <w:t>Alexandria Real Estate Equities, LP.,</w:t>
      </w:r>
    </w:p>
    <w:p>
      <w:pPr>
        <w:ind w:left="3900"/>
        <w:spacing w:after="0" w:line="219" w:lineRule="auto"/>
        <w:rPr>
          <w:sz w:val="20"/>
          <w:szCs w:val="20"/>
          <w:color w:val="auto"/>
        </w:rPr>
      </w:pPr>
      <w:r>
        <w:rPr>
          <w:rFonts w:ascii="Arial" w:cs="Arial" w:eastAsia="Arial" w:hAnsi="Arial"/>
          <w:sz w:val="18"/>
          <w:szCs w:val="18"/>
          <w:color w:val="auto"/>
        </w:rPr>
        <w:t>a Delaware limited partnership,</w:t>
      </w:r>
    </w:p>
    <w:p>
      <w:pPr>
        <w:ind w:left="3900"/>
        <w:spacing w:after="0"/>
        <w:rPr>
          <w:sz w:val="20"/>
          <w:szCs w:val="20"/>
          <w:color w:val="auto"/>
        </w:rPr>
      </w:pPr>
      <w:r>
        <w:rPr>
          <w:rFonts w:ascii="Arial" w:cs="Arial" w:eastAsia="Arial" w:hAnsi="Arial"/>
          <w:sz w:val="18"/>
          <w:szCs w:val="18"/>
          <w:color w:val="auto"/>
        </w:rPr>
        <w:t>managing member</w:t>
      </w:r>
    </w:p>
    <w:p>
      <w:pPr>
        <w:spacing w:after="0" w:line="153"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tab/>
        <w:t>ARE-ORS CORP.,</w:t>
      </w:r>
    </w:p>
    <w:p>
      <w:pPr>
        <w:ind w:left="4540"/>
        <w:spacing w:after="0" w:line="219" w:lineRule="auto"/>
        <w:rPr>
          <w:sz w:val="20"/>
          <w:szCs w:val="20"/>
          <w:color w:val="auto"/>
        </w:rPr>
      </w:pPr>
      <w:r>
        <w:rPr>
          <w:rFonts w:ascii="Arial" w:cs="Arial" w:eastAsia="Arial" w:hAnsi="Arial"/>
          <w:sz w:val="18"/>
          <w:szCs w:val="18"/>
          <w:color w:val="auto"/>
        </w:rPr>
        <w:t>a Maryland corporation,</w:t>
      </w:r>
    </w:p>
    <w:p>
      <w:pPr>
        <w:ind w:left="4540"/>
        <w:spacing w:after="0"/>
        <w:rPr>
          <w:sz w:val="20"/>
          <w:szCs w:val="20"/>
          <w:color w:val="auto"/>
        </w:rPr>
      </w:pPr>
      <w:r>
        <w:rPr>
          <w:rFonts w:ascii="Arial" w:cs="Arial" w:eastAsia="Arial" w:hAnsi="Arial"/>
          <w:sz w:val="18"/>
          <w:szCs w:val="18"/>
          <w:color w:val="auto"/>
        </w:rPr>
        <w:t>general partner</w:t>
      </w:r>
    </w:p>
    <w:p>
      <w:pPr>
        <w:spacing w:after="0" w:line="363" w:lineRule="exact"/>
        <w:rPr>
          <w:sz w:val="20"/>
          <w:szCs w:val="20"/>
          <w:color w:val="auto"/>
        </w:rPr>
      </w:pPr>
    </w:p>
    <w:p>
      <w:pPr>
        <w:ind w:left="4540"/>
        <w:spacing w:after="0"/>
        <w:tabs>
          <w:tab w:leader="none" w:pos="5140" w:val="left"/>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Gregory Kay</w:t>
      </w:r>
      <w:r>
        <w:rPr>
          <w:sz w:val="20"/>
          <w:szCs w:val="20"/>
          <w:color w:val="auto"/>
        </w:rPr>
        <w:tab/>
      </w:r>
      <w:r>
        <w:rPr>
          <w:rFonts w:ascii="Arial" w:cs="Arial" w:eastAsia="Arial" w:hAnsi="Arial"/>
          <w:sz w:val="17"/>
          <w:szCs w:val="17"/>
          <w:color w:val="auto"/>
        </w:rPr>
        <w:t>(SEAL)</w:t>
      </w:r>
    </w:p>
    <w:p>
      <w:pPr>
        <w:ind w:left="4540"/>
        <w:spacing w:after="0" w:line="219" w:lineRule="auto"/>
        <w:tabs>
          <w:tab w:leader="none" w:pos="5260" w:val="left"/>
        </w:tabs>
        <w:rPr>
          <w:sz w:val="20"/>
          <w:szCs w:val="20"/>
          <w:color w:val="auto"/>
        </w:rPr>
      </w:pPr>
      <w:r>
        <w:rPr>
          <w:rFonts w:ascii="Arial" w:cs="Arial" w:eastAsia="Arial" w:hAnsi="Arial"/>
          <w:sz w:val="18"/>
          <w:szCs w:val="18"/>
          <w:color w:val="auto"/>
        </w:rPr>
        <w:t>Name:</w:t>
        <w:tab/>
        <w:t>Gregory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-118745</wp:posOffset>
            </wp:positionV>
            <wp:extent cx="8636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863600" cy="889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-7620</wp:posOffset>
            </wp:positionV>
            <wp:extent cx="8953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ind w:left="4540"/>
        <w:spacing w:after="0" w:line="203" w:lineRule="auto"/>
        <w:tabs>
          <w:tab w:leader="none" w:pos="5100" w:val="left"/>
        </w:tabs>
        <w:rPr>
          <w:sz w:val="20"/>
          <w:szCs w:val="20"/>
          <w:color w:val="auto"/>
        </w:rPr>
      </w:pPr>
      <w:r>
        <w:rPr>
          <w:rFonts w:ascii="Arial" w:cs="Arial" w:eastAsia="Arial" w:hAnsi="Arial"/>
          <w:sz w:val="18"/>
          <w:szCs w:val="18"/>
          <w:color w:val="auto"/>
        </w:rPr>
        <w:t>Title:</w:t>
        <w:tab/>
        <w:t>Senior Vice President</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-130175</wp:posOffset>
            </wp:positionV>
            <wp:extent cx="13506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359"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w:t>
      </w:r>
    </w:p>
    <w:p>
      <w:pPr>
        <w:spacing w:after="0" w:line="18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MACROGENICS, INC.,</w:t>
      </w:r>
    </w:p>
    <w:p>
      <w:pPr>
        <w:ind w:left="32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381" w:lineRule="exact"/>
        <w:rPr>
          <w:sz w:val="20"/>
          <w:szCs w:val="20"/>
          <w:color w:val="auto"/>
        </w:rPr>
      </w:pPr>
    </w:p>
    <w:p>
      <w:pPr>
        <w:ind w:left="3240"/>
        <w:spacing w:after="0"/>
        <w:tabs>
          <w:tab w:leader="none" w:pos="3640" w:val="left"/>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Scott Koenig</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-7620</wp:posOffset>
            </wp:positionV>
            <wp:extent cx="8699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869950" cy="8255"/>
                    </a:xfrm>
                    <a:prstGeom prst="rect">
                      <a:avLst/>
                    </a:prstGeom>
                    <a:noFill/>
                  </pic:spPr>
                </pic:pic>
              </a:graphicData>
            </a:graphic>
          </wp:anchor>
        </w:drawing>
      </w:r>
    </w:p>
    <w:p>
      <w:pPr>
        <w:ind w:left="3240"/>
        <w:spacing w:after="0" w:line="203" w:lineRule="auto"/>
        <w:tabs>
          <w:tab w:leader="none" w:pos="3960" w:val="left"/>
        </w:tabs>
        <w:rPr>
          <w:sz w:val="20"/>
          <w:szCs w:val="20"/>
          <w:color w:val="auto"/>
        </w:rPr>
      </w:pPr>
      <w:r>
        <w:rPr>
          <w:rFonts w:ascii="Arial" w:cs="Arial" w:eastAsia="Arial" w:hAnsi="Arial"/>
          <w:sz w:val="18"/>
          <w:szCs w:val="18"/>
          <w:color w:val="auto"/>
        </w:rPr>
        <w:t>Name:</w:t>
        <w:tab/>
        <w:t>Scott Koenig</w:t>
      </w:r>
    </w:p>
    <w:p>
      <w:pPr>
        <w:ind w:left="3240"/>
        <w:spacing w:after="0"/>
        <w:tabs>
          <w:tab w:leader="none" w:pos="382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-130175</wp:posOffset>
            </wp:positionV>
            <wp:extent cx="9017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901700" cy="825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-19050</wp:posOffset>
            </wp:positionV>
            <wp:extent cx="5016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74" w:lineRule="exact"/>
        <w:rPr>
          <w:sz w:val="20"/>
          <w:szCs w:val="20"/>
          <w:color w:val="auto"/>
        </w:rPr>
      </w:pPr>
    </w:p>
    <w:p>
      <w:pPr>
        <w:ind w:left="660" w:hanging="328"/>
        <w:spacing w:after="0" w:line="277" w:lineRule="auto"/>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 (Form S-8 No. 333-192277) pertaining to the 2000 Stock Option and Incentive Plan, the 2003 Equity Incentive Plan, and 2013 Equity Incentive Plan of MacroGenics, Inc.,</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Statements (Form S-8 No. 333-202470) pertaining to the 2013 Equity Incentive Plan of MacroGenics, Inc.,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Statements (Form S-8 No. 333-209812) pertaining to the 2013 Equity Incentive Plan of MacroGenics, Inc.,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Statements (Form S-8 No. 333-217620) pertaining to the 2013 Equity Incentive Plan of MacroGenics, Inc.,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Statements (Form S-8 No. 333-223682) pertaining to the 2013 Equity Incentive Plan of MacroGenics, Inc.,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Statements (Form S-8 No. 333-230292) pertaining to the 2013 Equity Incentive Plan of MacroGenics, Inc.,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Statements (Form S-8 No. 333-237127) pertaining to the 2013 Equity Incentive Plan of MacroGenics, Inc.,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Statements (Form S-8 No. 333-253502) pertaining to the 2013 Equity Incentive Plan of MacroGenics, Inc.,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Statements (Form S-8 No. 333-262967) pertaining to the 2013 Equity Incentive Plan of MacroGenics, Inc.,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 (Form S-8 No. 333-214386) pertaining to the 2016 Employee Stock Purchase Plan of MacroGenics, Inc.,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Registration Statement (Form S-3 No. 333-249851) of MacroGenics, Inc.;</w:t>
      </w:r>
    </w:p>
    <w:p>
      <w:pPr>
        <w:spacing w:after="0" w:line="225"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of our reports dated March 15, 2023, with respect to the consolidated financial statements of MacroGenics, Inc. and the effectiveness of internal control over financial reporting of MacroGenics, Inc. included in this Annual Report (Form 10-K) of MacroGenics, Inc.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ectPr>
          <w:pgSz w:w="11900" w:h="16838" w:orient="portrait"/>
          <w:cols w:equalWidth="0" w:num="1">
            <w:col w:w="11240"/>
          </w:cols>
          <w:pgMar w:left="320" w:top="895" w:right="3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Scott Koenig, certify that:</w:t>
      </w:r>
    </w:p>
    <w:p>
      <w:pPr>
        <w:spacing w:after="0" w:line="157" w:lineRule="exact"/>
        <w:rPr>
          <w:sz w:val="20"/>
          <w:szCs w:val="20"/>
          <w:color w:val="auto"/>
        </w:rPr>
      </w:pPr>
    </w:p>
    <w:p>
      <w:pPr>
        <w:ind w:left="1300" w:hanging="644"/>
        <w:spacing w:after="0"/>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2022 of MacroGenics,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2280" w:right="20" w:hanging="652"/>
        <w:spacing w:after="0" w:line="311" w:lineRule="auto"/>
        <w:tabs>
          <w:tab w:leader="none" w:pos="2270" w:val="left"/>
        </w:tabs>
        <w:numPr>
          <w:ilvl w:val="1"/>
          <w:numId w:val="38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6"/>
          <w:szCs w:val="16"/>
          <w:color w:val="auto"/>
        </w:rPr>
      </w:pPr>
    </w:p>
    <w:p>
      <w:pPr>
        <w:ind w:left="2280" w:right="440" w:hanging="652"/>
        <w:spacing w:after="0" w:line="311" w:lineRule="auto"/>
        <w:tabs>
          <w:tab w:leader="none" w:pos="2280" w:val="left"/>
        </w:tabs>
        <w:numPr>
          <w:ilvl w:val="1"/>
          <w:numId w:val="38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6"/>
          <w:szCs w:val="16"/>
          <w:color w:val="auto"/>
        </w:rPr>
      </w:pPr>
    </w:p>
    <w:p>
      <w:pPr>
        <w:ind w:left="2280" w:right="320" w:hanging="652"/>
        <w:spacing w:after="0" w:line="263" w:lineRule="auto"/>
        <w:tabs>
          <w:tab w:leader="none" w:pos="227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280" w:hanging="652"/>
        <w:spacing w:after="0" w:line="311" w:lineRule="auto"/>
        <w:tabs>
          <w:tab w:leader="none" w:pos="2280" w:val="left"/>
        </w:tabs>
        <w:numPr>
          <w:ilvl w:val="1"/>
          <w:numId w:val="38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2280" w:right="240" w:hanging="652"/>
        <w:spacing w:after="0" w:line="263" w:lineRule="auto"/>
        <w:tabs>
          <w:tab w:leader="none" w:pos="227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280" w:right="600" w:hanging="652"/>
        <w:spacing w:after="0" w:line="277" w:lineRule="auto"/>
        <w:tabs>
          <w:tab w:leader="none" w:pos="228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18942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Scott Koenig, M.D., Ph.D.</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 and Chief Executive Officer</w:t>
      </w:r>
    </w:p>
    <w:p>
      <w:pPr>
        <w:ind w:left="5900"/>
        <w:spacing w:after="0"/>
        <w:rPr>
          <w:sz w:val="20"/>
          <w:szCs w:val="20"/>
          <w:color w:val="auto"/>
        </w:rPr>
      </w:pPr>
      <w:r>
        <w:rPr>
          <w:rFonts w:ascii="Arial" w:cs="Arial" w:eastAsia="Arial" w:hAnsi="Arial"/>
          <w:sz w:val="18"/>
          <w:szCs w:val="18"/>
          <w:color w:val="auto"/>
        </w:rPr>
        <w:t>(Principal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2023</w:t>
      </w:r>
    </w:p>
    <w:p>
      <w:pPr>
        <w:sectPr>
          <w:pgSz w:w="11900" w:h="16838" w:orient="portrait"/>
          <w:cols w:equalWidth="0" w:num="1">
            <w:col w:w="11240"/>
          </w:cols>
          <w:pgMar w:left="320" w:top="895" w:right="339" w:bottom="1440" w:gutter="0" w:footer="0" w:header="0"/>
        </w:sectPr>
      </w:pPr>
    </w:p>
    <w:bookmarkStart w:id="423" w:name="page424"/>
    <w:bookmarkEnd w:id="42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Karrels, certify that:</w:t>
      </w:r>
    </w:p>
    <w:p>
      <w:pPr>
        <w:spacing w:after="0" w:line="171" w:lineRule="exact"/>
        <w:rPr>
          <w:sz w:val="20"/>
          <w:szCs w:val="20"/>
          <w:color w:val="auto"/>
        </w:rPr>
      </w:pPr>
    </w:p>
    <w:p>
      <w:pPr>
        <w:ind w:left="1300" w:hanging="644"/>
        <w:spacing w:after="0"/>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2022 of MacroGenics,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2600" w:right="200" w:hanging="648"/>
        <w:spacing w:after="0" w:line="259" w:lineRule="auto"/>
        <w:tabs>
          <w:tab w:leader="none" w:pos="259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600" w:right="120" w:hanging="648"/>
        <w:spacing w:after="0" w:line="311" w:lineRule="auto"/>
        <w:tabs>
          <w:tab w:leader="none" w:pos="2600" w:val="left"/>
        </w:tabs>
        <w:numPr>
          <w:ilvl w:val="1"/>
          <w:numId w:val="38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6"/>
          <w:szCs w:val="16"/>
          <w:color w:val="auto"/>
        </w:rPr>
      </w:pPr>
    </w:p>
    <w:p>
      <w:pPr>
        <w:ind w:left="2600" w:right="300" w:hanging="648"/>
        <w:spacing w:after="0" w:line="263" w:lineRule="auto"/>
        <w:tabs>
          <w:tab w:leader="none" w:pos="259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600" w:right="100" w:hanging="648"/>
        <w:spacing w:after="0" w:line="259" w:lineRule="auto"/>
        <w:tabs>
          <w:tab w:leader="none" w:pos="260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300" w:right="140" w:hanging="644"/>
        <w:spacing w:after="0" w:line="263" w:lineRule="auto"/>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2600" w:right="460" w:hanging="648"/>
        <w:spacing w:after="0" w:line="263" w:lineRule="auto"/>
        <w:tabs>
          <w:tab w:leader="none" w:pos="259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600" w:right="280" w:hanging="648"/>
        <w:spacing w:after="0" w:line="277" w:lineRule="auto"/>
        <w:tabs>
          <w:tab w:leader="none" w:pos="260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14605</wp:posOffset>
            </wp:positionV>
            <wp:extent cx="26142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James Karrels</w:t>
      </w:r>
    </w:p>
    <w:p>
      <w:pPr>
        <w:spacing w:after="0" w:line="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Senior Vice President and Chief Financial Officer</w:t>
      </w:r>
    </w:p>
    <w:p>
      <w:pPr>
        <w:ind w:left="4720"/>
        <w:spacing w:after="0"/>
        <w:rPr>
          <w:sz w:val="20"/>
          <w:szCs w:val="20"/>
          <w:color w:val="auto"/>
        </w:rPr>
      </w:pPr>
      <w:r>
        <w:rPr>
          <w:rFonts w:ascii="Arial" w:cs="Arial" w:eastAsia="Arial" w:hAnsi="Arial"/>
          <w:sz w:val="18"/>
          <w:szCs w:val="18"/>
          <w:color w:val="auto"/>
        </w:rPr>
        <w:t>(Principal Financial Officer)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2023</w:t>
      </w:r>
    </w:p>
    <w:p>
      <w:pPr>
        <w:sectPr>
          <w:pgSz w:w="11900" w:h="16838" w:orient="portrait"/>
          <w:cols w:equalWidth="0" w:num="1">
            <w:col w:w="11240"/>
          </w:cols>
          <w:pgMar w:left="320" w:top="895" w:right="339" w:bottom="1440" w:gutter="0" w:footer="0" w:header="0"/>
        </w:sectPr>
      </w:pPr>
    </w:p>
    <w:bookmarkStart w:id="424" w:name="page425"/>
    <w:bookmarkEnd w:id="424"/>
    <w:p>
      <w:pPr>
        <w:ind w:left="10160"/>
        <w:spacing w:after="0"/>
        <w:rPr>
          <w:sz w:val="20"/>
          <w:szCs w:val="20"/>
          <w:color w:val="auto"/>
        </w:rPr>
      </w:pPr>
      <w:r>
        <w:rPr>
          <w:rFonts w:ascii="Arial" w:cs="Arial" w:eastAsia="Arial" w:hAnsi="Arial"/>
          <w:sz w:val="17"/>
          <w:szCs w:val="17"/>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1350 (Section 906 of the Sarbanes-Oxley Act of 2002)</w:t>
      </w:r>
    </w:p>
    <w:p>
      <w:pPr>
        <w:spacing w:after="0" w:line="229"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I, Scott Koenig, President and Chief Executive Officer (principal executive officer) of MacroGenics, Inc. (the “Registrant”), certify, to the best of my knowledge, based upon a review of the Annual Report on Form 10-K for the period ended December 31, 2022 of the Registrant (the “Report”), that:</w:t>
      </w:r>
    </w:p>
    <w:p>
      <w:pPr>
        <w:spacing w:after="0" w:line="164" w:lineRule="exact"/>
        <w:rPr>
          <w:sz w:val="20"/>
          <w:szCs w:val="20"/>
          <w:color w:val="auto"/>
        </w:rPr>
      </w:pPr>
    </w:p>
    <w:p>
      <w:pPr>
        <w:ind w:left="380" w:hanging="332"/>
        <w:spacing w:after="0"/>
        <w:tabs>
          <w:tab w:leader="none" w:pos="3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380" w:hanging="332"/>
        <w:spacing w:after="0"/>
        <w:tabs>
          <w:tab w:leader="none" w:pos="38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Scott Koenig</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Scott Koenig, M.D., Ph.D.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March 15, 2023</w:t>
      </w:r>
    </w:p>
    <w:p>
      <w:pPr>
        <w:sectPr>
          <w:pgSz w:w="11900" w:h="16838" w:orient="portrait"/>
          <w:cols w:equalWidth="0" w:num="1">
            <w:col w:w="11240"/>
          </w:cols>
          <w:pgMar w:left="320" w:top="895" w:right="3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1350 (Section 906 of the Sarbanes-Oxley Act of 2002)</w:t>
      </w:r>
    </w:p>
    <w:p>
      <w:pPr>
        <w:spacing w:after="0" w:line="229"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I, James Karrels, Senior Vice President and Chief Financial Officer (principal financial officer) of MacroGenics, Inc. (the “Registrant”), certify, to the best of my knowledge, based upon a review of the Annual Report on Form 10-K for the period ended December 31, 2022 of the Registrant (the “Report”), that:</w:t>
      </w:r>
    </w:p>
    <w:p>
      <w:pPr>
        <w:spacing w:after="0" w:line="164" w:lineRule="exact"/>
        <w:rPr>
          <w:sz w:val="20"/>
          <w:szCs w:val="20"/>
          <w:color w:val="auto"/>
        </w:rPr>
      </w:pPr>
    </w:p>
    <w:p>
      <w:pPr>
        <w:ind w:left="380" w:hanging="332"/>
        <w:spacing w:after="0"/>
        <w:tabs>
          <w:tab w:leader="none" w:pos="3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380" w:hanging="332"/>
        <w:spacing w:after="0"/>
        <w:tabs>
          <w:tab w:leader="none" w:pos="38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-10160</wp:posOffset>
            </wp:positionV>
            <wp:extent cx="8947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James Karrels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March 15, 2023</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A02C5E"/>
    <w:multiLevelType w:val="hybridMultilevel"/>
    <w:lvl w:ilvl="0">
      <w:lvlJc w:val="left"/>
      <w:lvlText w:val="☒"/>
      <w:numFmt w:val="bullet"/>
      <w:start w:val="1"/>
    </w:lvl>
  </w:abstractNum>
  <w:abstractNum w:abstractNumId="1">
    <w:nsid w:val="541C8153"/>
    <w:multiLevelType w:val="hybridMultilevel"/>
    <w:lvl w:ilvl="0">
      <w:lvlJc w:val="left"/>
      <w:lvlText w:val="☐"/>
      <w:numFmt w:val="bullet"/>
      <w:start w:val="1"/>
    </w:lvl>
  </w:abstractNum>
  <w:abstractNum w:abstractNumId="2">
    <w:nsid w:val="67906F60"/>
    <w:multiLevelType w:val="hybridMultilevel"/>
    <w:lvl w:ilvl="0">
      <w:lvlJc w:val="left"/>
      <w:lvlText w:val="•"/>
      <w:numFmt w:val="bullet"/>
      <w:start w:val="1"/>
    </w:lvl>
  </w:abstractNum>
  <w:abstractNum w:abstractNumId="3">
    <w:nsid w:val="10DB9DAA"/>
    <w:multiLevelType w:val="hybridMultilevel"/>
    <w:lvl w:ilvl="0">
      <w:lvlJc w:val="left"/>
      <w:lvlText w:val="•"/>
      <w:numFmt w:val="bullet"/>
      <w:start w:val="1"/>
    </w:lvl>
    <w:lvl w:ilvl="1">
      <w:lvlJc w:val="left"/>
      <w:lvlText w:val="◦"/>
      <w:numFmt w:val="bullet"/>
      <w:start w:val="1"/>
    </w:lvl>
  </w:abstractNum>
  <w:abstractNum w:abstractNumId="4">
    <w:nsid w:val="697D2D2"/>
    <w:multiLevelType w:val="hybridMultilevel"/>
    <w:lvl w:ilvl="0">
      <w:lvlJc w:val="left"/>
      <w:lvlText w:val="•"/>
      <w:numFmt w:val="bullet"/>
      <w:start w:val="1"/>
    </w:lvl>
    <w:lvl w:ilvl="1">
      <w:lvlJc w:val="left"/>
      <w:lvlText w:val="◦"/>
      <w:numFmt w:val="bullet"/>
      <w:start w:val="1"/>
    </w:lvl>
  </w:abstractNum>
  <w:abstractNum w:abstractNumId="5">
    <w:nsid w:val="6D68AB2"/>
    <w:multiLevelType w:val="hybridMultilevel"/>
    <w:lvl w:ilvl="0">
      <w:lvlJc w:val="left"/>
      <w:lvlText w:val="•"/>
      <w:numFmt w:val="bullet"/>
      <w:start w:val="1"/>
    </w:lvl>
  </w:abstractNum>
  <w:abstractNum w:abstractNumId="6">
    <w:nsid w:val="3A966CD0"/>
    <w:multiLevelType w:val="hybridMultilevel"/>
    <w:lvl w:ilvl="0">
      <w:lvlJc w:val="left"/>
      <w:lvlText w:val="•"/>
      <w:numFmt w:val="bullet"/>
      <w:start w:val="1"/>
    </w:lvl>
  </w:abstractNum>
  <w:abstractNum w:abstractNumId="7">
    <w:nsid w:val="63F37E85"/>
    <w:multiLevelType w:val="hybridMultilevel"/>
    <w:lvl w:ilvl="0">
      <w:lvlJc w:val="left"/>
      <w:lvlText w:val="•"/>
      <w:numFmt w:val="bullet"/>
      <w:start w:val="1"/>
    </w:lvl>
  </w:abstractNum>
  <w:abstractNum w:abstractNumId="8">
    <w:nsid w:val="5895F5FA"/>
    <w:multiLevelType w:val="hybridMultilevel"/>
    <w:lvl w:ilvl="0">
      <w:lvlJc w:val="left"/>
      <w:lvlText w:val="•"/>
      <w:numFmt w:val="bullet"/>
      <w:start w:val="1"/>
    </w:lvl>
  </w:abstractNum>
  <w:abstractNum w:abstractNumId="9">
    <w:nsid w:val="38A5D054"/>
    <w:multiLevelType w:val="hybridMultilevel"/>
    <w:lvl w:ilvl="0">
      <w:lvlJc w:val="left"/>
      <w:lvlText w:val="•"/>
      <w:numFmt w:val="bullet"/>
      <w:start w:val="1"/>
    </w:lvl>
  </w:abstractNum>
  <w:abstractNum w:abstractNumId="10">
    <w:nsid w:val="F3F09D8"/>
    <w:multiLevelType w:val="hybridMultilevel"/>
    <w:lvl w:ilvl="0">
      <w:lvlJc w:val="left"/>
      <w:lvlText w:val="•"/>
      <w:numFmt w:val="bullet"/>
      <w:start w:val="1"/>
    </w:lvl>
  </w:abstractNum>
  <w:abstractNum w:abstractNumId="11">
    <w:nsid w:val="4B793735"/>
    <w:multiLevelType w:val="hybridMultilevel"/>
    <w:lvl w:ilvl="0">
      <w:lvlJc w:val="left"/>
      <w:lvlText w:val="•"/>
      <w:numFmt w:val="bullet"/>
      <w:start w:val="1"/>
    </w:lvl>
  </w:abstractNum>
  <w:abstractNum w:abstractNumId="12">
    <w:nsid w:val="4A10B4E8"/>
    <w:multiLevelType w:val="hybridMultilevel"/>
    <w:lvl w:ilvl="0">
      <w:lvlJc w:val="left"/>
      <w:lvlText w:val="•"/>
      <w:numFmt w:val="bullet"/>
      <w:start w:val="1"/>
    </w:lvl>
  </w:abstractNum>
  <w:abstractNum w:abstractNumId="13">
    <w:nsid w:val="43D3BCD4"/>
    <w:multiLevelType w:val="hybridMultilevel"/>
    <w:lvl w:ilvl="0">
      <w:lvlJc w:val="left"/>
      <w:lvlText w:val="•"/>
      <w:numFmt w:val="bullet"/>
      <w:start w:val="1"/>
    </w:lvl>
  </w:abstractNum>
  <w:abstractNum w:abstractNumId="14">
    <w:nsid w:val="4C2A7166"/>
    <w:multiLevelType w:val="hybridMultilevel"/>
    <w:lvl w:ilvl="0">
      <w:lvlJc w:val="left"/>
      <w:lvlText w:val="•"/>
      <w:numFmt w:val="bullet"/>
      <w:start w:val="1"/>
    </w:lvl>
  </w:abstractNum>
  <w:abstractNum w:abstractNumId="15">
    <w:nsid w:val="2E534A82"/>
    <w:multiLevelType w:val="hybridMultilevel"/>
    <w:lvl w:ilvl="0">
      <w:lvlJc w:val="left"/>
      <w:lvlText w:val="•"/>
      <w:numFmt w:val="bullet"/>
      <w:start w:val="1"/>
    </w:lvl>
  </w:abstractNum>
  <w:abstractNum w:abstractNumId="16">
    <w:nsid w:val="26F2D364"/>
    <w:multiLevelType w:val="hybridMultilevel"/>
    <w:lvl w:ilvl="0">
      <w:lvlJc w:val="left"/>
      <w:lvlText w:val="•"/>
      <w:numFmt w:val="bullet"/>
      <w:start w:val="1"/>
    </w:lvl>
  </w:abstractNum>
  <w:abstractNum w:abstractNumId="17">
    <w:nsid w:val="71C1AF98"/>
    <w:multiLevelType w:val="hybridMultilevel"/>
    <w:lvl w:ilvl="0">
      <w:lvlJc w:val="left"/>
      <w:lvlText w:val="•"/>
      <w:numFmt w:val="bullet"/>
      <w:start w:val="1"/>
    </w:lvl>
  </w:abstractNum>
  <w:abstractNum w:abstractNumId="18">
    <w:nsid w:val="3D00B9D9"/>
    <w:multiLevelType w:val="hybridMultilevel"/>
    <w:lvl w:ilvl="0">
      <w:lvlJc w:val="left"/>
      <w:lvlText w:val="•"/>
      <w:numFmt w:val="bullet"/>
      <w:start w:val="1"/>
    </w:lvl>
  </w:abstractNum>
  <w:abstractNum w:abstractNumId="19">
    <w:nsid w:val="15BCABA8"/>
    <w:multiLevelType w:val="hybridMultilevel"/>
    <w:lvl w:ilvl="0">
      <w:lvlJc w:val="left"/>
      <w:lvlText w:val="•"/>
      <w:numFmt w:val="bullet"/>
      <w:start w:val="1"/>
    </w:lvl>
  </w:abstractNum>
  <w:abstractNum w:abstractNumId="20">
    <w:nsid w:val="4E0B9A87"/>
    <w:multiLevelType w:val="hybridMultilevel"/>
    <w:lvl w:ilvl="0">
      <w:lvlJc w:val="left"/>
      <w:lvlText w:val="•"/>
      <w:numFmt w:val="bullet"/>
      <w:start w:val="1"/>
    </w:lvl>
  </w:abstractNum>
  <w:abstractNum w:abstractNumId="21">
    <w:nsid w:val="434BAE75"/>
    <w:multiLevelType w:val="hybridMultilevel"/>
    <w:lvl w:ilvl="0">
      <w:lvlJc w:val="left"/>
      <w:lvlText w:val="•"/>
      <w:numFmt w:val="bullet"/>
      <w:start w:val="1"/>
    </w:lvl>
  </w:abstractNum>
  <w:abstractNum w:abstractNumId="22">
    <w:nsid w:val="4F38F265"/>
    <w:multiLevelType w:val="hybridMultilevel"/>
    <w:lvl w:ilvl="0">
      <w:lvlJc w:val="left"/>
      <w:lvlText w:val="•"/>
      <w:numFmt w:val="bullet"/>
      <w:start w:val="1"/>
    </w:lvl>
  </w:abstractNum>
  <w:abstractNum w:abstractNumId="23">
    <w:nsid w:val="4C502870"/>
    <w:multiLevelType w:val="hybridMultilevel"/>
    <w:lvl w:ilvl="0">
      <w:lvlJc w:val="left"/>
      <w:lvlText w:val="•"/>
      <w:numFmt w:val="bullet"/>
      <w:start w:val="1"/>
    </w:lvl>
  </w:abstractNum>
  <w:abstractNum w:abstractNumId="24">
    <w:nsid w:val="1DE8725A"/>
    <w:multiLevelType w:val="hybridMultilevel"/>
    <w:lvl w:ilvl="0">
      <w:lvlJc w:val="left"/>
      <w:lvlText w:val="•"/>
      <w:numFmt w:val="bullet"/>
      <w:start w:val="1"/>
    </w:lvl>
  </w:abstractNum>
  <w:abstractNum w:abstractNumId="25">
    <w:nsid w:val="6A37288A"/>
    <w:multiLevelType w:val="hybridMultilevel"/>
    <w:lvl w:ilvl="0">
      <w:lvlJc w:val="left"/>
      <w:lvlText w:val="•"/>
      <w:numFmt w:val="bullet"/>
      <w:start w:val="1"/>
    </w:lvl>
  </w:abstractNum>
  <w:abstractNum w:abstractNumId="26">
    <w:nsid w:val="8F8B73F"/>
    <w:multiLevelType w:val="hybridMultilevel"/>
    <w:lvl w:ilvl="0">
      <w:lvlJc w:val="left"/>
      <w:lvlText w:val="•"/>
      <w:numFmt w:val="bullet"/>
      <w:start w:val="1"/>
    </w:lvl>
  </w:abstractNum>
  <w:abstractNum w:abstractNumId="27">
    <w:nsid w:val="CA6B462"/>
    <w:multiLevelType w:val="hybridMultilevel"/>
    <w:lvl w:ilvl="0">
      <w:lvlJc w:val="left"/>
      <w:lvlText w:val="•"/>
      <w:numFmt w:val="bullet"/>
      <w:start w:val="1"/>
    </w:lvl>
  </w:abstractNum>
  <w:abstractNum w:abstractNumId="28">
    <w:nsid w:val="763CB680"/>
    <w:multiLevelType w:val="hybridMultilevel"/>
    <w:lvl w:ilvl="0">
      <w:lvlJc w:val="left"/>
      <w:lvlText w:val="•"/>
      <w:numFmt w:val="bullet"/>
      <w:start w:val="1"/>
    </w:lvl>
  </w:abstractNum>
  <w:abstractNum w:abstractNumId="29">
    <w:nsid w:val="15B71329"/>
    <w:multiLevelType w:val="hybridMultilevel"/>
    <w:lvl w:ilvl="0">
      <w:lvlJc w:val="left"/>
      <w:lvlText w:val="•"/>
      <w:numFmt w:val="bullet"/>
      <w:start w:val="1"/>
    </w:lvl>
  </w:abstractNum>
  <w:abstractNum w:abstractNumId="30">
    <w:nsid w:val="3DA97044"/>
    <w:multiLevelType w:val="hybridMultilevel"/>
    <w:lvl w:ilvl="0">
      <w:lvlJc w:val="left"/>
      <w:lvlText w:val="•"/>
      <w:numFmt w:val="bullet"/>
      <w:start w:val="1"/>
    </w:lvl>
  </w:abstractNum>
  <w:abstractNum w:abstractNumId="31">
    <w:nsid w:val="1CDCE2DE"/>
    <w:multiLevelType w:val="hybridMultilevel"/>
    <w:lvl w:ilvl="0">
      <w:lvlJc w:val="left"/>
      <w:lvlText w:val="•"/>
      <w:numFmt w:val="bullet"/>
      <w:start w:val="1"/>
    </w:lvl>
  </w:abstractNum>
  <w:abstractNum w:abstractNumId="32">
    <w:nsid w:val="69D3947C"/>
    <w:multiLevelType w:val="hybridMultilevel"/>
    <w:lvl w:ilvl="0">
      <w:lvlJc w:val="left"/>
      <w:lvlText w:val="•"/>
      <w:numFmt w:val="bullet"/>
      <w:start w:val="1"/>
    </w:lvl>
  </w:abstractNum>
  <w:abstractNum w:abstractNumId="33">
    <w:nsid w:val="2539DFA5"/>
    <w:multiLevelType w:val="hybridMultilevel"/>
    <w:lvl w:ilvl="0">
      <w:lvlJc w:val="left"/>
      <w:lvlText w:val="•"/>
      <w:numFmt w:val="bullet"/>
      <w:start w:val="1"/>
    </w:lvl>
  </w:abstractNum>
  <w:abstractNum w:abstractNumId="34">
    <w:nsid w:val="2DB88089"/>
    <w:multiLevelType w:val="hybridMultilevel"/>
    <w:lvl w:ilvl="0">
      <w:lvlJc w:val="left"/>
      <w:lvlText w:val="•"/>
      <w:numFmt w:val="bullet"/>
      <w:start w:val="1"/>
    </w:lvl>
  </w:abstractNum>
  <w:abstractNum w:abstractNumId="35">
    <w:nsid w:val="706B674E"/>
    <w:multiLevelType w:val="hybridMultilevel"/>
    <w:lvl w:ilvl="0">
      <w:lvlJc w:val="left"/>
      <w:lvlText w:val="•"/>
      <w:numFmt w:val="bullet"/>
      <w:start w:val="1"/>
    </w:lvl>
  </w:abstractNum>
  <w:abstractNum w:abstractNumId="36">
    <w:nsid w:val="2C106A57"/>
    <w:multiLevelType w:val="hybridMultilevel"/>
    <w:lvl w:ilvl="0">
      <w:lvlJc w:val="left"/>
      <w:lvlText w:val="•"/>
      <w:numFmt w:val="bullet"/>
      <w:start w:val="1"/>
    </w:lvl>
  </w:abstractNum>
  <w:abstractNum w:abstractNumId="37">
    <w:nsid w:val="684EED59"/>
    <w:multiLevelType w:val="hybridMultilevel"/>
    <w:lvl w:ilvl="0">
      <w:lvlJc w:val="left"/>
      <w:lvlText w:val="•"/>
      <w:numFmt w:val="bullet"/>
      <w:start w:val="1"/>
    </w:lvl>
  </w:abstractNum>
  <w:abstractNum w:abstractNumId="38">
    <w:nsid w:val="545EE5D3"/>
    <w:multiLevelType w:val="hybridMultilevel"/>
    <w:lvl w:ilvl="0">
      <w:lvlJc w:val="left"/>
      <w:lvlText w:val="•"/>
      <w:numFmt w:val="bullet"/>
      <w:start w:val="1"/>
    </w:lvl>
  </w:abstractNum>
  <w:abstractNum w:abstractNumId="39">
    <w:nsid w:val="4A66051"/>
    <w:multiLevelType w:val="hybridMultilevel"/>
    <w:lvl w:ilvl="0">
      <w:lvlJc w:val="left"/>
      <w:lvlText w:val="•"/>
      <w:numFmt w:val="bullet"/>
      <w:start w:val="1"/>
    </w:lvl>
  </w:abstractNum>
  <w:abstractNum w:abstractNumId="40">
    <w:nsid w:val="20F4BDAD"/>
    <w:multiLevelType w:val="hybridMultilevel"/>
    <w:lvl w:ilvl="0">
      <w:lvlJc w:val="left"/>
      <w:lvlText w:val="•"/>
      <w:numFmt w:val="bullet"/>
      <w:start w:val="1"/>
    </w:lvl>
  </w:abstractNum>
  <w:abstractNum w:abstractNumId="41">
    <w:nsid w:val="639DEFAC"/>
    <w:multiLevelType w:val="hybridMultilevel"/>
    <w:lvl w:ilvl="0">
      <w:lvlJc w:val="left"/>
      <w:lvlText w:val="•"/>
      <w:numFmt w:val="bullet"/>
      <w:start w:val="1"/>
    </w:lvl>
  </w:abstractNum>
  <w:abstractNum w:abstractNumId="42">
    <w:nsid w:val="501F9786"/>
    <w:multiLevelType w:val="hybridMultilevel"/>
    <w:lvl w:ilvl="0">
      <w:lvlJc w:val="left"/>
      <w:lvlText w:val="•"/>
      <w:numFmt w:val="bullet"/>
      <w:start w:val="1"/>
    </w:lvl>
  </w:abstractNum>
  <w:abstractNum w:abstractNumId="43">
    <w:nsid w:val="6B057295"/>
    <w:multiLevelType w:val="hybridMultilevel"/>
    <w:lvl w:ilvl="0">
      <w:lvlJc w:val="left"/>
      <w:lvlText w:val="•"/>
      <w:numFmt w:val="bullet"/>
      <w:start w:val="1"/>
    </w:lvl>
  </w:abstractNum>
  <w:abstractNum w:abstractNumId="44">
    <w:nsid w:val="2771AC80"/>
    <w:multiLevelType w:val="hybridMultilevel"/>
    <w:lvl w:ilvl="0">
      <w:lvlJc w:val="left"/>
      <w:lvlText w:val="•"/>
      <w:numFmt w:val="bullet"/>
      <w:start w:val="1"/>
    </w:lvl>
  </w:abstractNum>
  <w:abstractNum w:abstractNumId="45">
    <w:nsid w:val="1C4A08EC"/>
    <w:multiLevelType w:val="hybridMultilevel"/>
    <w:lvl w:ilvl="0">
      <w:lvlJc w:val="left"/>
      <w:lvlText w:val="%1."/>
      <w:numFmt w:val="decimal"/>
      <w:start w:val="2"/>
    </w:lvl>
  </w:abstractNum>
  <w:abstractNum w:abstractNumId="46">
    <w:nsid w:val="1958BD17"/>
    <w:multiLevelType w:val="hybridMultilevel"/>
    <w:lvl w:ilvl="0">
      <w:lvlJc w:val="left"/>
      <w:lvlText w:val="%1."/>
      <w:numFmt w:val="decimal"/>
      <w:start w:val="3"/>
    </w:lvl>
  </w:abstractNum>
  <w:abstractNum w:abstractNumId="47">
    <w:nsid w:val="4E647FE4"/>
    <w:multiLevelType w:val="hybridMultilevel"/>
    <w:lvl w:ilvl="0">
      <w:lvlJc w:val="left"/>
      <w:lvlText w:val="•"/>
      <w:numFmt w:val="bullet"/>
      <w:start w:val="1"/>
    </w:lvl>
  </w:abstractNum>
  <w:abstractNum w:abstractNumId="48">
    <w:nsid w:val="E0BB885"/>
    <w:multiLevelType w:val="hybridMultilevel"/>
    <w:lvl w:ilvl="0">
      <w:lvlJc w:val="left"/>
      <w:lvlText w:val="(%1)"/>
      <w:numFmt w:val="lowerLetter"/>
      <w:start w:val="1"/>
    </w:lvl>
  </w:abstractNum>
  <w:abstractNum w:abstractNumId="49">
    <w:nsid w:val="565976F1"/>
    <w:multiLevelType w:val="hybridMultilevel"/>
    <w:lvl w:ilvl="0">
      <w:lvlJc w:val="left"/>
      <w:lvlText w:val="†"/>
      <w:numFmt w:val="bullet"/>
      <w:start w:val="1"/>
    </w:lvl>
    <w:lvl w:ilvl="1">
      <w:lvlJc w:val="left"/>
      <w:lvlText w:val="%2"/>
      <w:numFmt w:val="decimal"/>
      <w:start w:val="104"/>
    </w:lvl>
  </w:abstractNum>
  <w:abstractNum w:abstractNumId="50">
    <w:nsid w:val="64212B8C"/>
    <w:multiLevelType w:val="hybridMultilevel"/>
    <w:lvl w:ilvl="0">
      <w:lvlJc w:val="left"/>
      <w:lvlText w:val="#"/>
      <w:numFmt w:val="bullet"/>
      <w:start w:val="1"/>
    </w:lvl>
  </w:abstractNum>
  <w:abstractNum w:abstractNumId="51">
    <w:nsid w:val="5C17530C"/>
    <w:multiLevelType w:val="hybridMultilevel"/>
    <w:lvl w:ilvl="0">
      <w:lvlJc w:val="left"/>
      <w:lvlText w:val="+"/>
      <w:numFmt w:val="bullet"/>
      <w:start w:val="1"/>
    </w:lvl>
  </w:abstractNum>
  <w:abstractNum w:abstractNumId="52">
    <w:nsid w:val="19A52566"/>
    <w:multiLevelType w:val="hybridMultilevel"/>
    <w:lvl w:ilvl="0">
      <w:lvlJc w:val="left"/>
      <w:lvlText w:val="%1."/>
      <w:numFmt w:val="decimal"/>
      <w:start w:val="1"/>
    </w:lvl>
  </w:abstractNum>
  <w:abstractNum w:abstractNumId="53">
    <w:nsid w:val="335A1DF1"/>
    <w:multiLevelType w:val="hybridMultilevel"/>
    <w:lvl w:ilvl="0">
      <w:lvlJc w:val="left"/>
      <w:lvlText w:val="%1."/>
      <w:numFmt w:val="decimal"/>
      <w:start w:val="12"/>
    </w:lvl>
  </w:abstractNum>
  <w:abstractNum w:abstractNumId="54">
    <w:nsid w:val="28677B7C"/>
    <w:multiLevelType w:val="hybridMultilevel"/>
    <w:lvl w:ilvl="0">
      <w:lvlJc w:val="left"/>
      <w:lvlText w:val="%1."/>
      <w:numFmt w:val="decimal"/>
      <w:start w:val="13"/>
    </w:lvl>
  </w:abstractNum>
  <w:abstractNum w:abstractNumId="55">
    <w:nsid w:val="378D97C0"/>
    <w:multiLevelType w:val="hybridMultilevel"/>
    <w:lvl w:ilvl="0">
      <w:lvlJc w:val="left"/>
      <w:lvlText w:val="%1."/>
      <w:numFmt w:val="decimal"/>
      <w:start w:val="15"/>
    </w:lvl>
  </w:abstractNum>
  <w:abstractNum w:abstractNumId="56">
    <w:nsid w:val="1D91467C"/>
    <w:multiLevelType w:val="hybridMultilevel"/>
    <w:lvl w:ilvl="0">
      <w:lvlJc w:val="left"/>
      <w:lvlText w:val="%1."/>
      <w:numFmt w:val="decimal"/>
      <w:start w:val="19"/>
    </w:lvl>
  </w:abstractNum>
  <w:abstractNum w:abstractNumId="57">
    <w:nsid w:val="316032BB"/>
    <w:multiLevelType w:val="hybridMultilevel"/>
    <w:lvl w:ilvl="0">
      <w:lvlJc w:val="left"/>
      <w:lvlText w:val="%1."/>
      <w:numFmt w:val="decimal"/>
      <w:start w:val="1"/>
    </w:lvl>
  </w:abstractNum>
  <w:abstractNum w:abstractNumId="58">
    <w:nsid w:val="44344C22"/>
    <w:multiLevelType w:val="hybridMultilevel"/>
    <w:lvl w:ilvl="0">
      <w:lvlJc w:val="left"/>
      <w:lvlText w:val="(%1)"/>
      <w:numFmt w:val="lowerRoman"/>
      <w:start w:val="2"/>
    </w:lvl>
  </w:abstractNum>
  <w:abstractNum w:abstractNumId="59">
    <w:nsid w:val="13CDFCFC"/>
    <w:multiLevelType w:val="hybridMultilevel"/>
    <w:lvl w:ilvl="0">
      <w:lvlJc w:val="left"/>
      <w:lvlText w:val="(%1)"/>
      <w:numFmt w:val="lowerLetter"/>
      <w:start w:val="2"/>
    </w:lvl>
  </w:abstractNum>
  <w:abstractNum w:abstractNumId="60">
    <w:nsid w:val="471745E4"/>
    <w:multiLevelType w:val="hybridMultilevel"/>
    <w:lvl w:ilvl="0">
      <w:lvlJc w:val="left"/>
      <w:lvlText w:val="(%1)"/>
      <w:numFmt w:val="lowerLetter"/>
      <w:start w:val="2"/>
    </w:lvl>
  </w:abstractNum>
  <w:abstractNum w:abstractNumId="61">
    <w:nsid w:val="1DDBC66"/>
    <w:multiLevelType w:val="hybridMultilevel"/>
    <w:lvl w:ilvl="0">
      <w:lvlJc w:val="left"/>
      <w:lvlText w:val="[***]"/>
      <w:numFmt w:val="bullet"/>
      <w:start w:val="1"/>
    </w:lvl>
  </w:abstractNum>
  <w:abstractNum w:abstractNumId="62">
    <w:nsid w:val="30AADFDA"/>
    <w:multiLevelType w:val="hybridMultilevel"/>
    <w:lvl w:ilvl="0">
      <w:lvlJc w:val="left"/>
      <w:lvlText w:val="(%1)"/>
      <w:numFmt w:val="lowerLetter"/>
      <w:start w:val="1"/>
    </w:lvl>
  </w:abstractNum>
  <w:abstractNum w:abstractNumId="63">
    <w:nsid w:val="30EADA61"/>
    <w:multiLevelType w:val="hybridMultilevel"/>
    <w:lvl w:ilvl="0">
      <w:lvlJc w:val="left"/>
      <w:lvlText w:val="(%1)"/>
      <w:numFmt w:val="lowerLetter"/>
      <w:start w:val="6"/>
    </w:lvl>
  </w:abstractNum>
  <w:abstractNum w:abstractNumId="64">
    <w:nsid w:val="27179C0B"/>
    <w:multiLevelType w:val="hybridMultilevel"/>
    <w:lvl w:ilvl="0">
      <w:lvlJc w:val="left"/>
      <w:lvlText w:val="(%1)"/>
      <w:numFmt w:val="lowerLetter"/>
      <w:start w:val="2"/>
    </w:lvl>
  </w:abstractNum>
  <w:abstractNum w:abstractNumId="65">
    <w:nsid w:val="5E63606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6">
    <w:nsid w:val="215641AF"/>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67">
    <w:nsid w:val="53280662"/>
    <w:multiLevelType w:val="hybridMultilevel"/>
    <w:lvl w:ilvl="0">
      <w:lvlJc w:val="left"/>
      <w:lvlText w:val="%1"/>
      <w:numFmt w:val="lowerLetter"/>
      <w:start w:val="1"/>
    </w:lvl>
    <w:lvl w:ilvl="1">
      <w:lvlJc w:val="left"/>
      <w:lvlText w:val="(%2)"/>
      <w:numFmt w:val="lowerRoman"/>
      <w:start w:val="3"/>
    </w:lvl>
  </w:abstractNum>
  <w:abstractNum w:abstractNumId="68">
    <w:nsid w:val="46B24DBC"/>
    <w:multiLevelType w:val="hybridMultilevel"/>
    <w:lvl w:ilvl="0">
      <w:lvlJc w:val="left"/>
      <w:lvlText w:val="(%1)"/>
      <w:numFmt w:val="lowerLetter"/>
      <w:start w:val="3"/>
    </w:lvl>
    <w:lvl w:ilvl="1">
      <w:lvlJc w:val="left"/>
      <w:lvlText w:val="(%2)"/>
      <w:numFmt w:val="lowerRoman"/>
      <w:start w:val="1"/>
    </w:lvl>
  </w:abstractNum>
  <w:abstractNum w:abstractNumId="69">
    <w:nsid w:val="75B52783"/>
    <w:multiLevelType w:val="hybridMultilevel"/>
    <w:lvl w:ilvl="0">
      <w:lvlJc w:val="left"/>
      <w:lvlText w:val="(%1)"/>
      <w:numFmt w:val="lowerLetter"/>
      <w:start w:val="4"/>
    </w:lvl>
  </w:abstractNum>
  <w:abstractNum w:abstractNumId="70">
    <w:nsid w:val="57CE66B4"/>
    <w:multiLevelType w:val="hybridMultilevel"/>
    <w:lvl w:ilvl="0">
      <w:lvlJc w:val="left"/>
      <w:lvlText w:val="(%1)"/>
      <w:numFmt w:val="lowerLetter"/>
      <w:start w:val="5"/>
    </w:lvl>
  </w:abstractNum>
  <w:abstractNum w:abstractNumId="71">
    <w:nsid w:val="67A70B69"/>
    <w:multiLevelType w:val="hybridMultilevel"/>
    <w:lvl w:ilvl="0">
      <w:lvlJc w:val="left"/>
      <w:lvlText w:val="%1."/>
      <w:numFmt w:val="decimal"/>
      <w:start w:val="3"/>
    </w:lvl>
  </w:abstractNum>
  <w:abstractNum w:abstractNumId="72">
    <w:nsid w:val="5953172F"/>
    <w:multiLevelType w:val="hybridMultilevel"/>
    <w:lvl w:ilvl="0">
      <w:lvlJc w:val="left"/>
      <w:lvlText w:val="(%1)"/>
      <w:numFmt w:val="lowerLetter"/>
      <w:start w:val="1"/>
    </w:lvl>
  </w:abstractNum>
  <w:abstractNum w:abstractNumId="73">
    <w:nsid w:val="27EDFE3A"/>
    <w:multiLevelType w:val="hybridMultilevel"/>
    <w:lvl w:ilvl="0">
      <w:lvlJc w:val="left"/>
      <w:lvlText w:val="%1"/>
      <w:numFmt w:val="lowerLetter"/>
      <w:start w:val="1"/>
    </w:lvl>
    <w:lvl w:ilvl="1">
      <w:lvlJc w:val="left"/>
      <w:lvlText w:val="(%2)"/>
      <w:numFmt w:val="lowerLetter"/>
      <w:start w:val="2"/>
    </w:lvl>
  </w:abstractNum>
  <w:abstractNum w:abstractNumId="74">
    <w:nsid w:val="52AC7DFF"/>
    <w:multiLevelType w:val="hybridMultilevel"/>
    <w:lvl w:ilvl="0">
      <w:lvlJc w:val="left"/>
      <w:lvlText w:val="(%1)"/>
      <w:numFmt w:val="lowerLetter"/>
      <w:start w:val="9"/>
    </w:lvl>
    <w:lvl w:ilvl="1">
      <w:lvlJc w:val="left"/>
      <w:lvlText w:val="(%2)"/>
      <w:numFmt w:val="lowerLetter"/>
      <w:start w:val="3"/>
    </w:lvl>
  </w:abstractNum>
  <w:abstractNum w:abstractNumId="75">
    <w:nsid w:val="C4C3AF"/>
    <w:multiLevelType w:val="hybridMultilevel"/>
    <w:lvl w:ilvl="0">
      <w:lvlJc w:val="left"/>
      <w:lvlText w:val="(%1)"/>
      <w:numFmt w:val="lowerLetter"/>
      <w:start w:val="1"/>
    </w:lvl>
  </w:abstractNum>
  <w:abstractNum w:abstractNumId="76">
    <w:nsid w:val="44380727"/>
    <w:multiLevelType w:val="hybridMultilevel"/>
    <w:lvl w:ilvl="0">
      <w:lvlJc w:val="left"/>
      <w:lvlText w:val="(%1)"/>
      <w:numFmt w:val="lowerLetter"/>
      <w:start w:val="1"/>
    </w:lvl>
  </w:abstractNum>
  <w:abstractNum w:abstractNumId="77">
    <w:nsid w:val="6C053B1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8">
    <w:nsid w:val="4F294393"/>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79">
    <w:nsid w:val="5243BFAC"/>
    <w:multiLevelType w:val="hybridMultilevel"/>
    <w:lvl w:ilvl="0">
      <w:lvlJc w:val="left"/>
      <w:lvlText w:val="(%1)"/>
      <w:numFmt w:val="lowerLetter"/>
      <w:start w:val="61"/>
    </w:lvl>
    <w:lvl w:ilvl="1">
      <w:lvlJc w:val="left"/>
      <w:lvlText w:val="(%2)"/>
      <w:numFmt w:val="lowerLetter"/>
      <w:start w:val="35"/>
    </w:lvl>
    <w:lvl w:ilvl="2">
      <w:lvlJc w:val="left"/>
      <w:lvlText w:val="%3"/>
      <w:numFmt w:val="lowerLetter"/>
      <w:start w:val="1"/>
    </w:lvl>
  </w:abstractNum>
  <w:abstractNum w:abstractNumId="80">
    <w:nsid w:val="425EB20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81">
    <w:nsid w:val="334A6F1F"/>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82">
    <w:nsid w:val="2E5B12B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83">
    <w:nsid w:val="5C03D76D"/>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9"/>
    </w:lvl>
  </w:abstractNum>
  <w:abstractNum w:abstractNumId="84">
    <w:nsid w:val="66A48D11"/>
    <w:multiLevelType w:val="hybridMultilevel"/>
    <w:lvl w:ilvl="0">
      <w:lvlJc w:val="left"/>
      <w:lvlText w:val="%1"/>
      <w:numFmt w:val="lowerLetter"/>
      <w:start w:val="1"/>
    </w:lvl>
    <w:lvl w:ilvl="1">
      <w:lvlJc w:val="left"/>
      <w:lvlText w:val="(%2)"/>
      <w:numFmt w:val="lowerRoman"/>
      <w:start w:val="2"/>
    </w:lvl>
  </w:abstractNum>
  <w:abstractNum w:abstractNumId="85">
    <w:nsid w:val="56C28E34"/>
    <w:multiLevelType w:val="hybridMultilevel"/>
    <w:lvl w:ilvl="0">
      <w:lvlJc w:val="left"/>
      <w:lvlText w:val="(%1)"/>
      <w:numFmt w:val="lowerLetter"/>
      <w:start w:val="4"/>
    </w:lvl>
    <w:lvl w:ilvl="1">
      <w:lvlJc w:val="left"/>
      <w:lvlText w:val="%2"/>
      <w:numFmt w:val="lowerRoman"/>
      <w:start w:val="1"/>
    </w:lvl>
  </w:abstractNum>
  <w:abstractNum w:abstractNumId="86">
    <w:nsid w:val="13916F2D"/>
    <w:multiLevelType w:val="hybridMultilevel"/>
    <w:lvl w:ilvl="0">
      <w:lvlJc w:val="left"/>
      <w:lvlText w:val="%1"/>
      <w:numFmt w:val="decimal"/>
      <w:start w:val="1"/>
    </w:lvl>
    <w:lvl w:ilvl="1">
      <w:lvlJc w:val="left"/>
      <w:lvlText w:val="(%2)"/>
      <w:numFmt w:val="lowerLetter"/>
      <w:start w:val="1"/>
    </w:lvl>
  </w:abstractNum>
  <w:abstractNum w:abstractNumId="87">
    <w:nsid w:val="435D38D"/>
    <w:multiLevelType w:val="hybridMultilevel"/>
    <w:lvl w:ilvl="0">
      <w:lvlJc w:val="left"/>
      <w:lvlText w:val="(%1)"/>
      <w:numFmt w:val="decimal"/>
      <w:start w:val="1"/>
    </w:lvl>
    <w:lvl w:ilvl="1">
      <w:lvlJc w:val="left"/>
      <w:lvlText w:val="(%2)"/>
      <w:numFmt w:val="lowerLetter"/>
      <w:start w:val="2"/>
    </w:lvl>
  </w:abstractNum>
  <w:abstractNum w:abstractNumId="88">
    <w:nsid w:val="822C0EF"/>
    <w:multiLevelType w:val="hybridMultilevel"/>
    <w:lvl w:ilvl="0">
      <w:lvlJc w:val="left"/>
      <w:lvlText w:val="%1."/>
      <w:numFmt w:val="decimal"/>
      <w:start w:val="4"/>
    </w:lvl>
  </w:abstractNum>
  <w:abstractNum w:abstractNumId="89">
    <w:nsid w:val="57C5BB4F"/>
    <w:multiLevelType w:val="hybridMultilevel"/>
    <w:lvl w:ilvl="0">
      <w:lvlJc w:val="left"/>
      <w:lvlText w:val="(%1)"/>
      <w:numFmt w:val="lowerLetter"/>
      <w:start w:val="1"/>
    </w:lvl>
  </w:abstractNum>
  <w:abstractNum w:abstractNumId="90">
    <w:nsid w:val="1803D089"/>
    <w:multiLevelType w:val="hybridMultilevel"/>
    <w:lvl w:ilvl="0">
      <w:lvlJc w:val="left"/>
      <w:lvlText w:val="[***]"/>
      <w:numFmt w:val="bullet"/>
      <w:start w:val="1"/>
    </w:lvl>
  </w:abstractNum>
  <w:abstractNum w:abstractNumId="91">
    <w:nsid w:val="4F3A06D4"/>
    <w:multiLevelType w:val="hybridMultilevel"/>
    <w:lvl w:ilvl="0">
      <w:lvlJc w:val="left"/>
      <w:lvlText w:val="(%1)"/>
      <w:numFmt w:val="lowerLetter"/>
      <w:start w:val="1"/>
    </w:lvl>
  </w:abstractNum>
  <w:abstractNum w:abstractNumId="92">
    <w:nsid w:val="59A377B6"/>
    <w:multiLevelType w:val="hybridMultilevel"/>
    <w:lvl w:ilvl="0">
      <w:lvlJc w:val="left"/>
      <w:lvlText w:val="(%1)"/>
      <w:numFmt w:val="lowerLetter"/>
      <w:start w:val="25"/>
    </w:lvl>
    <w:lvl w:ilvl="1">
      <w:lvlJc w:val="left"/>
      <w:lvlText w:val="(%2)"/>
      <w:numFmt w:val="lowerLetter"/>
      <w:start w:val="2"/>
    </w:lvl>
  </w:abstractNum>
  <w:abstractNum w:abstractNumId="93">
    <w:nsid w:val="48AEB063"/>
    <w:multiLevelType w:val="hybridMultilevel"/>
    <w:lvl w:ilvl="0">
      <w:lvlJc w:val="left"/>
      <w:lvlText w:val="(%1)"/>
      <w:numFmt w:val="lowerLetter"/>
      <w:start w:val="1"/>
    </w:lvl>
  </w:abstractNum>
  <w:abstractNum w:abstractNumId="94">
    <w:nsid w:val="24E135"/>
    <w:multiLevelType w:val="hybridMultilevel"/>
    <w:lvl w:ilvl="0">
      <w:lvlJc w:val="left"/>
      <w:lvlText w:val="(%1)"/>
      <w:numFmt w:val="lowerLetter"/>
      <w:start w:val="2"/>
    </w:lvl>
  </w:abstractNum>
  <w:abstractNum w:abstractNumId="95">
    <w:nsid w:val="BB13C1"/>
    <w:multiLevelType w:val="hybridMultilevel"/>
    <w:lvl w:ilvl="0">
      <w:lvlJc w:val="left"/>
      <w:lvlText w:val="%1."/>
      <w:numFmt w:val="decimal"/>
      <w:start w:val="5"/>
    </w:lvl>
    <w:lvl w:ilvl="1">
      <w:lvlJc w:val="left"/>
      <w:lvlText w:val="(%2)"/>
      <w:numFmt w:val="lowerLetter"/>
      <w:start w:val="1"/>
    </w:lvl>
  </w:abstractNum>
  <w:abstractNum w:abstractNumId="96">
    <w:nsid w:val="271210C7"/>
    <w:multiLevelType w:val="hybridMultilevel"/>
    <w:lvl w:ilvl="0">
      <w:lvlJc w:val="left"/>
      <w:lvlText w:val="(%1)"/>
      <w:numFmt w:val="lowerLetter"/>
      <w:start w:val="4"/>
    </w:lvl>
  </w:abstractNum>
  <w:abstractNum w:abstractNumId="97">
    <w:nsid w:val="217B22E4"/>
    <w:multiLevelType w:val="hybridMultilevel"/>
    <w:lvl w:ilvl="0">
      <w:lvlJc w:val="left"/>
      <w:lvlText w:val="(%1)"/>
      <w:numFmt w:val="lowerRoman"/>
      <w:start w:val="1"/>
    </w:lvl>
  </w:abstractNum>
  <w:abstractNum w:abstractNumId="98">
    <w:nsid w:val="53E31A24"/>
    <w:multiLevelType w:val="hybridMultilevel"/>
    <w:lvl w:ilvl="0">
      <w:lvlJc w:val="left"/>
      <w:lvlText w:val="[***]"/>
      <w:numFmt w:val="bullet"/>
      <w:start w:val="1"/>
    </w:lvl>
  </w:abstractNum>
  <w:abstractNum w:abstractNumId="99">
    <w:nsid w:val="6DC45E83"/>
    <w:multiLevelType w:val="hybridMultilevel"/>
    <w:lvl w:ilvl="0">
      <w:lvlJc w:val="left"/>
      <w:lvlText w:val="(%1)"/>
      <w:numFmt w:val="lowerLetter"/>
      <w:start w:val="1"/>
    </w:lvl>
  </w:abstractNum>
  <w:abstractNum w:abstractNumId="100">
    <w:nsid w:val="17304A67"/>
    <w:multiLevelType w:val="hybridMultilevel"/>
    <w:lvl w:ilvl="0">
      <w:lvlJc w:val="left"/>
      <w:lvlText w:val="(%1)"/>
      <w:numFmt w:val="lowerLetter"/>
      <w:start w:val="1"/>
    </w:lvl>
    <w:lvl w:ilvl="1">
      <w:lvlJc w:val="left"/>
      <w:lvlText w:val="(%2)"/>
      <w:numFmt w:val="lowerRoman"/>
      <w:start w:val="1"/>
    </w:lvl>
  </w:abstractNum>
  <w:abstractNum w:abstractNumId="101">
    <w:nsid w:val="2BB180D8"/>
    <w:multiLevelType w:val="hybridMultilevel"/>
    <w:lvl w:ilvl="0">
      <w:lvlJc w:val="left"/>
      <w:lvlText w:val="(%1)"/>
      <w:numFmt w:val="lowerLetter"/>
      <w:start w:val="3"/>
    </w:lvl>
  </w:abstractNum>
  <w:abstractNum w:abstractNumId="102">
    <w:nsid w:val="556B69ED"/>
    <w:multiLevelType w:val="hybridMultilevel"/>
    <w:lvl w:ilvl="0">
      <w:lvlJc w:val="left"/>
      <w:lvlText w:val="[***]"/>
      <w:numFmt w:val="bullet"/>
      <w:start w:val="1"/>
    </w:lvl>
  </w:abstractNum>
  <w:abstractNum w:abstractNumId="103">
    <w:nsid w:val="70836196"/>
    <w:multiLevelType w:val="hybridMultilevel"/>
    <w:lvl w:ilvl="0">
      <w:lvlJc w:val="left"/>
      <w:lvlText w:val="(%1)"/>
      <w:numFmt w:val="lowerLetter"/>
      <w:start w:val="1"/>
    </w:lvl>
    <w:lvl w:ilvl="1">
      <w:lvlJc w:val="left"/>
      <w:lvlText w:val="%2"/>
      <w:numFmt w:val="lowerLetter"/>
      <w:start w:val="1"/>
    </w:lvl>
  </w:abstractNum>
  <w:abstractNum w:abstractNumId="104">
    <w:nsid w:val="539F7F12"/>
    <w:multiLevelType w:val="hybridMultilevel"/>
    <w:lvl w:ilvl="0">
      <w:lvlJc w:val="left"/>
      <w:lvlText w:val="(%1)"/>
      <w:numFmt w:val="lowerLetter"/>
      <w:start w:val="35"/>
    </w:lvl>
    <w:lvl w:ilvl="1">
      <w:lvlJc w:val="left"/>
      <w:lvlText w:val="%2"/>
      <w:numFmt w:val="lowerLetter"/>
      <w:start w:val="1"/>
    </w:lvl>
  </w:abstractNum>
  <w:abstractNum w:abstractNumId="105">
    <w:nsid w:val="2817E7EC"/>
    <w:multiLevelType w:val="hybridMultilevel"/>
    <w:lvl w:ilvl="0">
      <w:lvlJc w:val="left"/>
      <w:lvlText w:val="(%1)"/>
      <w:numFmt w:val="lowerLetter"/>
      <w:start w:val="61"/>
    </w:lvl>
    <w:lvl w:ilvl="1">
      <w:lvlJc w:val="left"/>
      <w:lvlText w:val="%2"/>
      <w:numFmt w:val="lowerLetter"/>
      <w:start w:val="1"/>
    </w:lvl>
  </w:abstractNum>
  <w:abstractNum w:abstractNumId="106">
    <w:nsid w:val="71482545"/>
    <w:multiLevelType w:val="hybridMultilevel"/>
    <w:lvl w:ilvl="0">
      <w:lvlJc w:val="left"/>
      <w:lvlText w:val="%1."/>
      <w:numFmt w:val="decimal"/>
      <w:start w:val="6"/>
    </w:lvl>
  </w:abstractNum>
  <w:abstractNum w:abstractNumId="107">
    <w:nsid w:val="17D78639"/>
    <w:multiLevelType w:val="hybridMultilevel"/>
    <w:lvl w:ilvl="0">
      <w:lvlJc w:val="left"/>
      <w:lvlText w:val="(%1)"/>
      <w:numFmt w:val="lowerLetter"/>
      <w:start w:val="1"/>
    </w:lvl>
  </w:abstractNum>
  <w:abstractNum w:abstractNumId="108">
    <w:nsid w:val="141D2302"/>
    <w:multiLevelType w:val="hybridMultilevel"/>
    <w:lvl w:ilvl="0">
      <w:lvlJc w:val="left"/>
      <w:lvlText w:val="(%1)"/>
      <w:numFmt w:val="lowerLetter"/>
      <w:start w:val="2"/>
    </w:lvl>
    <w:lvl w:ilvl="1">
      <w:lvlJc w:val="left"/>
      <w:lvlText w:val="(%2)"/>
      <w:numFmt w:val="lowerRoman"/>
      <w:start w:val="1"/>
    </w:lvl>
  </w:abstractNum>
  <w:abstractNum w:abstractNumId="109">
    <w:nsid w:val="407168D8"/>
    <w:multiLevelType w:val="hybridMultilevel"/>
    <w:lvl w:ilvl="0">
      <w:lvlJc w:val="left"/>
      <w:lvlText w:val="%1."/>
      <w:numFmt w:val="decimal"/>
      <w:start w:val="7"/>
    </w:lvl>
  </w:abstractNum>
  <w:abstractNum w:abstractNumId="110">
    <w:nsid w:val="6A1B45E5"/>
    <w:multiLevelType w:val="hybridMultilevel"/>
    <w:lvl w:ilvl="0">
      <w:lvlJc w:val="left"/>
      <w:lvlText w:val="(%1)"/>
      <w:numFmt w:val="lowerLetter"/>
      <w:start w:val="1"/>
    </w:lvl>
  </w:abstractNum>
  <w:abstractNum w:abstractNumId="111">
    <w:nsid w:val="567BD50A"/>
    <w:multiLevelType w:val="hybridMultilevel"/>
    <w:lvl w:ilvl="0">
      <w:lvlJc w:val="left"/>
      <w:lvlText w:val="(%1)"/>
      <w:numFmt w:val="lowerLetter"/>
      <w:start w:val="1"/>
    </w:lvl>
  </w:abstractNum>
  <w:abstractNum w:abstractNumId="112">
    <w:nsid w:val="73BBD7F8"/>
    <w:multiLevelType w:val="hybridMultilevel"/>
    <w:lvl w:ilvl="0">
      <w:lvlJc w:val="left"/>
      <w:lvlText w:val="%1"/>
      <w:numFmt w:val="lowerLetter"/>
      <w:start w:val="1"/>
    </w:lvl>
    <w:lvl w:ilvl="1">
      <w:lvlJc w:val="left"/>
      <w:lvlText w:val="(%2)"/>
      <w:numFmt w:val="lowerLetter"/>
      <w:start w:val="2"/>
    </w:lvl>
  </w:abstractNum>
  <w:abstractNum w:abstractNumId="113">
    <w:nsid w:val="1876589D"/>
    <w:multiLevelType w:val="hybridMultilevel"/>
    <w:lvl w:ilvl="0">
      <w:lvlJc w:val="left"/>
      <w:lvlText w:val="(%1)"/>
      <w:numFmt w:val="lowerLetter"/>
      <w:start w:val="2"/>
    </w:lvl>
    <w:lvl w:ilvl="1">
      <w:lvlJc w:val="left"/>
      <w:lvlText w:val="%2"/>
      <w:numFmt w:val="lowerLetter"/>
      <w:start w:val="1"/>
    </w:lvl>
  </w:abstractNum>
  <w:abstractNum w:abstractNumId="114">
    <w:nsid w:val="327FAC77"/>
    <w:multiLevelType w:val="hybridMultilevel"/>
    <w:lvl w:ilvl="0">
      <w:lvlJc w:val="left"/>
      <w:lvlText w:val="%1."/>
      <w:numFmt w:val="decimal"/>
      <w:start w:val="8"/>
    </w:lvl>
  </w:abstractNum>
  <w:abstractNum w:abstractNumId="115">
    <w:nsid w:val="5A606509"/>
    <w:multiLevelType w:val="hybridMultilevel"/>
    <w:lvl w:ilvl="0">
      <w:lvlJc w:val="left"/>
      <w:lvlText w:val="%1."/>
      <w:numFmt w:val="decimal"/>
      <w:start w:val="9"/>
    </w:lvl>
  </w:abstractNum>
  <w:abstractNum w:abstractNumId="116">
    <w:nsid w:val="6F38E6D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7">
    <w:nsid w:val="46111BA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118">
    <w:nsid w:val="5E96389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119">
    <w:nsid w:val="775BA7C1"/>
    <w:multiLevelType w:val="hybridMultilevel"/>
    <w:lvl w:ilvl="0">
      <w:lvlJc w:val="left"/>
      <w:lvlText w:val="(%1)"/>
      <w:numFmt w:val="lowerLetter"/>
      <w:start w:val="2"/>
    </w:lvl>
  </w:abstractNum>
  <w:abstractNum w:abstractNumId="120">
    <w:nsid w:val="1DD6D6F4"/>
    <w:multiLevelType w:val="hybridMultilevel"/>
    <w:lvl w:ilvl="0">
      <w:lvlJc w:val="left"/>
      <w:lvlText w:val="%1."/>
      <w:numFmt w:val="decimal"/>
      <w:start w:val="10"/>
    </w:lvl>
  </w:abstractNum>
  <w:abstractNum w:abstractNumId="121">
    <w:nsid w:val="769A091F"/>
    <w:multiLevelType w:val="hybridMultilevel"/>
    <w:lvl w:ilvl="0">
      <w:lvlJc w:val="left"/>
      <w:lvlText w:val="(%1)"/>
      <w:numFmt w:val="lowerLetter"/>
      <w:start w:val="1"/>
    </w:lvl>
  </w:abstractNum>
  <w:abstractNum w:abstractNumId="122">
    <w:nsid w:val="4695AE95"/>
    <w:multiLevelType w:val="hybridMultilevel"/>
    <w:lvl w:ilvl="0">
      <w:lvlJc w:val="left"/>
      <w:lvlText w:val="(%1)"/>
      <w:numFmt w:val="lowerLetter"/>
      <w:start w:val="2"/>
    </w:lvl>
  </w:abstractNum>
  <w:abstractNum w:abstractNumId="123">
    <w:nsid w:val="777A4EAA"/>
    <w:multiLevelType w:val="hybridMultilevel"/>
    <w:lvl w:ilvl="0">
      <w:lvlJc w:val="left"/>
      <w:lvlText w:val="(%1)"/>
      <w:numFmt w:val="lowerLetter"/>
      <w:start w:val="1"/>
    </w:lvl>
  </w:abstractNum>
  <w:abstractNum w:abstractNumId="124">
    <w:nsid w:val="3F48B98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5">
    <w:nsid w:val="46BA8FC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26">
    <w:nsid w:val="7835626C"/>
    <w:multiLevelType w:val="hybridMultilevel"/>
    <w:lvl w:ilvl="0">
      <w:lvlJc w:val="left"/>
      <w:lvlText w:val="(%1)"/>
      <w:numFmt w:val="lowerLetter"/>
      <w:start w:val="1"/>
    </w:lvl>
    <w:lvl w:ilvl="1">
      <w:lvlJc w:val="left"/>
      <w:lvlText w:val="(%2)"/>
      <w:numFmt w:val="lowerRoman"/>
      <w:start w:val="1"/>
    </w:lvl>
  </w:abstractNum>
  <w:abstractNum w:abstractNumId="127">
    <w:nsid w:val="665ACA49"/>
    <w:multiLevelType w:val="hybridMultilevel"/>
    <w:lvl w:ilvl="0">
      <w:lvlJc w:val="left"/>
      <w:lvlText w:val="(%1)"/>
      <w:numFmt w:val="lowerLetter"/>
      <w:start w:val="1"/>
    </w:lvl>
    <w:lvl w:ilvl="1">
      <w:lvlJc w:val="left"/>
      <w:lvlText w:val="(%2)"/>
      <w:numFmt w:val="lowerRoman"/>
      <w:start w:val="1"/>
    </w:lvl>
  </w:abstractNum>
  <w:abstractNum w:abstractNumId="128">
    <w:nsid w:val="6835B2AE"/>
    <w:multiLevelType w:val="hybridMultilevel"/>
    <w:lvl w:ilvl="0">
      <w:lvlJc w:val="left"/>
      <w:lvlText w:val="(%1)"/>
      <w:numFmt w:val="lowerLetter"/>
      <w:start w:val="1"/>
    </w:lvl>
  </w:abstractNum>
  <w:abstractNum w:abstractNumId="129">
    <w:nsid w:val="4C187C90"/>
    <w:multiLevelType w:val="hybridMultilevel"/>
    <w:lvl w:ilvl="0">
      <w:lvlJc w:val="left"/>
      <w:lvlText w:val="[***]"/>
      <w:numFmt w:val="bullet"/>
      <w:start w:val="1"/>
    </w:lvl>
  </w:abstractNum>
  <w:abstractNum w:abstractNumId="130">
    <w:nsid w:val="541F28CD"/>
    <w:multiLevelType w:val="hybridMultilevel"/>
    <w:lvl w:ilvl="0">
      <w:lvlJc w:val="left"/>
      <w:lvlText w:val="%1."/>
      <w:numFmt w:val="decimal"/>
      <w:start w:val="12"/>
    </w:lvl>
  </w:abstractNum>
  <w:abstractNum w:abstractNumId="131">
    <w:nsid w:val="7F65FD16"/>
    <w:multiLevelType w:val="hybridMultilevel"/>
    <w:lvl w:ilvl="0">
      <w:lvlJc w:val="left"/>
      <w:lvlText w:val="(%1)"/>
      <w:numFmt w:val="lowerLetter"/>
      <w:start w:val="1"/>
    </w:lvl>
    <w:lvl w:ilvl="1">
      <w:lvlJc w:val="left"/>
      <w:lvlText w:val="(%2)"/>
      <w:numFmt w:val="lowerRoman"/>
      <w:start w:val="1"/>
    </w:lvl>
  </w:abstractNum>
  <w:abstractNum w:abstractNumId="132">
    <w:nsid w:val="77C9FD68"/>
    <w:multiLevelType w:val="hybridMultilevel"/>
    <w:lvl w:ilvl="0">
      <w:lvlJc w:val="left"/>
      <w:lvlText w:val="(%1)"/>
      <w:numFmt w:val="lowerLetter"/>
      <w:start w:val="3"/>
    </w:lvl>
    <w:lvl w:ilvl="1">
      <w:lvlJc w:val="left"/>
      <w:lvlText w:val="(%2)"/>
      <w:numFmt w:val="lowerRoman"/>
      <w:start w:val="1"/>
    </w:lvl>
  </w:abstractNum>
  <w:abstractNum w:abstractNumId="133">
    <w:nsid w:val="298A92BA"/>
    <w:multiLevelType w:val="hybridMultilevel"/>
    <w:lvl w:ilvl="0">
      <w:lvlJc w:val="left"/>
      <w:lvlText w:val="(%1)"/>
      <w:numFmt w:val="lowerLetter"/>
      <w:start w:val="4"/>
    </w:lvl>
  </w:abstractNum>
  <w:abstractNum w:abstractNumId="134">
    <w:nsid w:val="6FE95EAC"/>
    <w:multiLevelType w:val="hybridMultilevel"/>
    <w:lvl w:ilvl="0">
      <w:lvlJc w:val="left"/>
      <w:lvlText w:val="[***]"/>
      <w:numFmt w:val="bullet"/>
      <w:start w:val="1"/>
    </w:lvl>
    <w:lvl w:ilvl="1">
      <w:lvlJc w:val="left"/>
      <w:lvlText w:val="(%2)"/>
      <w:numFmt w:val="lowerLetter"/>
      <w:start w:val="1"/>
    </w:lvl>
  </w:abstractNum>
  <w:abstractNum w:abstractNumId="135">
    <w:nsid w:val="4B697C7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36">
    <w:nsid w:val="51A27AA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37">
    <w:nsid w:val="613183F2"/>
    <w:multiLevelType w:val="hybridMultilevel"/>
    <w:lvl w:ilvl="0">
      <w:lvlJc w:val="left"/>
      <w:lvlText w:val="%1"/>
      <w:numFmt w:val="lowerLetter"/>
      <w:start w:val="1"/>
    </w:lvl>
    <w:lvl w:ilvl="1">
      <w:lvlJc w:val="left"/>
      <w:lvlText w:val="(%2)"/>
      <w:numFmt w:val="lowerRoman"/>
      <w:start w:val="2"/>
    </w:lvl>
  </w:abstractNum>
  <w:abstractNum w:abstractNumId="138">
    <w:nsid w:val="634102B4"/>
    <w:multiLevelType w:val="hybridMultilevel"/>
    <w:lvl w:ilvl="0">
      <w:lvlJc w:val="left"/>
      <w:lvlText w:val="(%1)"/>
      <w:numFmt w:val="lowerLetter"/>
      <w:start w:val="3"/>
    </w:lvl>
    <w:lvl w:ilvl="1">
      <w:lvlJc w:val="left"/>
      <w:lvlText w:val="%2"/>
      <w:numFmt w:val="lowerRoman"/>
      <w:start w:val="1"/>
    </w:lvl>
  </w:abstractNum>
  <w:abstractNum w:abstractNumId="139">
    <w:nsid w:val="65BF9DA8"/>
    <w:multiLevelType w:val="hybridMultilevel"/>
    <w:lvl w:ilvl="0">
      <w:lvlJc w:val="left"/>
      <w:lvlText w:val="%1"/>
      <w:numFmt w:val="decimal"/>
      <w:start w:val="1"/>
    </w:lvl>
    <w:lvl w:ilvl="1">
      <w:lvlJc w:val="left"/>
      <w:lvlText w:val="(%2)"/>
      <w:numFmt w:val="lowerLetter"/>
      <w:start w:val="1"/>
    </w:lvl>
  </w:abstractNum>
  <w:abstractNum w:abstractNumId="140">
    <w:nsid w:val="21A2ECCA"/>
    <w:multiLevelType w:val="hybridMultilevel"/>
    <w:lvl w:ilvl="0">
      <w:lvlJc w:val="left"/>
      <w:lvlText w:val="%1."/>
      <w:numFmt w:val="decimal"/>
      <w:start w:val="13"/>
    </w:lvl>
    <w:lvl w:ilvl="1">
      <w:lvlJc w:val="left"/>
      <w:lvlText w:val="%2"/>
      <w:numFmt w:val="lowerLetter"/>
      <w:start w:val="1"/>
    </w:lvl>
  </w:abstractNum>
  <w:abstractNum w:abstractNumId="141">
    <w:nsid w:val="4D5C489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2">
    <w:nsid w:val="3C3B72B2"/>
    <w:multiLevelType w:val="hybridMultilevel"/>
    <w:lvl w:ilvl="0">
      <w:lvlJc w:val="left"/>
      <w:lvlText w:val="(%1)"/>
      <w:numFmt w:val="decimal"/>
      <w:start w:val="3"/>
    </w:lvl>
  </w:abstractNum>
  <w:abstractNum w:abstractNumId="143">
    <w:nsid w:val="155EC4C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8"/>
    </w:lvl>
  </w:abstractNum>
  <w:abstractNum w:abstractNumId="144">
    <w:nsid w:val="65D2A13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145">
    <w:nsid w:val="6EBB1F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46">
    <w:nsid w:val="6FBF29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47">
    <w:nsid w:val="550B880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48">
    <w:nsid w:val="34CC3ACF"/>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149">
    <w:nsid w:val="4E556261"/>
    <w:multiLevelType w:val="hybridMultilevel"/>
    <w:lvl w:ilvl="0">
      <w:lvlJc w:val="left"/>
      <w:lvlText w:val="(%1)"/>
      <w:numFmt w:val="lowerLetter"/>
      <w:start w:val="1"/>
    </w:lvl>
  </w:abstractNum>
  <w:abstractNum w:abstractNumId="150">
    <w:nsid w:val="4C672FC9"/>
    <w:multiLevelType w:val="hybridMultilevel"/>
    <w:lvl w:ilvl="0">
      <w:lvlJc w:val="left"/>
      <w:lvlText w:val="(%1)"/>
      <w:numFmt w:val="lowerLetter"/>
      <w:start w:val="4"/>
    </w:lvl>
  </w:abstractNum>
  <w:abstractNum w:abstractNumId="151">
    <w:nsid w:val="52A311C3"/>
    <w:multiLevelType w:val="hybridMultilevel"/>
    <w:lvl w:ilvl="0">
      <w:lvlJc w:val="left"/>
      <w:lvlText w:val="(%1)"/>
      <w:numFmt w:val="lowerLetter"/>
      <w:start w:val="11"/>
    </w:lvl>
  </w:abstractNum>
  <w:abstractNum w:abstractNumId="152">
    <w:nsid w:val="44EF6B80"/>
    <w:multiLevelType w:val="hybridMultilevel"/>
    <w:lvl w:ilvl="0">
      <w:lvlJc w:val="left"/>
      <w:lvlText w:val="(%1)"/>
      <w:numFmt w:val="lowerLetter"/>
      <w:start w:val="17"/>
    </w:lvl>
  </w:abstractNum>
  <w:abstractNum w:abstractNumId="153">
    <w:nsid w:val="12FCDE5E"/>
    <w:multiLevelType w:val="hybridMultilevel"/>
    <w:lvl w:ilvl="0">
      <w:lvlJc w:val="left"/>
      <w:lvlText w:val="(%1)"/>
      <w:numFmt w:val="lowerLetter"/>
      <w:start w:val="1"/>
    </w:lvl>
  </w:abstractNum>
  <w:abstractNum w:abstractNumId="154">
    <w:nsid w:val="4A1D606E"/>
    <w:multiLevelType w:val="hybridMultilevel"/>
    <w:lvl w:ilvl="0">
      <w:lvlJc w:val="left"/>
      <w:lvlText w:val="(%1)"/>
      <w:numFmt w:val="lowerLetter"/>
      <w:start w:val="1"/>
    </w:lvl>
    <w:lvl w:ilvl="1">
      <w:lvlJc w:val="left"/>
      <w:lvlText w:val="(%2)"/>
      <w:numFmt w:val="lowerRoman"/>
      <w:start w:val="1"/>
    </w:lvl>
  </w:abstractNum>
  <w:abstractNum w:abstractNumId="155">
    <w:nsid w:val="4382503"/>
    <w:multiLevelType w:val="hybridMultilevel"/>
    <w:lvl w:ilvl="0">
      <w:lvlJc w:val="left"/>
      <w:lvlText w:val="%1"/>
      <w:numFmt w:val="lowerLetter"/>
      <w:start w:val="1"/>
    </w:lvl>
    <w:lvl w:ilvl="1">
      <w:lvlJc w:val="left"/>
      <w:lvlText w:val="(%2)"/>
      <w:numFmt w:val="lowerLetter"/>
      <w:start w:val="22"/>
    </w:lvl>
  </w:abstractNum>
  <w:abstractNum w:abstractNumId="156">
    <w:nsid w:val="59B76E28"/>
    <w:multiLevelType w:val="hybridMultilevel"/>
    <w:lvl w:ilvl="0">
      <w:lvlJc w:val="left"/>
      <w:lvlText w:val="(%1)"/>
      <w:numFmt w:val="lowerLetter"/>
      <w:start w:val="3"/>
    </w:lvl>
    <w:lvl w:ilvl="1">
      <w:lvlJc w:val="left"/>
      <w:lvlText w:val="(%2)"/>
      <w:numFmt w:val="lowerLetter"/>
      <w:start w:val="9"/>
    </w:lvl>
  </w:abstractNum>
  <w:abstractNum w:abstractNumId="157">
    <w:nsid w:val="4252C2DA"/>
    <w:multiLevelType w:val="hybridMultilevel"/>
    <w:lvl w:ilvl="0">
      <w:lvlJc w:val="left"/>
      <w:lvlText w:val="(%1)"/>
      <w:numFmt w:val="lowerRoman"/>
      <w:start w:val="2"/>
    </w:lvl>
  </w:abstractNum>
  <w:abstractNum w:abstractNumId="158">
    <w:nsid w:val="6A92EF4C"/>
    <w:multiLevelType w:val="hybridMultilevel"/>
    <w:lvl w:ilvl="0">
      <w:lvlJc w:val="left"/>
      <w:lvlText w:val="%1."/>
      <w:numFmt w:val="decimal"/>
      <w:start w:val="15"/>
    </w:lvl>
  </w:abstractNum>
  <w:abstractNum w:abstractNumId="159">
    <w:nsid w:val="41ED20D7"/>
    <w:multiLevelType w:val="hybridMultilevel"/>
    <w:lvl w:ilvl="0">
      <w:lvlJc w:val="left"/>
      <w:lvlText w:val="(%1)"/>
      <w:numFmt w:val="lowerLetter"/>
      <w:start w:val="1"/>
    </w:lvl>
  </w:abstractNum>
  <w:abstractNum w:abstractNumId="160">
    <w:nsid w:val="E6B3F6A"/>
    <w:multiLevelType w:val="hybridMultilevel"/>
    <w:lvl w:ilvl="0">
      <w:lvlJc w:val="left"/>
      <w:lvlText w:val="(%1)"/>
      <w:numFmt w:val="lowerLetter"/>
      <w:start w:val="3"/>
    </w:lvl>
  </w:abstractNum>
  <w:abstractNum w:abstractNumId="161">
    <w:nsid w:val="3EB21819"/>
    <w:multiLevelType w:val="hybridMultilevel"/>
    <w:lvl w:ilvl="0">
      <w:lvlJc w:val="left"/>
      <w:lvlText w:val="(%1)"/>
      <w:numFmt w:val="upperLetter"/>
      <w:start w:val="2"/>
    </w:lvl>
  </w:abstractNum>
  <w:abstractNum w:abstractNumId="162">
    <w:nsid w:val="41531DED"/>
    <w:multiLevelType w:val="hybridMultilevel"/>
    <w:lvl w:ilvl="0">
      <w:lvlJc w:val="left"/>
      <w:lvlText w:val="%1."/>
      <w:numFmt w:val="decimal"/>
      <w:start w:val="16"/>
    </w:lvl>
  </w:abstractNum>
  <w:abstractNum w:abstractNumId="163">
    <w:nsid w:val="6353CD2"/>
    <w:multiLevelType w:val="hybridMultilevel"/>
    <w:lvl w:ilvl="0">
      <w:lvlJc w:val="left"/>
      <w:lvlText w:val="(%1)"/>
      <w:numFmt w:val="lowerLetter"/>
      <w:start w:val="1"/>
    </w:lvl>
  </w:abstractNum>
  <w:abstractNum w:abstractNumId="164">
    <w:nsid w:val="683CAAD3"/>
    <w:multiLevelType w:val="hybridMultilevel"/>
    <w:lvl w:ilvl="0">
      <w:lvlJc w:val="left"/>
      <w:lvlText w:val="(%1)"/>
      <w:numFmt w:val="lowerLetter"/>
      <w:start w:val="3"/>
    </w:lvl>
  </w:abstractNum>
  <w:abstractNum w:abstractNumId="165">
    <w:nsid w:val="313C7C9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66">
    <w:nsid w:val="519EB94C"/>
    <w:multiLevelType w:val="hybridMultilevel"/>
    <w:lvl w:ilvl="0">
      <w:lvlJc w:val="left"/>
      <w:lvlText w:val="[***]"/>
      <w:numFmt w:val="bullet"/>
      <w:start w:val="1"/>
    </w:lvl>
    <w:lvl w:ilvl="1">
      <w:lvlJc w:val="left"/>
      <w:lvlText w:val="(%2)"/>
      <w:numFmt w:val="decimal"/>
      <w:start w:val="2"/>
    </w:lvl>
  </w:abstractNum>
  <w:abstractNum w:abstractNumId="167">
    <w:nsid w:val="39DF2579"/>
    <w:multiLevelType w:val="hybridMultilevel"/>
    <w:lvl w:ilvl="0">
      <w:lvlJc w:val="left"/>
      <w:lvlText w:val="%1"/>
      <w:numFmt w:val="lowerLetter"/>
      <w:start w:val="1"/>
    </w:lvl>
    <w:lvl w:ilvl="1">
      <w:lvlJc w:val="left"/>
      <w:lvlText w:val="(%2)"/>
      <w:numFmt w:val="lowerRoman"/>
      <w:start w:val="6"/>
    </w:lvl>
  </w:abstractNum>
  <w:abstractNum w:abstractNumId="168">
    <w:nsid w:val="126E008B"/>
    <w:multiLevelType w:val="hybridMultilevel"/>
    <w:lvl w:ilvl="0">
      <w:lvlJc w:val="left"/>
      <w:lvlText w:val="(%1)"/>
      <w:numFmt w:val="lowerLetter"/>
      <w:start w:val="2"/>
    </w:lvl>
    <w:lvl w:ilvl="1">
      <w:lvlJc w:val="left"/>
      <w:lvlText w:val="%2"/>
      <w:numFmt w:val="lowerRoman"/>
      <w:start w:val="1"/>
    </w:lvl>
  </w:abstractNum>
  <w:abstractNum w:abstractNumId="169">
    <w:nsid w:val="34DFBC00"/>
    <w:multiLevelType w:val="hybridMultilevel"/>
    <w:lvl w:ilvl="0">
      <w:lvlJc w:val="left"/>
      <w:lvlText w:val="(%1)"/>
      <w:numFmt w:val="lowerLetter"/>
      <w:start w:val="3"/>
    </w:lvl>
  </w:abstractNum>
  <w:abstractNum w:abstractNumId="170">
    <w:nsid w:val="1F9EC322"/>
    <w:multiLevelType w:val="hybridMultilevel"/>
    <w:lvl w:ilvl="0">
      <w:lvlJc w:val="left"/>
      <w:lvlText w:val="(%1)"/>
      <w:numFmt w:val="lowerLetter"/>
      <w:start w:val="1"/>
    </w:lvl>
  </w:abstractNum>
  <w:abstractNum w:abstractNumId="171">
    <w:nsid w:val="3410ED56"/>
    <w:multiLevelType w:val="hybridMultilevel"/>
    <w:lvl w:ilvl="0">
      <w:lvlJc w:val="left"/>
      <w:lvlText w:val="(%1)"/>
      <w:numFmt w:val="lowerLetter"/>
      <w:start w:val="4"/>
    </w:lvl>
  </w:abstractNum>
  <w:abstractNum w:abstractNumId="172">
    <w:nsid w:val="23C049A"/>
    <w:multiLevelType w:val="hybridMultilevel"/>
    <w:lvl w:ilvl="0">
      <w:lvlJc w:val="left"/>
      <w:lvlText w:val="(%1)"/>
      <w:numFmt w:val="lowerLetter"/>
      <w:start w:val="1"/>
    </w:lvl>
  </w:abstractNum>
  <w:abstractNum w:abstractNumId="173">
    <w:nsid w:val="5BDA35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lvl w:ilvl="4">
      <w:lvlJc w:val="left"/>
      <w:lvlText w:val="%5"/>
      <w:numFmt w:val="decimal"/>
      <w:start w:val="1"/>
    </w:lvl>
  </w:abstractNum>
  <w:abstractNum w:abstractNumId="174">
    <w:nsid w:val="496FB218"/>
    <w:multiLevelType w:val="hybridMultilevel"/>
    <w:lvl w:ilvl="0">
      <w:lvlJc w:val="left"/>
      <w:lvlText w:val="(%1)"/>
      <w:numFmt w:val="decimal"/>
      <w:start w:val="1"/>
    </w:lvl>
    <w:lvl w:ilvl="1">
      <w:lvlJc w:val="left"/>
      <w:lvlText w:val="(%2)"/>
      <w:numFmt w:val="lowerLetter"/>
      <w:start w:val="23"/>
    </w:lvl>
    <w:lvl w:ilvl="2">
      <w:lvlJc w:val="left"/>
      <w:lvlText w:val="%3"/>
      <w:numFmt w:val="lowerLetter"/>
      <w:start w:val="1"/>
    </w:lvl>
    <w:lvl w:ilvl="3">
      <w:lvlJc w:val="left"/>
      <w:lvlText w:val="(%4)"/>
      <w:numFmt w:val="lowerRoman"/>
      <w:start w:val="3"/>
    </w:lvl>
    <w:lvl w:ilvl="4">
      <w:lvlJc w:val="left"/>
      <w:lvlText w:val="(%5)"/>
      <w:numFmt w:val="decimal"/>
      <w:start w:val="1"/>
    </w:lvl>
  </w:abstractNum>
  <w:abstractNum w:abstractNumId="175">
    <w:nsid w:val="680EA5D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176">
    <w:nsid w:val="4A9554F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lvl w:ilvl="3">
      <w:lvlJc w:val="left"/>
      <w:lvlText w:val="%4"/>
      <w:numFmt w:val="decimal"/>
      <w:start w:val="1"/>
    </w:lvl>
  </w:abstractNum>
  <w:abstractNum w:abstractNumId="177">
    <w:nsid w:val="392EDBE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5"/>
    </w:lvl>
    <w:lvl w:ilvl="3">
      <w:lvlJc w:val="left"/>
      <w:lvlText w:val="%4"/>
      <w:numFmt w:val="decimal"/>
      <w:start w:val="1"/>
    </w:lvl>
  </w:abstractNum>
  <w:abstractNum w:abstractNumId="178">
    <w:nsid w:val="3D1A2DD9"/>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179">
    <w:nsid w:val="7F618FCD"/>
    <w:multiLevelType w:val="hybridMultilevel"/>
    <w:lvl w:ilvl="0">
      <w:lvlJc w:val="left"/>
      <w:lvlText w:val="(%1)"/>
      <w:numFmt w:val="lowerRoman"/>
      <w:start w:val="2"/>
    </w:lvl>
  </w:abstractNum>
  <w:abstractNum w:abstractNumId="180">
    <w:nsid w:val="7843E45"/>
    <w:multiLevelType w:val="hybridMultilevel"/>
    <w:lvl w:ilvl="0">
      <w:lvlJc w:val="left"/>
      <w:lvlText w:val="(%1)"/>
      <w:numFmt w:val="lowerLetter"/>
      <w:start w:val="4"/>
    </w:lvl>
  </w:abstractNum>
  <w:abstractNum w:abstractNumId="181">
    <w:nsid w:val="9815DA3"/>
    <w:multiLevelType w:val="hybridMultilevel"/>
    <w:lvl w:ilvl="0">
      <w:lvlJc w:val="left"/>
      <w:lvlText w:val="(%1)"/>
      <w:numFmt w:val="lowerLetter"/>
      <w:start w:val="1"/>
    </w:lvl>
    <w:lvl w:ilvl="1">
      <w:lvlJc w:val="left"/>
      <w:lvlText w:val="(%2)"/>
      <w:numFmt w:val="lowerRoman"/>
      <w:start w:val="1"/>
    </w:lvl>
  </w:abstractNum>
  <w:abstractNum w:abstractNumId="182">
    <w:nsid w:val="5204A191"/>
    <w:multiLevelType w:val="hybridMultilevel"/>
    <w:lvl w:ilvl="0">
      <w:lvlJc w:val="left"/>
      <w:lvlText w:val="(%1)"/>
      <w:numFmt w:val="lowerLetter"/>
      <w:start w:val="24"/>
    </w:lvl>
    <w:lvl w:ilvl="1">
      <w:lvlJc w:val="left"/>
      <w:lvlText w:val="(%2)"/>
      <w:numFmt w:val="lowerLetter"/>
      <w:start w:val="4"/>
    </w:lvl>
  </w:abstractNum>
  <w:abstractNum w:abstractNumId="183">
    <w:nsid w:val="4C73A9C6"/>
    <w:multiLevelType w:val="hybridMultilevel"/>
    <w:lvl w:ilvl="0">
      <w:lvlJc w:val="left"/>
      <w:lvlText w:val="[***]"/>
      <w:numFmt w:val="bullet"/>
      <w:start w:val="1"/>
    </w:lvl>
  </w:abstractNum>
  <w:abstractNum w:abstractNumId="184">
    <w:nsid w:val="1C7E3C01"/>
    <w:multiLevelType w:val="hybridMultilevel"/>
    <w:lvl w:ilvl="0">
      <w:lvlJc w:val="left"/>
      <w:lvlText w:val="%1."/>
      <w:numFmt w:val="decimal"/>
      <w:start w:val="17"/>
    </w:lvl>
  </w:abstractNum>
  <w:abstractNum w:abstractNumId="185">
    <w:nsid w:val="1C2201FF"/>
    <w:multiLevelType w:val="hybridMultilevel"/>
    <w:lvl w:ilvl="0">
      <w:lvlJc w:val="left"/>
      <w:lvlText w:val="[***]"/>
      <w:numFmt w:val="bullet"/>
      <w:start w:val="1"/>
    </w:lvl>
  </w:abstractNum>
  <w:abstractNum w:abstractNumId="186">
    <w:nsid w:val="50ABCEC9"/>
    <w:multiLevelType w:val="hybridMultilevel"/>
    <w:lvl w:ilvl="0">
      <w:lvlJc w:val="left"/>
      <w:lvlText w:val="%1."/>
      <w:numFmt w:val="decimal"/>
      <w:start w:val="18"/>
    </w:lvl>
  </w:abstractNum>
  <w:abstractNum w:abstractNumId="187">
    <w:nsid w:val="7635AA2A"/>
    <w:multiLevelType w:val="hybridMultilevel"/>
    <w:lvl w:ilvl="0">
      <w:lvlJc w:val="left"/>
      <w:lvlText w:val="(%1)"/>
      <w:numFmt w:val="lowerLetter"/>
      <w:start w:val="1"/>
    </w:lvl>
  </w:abstractNum>
  <w:abstractNum w:abstractNumId="188">
    <w:nsid w:val="5E74C4D9"/>
    <w:multiLevelType w:val="hybridMultilevel"/>
    <w:lvl w:ilvl="0">
      <w:lvlJc w:val="left"/>
      <w:lvlText w:val="(%1)"/>
      <w:numFmt w:val="lowerLetter"/>
      <w:start w:val="1"/>
    </w:lvl>
  </w:abstractNum>
  <w:abstractNum w:abstractNumId="189">
    <w:nsid w:val="3B3EBE15"/>
    <w:multiLevelType w:val="hybridMultilevel"/>
    <w:lvl w:ilvl="0">
      <w:lvlJc w:val="left"/>
      <w:lvlText w:val="(%1)"/>
      <w:numFmt w:val="lowerLetter"/>
      <w:start w:val="1"/>
    </w:lvl>
  </w:abstractNum>
  <w:abstractNum w:abstractNumId="190">
    <w:nsid w:val="3822CB0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91">
    <w:nsid w:val="6CE0044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192">
    <w:nsid w:val="79F0D62F"/>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93">
    <w:nsid w:val="7975E8EE"/>
    <w:multiLevelType w:val="hybridMultilevel"/>
    <w:lvl w:ilvl="0">
      <w:lvlJc w:val="left"/>
      <w:lvlText w:val="(%1)"/>
      <w:numFmt w:val="lowerRoman"/>
      <w:start w:val="1"/>
    </w:lvl>
  </w:abstractNum>
  <w:abstractNum w:abstractNumId="194">
    <w:nsid w:val="73154115"/>
    <w:multiLevelType w:val="hybridMultilevel"/>
    <w:lvl w:ilvl="0">
      <w:lvlJc w:val="left"/>
      <w:lvlText w:val="[***]"/>
      <w:numFmt w:val="bullet"/>
      <w:start w:val="1"/>
    </w:lvl>
    <w:lvl w:ilvl="1">
      <w:lvlJc w:val="left"/>
      <w:lvlText w:val="(%2)"/>
      <w:numFmt w:val="lowerLetter"/>
      <w:start w:val="1"/>
    </w:lvl>
  </w:abstractNum>
  <w:abstractNum w:abstractNumId="195">
    <w:nsid w:val="622D8102"/>
    <w:multiLevelType w:val="hybridMultilevel"/>
    <w:lvl w:ilvl="0">
      <w:lvlJc w:val="left"/>
      <w:lvlText w:val="%1."/>
      <w:numFmt w:val="decimal"/>
      <w:start w:val="19"/>
    </w:lvl>
  </w:abstractNum>
  <w:abstractNum w:abstractNumId="196">
    <w:nsid w:val="2AB26587"/>
    <w:multiLevelType w:val="hybridMultilevel"/>
    <w:lvl w:ilvl="0">
      <w:lvlJc w:val="left"/>
      <w:lvlText w:val="(%1)"/>
      <w:numFmt w:val="lowerLetter"/>
      <w:start w:val="1"/>
    </w:lvl>
    <w:lvl w:ilvl="1">
      <w:lvlJc w:val="left"/>
      <w:lvlText w:val="(%2)"/>
      <w:numFmt w:val="lowerRoman"/>
      <w:start w:val="1"/>
    </w:lvl>
  </w:abstractNum>
  <w:abstractNum w:abstractNumId="197">
    <w:nsid w:val="44B3FA61"/>
    <w:multiLevelType w:val="hybridMultilevel"/>
    <w:lvl w:ilvl="0">
      <w:lvlJc w:val="left"/>
      <w:lvlText w:val="(%1)"/>
      <w:numFmt w:val="lowerRoman"/>
      <w:start w:val="4"/>
    </w:lvl>
  </w:abstractNum>
  <w:abstractNum w:abstractNumId="198">
    <w:nsid w:val="1C0CA6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99">
    <w:nsid w:val="3D20661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00">
    <w:nsid w:val="7993B66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01">
    <w:nsid w:val="3BAB699E"/>
    <w:multiLevelType w:val="hybridMultilevel"/>
    <w:lvl w:ilvl="0">
      <w:lvlJc w:val="left"/>
      <w:lvlText w:val="(%1)"/>
      <w:numFmt w:val="lowerRoman"/>
      <w:start w:val="1"/>
    </w:lvl>
  </w:abstractNum>
  <w:abstractNum w:abstractNumId="202">
    <w:nsid w:val="71315369"/>
    <w:multiLevelType w:val="hybridMultilevel"/>
    <w:lvl w:ilvl="0">
      <w:lvlJc w:val="left"/>
      <w:lvlText w:val="(%1)"/>
      <w:numFmt w:val="lowerLetter"/>
      <w:start w:val="1"/>
    </w:lvl>
    <w:lvl w:ilvl="1">
      <w:lvlJc w:val="left"/>
      <w:lvlText w:val="(%2)"/>
      <w:numFmt w:val="lowerRoman"/>
      <w:start w:val="1"/>
    </w:lvl>
  </w:abstractNum>
  <w:abstractNum w:abstractNumId="203">
    <w:nsid w:val="7BCFBAFC"/>
    <w:multiLevelType w:val="hybridMultilevel"/>
    <w:lvl w:ilvl="0">
      <w:lvlJc w:val="left"/>
      <w:lvlText w:val="(%1)"/>
      <w:numFmt w:val="decimal"/>
      <w:start w:val="2"/>
    </w:lvl>
    <w:lvl w:ilvl="1">
      <w:lvlJc w:val="left"/>
      <w:lvlText w:val="(%2)"/>
      <w:numFmt w:val="lowerRoman"/>
      <w:start w:val="4"/>
    </w:lvl>
  </w:abstractNum>
  <w:abstractNum w:abstractNumId="204">
    <w:nsid w:val="17859F72"/>
    <w:multiLevelType w:val="hybridMultilevel"/>
    <w:lvl w:ilvl="0">
      <w:lvlJc w:val="left"/>
      <w:lvlText w:val="(%1)"/>
      <w:numFmt w:val="lowerLetter"/>
      <w:start w:val="1"/>
    </w:lvl>
  </w:abstractNum>
  <w:abstractNum w:abstractNumId="205">
    <w:nsid w:val="3AA1058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206">
    <w:nsid w:val="63DE60CD"/>
    <w:multiLevelType w:val="hybridMultilevel"/>
    <w:lvl w:ilvl="0">
      <w:lvlJc w:val="left"/>
      <w:lvlText w:val="[***]"/>
      <w:numFmt w:val="bullet"/>
      <w:start w:val="1"/>
    </w:lvl>
  </w:abstractNum>
  <w:abstractNum w:abstractNumId="207">
    <w:nsid w:val="621AF471"/>
    <w:multiLevelType w:val="hybridMultilevel"/>
    <w:lvl w:ilvl="0">
      <w:lvlJc w:val="left"/>
      <w:lvlText w:val="\endash "/>
      <w:numFmt w:val="bullet"/>
      <w:start w:val="1"/>
    </w:lvl>
    <w:lvl w:ilvl="1">
      <w:lvlJc w:val="left"/>
      <w:lvlText w:val="\endash "/>
      <w:numFmt w:val="bullet"/>
      <w:start w:val="1"/>
    </w:lvl>
  </w:abstractNum>
  <w:abstractNum w:abstractNumId="208">
    <w:nsid w:val="73CFE165"/>
    <w:multiLevelType w:val="hybridMultilevel"/>
    <w:lvl w:ilvl="0">
      <w:lvlJc w:val="left"/>
      <w:lvlText w:val="%1."/>
      <w:numFmt w:val="decimal"/>
      <w:start w:val="1"/>
    </w:lvl>
  </w:abstractNum>
  <w:abstractNum w:abstractNumId="209">
    <w:nsid w:val="20F88EA6"/>
    <w:multiLevelType w:val="hybridMultilevel"/>
    <w:lvl w:ilvl="0">
      <w:lvlJc w:val="left"/>
      <w:lvlText w:val="(%1)"/>
      <w:numFmt w:val="lowerRoman"/>
      <w:start w:val="1"/>
    </w:lvl>
  </w:abstractNum>
  <w:abstractNum w:abstractNumId="210">
    <w:nsid w:val="617C843E"/>
    <w:multiLevelType w:val="hybridMultilevel"/>
    <w:lvl w:ilvl="0">
      <w:lvlJc w:val="left"/>
      <w:lvlText w:val="(%1)"/>
      <w:numFmt w:val="lowerRoman"/>
      <w:start w:val="5"/>
    </w:lvl>
  </w:abstractNum>
  <w:abstractNum w:abstractNumId="211">
    <w:nsid w:val="7B541FAB"/>
    <w:multiLevelType w:val="hybridMultilevel"/>
    <w:lvl w:ilvl="0">
      <w:lvlJc w:val="left"/>
      <w:lvlText w:val="%1."/>
      <w:numFmt w:val="decimal"/>
      <w:start w:val="2"/>
    </w:lvl>
  </w:abstractNum>
  <w:abstractNum w:abstractNumId="212">
    <w:nsid w:val="2A79EC49"/>
    <w:multiLevelType w:val="hybridMultilevel"/>
    <w:lvl w:ilvl="0">
      <w:lvlJc w:val="left"/>
      <w:lvlText w:val="(%1)"/>
      <w:numFmt w:val="lowerRoman"/>
      <w:start w:val="1"/>
    </w:lvl>
  </w:abstractNum>
  <w:abstractNum w:abstractNumId="213">
    <w:nsid w:val="338125CF"/>
    <w:multiLevelType w:val="hybridMultilevel"/>
    <w:lvl w:ilvl="0">
      <w:lvlJc w:val="left"/>
      <w:lvlText w:val="(%1)"/>
      <w:numFmt w:val="lowerRoman"/>
      <w:start w:val="4"/>
    </w:lvl>
  </w:abstractNum>
  <w:abstractNum w:abstractNumId="214">
    <w:nsid w:val="47C7C971"/>
    <w:multiLevelType w:val="hybridMultilevel"/>
    <w:lvl w:ilvl="0">
      <w:lvlJc w:val="left"/>
      <w:lvlText w:val="(%1)"/>
      <w:numFmt w:val="lowerLetter"/>
      <w:start w:val="2"/>
    </w:lvl>
  </w:abstractNum>
  <w:abstractNum w:abstractNumId="215">
    <w:nsid w:val="46F8284B"/>
    <w:multiLevelType w:val="hybridMultilevel"/>
    <w:lvl w:ilvl="0">
      <w:lvlJc w:val="left"/>
      <w:lvlText w:val="%1."/>
      <w:numFmt w:val="decimal"/>
      <w:start w:val="3"/>
    </w:lvl>
  </w:abstractNum>
  <w:abstractNum w:abstractNumId="216">
    <w:nsid w:val="4FA327CE"/>
    <w:multiLevelType w:val="hybridMultilevel"/>
    <w:lvl w:ilvl="0">
      <w:lvlJc w:val="left"/>
      <w:lvlText w:val="(%1)"/>
      <w:numFmt w:val="lowerLetter"/>
      <w:start w:val="1"/>
    </w:lvl>
  </w:abstractNum>
  <w:abstractNum w:abstractNumId="217">
    <w:nsid w:val="1873983A"/>
    <w:multiLevelType w:val="hybridMultilevel"/>
    <w:lvl w:ilvl="0">
      <w:lvlJc w:val="left"/>
      <w:lvlText w:val="(%1)"/>
      <w:numFmt w:val="lowerLetter"/>
      <w:start w:val="4"/>
    </w:lvl>
  </w:abstractNum>
  <w:abstractNum w:abstractNumId="218">
    <w:nsid w:val="3D2DD275"/>
    <w:multiLevelType w:val="hybridMultilevel"/>
    <w:lvl w:ilvl="0">
      <w:lvlJc w:val="left"/>
      <w:lvlText w:val="%1."/>
      <w:numFmt w:val="decimal"/>
      <w:start w:val="4"/>
    </w:lvl>
  </w:abstractNum>
  <w:abstractNum w:abstractNumId="219">
    <w:nsid w:val="2E17ECA7"/>
    <w:multiLevelType w:val="hybridMultilevel"/>
    <w:lvl w:ilvl="0">
      <w:lvlJc w:val="left"/>
      <w:lvlText w:val="(%1)"/>
      <w:numFmt w:val="lowerRoman"/>
      <w:start w:val="1"/>
    </w:lvl>
  </w:abstractNum>
  <w:abstractNum w:abstractNumId="220">
    <w:nsid w:val="53B2564F"/>
    <w:multiLevelType w:val="hybridMultilevel"/>
    <w:lvl w:ilvl="0">
      <w:lvlJc w:val="left"/>
      <w:lvlText w:val="%1"/>
      <w:numFmt w:val="decimal"/>
      <w:start w:val="1"/>
    </w:lvl>
    <w:lvl w:ilvl="1">
      <w:lvlJc w:val="left"/>
      <w:lvlText w:val="(%2)"/>
      <w:numFmt w:val="lowerRoman"/>
      <w:start w:val="2"/>
    </w:lvl>
  </w:abstractNum>
  <w:abstractNum w:abstractNumId="221">
    <w:nsid w:val="75509D76"/>
    <w:multiLevelType w:val="hybridMultilevel"/>
    <w:lvl w:ilvl="0">
      <w:lvlJc w:val="left"/>
      <w:lvlText w:val="%1."/>
      <w:numFmt w:val="decimal"/>
      <w:start w:val="5"/>
    </w:lvl>
    <w:lvl w:ilvl="1">
      <w:lvlJc w:val="left"/>
      <w:lvlText w:val="%2"/>
      <w:numFmt w:val="lowerRoman"/>
      <w:start w:val="1"/>
    </w:lvl>
  </w:abstractNum>
  <w:abstractNum w:abstractNumId="222">
    <w:nsid w:val="1AF7F0EA"/>
    <w:multiLevelType w:val="hybridMultilevel"/>
    <w:lvl w:ilvl="0">
      <w:lvlJc w:val="left"/>
      <w:lvlText w:val="(%1)"/>
      <w:numFmt w:val="lowerRoman"/>
      <w:start w:val="1"/>
    </w:lvl>
  </w:abstractNum>
  <w:abstractNum w:abstractNumId="223">
    <w:nsid w:val="4DA32C7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224">
    <w:nsid w:val="6EC68664"/>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225">
    <w:nsid w:val="E0D31FF"/>
    <w:multiLevelType w:val="hybridMultilevel"/>
    <w:lvl w:ilvl="0">
      <w:lvlJc w:val="left"/>
      <w:lvlText w:val="(%1)"/>
      <w:numFmt w:val="lowerRoman"/>
      <w:start w:val="8"/>
    </w:lvl>
    <w:lvl w:ilvl="1">
      <w:lvlJc w:val="left"/>
      <w:lvlText w:val="(%2)"/>
      <w:numFmt w:val="lowerRoman"/>
      <w:start w:val="9"/>
    </w:lvl>
  </w:abstractNum>
  <w:abstractNum w:abstractNumId="226">
    <w:nsid w:val="2FD0AD81"/>
    <w:multiLevelType w:val="hybridMultilevel"/>
    <w:lvl w:ilvl="0">
      <w:lvlJc w:val="left"/>
      <w:lvlText w:val="(%1)"/>
      <w:numFmt w:val="lowerRoman"/>
      <w:start w:val="1"/>
    </w:lvl>
  </w:abstractNum>
  <w:abstractNum w:abstractNumId="227">
    <w:nsid w:val="1978EBEB"/>
    <w:multiLevelType w:val="hybridMultilevel"/>
    <w:lvl w:ilvl="0">
      <w:lvlJc w:val="left"/>
      <w:lvlText w:val="(%1)"/>
      <w:numFmt w:val="lowerRoman"/>
      <w:start w:val="1"/>
    </w:lvl>
  </w:abstractNum>
  <w:abstractNum w:abstractNumId="228">
    <w:nsid w:val="52C12C61"/>
    <w:multiLevelType w:val="hybridMultilevel"/>
    <w:lvl w:ilvl="0">
      <w:lvlJc w:val="left"/>
      <w:lvlText w:val="(%1)"/>
      <w:numFmt w:val="lowerRoman"/>
      <w:start w:val="2"/>
    </w:lvl>
  </w:abstractNum>
  <w:abstractNum w:abstractNumId="229">
    <w:nsid w:val="4BDD53FD"/>
    <w:multiLevelType w:val="hybridMultilevel"/>
    <w:lvl w:ilvl="0">
      <w:lvlJc w:val="left"/>
      <w:lvlText w:val="(%1)"/>
      <w:numFmt w:val="lowerRoman"/>
      <w:start w:val="1"/>
    </w:lvl>
  </w:abstractNum>
  <w:abstractNum w:abstractNumId="230">
    <w:nsid w:val="569951FE"/>
    <w:multiLevelType w:val="hybridMultilevel"/>
    <w:lvl w:ilvl="0">
      <w:lvlJc w:val="left"/>
      <w:lvlText w:val="(%1)"/>
      <w:numFmt w:val="decimal"/>
      <w:start w:val="18"/>
    </w:lvl>
  </w:abstractNum>
  <w:abstractNum w:abstractNumId="231">
    <w:nsid w:val="4C54E2C3"/>
    <w:multiLevelType w:val="hybridMultilevel"/>
    <w:lvl w:ilvl="0">
      <w:lvlJc w:val="left"/>
      <w:lvlText w:val="(%1)"/>
      <w:numFmt w:val="lowerRoman"/>
      <w:start w:val="1"/>
    </w:lvl>
  </w:abstractNum>
  <w:abstractNum w:abstractNumId="232">
    <w:nsid w:val="788BD9B"/>
    <w:multiLevelType w:val="hybridMultilevel"/>
    <w:lvl w:ilvl="0">
      <w:lvlJc w:val="left"/>
      <w:lvlText w:val="(%1)"/>
      <w:numFmt w:val="lowerRoman"/>
      <w:start w:val="1"/>
    </w:lvl>
  </w:abstractNum>
  <w:abstractNum w:abstractNumId="233">
    <w:nsid w:val="47CAA567"/>
    <w:multiLevelType w:val="hybridMultilevel"/>
    <w:lvl w:ilvl="0">
      <w:lvlJc w:val="left"/>
      <w:lvlText w:val="(%1)"/>
      <w:numFmt w:val="lowerLetter"/>
      <w:start w:val="25"/>
    </w:lvl>
  </w:abstractNum>
  <w:abstractNum w:abstractNumId="234">
    <w:nsid w:val="48249DBF"/>
    <w:multiLevelType w:val="hybridMultilevel"/>
    <w:lvl w:ilvl="0">
      <w:lvlJc w:val="left"/>
      <w:lvlText w:val="(%1)"/>
      <w:numFmt w:val="lowerRoman"/>
      <w:start w:val="1"/>
    </w:lvl>
  </w:abstractNum>
  <w:abstractNum w:abstractNumId="235">
    <w:nsid w:val="1F0E5D0D"/>
    <w:multiLevelType w:val="hybridMultilevel"/>
    <w:lvl w:ilvl="0">
      <w:lvlJc w:val="left"/>
      <w:lvlText w:val="(%1)"/>
      <w:numFmt w:val="upperLetter"/>
      <w:start w:val="2"/>
    </w:lvl>
  </w:abstractNum>
  <w:abstractNum w:abstractNumId="236">
    <w:nsid w:val="26BAAE9"/>
    <w:multiLevelType w:val="hybridMultilevel"/>
    <w:lvl w:ilvl="0">
      <w:lvlJc w:val="left"/>
      <w:lvlText w:val="%1"/>
      <w:numFmt w:val="decimal"/>
      <w:start w:val="1"/>
    </w:lvl>
    <w:lvl w:ilvl="1">
      <w:lvlJc w:val="left"/>
      <w:lvlText w:val="(%2)"/>
      <w:numFmt w:val="lowerLetter"/>
      <w:start w:val="1"/>
    </w:lvl>
  </w:abstractNum>
  <w:abstractNum w:abstractNumId="237">
    <w:nsid w:val="2C02FE8C"/>
    <w:multiLevelType w:val="hybridMultilevel"/>
    <w:lvl w:ilvl="0">
      <w:lvlJc w:val="left"/>
      <w:lvlText w:val="%1."/>
      <w:numFmt w:val="decimal"/>
      <w:start w:val="10"/>
    </w:lvl>
    <w:lvl w:ilvl="1">
      <w:lvlJc w:val="left"/>
      <w:lvlText w:val="%2"/>
      <w:numFmt w:val="lowerLetter"/>
      <w:start w:val="1"/>
    </w:lvl>
  </w:abstractNum>
  <w:abstractNum w:abstractNumId="238">
    <w:nsid w:val="129517E"/>
    <w:multiLevelType w:val="hybridMultilevel"/>
    <w:lvl w:ilvl="0">
      <w:lvlJc w:val="left"/>
      <w:lvlText w:val="(%1)"/>
      <w:numFmt w:val="lowerRoman"/>
      <w:start w:val="1"/>
    </w:lvl>
  </w:abstractNum>
  <w:abstractNum w:abstractNumId="239">
    <w:nsid w:val="763B8C4E"/>
    <w:multiLevelType w:val="hybridMultilevel"/>
    <w:lvl w:ilvl="0">
      <w:lvlJc w:val="left"/>
      <w:lvlText w:val="(%1)"/>
      <w:numFmt w:val="lowerRoman"/>
      <w:start w:val="1"/>
    </w:lvl>
  </w:abstractNum>
  <w:abstractNum w:abstractNumId="240">
    <w:nsid w:val="4CFB8D32"/>
    <w:multiLevelType w:val="hybridMultilevel"/>
    <w:lvl w:ilvl="0">
      <w:lvlJc w:val="left"/>
      <w:lvlText w:val="(%1)"/>
      <w:numFmt w:val="lowerRoman"/>
      <w:start w:val="1"/>
    </w:lvl>
  </w:abstractNum>
  <w:abstractNum w:abstractNumId="241">
    <w:nsid w:val="62A5D5BD"/>
    <w:multiLevelType w:val="hybridMultilevel"/>
    <w:lvl w:ilvl="0">
      <w:lvlJc w:val="left"/>
      <w:lvlText w:val="%1."/>
      <w:numFmt w:val="decimal"/>
      <w:start w:val="1"/>
    </w:lvl>
  </w:abstractNum>
  <w:abstractNum w:abstractNumId="242">
    <w:nsid w:val="718FABF9"/>
    <w:multiLevelType w:val="hybridMultilevel"/>
    <w:lvl w:ilvl="0">
      <w:lvlJc w:val="left"/>
      <w:lvlText w:val="%1."/>
      <w:numFmt w:val="decimal"/>
      <w:start w:val="3"/>
    </w:lvl>
    <w:lvl w:ilvl="1">
      <w:lvlJc w:val="left"/>
      <w:lvlText w:val="%2"/>
      <w:numFmt w:val="decimal"/>
      <w:start w:val="1"/>
    </w:lvl>
  </w:abstractNum>
  <w:abstractNum w:abstractNumId="243">
    <w:nsid w:val="7775797C"/>
    <w:multiLevelType w:val="hybridMultilevel"/>
    <w:lvl w:ilvl="0">
      <w:lvlJc w:val="left"/>
      <w:lvlText w:val="%1."/>
      <w:numFmt w:val="decimal"/>
      <w:start w:val="9"/>
    </w:lvl>
    <w:lvl w:ilvl="1">
      <w:lvlJc w:val="left"/>
      <w:lvlText w:val="%2"/>
      <w:numFmt w:val="decimal"/>
      <w:start w:val="1"/>
    </w:lvl>
  </w:abstractNum>
  <w:abstractNum w:abstractNumId="244">
    <w:nsid w:val="1626FB8C"/>
    <w:multiLevelType w:val="hybridMultilevel"/>
    <w:lvl w:ilvl="0">
      <w:lvlJc w:val="left"/>
      <w:lvlText w:val="%1."/>
      <w:numFmt w:val="decimal"/>
      <w:start w:val="1"/>
    </w:lvl>
    <w:lvl w:ilvl="1">
      <w:lvlJc w:val="left"/>
      <w:lvlText w:val="(%2)"/>
      <w:numFmt w:val="lowerLetter"/>
      <w:start w:val="1"/>
    </w:lvl>
  </w:abstractNum>
  <w:abstractNum w:abstractNumId="245">
    <w:nsid w:val="3957756A"/>
    <w:multiLevelType w:val="hybridMultilevel"/>
    <w:lvl w:ilvl="0">
      <w:lvlJc w:val="left"/>
      <w:lvlText w:val="(%1)"/>
      <w:numFmt w:val="lowerLetter"/>
      <w:start w:val="2"/>
    </w:lvl>
  </w:abstractNum>
  <w:abstractNum w:abstractNumId="246">
    <w:nsid w:val="3E6DA1C7"/>
    <w:multiLevelType w:val="hybridMultilevel"/>
    <w:lvl w:ilvl="0">
      <w:lvlJc w:val="left"/>
      <w:lvlText w:val="X"/>
      <w:numFmt w:val="bullet"/>
      <w:start w:val="1"/>
    </w:lvl>
  </w:abstractNum>
  <w:abstractNum w:abstractNumId="247">
    <w:nsid w:val="65CA235B"/>
    <w:multiLevelType w:val="hybridMultilevel"/>
    <w:lvl w:ilvl="0">
      <w:lvlJc w:val="left"/>
      <w:lvlText w:val="%1"/>
      <w:numFmt w:val="decimal"/>
      <w:start w:val="1"/>
    </w:lvl>
    <w:lvl w:ilvl="1">
      <w:lvlJc w:val="left"/>
      <w:lvlText w:val="(%2)"/>
      <w:numFmt w:val="lowerLetter"/>
      <w:start w:val="2"/>
    </w:lvl>
  </w:abstractNum>
  <w:abstractNum w:abstractNumId="248">
    <w:nsid w:val="51CB0DA4"/>
    <w:multiLevelType w:val="hybridMultilevel"/>
    <w:lvl w:ilvl="0">
      <w:lvlJc w:val="left"/>
      <w:lvlText w:val="%1."/>
      <w:numFmt w:val="decimal"/>
      <w:start w:val="2"/>
    </w:lvl>
    <w:lvl w:ilvl="1">
      <w:lvlJc w:val="left"/>
      <w:lvlText w:val="%2"/>
      <w:numFmt w:val="lowerLetter"/>
      <w:start w:val="1"/>
    </w:lvl>
  </w:abstractNum>
  <w:abstractNum w:abstractNumId="249">
    <w:nsid w:val="7B9B743C"/>
    <w:multiLevelType w:val="hybridMultilevel"/>
    <w:lvl w:ilvl="0">
      <w:lvlJc w:val="left"/>
      <w:lvlText w:val="%1."/>
      <w:numFmt w:val="decimal"/>
      <w:start w:val="3"/>
    </w:lvl>
    <w:lvl w:ilvl="1">
      <w:lvlJc w:val="left"/>
      <w:lvlText w:val="(%2)"/>
      <w:numFmt w:val="lowerLetter"/>
      <w:start w:val="1"/>
    </w:lvl>
  </w:abstractNum>
  <w:abstractNum w:abstractNumId="250">
    <w:nsid w:val="13E21002"/>
    <w:multiLevelType w:val="hybridMultilevel"/>
    <w:lvl w:ilvl="0">
      <w:lvlJc w:val="left"/>
      <w:lvlText w:val="(%1)"/>
      <w:numFmt w:val="lowerLetter"/>
      <w:start w:val="1"/>
    </w:lvl>
  </w:abstractNum>
  <w:abstractNum w:abstractNumId="251">
    <w:nsid w:val="257D63F4"/>
    <w:multiLevelType w:val="hybridMultilevel"/>
    <w:lvl w:ilvl="0">
      <w:lvlJc w:val="left"/>
      <w:lvlText w:val="(%1)"/>
      <w:numFmt w:val="lowerLetter"/>
      <w:start w:val="3"/>
    </w:lvl>
  </w:abstractNum>
  <w:abstractNum w:abstractNumId="252">
    <w:nsid w:val="70EC11B2"/>
    <w:multiLevelType w:val="hybridMultilevel"/>
    <w:lvl w:ilvl="0">
      <w:lvlJc w:val="left"/>
      <w:lvlText w:val="%1."/>
      <w:numFmt w:val="decimal"/>
      <w:start w:val="6"/>
    </w:lvl>
  </w:abstractNum>
  <w:abstractNum w:abstractNumId="253">
    <w:nsid w:val="2EDA00ED"/>
    <w:multiLevelType w:val="hybridMultilevel"/>
    <w:lvl w:ilvl="0">
      <w:lvlJc w:val="left"/>
      <w:lvlText w:val="%1."/>
      <w:numFmt w:val="decimal"/>
      <w:start w:val="8"/>
    </w:lvl>
  </w:abstractNum>
  <w:abstractNum w:abstractNumId="254">
    <w:nsid w:val="73209072"/>
    <w:multiLevelType w:val="hybridMultilevel"/>
    <w:lvl w:ilvl="0">
      <w:lvlJc w:val="left"/>
      <w:lvlText w:val="%1."/>
      <w:numFmt w:val="decimal"/>
      <w:start w:val="9"/>
    </w:lvl>
  </w:abstractNum>
  <w:abstractNum w:abstractNumId="255">
    <w:nsid w:val="5FB29816"/>
    <w:multiLevelType w:val="hybridMultilevel"/>
    <w:lvl w:ilvl="0">
      <w:lvlJc w:val="left"/>
      <w:lvlText w:val="%1"/>
      <w:numFmt w:val="decimal"/>
      <w:start w:val="1"/>
    </w:lvl>
    <w:lvl w:ilvl="1">
      <w:lvlJc w:val="left"/>
      <w:lvlText w:val="%2."/>
      <w:numFmt w:val="decimal"/>
      <w:start w:val="10"/>
    </w:lvl>
  </w:abstractNum>
  <w:abstractNum w:abstractNumId="256">
    <w:nsid w:val="3CE732EC"/>
    <w:multiLevelType w:val="hybridMultilevel"/>
    <w:lvl w:ilvl="0">
      <w:lvlJc w:val="left"/>
      <w:lvlText w:val="%1."/>
      <w:numFmt w:val="decimal"/>
      <w:start w:val="11"/>
    </w:lvl>
    <w:lvl w:ilvl="1">
      <w:lvlJc w:val="left"/>
      <w:lvlText w:val="%2"/>
      <w:numFmt w:val="decimal"/>
      <w:start w:val="1"/>
    </w:lvl>
  </w:abstractNum>
  <w:abstractNum w:abstractNumId="257">
    <w:nsid w:val="22F13DF3"/>
    <w:multiLevelType w:val="hybridMultilevel"/>
    <w:lvl w:ilvl="0">
      <w:lvlJc w:val="left"/>
      <w:lvlText w:val="%1)"/>
      <w:numFmt w:val="lowerLetter"/>
      <w:start w:val="1"/>
    </w:lvl>
  </w:abstractNum>
  <w:abstractNum w:abstractNumId="258">
    <w:nsid w:val="792B8401"/>
    <w:multiLevelType w:val="hybridMultilevel"/>
    <w:lvl w:ilvl="0">
      <w:lvlJc w:val="left"/>
      <w:lvlText w:val="(%1)"/>
      <w:numFmt w:val="lowerRoman"/>
      <w:start w:val="2"/>
    </w:lvl>
    <w:lvl w:ilvl="1">
      <w:lvlJc w:val="left"/>
      <w:lvlText w:val="["/>
      <w:numFmt w:val="bullet"/>
      <w:start w:val="1"/>
    </w:lvl>
  </w:abstractNum>
  <w:abstractNum w:abstractNumId="259">
    <w:nsid w:val="FA85F4D"/>
    <w:multiLevelType w:val="hybridMultilevel"/>
    <w:lvl w:ilvl="0">
      <w:lvlJc w:val="left"/>
      <w:lvlText w:val="%1)"/>
      <w:numFmt w:val="lowerLetter"/>
      <w:start w:val="2"/>
    </w:lvl>
    <w:lvl w:ilvl="1">
      <w:lvlJc w:val="left"/>
      <w:lvlText w:val="(%2)"/>
      <w:numFmt w:val="lowerRoman"/>
    </w:lvl>
    <w:lvl w:ilvl="2">
      <w:lvlJc w:val="left"/>
      <w:lvlText w:val="["/>
      <w:numFmt w:val="bullet"/>
      <w:start w:val="1"/>
    </w:lvl>
  </w:abstractNum>
  <w:abstractNum w:abstractNumId="260">
    <w:nsid w:val="6ECE91F0"/>
    <w:multiLevelType w:val="hybridMultilevel"/>
    <w:lvl w:ilvl="0">
      <w:lvlJc w:val="left"/>
      <w:lvlText w:val="["/>
      <w:numFmt w:val="bullet"/>
      <w:start w:val="1"/>
    </w:lvl>
  </w:abstractNum>
  <w:abstractNum w:abstractNumId="261">
    <w:nsid w:val="4FC4D600"/>
    <w:multiLevelType w:val="hybridMultilevel"/>
    <w:lvl w:ilvl="0">
      <w:lvlJc w:val="left"/>
      <w:lvlText w:val="["/>
      <w:numFmt w:val="bullet"/>
      <w:start w:val="1"/>
    </w:lvl>
  </w:abstractNum>
  <w:abstractNum w:abstractNumId="262">
    <w:nsid w:val="5BFD4210"/>
    <w:multiLevelType w:val="hybridMultilevel"/>
    <w:lvl w:ilvl="0">
      <w:lvlJc w:val="left"/>
      <w:lvlText w:val="["/>
      <w:numFmt w:val="bullet"/>
      <w:start w:val="1"/>
    </w:lvl>
  </w:abstractNum>
  <w:abstractNum w:abstractNumId="263">
    <w:nsid w:val="76574F8B"/>
    <w:multiLevelType w:val="hybridMultilevel"/>
    <w:lvl w:ilvl="0">
      <w:lvlJc w:val="left"/>
      <w:lvlText w:val="["/>
      <w:numFmt w:val="bullet"/>
      <w:start w:val="1"/>
    </w:lvl>
  </w:abstractNum>
  <w:abstractNum w:abstractNumId="264">
    <w:nsid w:val="178F7B67"/>
    <w:multiLevelType w:val="hybridMultilevel"/>
    <w:lvl w:ilvl="0">
      <w:lvlJc w:val="left"/>
      <w:lvlText w:val="%1)"/>
      <w:numFmt w:val="lowerLetter"/>
      <w:start w:val="3"/>
    </w:lvl>
    <w:lvl w:ilvl="1">
      <w:lvlJc w:val="left"/>
      <w:lvlText w:val="["/>
      <w:numFmt w:val="bullet"/>
      <w:start w:val="1"/>
    </w:lvl>
  </w:abstractNum>
  <w:abstractNum w:abstractNumId="265">
    <w:nsid w:val="2421DFCF"/>
    <w:multiLevelType w:val="hybridMultilevel"/>
    <w:lvl w:ilvl="0">
      <w:lvlJc w:val="left"/>
      <w:lvlText w:val="(%1)"/>
      <w:numFmt w:val="lowerRoman"/>
      <w:start w:val="1"/>
    </w:lvl>
  </w:abstractNum>
  <w:abstractNum w:abstractNumId="266">
    <w:nsid w:val="1565AC99"/>
    <w:multiLevelType w:val="hybridMultilevel"/>
    <w:lvl w:ilvl="0">
      <w:lvlJc w:val="left"/>
      <w:lvlText w:val="(%1)"/>
      <w:numFmt w:val="lowerRoman"/>
      <w:start w:val="3"/>
    </w:lvl>
  </w:abstractNum>
  <w:abstractNum w:abstractNumId="267">
    <w:nsid w:val="19FB2650"/>
    <w:multiLevelType w:val="hybridMultilevel"/>
    <w:lvl w:ilvl="0">
      <w:lvlJc w:val="left"/>
      <w:lvlText w:val="%1)"/>
      <w:numFmt w:val="decimal"/>
      <w:start w:val="1"/>
    </w:lvl>
    <w:lvl w:ilvl="1">
      <w:lvlJc w:val="left"/>
      <w:lvlText w:val="%2)"/>
      <w:numFmt w:val="lowerLetter"/>
      <w:start w:val="1"/>
    </w:lvl>
  </w:abstractNum>
  <w:abstractNum w:abstractNumId="268">
    <w:nsid w:val="5024DE5B"/>
    <w:multiLevelType w:val="hybridMultilevel"/>
    <w:lvl w:ilvl="0">
      <w:lvlJc w:val="left"/>
      <w:lvlText w:val="%1)"/>
      <w:numFmt w:val="lowerLetter"/>
      <w:start w:val="2"/>
    </w:lvl>
  </w:abstractNum>
  <w:abstractNum w:abstractNumId="269">
    <w:nsid w:val="168EFE17"/>
    <w:multiLevelType w:val="hybridMultilevel"/>
    <w:lvl w:ilvl="0">
      <w:lvlJc w:val="left"/>
      <w:lvlText w:val="%1)"/>
      <w:numFmt w:val="lowerLetter"/>
      <w:start w:val="4"/>
    </w:lvl>
    <w:lvl w:ilvl="1">
      <w:lvlJc w:val="left"/>
      <w:lvlText w:val="%2."/>
      <w:numFmt w:val="lowerRoman"/>
      <w:start w:val="1"/>
    </w:lvl>
  </w:abstractNum>
  <w:abstractNum w:abstractNumId="270">
    <w:nsid w:val="1036B2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71">
    <w:nsid w:val="1D206B8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72">
    <w:nsid w:val="7934D3D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3">
    <w:nsid w:val="1C65E98"/>
    <w:multiLevelType w:val="hybridMultilevel"/>
    <w:lvl w:ilvl="0">
      <w:lvlJc w:val="left"/>
      <w:lvlText w:val="%1)"/>
      <w:numFmt w:val="decimal"/>
      <w:start w:val="4"/>
    </w:lvl>
  </w:abstractNum>
  <w:abstractNum w:abstractNumId="274">
    <w:nsid w:val="1495E50A"/>
    <w:multiLevelType w:val="hybridMultilevel"/>
    <w:lvl w:ilvl="0">
      <w:lvlJc w:val="left"/>
      <w:lvlText w:val="%1."/>
      <w:numFmt w:val="upperLetter"/>
      <w:start w:val="1"/>
    </w:lvl>
  </w:abstractNum>
  <w:abstractNum w:abstractNumId="275">
    <w:nsid w:val="F5BCF61"/>
    <w:multiLevelType w:val="hybridMultilevel"/>
    <w:lvl w:ilvl="0">
      <w:lvlJc w:val="left"/>
      <w:lvlText w:val="%1."/>
      <w:numFmt w:val="decimal"/>
      <w:start w:val="1"/>
    </w:lvl>
  </w:abstractNum>
  <w:abstractNum w:abstractNumId="276">
    <w:nsid w:val="3B1DD403"/>
    <w:multiLevelType w:val="hybridMultilevel"/>
    <w:lvl w:ilvl="0">
      <w:lvlJc w:val="left"/>
      <w:lvlText w:val="%1."/>
      <w:numFmt w:val="decimal"/>
      <w:start w:val="3"/>
    </w:lvl>
  </w:abstractNum>
  <w:abstractNum w:abstractNumId="277">
    <w:nsid w:val="530386D1"/>
    <w:multiLevelType w:val="hybridMultilevel"/>
    <w:lvl w:ilvl="0">
      <w:lvlJc w:val="left"/>
      <w:lvlText w:val="%1."/>
      <w:numFmt w:val="decimal"/>
      <w:start w:val="5"/>
    </w:lvl>
  </w:abstractNum>
  <w:abstractNum w:abstractNumId="278">
    <w:nsid w:val="7525F2BC"/>
    <w:multiLevelType w:val="hybridMultilevel"/>
    <w:lvl w:ilvl="0">
      <w:lvlJc w:val="left"/>
      <w:lvlText w:val="%1."/>
      <w:numFmt w:val="decimal"/>
      <w:start w:val="8"/>
    </w:lvl>
  </w:abstractNum>
  <w:abstractNum w:abstractNumId="279">
    <w:nsid w:val="CE8E1A7"/>
    <w:multiLevelType w:val="hybridMultilevel"/>
    <w:lvl w:ilvl="0">
      <w:lvlJc w:val="left"/>
      <w:lvlText w:val="(%1)"/>
      <w:numFmt w:val="lowerRoman"/>
      <w:start w:val="1"/>
    </w:lvl>
  </w:abstractNum>
  <w:abstractNum w:abstractNumId="280">
    <w:nsid w:val="4E9EFB0D"/>
    <w:multiLevelType w:val="hybridMultilevel"/>
    <w:lvl w:ilvl="0">
      <w:lvlJc w:val="left"/>
      <w:lvlText w:val="(%1)"/>
      <w:numFmt w:val="lowerRoman"/>
      <w:start w:val="10"/>
    </w:lvl>
  </w:abstractNum>
  <w:abstractNum w:abstractNumId="281">
    <w:nsid w:val="90802BE"/>
    <w:multiLevelType w:val="hybridMultilevel"/>
    <w:lvl w:ilvl="0">
      <w:lvlJc w:val="left"/>
      <w:lvlText w:val="(%1)"/>
      <w:numFmt w:val="lowerLetter"/>
      <w:start w:val="25"/>
    </w:lvl>
  </w:abstractNum>
  <w:abstractNum w:abstractNumId="282">
    <w:nsid w:val="3266459B"/>
    <w:multiLevelType w:val="hybridMultilevel"/>
    <w:lvl w:ilvl="0">
      <w:lvlJc w:val="left"/>
      <w:lvlText w:val="%1."/>
      <w:numFmt w:val="decimal"/>
      <w:start w:val="10"/>
    </w:lvl>
  </w:abstractNum>
  <w:abstractNum w:abstractNumId="283">
    <w:nsid w:val="3F8B0CBF"/>
    <w:multiLevelType w:val="hybridMultilevel"/>
    <w:lvl w:ilvl="0">
      <w:lvlJc w:val="left"/>
      <w:lvlText w:val="[***]"/>
      <w:numFmt w:val="bullet"/>
      <w:start w:val="1"/>
    </w:lvl>
  </w:abstractNum>
  <w:abstractNum w:abstractNumId="284">
    <w:nsid w:val="37E203AB"/>
    <w:multiLevelType w:val="hybridMultilevel"/>
    <w:lvl w:ilvl="0">
      <w:lvlJc w:val="left"/>
      <w:lvlText w:val="%1."/>
      <w:numFmt w:val="decimal"/>
      <w:start w:val="12"/>
    </w:lvl>
  </w:abstractNum>
  <w:abstractNum w:abstractNumId="285">
    <w:nsid w:val="2586D60E"/>
    <w:multiLevelType w:val="hybridMultilevel"/>
    <w:lvl w:ilvl="0">
      <w:lvlJc w:val="left"/>
      <w:lvlText w:val="%1."/>
      <w:numFmt w:val="decimal"/>
      <w:start w:val="13"/>
    </w:lvl>
  </w:abstractNum>
  <w:abstractNum w:abstractNumId="286">
    <w:nsid w:val="1F3DA4D5"/>
    <w:multiLevelType w:val="hybridMultilevel"/>
    <w:lvl w:ilvl="0">
      <w:lvlJc w:val="left"/>
      <w:lvlText w:val="%1."/>
      <w:numFmt w:val="decimal"/>
      <w:start w:val="14"/>
    </w:lvl>
  </w:abstractNum>
  <w:abstractNum w:abstractNumId="287">
    <w:nsid w:val="74C93698"/>
    <w:multiLevelType w:val="hybridMultilevel"/>
    <w:lvl w:ilvl="0">
      <w:lvlJc w:val="left"/>
      <w:lvlText w:val="%1."/>
      <w:numFmt w:val="decimal"/>
      <w:start w:val="15"/>
    </w:lvl>
  </w:abstractNum>
  <w:abstractNum w:abstractNumId="288">
    <w:nsid w:val="48781401"/>
    <w:multiLevelType w:val="hybridMultilevel"/>
    <w:lvl w:ilvl="0">
      <w:lvlJc w:val="left"/>
      <w:lvlText w:val="[***]"/>
      <w:numFmt w:val="bullet"/>
      <w:start w:val="1"/>
    </w:lvl>
  </w:abstractNum>
  <w:abstractNum w:abstractNumId="289">
    <w:nsid w:val="186928D6"/>
    <w:multiLevelType w:val="hybridMultilevel"/>
    <w:lvl w:ilvl="0">
      <w:lvlJc w:val="left"/>
      <w:lvlText w:val="(%1)"/>
      <w:numFmt w:val="lowerLetter"/>
      <w:start w:val="2"/>
    </w:lvl>
  </w:abstractNum>
  <w:abstractNum w:abstractNumId="290">
    <w:nsid w:val="47195E5"/>
    <w:multiLevelType w:val="hybridMultilevel"/>
    <w:lvl w:ilvl="0">
      <w:lvlJc w:val="left"/>
      <w:lvlText w:val="%1."/>
      <w:numFmt w:val="decimal"/>
      <w:start w:val="17"/>
    </w:lvl>
  </w:abstractNum>
  <w:abstractNum w:abstractNumId="291">
    <w:nsid w:val="3746A5F2"/>
    <w:multiLevelType w:val="hybridMultilevel"/>
    <w:lvl w:ilvl="0">
      <w:lvlJc w:val="left"/>
      <w:lvlText w:val="%1."/>
      <w:numFmt w:val="decimal"/>
      <w:start w:val="18"/>
    </w:lvl>
  </w:abstractNum>
  <w:abstractNum w:abstractNumId="292">
    <w:nsid w:val="682DFED6"/>
    <w:multiLevelType w:val="hybridMultilevel"/>
    <w:lvl w:ilvl="0">
      <w:lvlJc w:val="left"/>
      <w:lvlText w:val="%1."/>
      <w:numFmt w:val="decimal"/>
      <w:start w:val="19"/>
    </w:lvl>
  </w:abstractNum>
  <w:abstractNum w:abstractNumId="293">
    <w:nsid w:val="606ED7F6"/>
    <w:multiLevelType w:val="hybridMultilevel"/>
    <w:lvl w:ilvl="0">
      <w:lvlJc w:val="left"/>
      <w:lvlText w:val="%1."/>
      <w:numFmt w:val="decimal"/>
      <w:start w:val="20"/>
    </w:lvl>
    <w:lvl w:ilvl="1">
      <w:lvlJc w:val="left"/>
      <w:lvlText w:val="(%2)"/>
      <w:numFmt w:val="lowerLetter"/>
      <w:start w:val="2"/>
    </w:lvl>
  </w:abstractNum>
  <w:abstractNum w:abstractNumId="294">
    <w:nsid w:val="2D9DF57D"/>
    <w:multiLevelType w:val="hybridMultilevel"/>
    <w:lvl w:ilvl="0">
      <w:lvlJc w:val="left"/>
      <w:lvlText w:val="%1."/>
      <w:numFmt w:val="decimal"/>
      <w:start w:val="22"/>
    </w:lvl>
  </w:abstractNum>
  <w:abstractNum w:abstractNumId="295">
    <w:nsid w:val="7FBD7A3E"/>
    <w:multiLevelType w:val="hybridMultilevel"/>
    <w:lvl w:ilvl="0">
      <w:lvlJc w:val="left"/>
      <w:lvlText w:val="%1."/>
      <w:numFmt w:val="decimal"/>
      <w:start w:val="23"/>
    </w:lvl>
  </w:abstractNum>
  <w:abstractNum w:abstractNumId="296">
    <w:nsid w:val="490B7C5"/>
    <w:multiLevelType w:val="hybridMultilevel"/>
    <w:lvl w:ilvl="0">
      <w:lvlJc w:val="left"/>
      <w:lvlText w:val="(%1)"/>
      <w:numFmt w:val="lowerLetter"/>
      <w:start w:val="1"/>
    </w:lvl>
  </w:abstractNum>
  <w:abstractNum w:abstractNumId="297">
    <w:nsid w:val="4303A216"/>
    <w:multiLevelType w:val="hybridMultilevel"/>
    <w:lvl w:ilvl="0">
      <w:lvlJc w:val="left"/>
      <w:lvlText w:val="%1."/>
      <w:numFmt w:val="decimal"/>
      <w:start w:val="24"/>
    </w:lvl>
    <w:lvl w:ilvl="1">
      <w:lvlJc w:val="left"/>
      <w:lvlText w:val="(%2)"/>
      <w:numFmt w:val="lowerLetter"/>
      <w:start w:val="1"/>
    </w:lvl>
  </w:abstractNum>
  <w:abstractNum w:abstractNumId="298">
    <w:nsid w:val="19B8A08E"/>
    <w:multiLevelType w:val="hybridMultilevel"/>
    <w:lvl w:ilvl="0">
      <w:lvlJc w:val="left"/>
      <w:lvlText w:val="%1."/>
      <w:numFmt w:val="decimal"/>
      <w:start w:val="25"/>
    </w:lvl>
  </w:abstractNum>
  <w:abstractNum w:abstractNumId="299">
    <w:nsid w:val="54B59621"/>
    <w:multiLevelType w:val="hybridMultilevel"/>
    <w:lvl w:ilvl="0">
      <w:lvlJc w:val="left"/>
      <w:lvlText w:val="%1."/>
      <w:numFmt w:val="decimal"/>
      <w:start w:val="27"/>
    </w:lvl>
  </w:abstractNum>
  <w:abstractNum w:abstractNumId="300">
    <w:nsid w:val="5992A02E"/>
    <w:multiLevelType w:val="hybridMultilevel"/>
    <w:lvl w:ilvl="0">
      <w:lvlJc w:val="left"/>
      <w:lvlText w:val="%1."/>
      <w:numFmt w:val="decimal"/>
      <w:start w:val="28"/>
    </w:lvl>
  </w:abstractNum>
  <w:abstractNum w:abstractNumId="301">
    <w:nsid w:val="29EF532D"/>
    <w:multiLevelType w:val="hybridMultilevel"/>
    <w:lvl w:ilvl="0">
      <w:lvlJc w:val="left"/>
      <w:lvlText w:val="%1."/>
      <w:numFmt w:val="decimal"/>
      <w:start w:val="30"/>
    </w:lvl>
  </w:abstractNum>
  <w:abstractNum w:abstractNumId="302">
    <w:nsid w:val="71D601AF"/>
    <w:multiLevelType w:val="hybridMultilevel"/>
    <w:lvl w:ilvl="0">
      <w:lvlJc w:val="left"/>
      <w:lvlText w:val="%1."/>
      <w:numFmt w:val="decimal"/>
      <w:start w:val="31"/>
    </w:lvl>
  </w:abstractNum>
  <w:abstractNum w:abstractNumId="303">
    <w:nsid w:val="52C77402"/>
    <w:multiLevelType w:val="hybridMultilevel"/>
    <w:lvl w:ilvl="0">
      <w:lvlJc w:val="left"/>
      <w:lvlText w:val="%1."/>
      <w:numFmt w:val="decimal"/>
      <w:start w:val="32"/>
    </w:lvl>
  </w:abstractNum>
  <w:abstractNum w:abstractNumId="304">
    <w:nsid w:val="2BB5B1C6"/>
    <w:multiLevelType w:val="hybridMultilevel"/>
    <w:lvl w:ilvl="0">
      <w:lvlJc w:val="left"/>
      <w:lvlText w:val="%1."/>
      <w:numFmt w:val="decimal"/>
      <w:start w:val="35"/>
    </w:lvl>
  </w:abstractNum>
  <w:abstractNum w:abstractNumId="305">
    <w:nsid w:val="66BE6B9"/>
    <w:multiLevelType w:val="hybridMultilevel"/>
    <w:lvl w:ilvl="0">
      <w:lvlJc w:val="left"/>
      <w:lvlText w:val="%1."/>
      <w:numFmt w:val="decimal"/>
      <w:start w:val="37"/>
    </w:lvl>
  </w:abstractNum>
  <w:abstractNum w:abstractNumId="306">
    <w:nsid w:val="62234363"/>
    <w:multiLevelType w:val="hybridMultilevel"/>
    <w:lvl w:ilvl="0">
      <w:lvlJc w:val="left"/>
      <w:lvlText w:val="%1."/>
      <w:numFmt w:val="decimal"/>
      <w:start w:val="40"/>
    </w:lvl>
  </w:abstractNum>
  <w:abstractNum w:abstractNumId="307">
    <w:nsid w:val="66D385C9"/>
    <w:multiLevelType w:val="hybridMultilevel"/>
    <w:lvl w:ilvl="0">
      <w:lvlJc w:val="left"/>
      <w:lvlText w:val="%1."/>
      <w:numFmt w:val="decimal"/>
      <w:start w:val="41"/>
    </w:lvl>
    <w:lvl w:ilvl="1">
      <w:lvlJc w:val="left"/>
      <w:lvlText w:val="[***]"/>
      <w:numFmt w:val="bullet"/>
      <w:start w:val="1"/>
    </w:lvl>
  </w:abstractNum>
  <w:abstractNum w:abstractNumId="308">
    <w:nsid w:val="596F6D8A"/>
    <w:multiLevelType w:val="hybridMultilevel"/>
    <w:lvl w:ilvl="0">
      <w:lvlJc w:val="left"/>
      <w:lvlText w:val="%1."/>
      <w:numFmt w:val="decimal"/>
      <w:start w:val="42"/>
    </w:lvl>
  </w:abstractNum>
  <w:abstractNum w:abstractNumId="309">
    <w:nsid w:val="5749361F"/>
    <w:multiLevelType w:val="hybridMultilevel"/>
    <w:lvl w:ilvl="0">
      <w:lvlJc w:val="left"/>
      <w:lvlText w:val="%1."/>
      <w:numFmt w:val="decimal"/>
      <w:start w:val="43"/>
    </w:lvl>
  </w:abstractNum>
  <w:abstractNum w:abstractNumId="310">
    <w:nsid w:val="73BC6770"/>
    <w:multiLevelType w:val="hybridMultilevel"/>
    <w:lvl w:ilvl="0">
      <w:lvlJc w:val="left"/>
      <w:lvlText w:val="%1."/>
      <w:numFmt w:val="upperLetter"/>
      <w:start w:val="1"/>
    </w:lvl>
  </w:abstractNum>
  <w:abstractNum w:abstractNumId="311">
    <w:nsid w:val="280E6897"/>
    <w:multiLevelType w:val="hybridMultilevel"/>
    <w:lvl w:ilvl="0">
      <w:lvlJc w:val="left"/>
      <w:lvlText w:val="%1."/>
      <w:numFmt w:val="decimal"/>
      <w:start w:val="4"/>
    </w:lvl>
  </w:abstractNum>
  <w:abstractNum w:abstractNumId="312">
    <w:nsid w:val="605138DE"/>
    <w:multiLevelType w:val="hybridMultilevel"/>
    <w:lvl w:ilvl="0">
      <w:lvlJc w:val="left"/>
      <w:lvlText w:val="%1."/>
      <w:numFmt w:val="decimal"/>
      <w:start w:val="8"/>
    </w:lvl>
  </w:abstractNum>
  <w:abstractNum w:abstractNumId="313">
    <w:nsid w:val="2622AD0C"/>
    <w:multiLevelType w:val="hybridMultilevel"/>
    <w:lvl w:ilvl="0">
      <w:lvlJc w:val="left"/>
      <w:lvlText w:val="%1."/>
      <w:numFmt w:val="decimal"/>
      <w:start w:val="10"/>
    </w:lvl>
  </w:abstractNum>
  <w:abstractNum w:abstractNumId="314">
    <w:nsid w:val="67997556"/>
    <w:multiLevelType w:val="hybridMultilevel"/>
    <w:lvl w:ilvl="0">
      <w:lvlJc w:val="left"/>
      <w:lvlText w:val="[***]"/>
      <w:numFmt w:val="bullet"/>
      <w:start w:val="1"/>
    </w:lvl>
  </w:abstractNum>
  <w:abstractNum w:abstractNumId="315">
    <w:nsid w:val="18333C89"/>
    <w:multiLevelType w:val="hybridMultilevel"/>
    <w:lvl w:ilvl="0">
      <w:lvlJc w:val="left"/>
      <w:lvlText w:val="%1."/>
      <w:numFmt w:val="upperLetter"/>
      <w:start w:val="1"/>
    </w:lvl>
  </w:abstractNum>
  <w:abstractNum w:abstractNumId="316">
    <w:nsid w:val="4BA9831A"/>
    <w:multiLevelType w:val="hybridMultilevel"/>
    <w:lvl w:ilvl="0">
      <w:lvlJc w:val="left"/>
      <w:lvlText w:val="[***]"/>
      <w:numFmt w:val="bullet"/>
      <w:start w:val="1"/>
    </w:lvl>
    <w:lvl w:ilvl="1">
      <w:lvlJc w:val="left"/>
      <w:lvlText w:val="%2."/>
      <w:numFmt w:val="decimal"/>
      <w:start w:val="1"/>
    </w:lvl>
  </w:abstractNum>
  <w:abstractNum w:abstractNumId="317">
    <w:nsid w:val="6D71A2B"/>
    <w:multiLevelType w:val="hybridMultilevel"/>
    <w:lvl w:ilvl="0">
      <w:lvlJc w:val="left"/>
      <w:lvlText w:val="[***]"/>
      <w:numFmt w:val="bullet"/>
      <w:start w:val="1"/>
    </w:lvl>
    <w:lvl w:ilvl="1">
      <w:lvlJc w:val="left"/>
      <w:lvlText w:val="%2."/>
      <w:numFmt w:val="decimal"/>
      <w:start w:val="2"/>
    </w:lvl>
  </w:abstractNum>
  <w:abstractNum w:abstractNumId="318">
    <w:nsid w:val="CFC7321"/>
    <w:multiLevelType w:val="hybridMultilevel"/>
    <w:lvl w:ilvl="0">
      <w:lvlJc w:val="left"/>
      <w:lvlText w:val="%1."/>
      <w:numFmt w:val="decimal"/>
      <w:start w:val="3"/>
    </w:lvl>
    <w:lvl w:ilvl="1">
      <w:lvlJc w:val="left"/>
      <w:lvlText w:val="%2."/>
      <w:numFmt w:val="lowerLetter"/>
      <w:start w:val="1"/>
    </w:lvl>
  </w:abstractNum>
  <w:abstractNum w:abstractNumId="319">
    <w:nsid w:val="1421971B"/>
    <w:multiLevelType w:val="hybridMultilevel"/>
    <w:lvl w:ilvl="0">
      <w:lvlJc w:val="left"/>
      <w:lvlText w:val="%1."/>
      <w:numFmt w:val="lowerLetter"/>
      <w:start w:val="2"/>
    </w:lvl>
  </w:abstractNum>
  <w:abstractNum w:abstractNumId="320">
    <w:nsid w:val="1F404301"/>
    <w:multiLevelType w:val="hybridMultilevel"/>
    <w:lvl w:ilvl="0">
      <w:lvlJc w:val="left"/>
      <w:lvlText w:val="%1."/>
      <w:numFmt w:val="lowerLetter"/>
      <w:start w:val="3"/>
    </w:lvl>
  </w:abstractNum>
  <w:abstractNum w:abstractNumId="321">
    <w:nsid w:val="116E0907"/>
    <w:multiLevelType w:val="hybridMultilevel"/>
    <w:lvl w:ilvl="0">
      <w:lvlJc w:val="left"/>
      <w:lvlText w:val="%1."/>
      <w:numFmt w:val="lowerLetter"/>
      <w:start w:val="5"/>
    </w:lvl>
  </w:abstractNum>
  <w:abstractNum w:abstractNumId="322">
    <w:nsid w:val="4B683D0D"/>
    <w:multiLevelType w:val="hybridMultilevel"/>
    <w:lvl w:ilvl="0">
      <w:lvlJc w:val="left"/>
      <w:lvlText w:val="%1."/>
      <w:numFmt w:val="lowerLetter"/>
      <w:start w:val="6"/>
    </w:lvl>
  </w:abstractNum>
  <w:abstractNum w:abstractNumId="323">
    <w:nsid w:val="76E41D8"/>
    <w:multiLevelType w:val="hybridMultilevel"/>
    <w:lvl w:ilvl="0">
      <w:lvlJc w:val="left"/>
      <w:lvlText w:val="(%1)"/>
      <w:numFmt w:val="lowerLetter"/>
      <w:start w:val="2"/>
    </w:lvl>
  </w:abstractNum>
  <w:abstractNum w:abstractNumId="324">
    <w:nsid w:val="71DCE0FD"/>
    <w:multiLevelType w:val="hybridMultilevel"/>
    <w:lvl w:ilvl="0">
      <w:lvlJc w:val="left"/>
      <w:lvlText w:val="%1."/>
      <w:numFmt w:val="lowerLetter"/>
      <w:start w:val="7"/>
    </w:lvl>
  </w:abstractNum>
  <w:abstractNum w:abstractNumId="325">
    <w:nsid w:val="7906328B"/>
    <w:multiLevelType w:val="hybridMultilevel"/>
    <w:lvl w:ilvl="0">
      <w:lvlJc w:val="left"/>
      <w:lvlText w:val="%1."/>
      <w:numFmt w:val="lowerLetter"/>
      <w:start w:val="9"/>
    </w:lvl>
  </w:abstractNum>
  <w:abstractNum w:abstractNumId="326">
    <w:nsid w:val="72BBC16"/>
    <w:multiLevelType w:val="hybridMultilevel"/>
    <w:lvl w:ilvl="0">
      <w:lvlJc w:val="left"/>
      <w:lvlText w:val="%1."/>
      <w:numFmt w:val="lowerLetter"/>
      <w:start w:val="11"/>
    </w:lvl>
  </w:abstractNum>
  <w:abstractNum w:abstractNumId="327">
    <w:nsid w:val="766D98C2"/>
    <w:multiLevelType w:val="hybridMultilevel"/>
    <w:lvl w:ilvl="0">
      <w:lvlJc w:val="left"/>
      <w:lvlText w:val="%1."/>
      <w:numFmt w:val="lowerLetter"/>
      <w:start w:val="12"/>
    </w:lvl>
  </w:abstractNum>
  <w:abstractNum w:abstractNumId="328">
    <w:nsid w:val="3C09D4A1"/>
    <w:multiLevelType w:val="hybridMultilevel"/>
    <w:lvl w:ilvl="0">
      <w:lvlJc w:val="left"/>
      <w:lvlText w:val="[***]"/>
      <w:numFmt w:val="bullet"/>
      <w:start w:val="1"/>
    </w:lvl>
  </w:abstractNum>
  <w:abstractNum w:abstractNumId="329">
    <w:nsid w:val="20E45CA4"/>
    <w:multiLevelType w:val="hybridMultilevel"/>
    <w:lvl w:ilvl="0">
      <w:lvlJc w:val="left"/>
      <w:lvlText w:val="%1."/>
      <w:numFmt w:val="lowerLetter"/>
      <w:start w:val="15"/>
    </w:lvl>
  </w:abstractNum>
  <w:abstractNum w:abstractNumId="330">
    <w:nsid w:val="4B232EE3"/>
    <w:multiLevelType w:val="hybridMultilevel"/>
    <w:lvl w:ilvl="0">
      <w:lvlJc w:val="left"/>
      <w:lvlText w:val="%1"/>
      <w:numFmt w:val="decimal"/>
      <w:start w:val="1"/>
    </w:lvl>
    <w:lvl w:ilvl="1">
      <w:lvlJc w:val="left"/>
      <w:lvlText w:val="%2."/>
      <w:numFmt w:val="lowerLetter"/>
      <w:start w:val="19"/>
    </w:lvl>
  </w:abstractNum>
  <w:abstractNum w:abstractNumId="331">
    <w:nsid w:val="159C74CF"/>
    <w:multiLevelType w:val="hybridMultilevel"/>
    <w:lvl w:ilvl="0">
      <w:lvlJc w:val="left"/>
      <w:lvlText w:val="%1."/>
      <w:numFmt w:val="decimal"/>
      <w:start w:val="5"/>
    </w:lvl>
    <w:lvl w:ilvl="1">
      <w:lvlJc w:val="left"/>
      <w:lvlText w:val="%2."/>
      <w:numFmt w:val="lowerLetter"/>
      <w:start w:val="1"/>
    </w:lvl>
  </w:abstractNum>
  <w:abstractNum w:abstractNumId="332">
    <w:nsid w:val="4AD3AFD2"/>
    <w:multiLevelType w:val="hybridMultilevel"/>
    <w:lvl w:ilvl="0">
      <w:lvlJc w:val="left"/>
      <w:lvlText w:val="%1"/>
      <w:numFmt w:val="decimal"/>
      <w:start w:val="1"/>
    </w:lvl>
    <w:lvl w:ilvl="1">
      <w:lvlJc w:val="left"/>
      <w:lvlText w:val="%2."/>
      <w:numFmt w:val="lowerLetter"/>
      <w:start w:val="2"/>
    </w:lvl>
  </w:abstractNum>
  <w:abstractNum w:abstractNumId="333">
    <w:nsid w:val="3CF93092"/>
    <w:multiLevelType w:val="hybridMultilevel"/>
    <w:lvl w:ilvl="0">
      <w:lvlJc w:val="left"/>
      <w:lvlText w:val="%1."/>
      <w:numFmt w:val="decimal"/>
      <w:start w:val="7"/>
    </w:lvl>
    <w:lvl w:ilvl="1">
      <w:lvlJc w:val="left"/>
      <w:lvlText w:val="%2"/>
      <w:numFmt w:val="lowerLetter"/>
      <w:start w:val="1"/>
    </w:lvl>
  </w:abstractNum>
  <w:abstractNum w:abstractNumId="334">
    <w:nsid w:val="6863E8D2"/>
    <w:multiLevelType w:val="hybridMultilevel"/>
    <w:lvl w:ilvl="0">
      <w:lvlJc w:val="left"/>
      <w:lvlText w:val="%1"/>
      <w:numFmt w:val="lowerLetter"/>
      <w:start w:val="1"/>
    </w:lvl>
    <w:lvl w:ilvl="1">
      <w:lvlJc w:val="left"/>
      <w:lvlText w:val="%2."/>
      <w:numFmt w:val="decimal"/>
      <w:start w:val="8"/>
    </w:lvl>
  </w:abstractNum>
  <w:abstractNum w:abstractNumId="335">
    <w:nsid w:val="76896198"/>
    <w:multiLevelType w:val="hybridMultilevel"/>
    <w:lvl w:ilvl="0">
      <w:lvlJc w:val="left"/>
      <w:lvlText w:val="(%1)"/>
      <w:numFmt w:val="lowerLetter"/>
      <w:start w:val="2"/>
    </w:lvl>
    <w:lvl w:ilvl="1">
      <w:lvlJc w:val="left"/>
      <w:lvlText w:val="%2"/>
      <w:numFmt w:val="decimal"/>
      <w:start w:val="1"/>
    </w:lvl>
  </w:abstractNum>
  <w:abstractNum w:abstractNumId="336">
    <w:nsid w:val="4365174B"/>
    <w:multiLevelType w:val="hybridMultilevel"/>
    <w:lvl w:ilvl="0">
      <w:lvlJc w:val="left"/>
      <w:lvlText w:val="%1."/>
      <w:numFmt w:val="decimal"/>
      <w:start w:val="10"/>
    </w:lvl>
  </w:abstractNum>
  <w:abstractNum w:abstractNumId="337">
    <w:nsid w:val="4A872C35"/>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abstractNum>
  <w:abstractNum w:abstractNumId="338">
    <w:nsid w:val="5D5CE761"/>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339">
    <w:nsid w:val="1CD484D5"/>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340">
    <w:nsid w:val="21D06255"/>
    <w:multiLevelType w:val="hybridMultilevel"/>
    <w:lvl w:ilvl="0">
      <w:lvlJc w:val="left"/>
      <w:lvlText w:val="%1."/>
      <w:numFmt w:val="lowerLetter"/>
      <w:start w:val="2"/>
    </w:lvl>
  </w:abstractNum>
  <w:abstractNum w:abstractNumId="341">
    <w:nsid w:val="51194ED1"/>
    <w:multiLevelType w:val="hybridMultilevel"/>
    <w:lvl w:ilvl="0">
      <w:lvlJc w:val="left"/>
      <w:lvlText w:val="%1"/>
      <w:numFmt w:val="decimal"/>
      <w:start w:val="1"/>
    </w:lvl>
    <w:lvl w:ilvl="1">
      <w:lvlJc w:val="left"/>
      <w:lvlText w:val="%2."/>
      <w:numFmt w:val="lowerLetter"/>
      <w:start w:val="6"/>
    </w:lvl>
  </w:abstractNum>
  <w:abstractNum w:abstractNumId="342">
    <w:nsid w:val="44E2ED6C"/>
    <w:multiLevelType w:val="hybridMultilevel"/>
    <w:lvl w:ilvl="0">
      <w:lvlJc w:val="left"/>
      <w:lvlText w:val="%1."/>
      <w:numFmt w:val="decimal"/>
      <w:start w:val="15"/>
    </w:lvl>
    <w:lvl w:ilvl="1">
      <w:lvlJc w:val="left"/>
      <w:lvlText w:val="%2."/>
      <w:numFmt w:val="lowerLetter"/>
      <w:start w:val="1"/>
    </w:lvl>
  </w:abstractNum>
  <w:abstractNum w:abstractNumId="343">
    <w:nsid w:val="2219B33"/>
    <w:multiLevelType w:val="hybridMultilevel"/>
    <w:lvl w:ilvl="0">
      <w:lvlJc w:val="left"/>
      <w:lvlText w:val="%1"/>
      <w:numFmt w:val="decimal"/>
      <w:start w:val="1"/>
    </w:lvl>
    <w:lvl w:ilvl="1">
      <w:lvlJc w:val="left"/>
      <w:lvlText w:val="%2."/>
      <w:numFmt w:val="lowerLetter"/>
      <w:start w:val="3"/>
    </w:lvl>
  </w:abstractNum>
  <w:abstractNum w:abstractNumId="344">
    <w:nsid w:val="773BFBDD"/>
    <w:multiLevelType w:val="hybridMultilevel"/>
    <w:lvl w:ilvl="0">
      <w:lvlJc w:val="left"/>
      <w:lvlText w:val="%1."/>
      <w:numFmt w:val="decimal"/>
      <w:start w:val="16"/>
    </w:lvl>
    <w:lvl w:ilvl="1">
      <w:lvlJc w:val="left"/>
      <w:lvlText w:val="%2"/>
      <w:numFmt w:val="lowerLetter"/>
      <w:start w:val="1"/>
    </w:lvl>
  </w:abstractNum>
  <w:abstractNum w:abstractNumId="345">
    <w:nsid w:val="2C7C62C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46">
    <w:nsid w:val="1A54D7BC"/>
    <w:multiLevelType w:val="hybridMultilevel"/>
    <w:lvl w:ilvl="0">
      <w:lvlJc w:val="left"/>
      <w:lvlText w:val="%1"/>
      <w:numFmt w:val="decimal"/>
      <w:start w:val="1"/>
    </w:lvl>
    <w:lvl w:ilvl="1">
      <w:lvlJc w:val="left"/>
      <w:lvlText w:val="%2."/>
      <w:numFmt w:val="lowerLetter"/>
      <w:start w:val="4"/>
    </w:lvl>
  </w:abstractNum>
  <w:abstractNum w:abstractNumId="347">
    <w:nsid w:val="42E57EF7"/>
    <w:multiLevelType w:val="hybridMultilevel"/>
    <w:lvl w:ilvl="0">
      <w:lvlJc w:val="left"/>
      <w:lvlText w:val="(%1)"/>
      <w:numFmt w:val="decimal"/>
      <w:start w:val="30"/>
    </w:lvl>
    <w:lvl w:ilvl="1">
      <w:lvlJc w:val="left"/>
      <w:lvlText w:val="%2"/>
      <w:numFmt w:val="lowerLetter"/>
      <w:start w:val="1"/>
    </w:lvl>
  </w:abstractNum>
  <w:abstractNum w:abstractNumId="348">
    <w:nsid w:val="33537CED"/>
    <w:multiLevelType w:val="hybridMultilevel"/>
    <w:lvl w:ilvl="0">
      <w:lvlJc w:val="left"/>
      <w:lvlText w:val="%1"/>
      <w:numFmt w:val="decimal"/>
      <w:start w:val="1"/>
    </w:lvl>
    <w:lvl w:ilvl="1">
      <w:lvlJc w:val="left"/>
      <w:lvlText w:val="%2."/>
      <w:numFmt w:val="lowerRoman"/>
      <w:start w:val="1"/>
    </w:lvl>
  </w:abstractNum>
  <w:abstractNum w:abstractNumId="349">
    <w:nsid w:val="27514ADE"/>
    <w:multiLevelType w:val="hybridMultilevel"/>
    <w:lvl w:ilvl="0">
      <w:lvlJc w:val="left"/>
      <w:lvlText w:val="%1."/>
      <w:numFmt w:val="decimal"/>
      <w:start w:val="17"/>
    </w:lvl>
    <w:lvl w:ilvl="1">
      <w:lvlJc w:val="left"/>
      <w:lvlText w:val="%2"/>
      <w:numFmt w:val="lowerRoman"/>
      <w:start w:val="1"/>
    </w:lvl>
  </w:abstractNum>
  <w:abstractNum w:abstractNumId="350">
    <w:nsid w:val="57071613"/>
    <w:multiLevelType w:val="hybridMultilevel"/>
    <w:lvl w:ilvl="0">
      <w:lvlJc w:val="left"/>
      <w:lvlText w:val="%1."/>
      <w:numFmt w:val="decimal"/>
      <w:start w:val="19"/>
    </w:lvl>
  </w:abstractNum>
  <w:abstractNum w:abstractNumId="351">
    <w:nsid w:val="5293BFEF"/>
    <w:multiLevelType w:val="hybridMultilevel"/>
    <w:lvl w:ilvl="0">
      <w:lvlJc w:val="left"/>
      <w:lvlText w:val="%1"/>
      <w:numFmt w:val="lowerLetter"/>
      <w:start w:val="1"/>
    </w:lvl>
    <w:lvl w:ilvl="1">
      <w:lvlJc w:val="left"/>
      <w:lvlText w:val="%2."/>
      <w:numFmt w:val="decimal"/>
      <w:start w:val="20"/>
    </w:lvl>
  </w:abstractNum>
  <w:abstractNum w:abstractNumId="352">
    <w:nsid w:val="38BF53E5"/>
    <w:multiLevelType w:val="hybridMultilevel"/>
    <w:lvl w:ilvl="0">
      <w:lvlJc w:val="left"/>
      <w:lvlText w:val="(%1)"/>
      <w:numFmt w:val="lowerLetter"/>
      <w:start w:val="2"/>
    </w:lvl>
    <w:lvl w:ilvl="1">
      <w:lvlJc w:val="left"/>
      <w:lvlText w:val="%2"/>
      <w:numFmt w:val="decimal"/>
      <w:start w:val="1"/>
    </w:lvl>
  </w:abstractNum>
  <w:abstractNum w:abstractNumId="353">
    <w:nsid w:val="226F5320"/>
    <w:multiLevelType w:val="hybridMultilevel"/>
    <w:lvl w:ilvl="0">
      <w:lvlJc w:val="left"/>
      <w:lvlText w:val="(%1)"/>
      <w:numFmt w:val="lowerLetter"/>
      <w:start w:val="5"/>
    </w:lvl>
    <w:lvl w:ilvl="1">
      <w:lvlJc w:val="left"/>
      <w:lvlText w:val="%2"/>
      <w:numFmt w:val="decimal"/>
      <w:start w:val="1"/>
    </w:lvl>
  </w:abstractNum>
  <w:abstractNum w:abstractNumId="354">
    <w:nsid w:val="5A0201C7"/>
    <w:multiLevelType w:val="hybridMultilevel"/>
    <w:lvl w:ilvl="0">
      <w:lvlJc w:val="left"/>
      <w:lvlText w:val="%1."/>
      <w:numFmt w:val="decimal"/>
      <w:start w:val="23"/>
    </w:lvl>
  </w:abstractNum>
  <w:abstractNum w:abstractNumId="355">
    <w:nsid w:val="2A9C34E2"/>
    <w:multiLevelType w:val="hybridMultilevel"/>
    <w:lvl w:ilvl="0">
      <w:lvlJc w:val="left"/>
      <w:lvlText w:val="[***]"/>
      <w:numFmt w:val="bullet"/>
      <w:start w:val="1"/>
    </w:lvl>
    <w:lvl w:ilvl="1">
      <w:lvlJc w:val="left"/>
      <w:lvlText w:val="%2."/>
      <w:numFmt w:val="upperLetter"/>
      <w:start w:val="1"/>
    </w:lvl>
  </w:abstractNum>
  <w:abstractNum w:abstractNumId="356">
    <w:nsid w:val="1B7585AB"/>
    <w:multiLevelType w:val="hybridMultilevel"/>
    <w:lvl w:ilvl="0">
      <w:lvlJc w:val="left"/>
      <w:lvlText w:val="[***]"/>
      <w:numFmt w:val="bullet"/>
      <w:start w:val="1"/>
    </w:lvl>
    <w:lvl w:ilvl="1">
      <w:lvlJc w:val="left"/>
      <w:lvlText w:val="%2."/>
      <w:numFmt w:val="upperLetter"/>
      <w:start w:val="2"/>
    </w:lvl>
  </w:abstractNum>
  <w:abstractNum w:abstractNumId="357">
    <w:nsid w:val="612DBDDD"/>
    <w:multiLevelType w:val="hybridMultilevel"/>
    <w:lvl w:ilvl="0">
      <w:lvlJc w:val="left"/>
      <w:lvlText w:val="%1."/>
      <w:numFmt w:val="decimal"/>
      <w:start w:val="1"/>
    </w:lvl>
  </w:abstractNum>
  <w:abstractNum w:abstractNumId="358">
    <w:nsid w:val="2109CDA4"/>
    <w:multiLevelType w:val="hybridMultilevel"/>
    <w:lvl w:ilvl="0">
      <w:lvlJc w:val="left"/>
      <w:lvlText w:val="%1."/>
      <w:numFmt w:val="decimal"/>
      <w:start w:val="3"/>
    </w:lvl>
  </w:abstractNum>
  <w:abstractNum w:abstractNumId="359">
    <w:nsid w:val="577F5A4D"/>
    <w:multiLevelType w:val="hybridMultilevel"/>
    <w:lvl w:ilvl="0">
      <w:lvlJc w:val="left"/>
      <w:lvlText w:val="%1."/>
      <w:numFmt w:val="decimal"/>
      <w:start w:val="9"/>
    </w:lvl>
  </w:abstractNum>
  <w:abstractNum w:abstractNumId="360">
    <w:nsid w:val="2121A81"/>
    <w:multiLevelType w:val="hybridMultilevel"/>
    <w:lvl w:ilvl="0">
      <w:lvlJc w:val="left"/>
      <w:lvlText w:val="[***]"/>
      <w:numFmt w:val="bullet"/>
      <w:start w:val="1"/>
    </w:lvl>
    <w:lvl w:ilvl="1">
      <w:lvlJc w:val="left"/>
      <w:lvlText w:val="%2."/>
      <w:numFmt w:val="upperLetter"/>
      <w:start w:val="1"/>
    </w:lvl>
  </w:abstractNum>
  <w:abstractNum w:abstractNumId="361">
    <w:nsid w:val="6C2CFC88"/>
    <w:multiLevelType w:val="hybridMultilevel"/>
    <w:lvl w:ilvl="0">
      <w:lvlJc w:val="left"/>
      <w:lvlText w:val="[***]"/>
      <w:numFmt w:val="bullet"/>
      <w:start w:val="1"/>
    </w:lvl>
    <w:lvl w:ilvl="1">
      <w:lvlJc w:val="left"/>
      <w:lvlText w:val="%2."/>
      <w:numFmt w:val="upperLetter"/>
      <w:start w:val="2"/>
    </w:lvl>
  </w:abstractNum>
  <w:abstractNum w:abstractNumId="362">
    <w:nsid w:val="6D1BCF1C"/>
    <w:multiLevelType w:val="hybridMultilevel"/>
    <w:lvl w:ilvl="0">
      <w:lvlJc w:val="left"/>
      <w:lvlText w:val="%1."/>
      <w:numFmt w:val="decimal"/>
      <w:start w:val="1"/>
    </w:lvl>
  </w:abstractNum>
  <w:abstractNum w:abstractNumId="363">
    <w:nsid w:val="4CE5CA53"/>
    <w:multiLevelType w:val="hybridMultilevel"/>
    <w:lvl w:ilvl="0">
      <w:lvlJc w:val="left"/>
      <w:lvlText w:val="%1."/>
      <w:numFmt w:val="decimal"/>
      <w:start w:val="2"/>
    </w:lvl>
  </w:abstractNum>
  <w:abstractNum w:abstractNumId="364">
    <w:nsid w:val="29262D1A"/>
    <w:multiLevelType w:val="hybridMultilevel"/>
    <w:lvl w:ilvl="0">
      <w:lvlJc w:val="left"/>
      <w:lvlText w:val="%1."/>
      <w:numFmt w:val="decimal"/>
      <w:start w:val="5"/>
    </w:lvl>
  </w:abstractNum>
  <w:abstractNum w:abstractNumId="365">
    <w:nsid w:val="557FB7EE"/>
    <w:multiLevelType w:val="hybridMultilevel"/>
    <w:lvl w:ilvl="0">
      <w:lvlJc w:val="left"/>
      <w:lvlText w:val="%1"/>
      <w:numFmt w:val="lowerLetter"/>
      <w:start w:val="1"/>
    </w:lvl>
    <w:lvl w:ilvl="1">
      <w:lvlJc w:val="left"/>
      <w:lvlText w:val="(%2)"/>
      <w:numFmt w:val="lowerLetter"/>
      <w:start w:val="1"/>
    </w:lvl>
  </w:abstractNum>
  <w:abstractNum w:abstractNumId="366">
    <w:nsid w:val="436F2BEB"/>
    <w:multiLevelType w:val="hybridMultilevel"/>
    <w:lvl w:ilvl="0">
      <w:lvlJc w:val="left"/>
      <w:lvlText w:val="(%1)"/>
      <w:numFmt w:val="lowerLetter"/>
      <w:start w:val="23"/>
    </w:lvl>
    <w:lvl w:ilvl="1">
      <w:lvlJc w:val="left"/>
      <w:lvlText w:val="%2"/>
      <w:numFmt w:val="lowerLetter"/>
      <w:start w:val="1"/>
    </w:lvl>
  </w:abstractNum>
  <w:abstractNum w:abstractNumId="367">
    <w:nsid w:val="6C8B4466"/>
    <w:multiLevelType w:val="hybridMultilevel"/>
    <w:lvl w:ilvl="0">
      <w:lvlJc w:val="left"/>
      <w:lvlText w:val="%1"/>
      <w:numFmt w:val="decimal"/>
      <w:start w:val="1"/>
    </w:lvl>
    <w:lvl w:ilvl="1">
      <w:lvlJc w:val="left"/>
      <w:lvlText w:val="(%2)"/>
      <w:numFmt w:val="lowerLetter"/>
      <w:start w:val="2"/>
    </w:lvl>
  </w:abstractNum>
  <w:abstractNum w:abstractNumId="368">
    <w:nsid w:val="2006E424"/>
    <w:multiLevelType w:val="hybridMultilevel"/>
    <w:lvl w:ilvl="0">
      <w:lvlJc w:val="left"/>
      <w:lvlText w:val="%1."/>
      <w:numFmt w:val="decimal"/>
      <w:start w:val="7"/>
    </w:lvl>
    <w:lvl w:ilvl="1">
      <w:lvlJc w:val="left"/>
      <w:lvlText w:val="%2"/>
      <w:numFmt w:val="lowerLetter"/>
      <w:start w:val="1"/>
    </w:lvl>
  </w:abstractNum>
  <w:abstractNum w:abstractNumId="369">
    <w:nsid w:val="20CC134C"/>
    <w:multiLevelType w:val="hybridMultilevel"/>
    <w:lvl w:ilvl="0">
      <w:lvlJc w:val="left"/>
      <w:lvlText w:val="%1."/>
      <w:numFmt w:val="decimal"/>
      <w:start w:val="8"/>
    </w:lvl>
  </w:abstractNum>
  <w:abstractNum w:abstractNumId="370">
    <w:nsid w:val="95FC93B"/>
    <w:multiLevelType w:val="hybridMultilevel"/>
    <w:lvl w:ilvl="0">
      <w:lvlJc w:val="left"/>
      <w:lvlText w:val="%1."/>
      <w:numFmt w:val="decimal"/>
      <w:start w:val="12"/>
    </w:lvl>
  </w:abstractNum>
  <w:abstractNum w:abstractNumId="371">
    <w:nsid w:val="41D74679"/>
    <w:multiLevelType w:val="hybridMultilevel"/>
    <w:lvl w:ilvl="0">
      <w:lvlJc w:val="left"/>
      <w:lvlText w:val="%1."/>
      <w:numFmt w:val="decimal"/>
      <w:start w:val="13"/>
    </w:lvl>
  </w:abstractNum>
  <w:abstractNum w:abstractNumId="372">
    <w:nsid w:val="71E5621E"/>
    <w:multiLevelType w:val="hybridMultilevel"/>
    <w:lvl w:ilvl="0">
      <w:lvlJc w:val="left"/>
      <w:lvlText w:val="%1."/>
      <w:numFmt w:val="upperLetter"/>
      <w:start w:val="1"/>
    </w:lvl>
  </w:abstractNum>
  <w:abstractNum w:abstractNumId="373">
    <w:nsid w:val="4E42B6A8"/>
    <w:multiLevelType w:val="hybridMultilevel"/>
    <w:lvl w:ilvl="0">
      <w:lvlJc w:val="left"/>
      <w:lvlText w:val="%1."/>
      <w:numFmt w:val="decimal"/>
      <w:start w:val="1"/>
    </w:lvl>
  </w:abstractNum>
  <w:abstractNum w:abstractNumId="374">
    <w:nsid w:val="43F8E1AC"/>
    <w:multiLevelType w:val="hybridMultilevel"/>
    <w:lvl w:ilvl="0">
      <w:lvlJc w:val="left"/>
      <w:lvlText w:val="%1."/>
      <w:numFmt w:val="decimal"/>
      <w:start w:val="2"/>
    </w:lvl>
  </w:abstractNum>
  <w:abstractNum w:abstractNumId="375">
    <w:nsid w:val="69215DFB"/>
    <w:multiLevelType w:val="hybridMultilevel"/>
    <w:lvl w:ilvl="0">
      <w:lvlJc w:val="left"/>
      <w:lvlText w:val="%1."/>
      <w:numFmt w:val="decimal"/>
      <w:start w:val="3"/>
    </w:lvl>
  </w:abstractNum>
  <w:abstractNum w:abstractNumId="376">
    <w:nsid w:val="7ABF196A"/>
    <w:multiLevelType w:val="hybridMultilevel"/>
    <w:lvl w:ilvl="0">
      <w:lvlJc w:val="left"/>
      <w:lvlText w:val="%1."/>
      <w:numFmt w:val="decimal"/>
      <w:start w:val="4"/>
    </w:lvl>
  </w:abstractNum>
  <w:abstractNum w:abstractNumId="377">
    <w:nsid w:val="5E4DB968"/>
    <w:multiLevelType w:val="hybridMultilevel"/>
    <w:lvl w:ilvl="0">
      <w:lvlJc w:val="left"/>
      <w:lvlText w:val="%1."/>
      <w:numFmt w:val="decimal"/>
      <w:start w:val="5"/>
    </w:lvl>
  </w:abstractNum>
  <w:abstractNum w:abstractNumId="378">
    <w:nsid w:val="2C06DCF3"/>
    <w:multiLevelType w:val="hybridMultilevel"/>
    <w:lvl w:ilvl="0">
      <w:lvlJc w:val="left"/>
      <w:lvlText w:val="%1."/>
      <w:numFmt w:val="decimal"/>
      <w:start w:val="6"/>
    </w:lvl>
    <w:lvl w:ilvl="1">
      <w:lvlJc w:val="left"/>
      <w:lvlText w:val="%2."/>
      <w:numFmt w:val="lowerLetter"/>
      <w:start w:val="1"/>
    </w:lvl>
  </w:abstractNum>
  <w:abstractNum w:abstractNumId="379">
    <w:nsid w:val="2E129658"/>
    <w:multiLevelType w:val="hybridMultilevel"/>
    <w:lvl w:ilvl="0">
      <w:lvlJc w:val="left"/>
      <w:lvlText w:val="%1."/>
      <w:numFmt w:val="lowerLetter"/>
      <w:start w:val="2"/>
    </w:lvl>
  </w:abstractNum>
  <w:abstractNum w:abstractNumId="380">
    <w:nsid w:val="59F0446"/>
    <w:multiLevelType w:val="hybridMultilevel"/>
    <w:lvl w:ilvl="0">
      <w:lvlJc w:val="left"/>
      <w:lvlText w:val="%1."/>
      <w:numFmt w:val="lowerLetter"/>
      <w:start w:val="3"/>
    </w:lvl>
    <w:lvl w:ilvl="1">
      <w:lvlJc w:val="left"/>
      <w:lvlText w:val="%2"/>
      <w:numFmt w:val="lowerLetter"/>
      <w:start w:val="1"/>
    </w:lvl>
  </w:abstractNum>
  <w:abstractNum w:abstractNumId="381">
    <w:nsid w:val="30DF306"/>
    <w:multiLevelType w:val="hybridMultilevel"/>
    <w:lvl w:ilvl="0">
      <w:lvlJc w:val="left"/>
      <w:lvlText w:val="%1"/>
      <w:numFmt w:val="lowerLetter"/>
      <w:start w:val="1"/>
    </w:lvl>
    <w:lvl w:ilvl="1">
      <w:lvlJc w:val="left"/>
      <w:lvlText w:val="%2."/>
      <w:numFmt w:val="lowerRoman"/>
      <w:start w:val="2"/>
    </w:lvl>
  </w:abstractNum>
  <w:abstractNum w:abstractNumId="382">
    <w:nsid w:val="A65647"/>
    <w:multiLevelType w:val="hybridMultilevel"/>
    <w:lvl w:ilvl="0">
      <w:lvlJc w:val="left"/>
      <w:lvlText w:val="%1."/>
      <w:numFmt w:val="lowerLetter"/>
      <w:start w:val="4"/>
    </w:lvl>
    <w:lvl w:ilvl="1">
      <w:lvlJc w:val="left"/>
      <w:lvlText w:val="%2"/>
      <w:numFmt w:val="lowerRoman"/>
      <w:start w:val="1"/>
    </w:lvl>
  </w:abstractNum>
  <w:abstractNum w:abstractNumId="383">
    <w:nsid w:val="3E5E582B"/>
    <w:multiLevelType w:val="hybridMultilevel"/>
    <w:lvl w:ilvl="0">
      <w:lvlJc w:val="left"/>
      <w:lvlText w:val="%1."/>
      <w:numFmt w:val="decimal"/>
      <w:start w:val="7"/>
    </w:lvl>
    <w:lvl w:ilvl="1">
      <w:lvlJc w:val="left"/>
      <w:lvlText w:val="%2."/>
      <w:numFmt w:val="lowerLetter"/>
      <w:start w:val="1"/>
    </w:lvl>
  </w:abstractNum>
  <w:abstractNum w:abstractNumId="384">
    <w:nsid w:val="257D4626"/>
    <w:multiLevelType w:val="hybridMultilevel"/>
    <w:lvl w:ilvl="0">
      <w:lvlJc w:val="left"/>
      <w:lvlText w:val="%1."/>
      <w:numFmt w:val="lowerLetter"/>
      <w:start w:val="3"/>
    </w:lvl>
  </w:abstractNum>
  <w:abstractNum w:abstractNumId="385">
    <w:nsid w:val="5AA8580E"/>
    <w:multiLevelType w:val="hybridMultilevel"/>
    <w:lvl w:ilvl="0">
      <w:lvlJc w:val="left"/>
      <w:lvlText w:val="%1."/>
      <w:numFmt w:val="decimal"/>
      <w:start w:val="1"/>
    </w:lvl>
  </w:abstractNum>
  <w:abstractNum w:abstractNumId="386">
    <w:nsid w:val="68FA8D0D"/>
    <w:multiLevelType w:val="hybridMultilevel"/>
    <w:lvl w:ilvl="0">
      <w:lvlJc w:val="left"/>
      <w:lvlText w:val="%1."/>
      <w:numFmt w:val="decimal"/>
      <w:start w:val="1"/>
    </w:lvl>
    <w:lvl w:ilvl="1">
      <w:lvlJc w:val="left"/>
      <w:lvlText w:val="%2."/>
      <w:numFmt w:val="lowerLetter"/>
      <w:start w:val="1"/>
    </w:lvl>
  </w:abstractNum>
  <w:abstractNum w:abstractNumId="387">
    <w:nsid w:val="40F2CBD2"/>
    <w:multiLevelType w:val="hybridMultilevel"/>
    <w:lvl w:ilvl="0">
      <w:lvlJc w:val="left"/>
      <w:lvlText w:val="%1."/>
      <w:numFmt w:val="decimal"/>
      <w:start w:val="1"/>
    </w:lvl>
    <w:lvl w:ilvl="1">
      <w:lvlJc w:val="left"/>
      <w:lvlText w:val="%2."/>
      <w:numFmt w:val="lowerLetter"/>
      <w:start w:val="1"/>
    </w:lvl>
  </w:abstractNum>
  <w:abstractNum w:abstractNumId="388">
    <w:nsid w:val="3BD615EB"/>
    <w:multiLevelType w:val="hybridMultilevel"/>
    <w:lvl w:ilvl="0">
      <w:lvlJc w:val="left"/>
      <w:lvlText w:val="%1."/>
      <w:numFmt w:val="decimal"/>
      <w:start w:val="1"/>
    </w:lvl>
  </w:abstractNum>
  <w:abstractNum w:abstractNumId="389">
    <w:nsid w:val="A045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jpeg"/><Relationship Id="rId178" Type="http://schemas.openxmlformats.org/officeDocument/2006/relationships/image" Target="media/image145.jpe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133" Type="http://schemas.openxmlformats.org/officeDocument/2006/relationships/hyperlink" Target="http://www.sec.gov/Archives/edgar/data/1125345/000119312513402831/d613759dex31.htm" TargetMode="External"/><Relationship Id="rId134" Type="http://schemas.openxmlformats.org/officeDocument/2006/relationships/hyperlink" Target="http://www.sec.gov/Archives/edgar/data/1125345/000119312513402831/d613759dex33.htm" TargetMode="External"/><Relationship Id="rId135" Type="http://schemas.openxmlformats.org/officeDocument/2006/relationships/hyperlink" Target="https://www.sec.gov/Archives/edgar/data/0001125345/000112534521000052/a8-k_bylawxamendmentxexx3x1.htm" TargetMode="External"/><Relationship Id="rId136" Type="http://schemas.openxmlformats.org/officeDocument/2006/relationships/hyperlink" Target="http://www.sec.gov/Archives/edgar/data/1125345/000119312513394786/d575431dex42.htm" TargetMode="External"/><Relationship Id="rId137" Type="http://schemas.openxmlformats.org/officeDocument/2006/relationships/hyperlink" Target="https://www.sec.gov/Archives/edgar/data/1125345/000112534521000035/mgnxexhibit4-2202010xk.htm" TargetMode="External"/><Relationship Id="rId138" Type="http://schemas.openxmlformats.org/officeDocument/2006/relationships/hyperlink" Target="http://www.sec.gov/Archives/edgar/data/1125345/000119312513386872/d575431dex1014.htm" TargetMode="External"/><Relationship Id="rId139" Type="http://schemas.openxmlformats.org/officeDocument/2006/relationships/hyperlink" Target="http://www.sec.gov/Archives/edgar/data/1125345/000112534518000022/exhibit10-3201710xkfinal.htm" TargetMode="External"/><Relationship Id="rId140" Type="http://schemas.openxmlformats.org/officeDocument/2006/relationships/hyperlink" Target="http://www.sec.gov/Archives/edgar/data/1125345/000119312513357191/d575431dex103.htm" TargetMode="External"/><Relationship Id="rId141" Type="http://schemas.openxmlformats.org/officeDocument/2006/relationships/hyperlink" Target="http://www.sec.gov/Archives/edgar/data/1125345/000119312513357191/d575431dex104.htm" TargetMode="External"/><Relationship Id="rId142" Type="http://schemas.openxmlformats.org/officeDocument/2006/relationships/hyperlink" Target="http://www.sec.gov/Archives/edgar/data/1125345/000119312513386872/d575431dex105.htm" TargetMode="External"/><Relationship Id="rId143" Type="http://schemas.openxmlformats.org/officeDocument/2006/relationships/hyperlink" Target="http://www.sec.gov/Archives/edgar/data/1125345/000119312513386872/d575431dex106.htm" TargetMode="External"/><Relationship Id="rId144" Type="http://schemas.openxmlformats.org/officeDocument/2006/relationships/hyperlink" Target="http://www.sec.gov/Archives/edgar/data/1125345/000119312513386872/d575431dex107.htm" TargetMode="External"/><Relationship Id="rId145" Type="http://schemas.openxmlformats.org/officeDocument/2006/relationships/hyperlink" Target="http://www.sec.gov/Archives/edgar/data/1125345/000112534515000013/exhibit10-2.htm" TargetMode="External"/><Relationship Id="rId146" Type="http://schemas.openxmlformats.org/officeDocument/2006/relationships/hyperlink" Target="http://www.sec.gov/Archives/edgar/data/1125345/000155278116002035/e00576_ex4-1.htm" TargetMode="External"/><Relationship Id="rId147" Type="http://schemas.openxmlformats.org/officeDocument/2006/relationships/hyperlink" Target="http://www.sec.gov/Archives/edgar/data/1125345/000112534516000046/exhibit1014.htm" TargetMode="External"/><Relationship Id="rId148" Type="http://schemas.openxmlformats.org/officeDocument/2006/relationships/hyperlink" Target="http://www.sec.gov/Archives/edgar/data/1125345/000112534516000046/exhibit1015.htm" TargetMode="External"/><Relationship Id="rId149" Type="http://schemas.openxmlformats.org/officeDocument/2006/relationships/hyperlink" Target="http://www.sec.gov/Archives/edgar/data/1125345/000112534516000056/exhibit10-3.htm" TargetMode="External"/><Relationship Id="rId150" Type="http://schemas.openxmlformats.org/officeDocument/2006/relationships/hyperlink" Target="http://www.sec.gov/Archives/edgar/data/1125345/000112534517000041/exhibit1016.htm" TargetMode="External"/><Relationship Id="rId151" Type="http://schemas.openxmlformats.org/officeDocument/2006/relationships/hyperlink" Target="https://www.sec.gov/Archives/edgar/data/0001125345/000112534521000060/exhibit101stepheneckemploy.htm" TargetMode="External"/><Relationship Id="rId152" Type="http://schemas.openxmlformats.org/officeDocument/2006/relationships/hyperlink" Target="https://www.sec.gov/Archives/edgar/data/1125345/000112534522000047/ex101spitznagelemploymenta.htm" TargetMode="External"/><Relationship Id="rId153" Type="http://schemas.openxmlformats.org/officeDocument/2006/relationships/hyperlink" Target="http://www.sec.gov/Archives/edgar/data/1125345/000112534518000058/exhibit101incyteamendment.htm" TargetMode="External"/><Relationship Id="rId154" Type="http://schemas.openxmlformats.org/officeDocument/2006/relationships/hyperlink" Target="https://www.sec.gov/Archives/edgar/data/1125345/000112534522000090/exhibit101-incyte2ndamend.htm" TargetMode="External"/><Relationship Id="rId157" Type="http://schemas.openxmlformats.org/officeDocument/2006/relationships/hyperlink" Target="https://www.sec.gov/Archives/edgar/data/1125345/000112534522000104/exhibit101-incyte3rdamend.htm" TargetMode="External"/><Relationship Id="rId158" Type="http://schemas.openxmlformats.org/officeDocument/2006/relationships/hyperlink" Target="https://www.sec.gov/Archives/edgar/data/0001125345/000112534521000035/exhibit1016incytecommercia.htm" TargetMode="External"/><Relationship Id="rId159" Type="http://schemas.openxmlformats.org/officeDocument/2006/relationships/hyperlink" Target="https://www.sec.gov/Archives/edgar/data/0001125345/000112534521000035/exhibit1017eversanaagreeme.htm" TargetMode="External"/><Relationship Id="rId160" Type="http://schemas.openxmlformats.org/officeDocument/2006/relationships/hyperlink" Target="https://www.sec.gov/Archives/edgar/data/0001125345/000112534521000099/exhibit102stckprchsagrmntz.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2023-03-15T15:51:46Z</dcterms:created>
  <dcterms:modified xsi:type="dcterms:W3CDTF">2023-03-15T15:51:46Z</dcterms:modified>
</cp:coreProperties>
</file>