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62" w:lineRule="exact"/>
        <w:rPr>
          <w:sz w:val="24"/>
          <w:szCs w:val="24"/>
          <w:color w:val="auto"/>
        </w:rPr>
      </w:pPr>
    </w:p>
    <w:p>
      <w:pPr>
        <w:ind w:left="660" w:hanging="621"/>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660" w:hanging="621"/>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1" w:lineRule="exact"/>
        <w:rPr>
          <w:sz w:val="24"/>
          <w:szCs w:val="24"/>
          <w:color w:val="auto"/>
        </w:rPr>
      </w:pPr>
    </w:p>
    <w:p>
      <w:pPr>
        <w:ind w:left="378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3904615</wp:posOffset>
            </wp:positionH>
            <wp:positionV relativeFrom="paragraph">
              <wp:posOffset>-5080</wp:posOffset>
            </wp:positionV>
            <wp:extent cx="8375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001-36112</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MACROGENICS, INC.</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42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520" w:type="dxa"/>
            <w:vAlign w:val="bottom"/>
          </w:tcPr>
          <w:p>
            <w:pPr>
              <w:jc w:val="right"/>
              <w:ind w:right="2010"/>
              <w:spacing w:after="0"/>
              <w:rPr>
                <w:sz w:val="20"/>
                <w:szCs w:val="20"/>
                <w:color w:val="auto"/>
              </w:rPr>
            </w:pPr>
            <w:r>
              <w:rPr>
                <w:rFonts w:ascii="Times New Roman" w:cs="Times New Roman" w:eastAsia="Times New Roman" w:hAnsi="Times New Roman"/>
                <w:sz w:val="18"/>
                <w:szCs w:val="18"/>
                <w:b w:val="1"/>
                <w:bCs w:val="1"/>
                <w:color w:val="auto"/>
              </w:rPr>
              <w:t>06-1591613</w:t>
            </w:r>
          </w:p>
        </w:tc>
        <w:tc>
          <w:tcPr>
            <w:tcW w:w="0" w:type="dxa"/>
            <w:vAlign w:val="bottom"/>
          </w:tcPr>
          <w:p>
            <w:pPr>
              <w:spacing w:after="0"/>
              <w:rPr>
                <w:sz w:val="1"/>
                <w:szCs w:val="1"/>
                <w:color w:val="auto"/>
              </w:rPr>
            </w:pPr>
          </w:p>
        </w:tc>
      </w:tr>
      <w:tr>
        <w:trPr>
          <w:trHeight w:val="184"/>
        </w:trPr>
        <w:tc>
          <w:tcPr>
            <w:tcW w:w="4420" w:type="dxa"/>
            <w:vAlign w:val="bottom"/>
            <w:gridSpan w:val="2"/>
          </w:tcPr>
          <w:p>
            <w:pPr>
              <w:jc w:val="center"/>
              <w:ind w:left="13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1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520" w:type="dxa"/>
            <w:vAlign w:val="bottom"/>
          </w:tcPr>
          <w:p>
            <w:pPr>
              <w:jc w:val="center"/>
              <w:ind w:right="470"/>
              <w:spacing w:after="0" w:line="184" w:lineRule="exact"/>
              <w:rPr>
                <w:sz w:val="20"/>
                <w:szCs w:val="20"/>
                <w:color w:val="auto"/>
              </w:rPr>
            </w:pPr>
            <w:r>
              <w:rPr>
                <w:rFonts w:ascii="Times New Roman" w:cs="Times New Roman" w:eastAsia="Times New Roman" w:hAnsi="Times New Roman"/>
                <w:sz w:val="18"/>
                <w:szCs w:val="18"/>
                <w:b w:val="1"/>
                <w:bCs w:val="1"/>
                <w:color w:val="auto"/>
                <w:w w:val="98"/>
              </w:rPr>
              <w:t>(I.R.S. Employer</w:t>
            </w:r>
          </w:p>
        </w:tc>
        <w:tc>
          <w:tcPr>
            <w:tcW w:w="0" w:type="dxa"/>
            <w:vAlign w:val="bottom"/>
          </w:tcPr>
          <w:p>
            <w:pPr>
              <w:spacing w:after="0"/>
              <w:rPr>
                <w:sz w:val="1"/>
                <w:szCs w:val="1"/>
                <w:color w:val="auto"/>
              </w:rPr>
            </w:pPr>
          </w:p>
        </w:tc>
      </w:tr>
      <w:tr>
        <w:trPr>
          <w:trHeight w:val="238"/>
        </w:trPr>
        <w:tc>
          <w:tcPr>
            <w:tcW w:w="442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1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2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c>
          <w:tcPr>
            <w:tcW w:w="0" w:type="dxa"/>
            <w:vAlign w:val="bottom"/>
          </w:tcPr>
          <w:p>
            <w:pPr>
              <w:spacing w:after="0"/>
              <w:rPr>
                <w:sz w:val="1"/>
                <w:szCs w:val="1"/>
                <w:color w:val="auto"/>
              </w:rPr>
            </w:pPr>
          </w:p>
        </w:tc>
      </w:tr>
      <w:tr>
        <w:trPr>
          <w:trHeight w:val="234"/>
        </w:trPr>
        <w:tc>
          <w:tcPr>
            <w:tcW w:w="442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rPr>
              <w:t>9704 Medical Center Drive</w:t>
            </w:r>
          </w:p>
        </w:tc>
        <w:tc>
          <w:tcPr>
            <w:tcW w:w="1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20" w:type="dxa"/>
            <w:vAlign w:val="bottom"/>
            <w:vMerge w:val="restart"/>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20850</w:t>
            </w:r>
          </w:p>
        </w:tc>
        <w:tc>
          <w:tcPr>
            <w:tcW w:w="0" w:type="dxa"/>
            <w:vAlign w:val="bottom"/>
          </w:tcPr>
          <w:p>
            <w:pPr>
              <w:spacing w:after="0"/>
              <w:rPr>
                <w:sz w:val="1"/>
                <w:szCs w:val="1"/>
                <w:color w:val="auto"/>
              </w:rPr>
            </w:pPr>
          </w:p>
        </w:tc>
      </w:tr>
      <w:tr>
        <w:trPr>
          <w:trHeight w:val="234"/>
        </w:trPr>
        <w:tc>
          <w:tcPr>
            <w:tcW w:w="4420" w:type="dxa"/>
            <w:vAlign w:val="bottom"/>
            <w:gridSpan w:val="2"/>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9"/>
              </w:rPr>
              <w:t>Rockville, Maryland</w:t>
            </w:r>
          </w:p>
        </w:tc>
        <w:tc>
          <w:tcPr>
            <w:tcW w:w="1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420" w:type="dxa"/>
            <w:vAlign w:val="bottom"/>
            <w:gridSpan w:val="2"/>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2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(Zip code)</w:t>
            </w:r>
          </w:p>
        </w:tc>
        <w:tc>
          <w:tcPr>
            <w:tcW w:w="0" w:type="dxa"/>
            <w:vAlign w:val="bottom"/>
          </w:tcPr>
          <w:p>
            <w:pPr>
              <w:spacing w:after="0"/>
              <w:rPr>
                <w:sz w:val="1"/>
                <w:szCs w:val="1"/>
                <w:color w:val="auto"/>
              </w:rPr>
            </w:pPr>
          </w:p>
        </w:tc>
      </w:tr>
      <w:tr>
        <w:trPr>
          <w:trHeight w:val="418"/>
        </w:trPr>
        <w:tc>
          <w:tcPr>
            <w:tcW w:w="4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301-251-5172</w:t>
            </w: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6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0" w:type="dxa"/>
            <w:vAlign w:val="bottom"/>
          </w:tcPr>
          <w:p>
            <w:pPr>
              <w:spacing w:after="0"/>
              <w:rPr>
                <w:sz w:val="1"/>
                <w:szCs w:val="1"/>
                <w:color w:val="auto"/>
              </w:rPr>
            </w:pPr>
          </w:p>
        </w:tc>
      </w:tr>
      <w:tr>
        <w:trPr>
          <w:trHeight w:val="324"/>
        </w:trPr>
        <w:tc>
          <w:tcPr>
            <w:tcW w:w="654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0" w:type="dxa"/>
            <w:vAlign w:val="bottom"/>
            <w:tcBorders>
              <w:bottom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23"/>
        </w:trPr>
        <w:tc>
          <w:tcPr>
            <w:tcW w:w="4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8"/>
              </w:rPr>
              <w:t>MGNX</w:t>
            </w:r>
          </w:p>
        </w:tc>
        <w:tc>
          <w:tcPr>
            <w:tcW w:w="460" w:type="dxa"/>
            <w:vAlign w:val="bottom"/>
            <w:tcBorders>
              <w:bottom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22" w:lineRule="exact"/>
        <w:rPr>
          <w:sz w:val="24"/>
          <w:szCs w:val="24"/>
          <w:color w:val="auto"/>
        </w:rPr>
      </w:pPr>
    </w:p>
    <w:p>
      <w:pPr>
        <w:jc w:val="both"/>
        <w:ind w:right="6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10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"accelerated filer," "large accelerated filer," "smaller reporting company" and "emerging growth company" in Rule 12b-2 of the Exchange Act. (Check one):</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65"/>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156" w:lineRule="exact"/>
        <w:rPr>
          <w:sz w:val="24"/>
          <w:szCs w:val="24"/>
          <w:color w:val="auto"/>
        </w:rPr>
      </w:pPr>
    </w:p>
    <w:p>
      <w:pPr>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right="1080" w:firstLine="648"/>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August 2, 2024, 62,722,244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720" w:type="dxa"/>
            <w:vAlign w:val="bottom"/>
            <w:gridSpan w:val="11"/>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78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6100" w:type="dxa"/>
            <w:vAlign w:val="bottom"/>
            <w:gridSpan w:val="9"/>
          </w:tcPr>
          <w:p>
            <w:pPr>
              <w:spacing w:after="0"/>
              <w:rPr>
                <w:sz w:val="24"/>
                <w:szCs w:val="24"/>
                <w:color w:val="auto"/>
              </w:rPr>
            </w:pPr>
          </w:p>
        </w:tc>
      </w:tr>
      <w:tr>
        <w:trPr>
          <w:trHeight w:val="479"/>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Financial Statements</w:t>
            </w:r>
          </w:p>
        </w:tc>
        <w:tc>
          <w:tcPr>
            <w:tcW w:w="6980" w:type="dxa"/>
            <w:vAlign w:val="bottom"/>
            <w:gridSpan w:val="12"/>
          </w:tcPr>
          <w:p>
            <w:pPr>
              <w:spacing w:after="0"/>
              <w:rPr>
                <w:sz w:val="24"/>
                <w:szCs w:val="24"/>
                <w:color w:val="auto"/>
              </w:rPr>
            </w:pPr>
          </w:p>
        </w:tc>
      </w:tr>
      <w:tr>
        <w:trPr>
          <w:trHeight w:val="479"/>
        </w:trPr>
        <w:tc>
          <w:tcPr>
            <w:tcW w:w="2740" w:type="dxa"/>
            <w:vAlign w:val="bottom"/>
          </w:tcPr>
          <w:p>
            <w:pPr>
              <w:spacing w:after="0"/>
              <w:rPr>
                <w:sz w:val="24"/>
                <w:szCs w:val="24"/>
                <w:color w:val="auto"/>
              </w:rPr>
            </w:pPr>
          </w:p>
        </w:tc>
        <w:tc>
          <w:tcPr>
            <w:tcW w:w="59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Balance Sheets at June 30, 2024 (unaudited) and December 31, 2023</w:t>
            </w:r>
          </w:p>
        </w:tc>
        <w:tc>
          <w:tcPr>
            <w:tcW w:w="2540" w:type="dxa"/>
            <w:vAlign w:val="bottom"/>
            <w:gridSpan w:val="5"/>
          </w:tcPr>
          <w:p>
            <w:pPr>
              <w:spacing w:after="0"/>
              <w:rPr>
                <w:sz w:val="24"/>
                <w:szCs w:val="24"/>
                <w:color w:val="auto"/>
              </w:rPr>
            </w:pPr>
          </w:p>
        </w:tc>
      </w:tr>
      <w:tr>
        <w:trPr>
          <w:trHeight w:val="479"/>
        </w:trPr>
        <w:tc>
          <w:tcPr>
            <w:tcW w:w="2740" w:type="dxa"/>
            <w:vAlign w:val="bottom"/>
          </w:tcPr>
          <w:p>
            <w:pPr>
              <w:spacing w:after="0"/>
              <w:rPr>
                <w:sz w:val="24"/>
                <w:szCs w:val="24"/>
                <w:color w:val="auto"/>
              </w:rPr>
            </w:pPr>
          </w:p>
        </w:tc>
        <w:tc>
          <w:tcPr>
            <w:tcW w:w="85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 (Loss) for the three and six months ended June</w:t>
            </w:r>
          </w:p>
        </w:tc>
      </w:tr>
      <w:tr>
        <w:trPr>
          <w:trHeight w:val="156"/>
        </w:trPr>
        <w:tc>
          <w:tcPr>
            <w:tcW w:w="2740" w:type="dxa"/>
            <w:vAlign w:val="bottom"/>
          </w:tcPr>
          <w:p>
            <w:pPr>
              <w:spacing w:after="0"/>
              <w:rPr>
                <w:sz w:val="13"/>
                <w:szCs w:val="13"/>
                <w:color w:val="auto"/>
              </w:rPr>
            </w:pPr>
          </w:p>
        </w:tc>
        <w:tc>
          <w:tcPr>
            <w:tcW w:w="8300" w:type="dxa"/>
            <w:vAlign w:val="bottom"/>
            <w:tcBorders>
              <w:top w:val="single" w:sz="8" w:color="0000FF"/>
            </w:tcBorders>
            <w:gridSpan w:val="18"/>
          </w:tcPr>
          <w:p>
            <w:pPr>
              <w:spacing w:after="0" w:line="156" w:lineRule="exact"/>
              <w:rPr>
                <w:sz w:val="20"/>
                <w:szCs w:val="20"/>
                <w:color w:val="auto"/>
              </w:rPr>
            </w:pPr>
            <w:r>
              <w:rPr>
                <w:rFonts w:ascii="Times New Roman" w:cs="Times New Roman" w:eastAsia="Times New Roman" w:hAnsi="Times New Roman"/>
                <w:sz w:val="18"/>
                <w:szCs w:val="18"/>
                <w:color w:val="0000FF"/>
              </w:rPr>
              <w:t>30, 2024 and June 30, 2023 (unaudited)</w:t>
            </w:r>
          </w:p>
        </w:tc>
        <w:tc>
          <w:tcPr>
            <w:tcW w:w="200" w:type="dxa"/>
            <w:vAlign w:val="bottom"/>
          </w:tcPr>
          <w:p>
            <w:pPr>
              <w:spacing w:after="0"/>
              <w:rPr>
                <w:sz w:val="13"/>
                <w:szCs w:val="13"/>
                <w:color w:val="auto"/>
              </w:rPr>
            </w:pPr>
          </w:p>
        </w:tc>
      </w:tr>
      <w:tr>
        <w:trPr>
          <w:trHeight w:val="20"/>
        </w:trPr>
        <w:tc>
          <w:tcPr>
            <w:tcW w:w="2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493"/>
        </w:trPr>
        <w:tc>
          <w:tcPr>
            <w:tcW w:w="2740" w:type="dxa"/>
            <w:vAlign w:val="bottom"/>
          </w:tcPr>
          <w:p>
            <w:pPr>
              <w:spacing w:after="0"/>
              <w:rPr>
                <w:sz w:val="24"/>
                <w:szCs w:val="24"/>
                <w:color w:val="auto"/>
              </w:rPr>
            </w:pPr>
          </w:p>
        </w:tc>
        <w:tc>
          <w:tcPr>
            <w:tcW w:w="85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three and six months ended June 30, 2024 and June 30,</w:t>
            </w:r>
          </w:p>
        </w:tc>
      </w:tr>
      <w:tr>
        <w:trPr>
          <w:trHeight w:val="156"/>
        </w:trPr>
        <w:tc>
          <w:tcPr>
            <w:tcW w:w="2740" w:type="dxa"/>
            <w:vAlign w:val="bottom"/>
          </w:tcPr>
          <w:p>
            <w:pPr>
              <w:spacing w:after="0"/>
              <w:rPr>
                <w:sz w:val="13"/>
                <w:szCs w:val="13"/>
                <w:color w:val="auto"/>
              </w:rPr>
            </w:pPr>
          </w:p>
        </w:tc>
        <w:tc>
          <w:tcPr>
            <w:tcW w:w="8060" w:type="dxa"/>
            <w:vAlign w:val="bottom"/>
            <w:tcBorders>
              <w:top w:val="single" w:sz="8" w:color="0000FF"/>
            </w:tcBorders>
            <w:gridSpan w:val="17"/>
          </w:tcPr>
          <w:p>
            <w:pPr>
              <w:spacing w:after="0" w:line="156" w:lineRule="exact"/>
              <w:rPr>
                <w:sz w:val="20"/>
                <w:szCs w:val="20"/>
                <w:color w:val="auto"/>
              </w:rPr>
            </w:pPr>
            <w:r>
              <w:rPr>
                <w:rFonts w:ascii="Times New Roman" w:cs="Times New Roman" w:eastAsia="Times New Roman" w:hAnsi="Times New Roman"/>
                <w:sz w:val="18"/>
                <w:szCs w:val="18"/>
                <w:color w:val="0000FF"/>
              </w:rPr>
              <w:t>2023 (unaudited)</w:t>
            </w:r>
          </w:p>
        </w:tc>
        <w:tc>
          <w:tcPr>
            <w:tcW w:w="440" w:type="dxa"/>
            <w:vAlign w:val="bottom"/>
            <w:gridSpan w:val="2"/>
          </w:tcPr>
          <w:p>
            <w:pPr>
              <w:spacing w:after="0"/>
              <w:rPr>
                <w:sz w:val="13"/>
                <w:szCs w:val="13"/>
                <w:color w:val="auto"/>
              </w:rPr>
            </w:pPr>
          </w:p>
        </w:tc>
      </w:tr>
      <w:tr>
        <w:trPr>
          <w:trHeight w:val="20"/>
        </w:trPr>
        <w:tc>
          <w:tcPr>
            <w:tcW w:w="2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r>
      <w:tr>
        <w:trPr>
          <w:trHeight w:val="493"/>
        </w:trPr>
        <w:tc>
          <w:tcPr>
            <w:tcW w:w="2740" w:type="dxa"/>
            <w:vAlign w:val="bottom"/>
          </w:tcPr>
          <w:p>
            <w:pPr>
              <w:spacing w:after="0"/>
              <w:rPr>
                <w:sz w:val="24"/>
                <w:szCs w:val="24"/>
                <w:color w:val="auto"/>
              </w:rPr>
            </w:pPr>
          </w:p>
        </w:tc>
        <w:tc>
          <w:tcPr>
            <w:tcW w:w="79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six months ended June 30, 2024 and June 30, 2023 (unaudited)</w:t>
            </w:r>
          </w:p>
        </w:tc>
        <w:tc>
          <w:tcPr>
            <w:tcW w:w="520" w:type="dxa"/>
            <w:vAlign w:val="bottom"/>
            <w:gridSpan w:val="3"/>
          </w:tcPr>
          <w:p>
            <w:pPr>
              <w:spacing w:after="0"/>
              <w:rPr>
                <w:sz w:val="24"/>
                <w:szCs w:val="24"/>
                <w:color w:val="auto"/>
              </w:rPr>
            </w:pPr>
          </w:p>
        </w:tc>
      </w:tr>
      <w:tr>
        <w:trPr>
          <w:trHeight w:val="480"/>
        </w:trPr>
        <w:tc>
          <w:tcPr>
            <w:tcW w:w="2740" w:type="dxa"/>
            <w:vAlign w:val="bottom"/>
          </w:tcPr>
          <w:p>
            <w:pPr>
              <w:spacing w:after="0"/>
              <w:rPr>
                <w:sz w:val="24"/>
                <w:szCs w:val="24"/>
                <w:color w:val="auto"/>
              </w:rPr>
            </w:pPr>
          </w:p>
        </w:tc>
        <w:tc>
          <w:tcPr>
            <w:tcW w:w="85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 (unaudited)</w:t>
            </w:r>
          </w:p>
        </w:tc>
      </w:tr>
      <w:tr>
        <w:trPr>
          <w:trHeight w:val="20"/>
        </w:trPr>
        <w:tc>
          <w:tcPr>
            <w:tcW w:w="2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r>
      <w:tr>
        <w:trPr>
          <w:trHeight w:val="479"/>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2.</w:t>
            </w:r>
          </w:p>
        </w:tc>
        <w:tc>
          <w:tcPr>
            <w:tcW w:w="85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r>
      <w:tr>
        <w:trPr>
          <w:trHeight w:val="479"/>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3.</w:t>
            </w:r>
          </w:p>
        </w:tc>
        <w:tc>
          <w:tcPr>
            <w:tcW w:w="432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20" w:type="dxa"/>
            <w:vAlign w:val="bottom"/>
            <w:tcBorders>
              <w:top w:val="single" w:sz="8" w:color="0000FF"/>
            </w:tcBorders>
            <w:gridSpan w:val="2"/>
          </w:tcPr>
          <w:p>
            <w:pPr>
              <w:spacing w:after="0"/>
              <w:rPr>
                <w:sz w:val="24"/>
                <w:szCs w:val="24"/>
                <w:color w:val="auto"/>
              </w:rPr>
            </w:pPr>
          </w:p>
        </w:tc>
        <w:tc>
          <w:tcPr>
            <w:tcW w:w="2060" w:type="dxa"/>
            <w:vAlign w:val="bottom"/>
            <w:gridSpan w:val="4"/>
          </w:tcPr>
          <w:p>
            <w:pPr>
              <w:spacing w:after="0"/>
              <w:rPr>
                <w:sz w:val="24"/>
                <w:szCs w:val="24"/>
                <w:color w:val="auto"/>
              </w:rPr>
            </w:pPr>
          </w:p>
        </w:tc>
      </w:tr>
      <w:tr>
        <w:trPr>
          <w:trHeight w:val="480"/>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720" w:type="dxa"/>
            <w:vAlign w:val="bottom"/>
            <w:gridSpan w:val="11"/>
          </w:tcPr>
          <w:p>
            <w:pPr>
              <w:spacing w:after="0"/>
              <w:rPr>
                <w:sz w:val="24"/>
                <w:szCs w:val="24"/>
                <w:color w:val="auto"/>
              </w:rPr>
            </w:pPr>
          </w:p>
        </w:tc>
      </w:tr>
      <w:tr>
        <w:trPr>
          <w:trHeight w:val="479"/>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50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r>
      <w:tr>
        <w:trPr>
          <w:trHeight w:val="480"/>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w:t>
            </w:r>
          </w:p>
        </w:tc>
        <w:tc>
          <w:tcPr>
            <w:tcW w:w="20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480" w:type="dxa"/>
            <w:vAlign w:val="bottom"/>
            <w:gridSpan w:val="10"/>
          </w:tcPr>
          <w:p>
            <w:pPr>
              <w:spacing w:after="0"/>
              <w:rPr>
                <w:sz w:val="24"/>
                <w:szCs w:val="24"/>
                <w:color w:val="auto"/>
              </w:rPr>
            </w:pPr>
          </w:p>
        </w:tc>
      </w:tr>
      <w:tr>
        <w:trPr>
          <w:trHeight w:val="466"/>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20" w:type="dxa"/>
            <w:vAlign w:val="bottom"/>
            <w:tcBorders>
              <w:top w:val="single" w:sz="8" w:color="0000FF"/>
            </w:tcBorders>
            <w:gridSpan w:val="3"/>
          </w:tcPr>
          <w:p>
            <w:pPr>
              <w:spacing w:after="0"/>
              <w:rPr>
                <w:sz w:val="24"/>
                <w:szCs w:val="24"/>
                <w:color w:val="auto"/>
              </w:rPr>
            </w:pPr>
          </w:p>
        </w:tc>
        <w:tc>
          <w:tcPr>
            <w:tcW w:w="7160" w:type="dxa"/>
            <w:vAlign w:val="bottom"/>
            <w:gridSpan w:val="13"/>
          </w:tcPr>
          <w:p>
            <w:pPr>
              <w:spacing w:after="0"/>
              <w:rPr>
                <w:sz w:val="24"/>
                <w:szCs w:val="24"/>
                <w:color w:val="auto"/>
              </w:rPr>
            </w:pPr>
          </w:p>
        </w:tc>
      </w:tr>
      <w:tr>
        <w:trPr>
          <w:trHeight w:val="642"/>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5.</w:t>
            </w:r>
          </w:p>
        </w:tc>
        <w:tc>
          <w:tcPr>
            <w:tcW w:w="85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r>
      <w:tr>
        <w:trPr>
          <w:trHeight w:val="479"/>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Exhibits</w:t>
            </w:r>
          </w:p>
        </w:tc>
        <w:tc>
          <w:tcPr>
            <w:tcW w:w="7180" w:type="dxa"/>
            <w:vAlign w:val="bottom"/>
            <w:gridSpan w:val="14"/>
          </w:tcPr>
          <w:p>
            <w:pPr>
              <w:spacing w:after="0"/>
              <w:rPr>
                <w:sz w:val="24"/>
                <w:szCs w:val="24"/>
                <w:color w:val="auto"/>
              </w:rPr>
            </w:pPr>
          </w:p>
        </w:tc>
      </w:tr>
      <w:tr>
        <w:trPr>
          <w:trHeight w:val="20"/>
        </w:trPr>
        <w:tc>
          <w:tcPr>
            <w:tcW w:w="2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740" w:type="dxa"/>
            <w:vAlign w:val="bottom"/>
            <w:gridSpan w:val="17"/>
          </w:tcPr>
          <w:p>
            <w:pPr>
              <w:spacing w:after="0" w:line="20" w:lineRule="exact"/>
              <w:rPr>
                <w:sz w:val="1"/>
                <w:szCs w:val="1"/>
                <w:color w:val="auto"/>
              </w:rPr>
            </w:pPr>
          </w:p>
        </w:tc>
      </w:tr>
      <w:tr>
        <w:trPr>
          <w:trHeight w:val="480"/>
        </w:trPr>
        <w:tc>
          <w:tcPr>
            <w:tcW w:w="2740" w:type="dxa"/>
            <w:vAlign w:val="bottom"/>
          </w:tcPr>
          <w:p>
            <w:pPr>
              <w:spacing w:after="0"/>
              <w:rPr>
                <w:sz w:val="24"/>
                <w:szCs w:val="24"/>
                <w:color w:val="auto"/>
              </w:rPr>
            </w:pPr>
          </w:p>
        </w:tc>
        <w:tc>
          <w:tcPr>
            <w:tcW w:w="85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Signatures</w:t>
            </w:r>
          </w:p>
        </w:tc>
      </w:tr>
      <w:tr>
        <w:trPr>
          <w:trHeight w:val="1445"/>
        </w:trPr>
        <w:tc>
          <w:tcPr>
            <w:tcW w:w="274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Section 27A of the Securities Act of 1933 and Section 21E of the Securities Exchange Act of 1934. Forward-looking statements include statements that may relate to our plans, objectives, goals, strategies, future events, future revenues or performance, capital expenditures, financing needs and other information that is not historical information. Many of these statements appear, in particular, under the headings "Risk Factors" and "Management's Discussion and Analysis of Financial Condition and Results of Operations" in this Quarterly Report on Form 10-Q. Forward-looking statements can often be identified by the use of terminology such as "subject to", "believe", "anticipate", "plan", "expect", "intend", "estimate", "project", "may", "will", "should", "would", "could", "can", the negatives thereof, variations thereon and similar expressions, or by discussions of strategy.</w:t>
      </w:r>
    </w:p>
    <w:p>
      <w:pPr>
        <w:spacing w:after="0" w:line="8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All forward-looking statements, including, without limitation, our examination of historical operating trends, are based upon our current expectations and various assumptions. We believe there is a reasonable basis for our expectations and beliefs, but they are inherently uncertain. We may not realize our expectations, and our beliefs may not prove correct. Actual results could differ materially from those described or implied by such forward-looking statements. The following uncertainties and factors, among others (including those set forth under "Item 1A. Risk Factors" of our Annual Report on Form 10-K for the fiscal year ended December 31, 2023 and "Part II, Item 1A. Risk Factors" of this Quarterly Report on Form 10-Q), could affect future performance and cause actual results to differ materially from those matters expressed in or implied by forward-looking statements:</w:t>
      </w:r>
    </w:p>
    <w:p>
      <w:pPr>
        <w:spacing w:after="0" w:line="79" w:lineRule="exact"/>
        <w:rPr>
          <w:sz w:val="20"/>
          <w:szCs w:val="20"/>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our product candidates;</w:t>
      </w:r>
    </w:p>
    <w:p>
      <w:pPr>
        <w:spacing w:after="0" w:line="117" w:lineRule="exact"/>
        <w:rPr>
          <w:rFonts w:ascii="Times New Roman" w:cs="Times New Roman" w:eastAsia="Times New Roman" w:hAnsi="Times New Roman"/>
          <w:sz w:val="18"/>
          <w:szCs w:val="18"/>
          <w:color w:val="auto"/>
        </w:rPr>
      </w:pPr>
    </w:p>
    <w:p>
      <w:pPr>
        <w:ind w:left="520" w:right="780" w:hanging="332"/>
        <w:spacing w:after="0" w:line="281" w:lineRule="auto"/>
        <w:tabs>
          <w:tab w:leader="none" w:pos="5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outcomes of our ongoing and planned clinical trials and the timing of those outcomes, including when clinical trials will be initiated or completed, enrollment of trials, and when data will be reported or regulatory filings will be made;</w:t>
      </w:r>
    </w:p>
    <w:p>
      <w:pPr>
        <w:spacing w:after="0" w:line="1"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product candidates and the labeling for any approved products;</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63" w:lineRule="exact"/>
        <w:rPr>
          <w:rFonts w:ascii="Times New Roman" w:cs="Times New Roman" w:eastAsia="Times New Roman" w:hAnsi="Times New Roman"/>
          <w:sz w:val="18"/>
          <w:szCs w:val="18"/>
          <w:color w:val="auto"/>
        </w:rPr>
      </w:pPr>
    </w:p>
    <w:p>
      <w:pPr>
        <w:ind w:left="520" w:right="280" w:hanging="332"/>
        <w:spacing w:after="0" w:line="281" w:lineRule="auto"/>
        <w:tabs>
          <w:tab w:leader="none" w:pos="5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through the capital markets or through one or more corporate partnerships, equity offerings, debt financings, collaborations, licensing arrangements or asset sales;</w:t>
      </w:r>
    </w:p>
    <w:p>
      <w:pPr>
        <w:spacing w:after="0" w:line="1"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product candidates currently being developed by our collaborators;</w:t>
      </w:r>
    </w:p>
    <w:p>
      <w:pPr>
        <w:spacing w:after="0" w:line="63" w:lineRule="exact"/>
        <w:rPr>
          <w:rFonts w:ascii="Times New Roman" w:cs="Times New Roman" w:eastAsia="Times New Roman" w:hAnsi="Times New Roman"/>
          <w:sz w:val="18"/>
          <w:szCs w:val="18"/>
          <w:color w:val="auto"/>
        </w:rPr>
      </w:pPr>
    </w:p>
    <w:p>
      <w:pPr>
        <w:ind w:left="520" w:right="280" w:hanging="332"/>
        <w:spacing w:after="0" w:line="281" w:lineRule="auto"/>
        <w:tabs>
          <w:tab w:leader="none" w:pos="5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compromise of our or our third parties’ information technology systems and resultant costs, disruptions in our operations or related impact on our reputation;</w:t>
      </w:r>
    </w:p>
    <w:p>
      <w:pPr>
        <w:spacing w:after="0" w:line="1" w:lineRule="exact"/>
        <w:rPr>
          <w:rFonts w:ascii="Times New Roman" w:cs="Times New Roman" w:eastAsia="Times New Roman" w:hAnsi="Times New Roman"/>
          <w:sz w:val="18"/>
          <w:szCs w:val="18"/>
          <w:color w:val="auto"/>
        </w:rPr>
      </w:pPr>
    </w:p>
    <w:p>
      <w:pPr>
        <w:ind w:left="520" w:right="340" w:hanging="332"/>
        <w:spacing w:after="0" w:line="281" w:lineRule="auto"/>
        <w:tabs>
          <w:tab w:leader="none" w:pos="5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new collaborations or to identify additional products or product candidates with significant commercial potential that are consistent with our commercial objectives;</w:t>
      </w:r>
    </w:p>
    <w:p>
      <w:pPr>
        <w:spacing w:after="0" w:line="1"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and future operation of our existing collaborations;</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recover the investment in our manufacturing capabilities;</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products;</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competition in our industry;</w:t>
      </w:r>
    </w:p>
    <w:p>
      <w:pPr>
        <w:spacing w:after="0" w:line="63" w:lineRule="exact"/>
        <w:rPr>
          <w:rFonts w:ascii="Times New Roman" w:cs="Times New Roman" w:eastAsia="Times New Roman" w:hAnsi="Times New Roman"/>
          <w:sz w:val="18"/>
          <w:szCs w:val="18"/>
          <w:color w:val="auto"/>
        </w:rPr>
      </w:pPr>
    </w:p>
    <w:p>
      <w:pPr>
        <w:ind w:left="520" w:right="420" w:hanging="332"/>
        <w:spacing w:after="0" w:line="281" w:lineRule="auto"/>
        <w:tabs>
          <w:tab w:leader="none" w:pos="5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litigation and the failure to successfully defend lawsuits and other claims against us and our expectations regarding the outcome of any regulatory or legal proceedings;</w:t>
      </w:r>
    </w:p>
    <w:p>
      <w:pPr>
        <w:spacing w:after="0" w:line="1"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and other risks associated with our international operations;</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research funding and achieve anticipated milestones under our collaborations;</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patents and other intellectual property;</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and our failure to comply with new and existing governmental regulations including, but not limited to, tax regulations;</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retirement of key members of management;</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execute our growth strategy, including any delays in our planned future growth;</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maintain effective internal controls; and</w:t>
      </w:r>
    </w:p>
    <w:p>
      <w:pPr>
        <w:spacing w:after="0" w:line="63" w:lineRule="exact"/>
        <w:rPr>
          <w:rFonts w:ascii="Times New Roman" w:cs="Times New Roman" w:eastAsia="Times New Roman" w:hAnsi="Times New Roman"/>
          <w:sz w:val="18"/>
          <w:szCs w:val="18"/>
          <w:color w:val="auto"/>
        </w:rPr>
      </w:pPr>
    </w:p>
    <w:p>
      <w:pPr>
        <w:ind w:left="520" w:right="360" w:hanging="332"/>
        <w:spacing w:after="0" w:line="282" w:lineRule="auto"/>
        <w:tabs>
          <w:tab w:leader="none" w:pos="5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and duration of the impact of a global pandemic on our business, operations, clinical programs, manufacturing, financial results and other aspects of our business.</w:t>
      </w:r>
    </w:p>
    <w:p>
      <w:pPr>
        <w:spacing w:after="0" w:line="54"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Consequently, forward-looking statements speak only as of the date that they are made and should be regarded solely as our current plans, estimates and beliefs. You should not place undue reliance on forward-looking statements. We cannot guarantee future results, events, levels of activity, performance or achievements. Except as required by law, we do not undertake and specifically decline any obligation to update, republish or revise forward-looking statements to reflect future events or circumstances or to reflect the occurrences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498475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 w:name="page4"/>
    <w:bookmarkEnd w:id="3"/>
    <w:p>
      <w:pPr>
        <w:ind w:left="41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MACROGENICS,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7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100,956</w:t>
            </w: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128,849</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10,367</w:t>
            </w: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 net</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9,946</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251,339</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21,847</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23,846</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201,137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298,418</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6,443</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24,239</w:t>
            </w: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21,651</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56,108</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59,243</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30,196</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 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145,805</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176"/>
        </w:trPr>
        <w:tc>
          <w:tcPr>
            <w:tcW w:w="67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$0.01 par value -- 125,000,000 shares authorized, 62,720,969 and</w:t>
            </w:r>
          </w:p>
        </w:tc>
        <w:tc>
          <w:tcPr>
            <w:tcW w:w="3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243"/>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62,070,627 shares outstanding at June 30, 2024 and December 31, 2023, respectively</w:t>
            </w:r>
          </w:p>
        </w:tc>
        <w:tc>
          <w:tcPr>
            <w:tcW w:w="34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1,267,822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1,254,750</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(1,210,606)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(1,102,752)</w:t>
            </w:r>
          </w:p>
        </w:tc>
      </w:tr>
      <w:tr>
        <w:trPr>
          <w:trHeight w:val="22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57,819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152,613</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298,418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MACROGENICS,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Pr>
          <w:p>
            <w:pPr>
              <w:spacing w:after="0"/>
              <w:rPr>
                <w:sz w:val="20"/>
                <w:szCs w:val="20"/>
                <w:color w:val="auto"/>
              </w:rPr>
            </w:pPr>
          </w:p>
        </w:tc>
        <w:tc>
          <w:tcPr>
            <w:tcW w:w="262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4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Collaborative and other agreements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1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22,708</w:t>
            </w:r>
          </w:p>
        </w:tc>
      </w:tr>
      <w:tr>
        <w:trPr>
          <w:trHeight w:val="230"/>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8,552</w:t>
            </w:r>
          </w:p>
        </w:tc>
      </w:tr>
      <w:tr>
        <w:trPr>
          <w:trHeight w:val="229"/>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manufacturing</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w:t>
            </w:r>
          </w:p>
        </w:tc>
      </w:tr>
      <w:tr>
        <w:trPr>
          <w:trHeight w:val="229"/>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Royalty revenue</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30"/>
        </w:trPr>
        <w:tc>
          <w:tcPr>
            <w:tcW w:w="5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Government agreements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2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13,136</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37,632</w:t>
            </w:r>
          </w:p>
        </w:tc>
      </w:tr>
      <w:tr>
        <w:trPr>
          <w:trHeight w:val="21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product sales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30"/>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manufacturing services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w:t>
            </w:r>
          </w:p>
        </w:tc>
      </w:tr>
      <w:tr>
        <w:trPr>
          <w:trHeight w:val="229"/>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43,229</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97,760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89,101</w:t>
            </w:r>
          </w:p>
        </w:tc>
      </w:tr>
      <w:tr>
        <w:trPr>
          <w:trHeight w:val="229"/>
        </w:trPr>
        <w:tc>
          <w:tcPr>
            <w:tcW w:w="5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13,692</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27,219</w:t>
            </w:r>
          </w:p>
        </w:tc>
      </w:tr>
      <w:tr>
        <w:trPr>
          <w:trHeight w:val="22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58,098</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131,832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121,020</w:t>
            </w: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(111,931)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(83,388)</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royalty monetization arrangement</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100,930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100,930</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57,469</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(107,854)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19,460</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Unrealized gain (loss) on investments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57,389</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(107,872)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19,393</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30"/>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62,663,677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61,880,096</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62,477,108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61,845,151</w:t>
            </w:r>
          </w:p>
        </w:tc>
      </w:tr>
      <w:tr>
        <w:trPr>
          <w:trHeight w:val="234"/>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62,663,677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62,261,646</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62,477,108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62,030,710</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MACROGENICS,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2340" w:type="dxa"/>
            <w:vAlign w:val="bottom"/>
            <w:gridSpan w:val="5"/>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11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3400" w:type="dxa"/>
            <w:vAlign w:val="bottom"/>
          </w:tcPr>
          <w:p>
            <w:pPr>
              <w:spacing w:after="0"/>
              <w:rPr>
                <w:sz w:val="9"/>
                <w:szCs w:val="9"/>
                <w:color w:val="auto"/>
              </w:rPr>
            </w:pPr>
          </w:p>
        </w:tc>
        <w:tc>
          <w:tcPr>
            <w:tcW w:w="234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vMerge w:val="restart"/>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9"/>
                <w:szCs w:val="9"/>
                <w:color w:val="auto"/>
              </w:rPr>
            </w:pPr>
          </w:p>
        </w:tc>
        <w:tc>
          <w:tcPr>
            <w:tcW w:w="1260" w:type="dxa"/>
            <w:vAlign w:val="bottom"/>
            <w:gridSpan w:val="2"/>
            <w:vMerge w:val="restart"/>
          </w:tcPr>
          <w:p>
            <w:pPr>
              <w:ind w:left="8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9"/>
                <w:szCs w:val="9"/>
                <w:color w:val="auto"/>
              </w:rPr>
            </w:pPr>
          </w:p>
        </w:tc>
        <w:tc>
          <w:tcPr>
            <w:tcW w:w="1220" w:type="dxa"/>
            <w:vAlign w:val="bottom"/>
            <w:gridSpan w:val="2"/>
            <w:vMerge w:val="restart"/>
          </w:tcPr>
          <w:p>
            <w:pPr>
              <w:ind w:left="300"/>
              <w:spacing w:after="0" w:line="127"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9"/>
                <w:szCs w:val="9"/>
                <w:color w:val="auto"/>
              </w:rPr>
            </w:pPr>
          </w:p>
        </w:tc>
        <w:tc>
          <w:tcPr>
            <w:tcW w:w="1140" w:type="dxa"/>
            <w:vAlign w:val="bottom"/>
            <w:vMerge w:val="restart"/>
          </w:tcPr>
          <w:p>
            <w:pPr>
              <w:jc w:val="center"/>
              <w:ind w:right="94"/>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400" w:type="dxa"/>
            <w:vAlign w:val="bottom"/>
          </w:tcPr>
          <w:p>
            <w:pPr>
              <w:spacing w:after="0"/>
              <w:rPr>
                <w:sz w:val="16"/>
                <w:szCs w:val="16"/>
                <w:color w:val="auto"/>
              </w:rPr>
            </w:pPr>
          </w:p>
        </w:tc>
        <w:tc>
          <w:tcPr>
            <w:tcW w:w="13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80" w:type="dxa"/>
            <w:vAlign w:val="bottom"/>
          </w:tcPr>
          <w:p>
            <w:pPr>
              <w:spacing w:after="0"/>
              <w:rPr>
                <w:sz w:val="16"/>
                <w:szCs w:val="16"/>
                <w:color w:val="auto"/>
              </w:rPr>
            </w:pPr>
          </w:p>
        </w:tc>
        <w:tc>
          <w:tcPr>
            <w:tcW w:w="11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8"/>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62,070,627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1,254,750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(1,102,752)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152,613</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plan related activity</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(52,190)</w:t>
            </w:r>
          </w:p>
        </w:tc>
        <w:tc>
          <w:tcPr>
            <w:tcW w:w="0" w:type="dxa"/>
            <w:vAlign w:val="bottom"/>
          </w:tcPr>
          <w:p>
            <w:pPr>
              <w:spacing w:after="0"/>
              <w:rPr>
                <w:sz w:val="1"/>
                <w:szCs w:val="1"/>
                <w:color w:val="auto"/>
              </w:rPr>
            </w:pPr>
          </w:p>
        </w:tc>
      </w:tr>
      <w:tr>
        <w:trPr>
          <w:trHeight w:val="22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62,560,502</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1,260,505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(1,154,942)</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106,154</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plan related activity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on investments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(55,664)</w:t>
            </w:r>
          </w:p>
        </w:tc>
        <w:tc>
          <w:tcPr>
            <w:tcW w:w="0" w:type="dxa"/>
            <w:vAlign w:val="bottom"/>
          </w:tcPr>
          <w:p>
            <w:pPr>
              <w:spacing w:after="0"/>
              <w:rPr>
                <w:sz w:val="1"/>
                <w:szCs w:val="1"/>
                <w:color w:val="auto"/>
              </w:rPr>
            </w:pPr>
          </w:p>
        </w:tc>
      </w:tr>
      <w:tr>
        <w:trPr>
          <w:trHeight w:val="248"/>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62,720,969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1,267,822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(1,210,606)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57,819</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2360" w:type="dxa"/>
            <w:vAlign w:val="bottom"/>
            <w:gridSpan w:val="5"/>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1160" w:type="dxa"/>
            <w:vAlign w:val="bottom"/>
            <w:vMerge w:val="restart"/>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236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340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3"/>
                <w:szCs w:val="3"/>
                <w:color w:val="auto"/>
              </w:rPr>
            </w:pPr>
          </w:p>
        </w:tc>
        <w:tc>
          <w:tcPr>
            <w:tcW w:w="126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3"/>
                <w:szCs w:val="3"/>
                <w:color w:val="auto"/>
              </w:rPr>
            </w:pPr>
          </w:p>
        </w:tc>
        <w:tc>
          <w:tcPr>
            <w:tcW w:w="124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3"/>
                <w:szCs w:val="3"/>
                <w:color w:val="auto"/>
              </w:rPr>
            </w:pPr>
          </w:p>
        </w:tc>
        <w:tc>
          <w:tcPr>
            <w:tcW w:w="1160" w:type="dxa"/>
            <w:vAlign w:val="bottom"/>
            <w:vMerge w:val="restart"/>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88"/>
        </w:trPr>
        <w:tc>
          <w:tcPr>
            <w:tcW w:w="3400" w:type="dxa"/>
            <w:vAlign w:val="bottom"/>
          </w:tcPr>
          <w:p>
            <w:pPr>
              <w:spacing w:after="0"/>
              <w:rPr>
                <w:sz w:val="7"/>
                <w:szCs w:val="7"/>
                <w:color w:val="auto"/>
              </w:rPr>
            </w:pPr>
          </w:p>
        </w:tc>
        <w:tc>
          <w:tcPr>
            <w:tcW w:w="13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7"/>
                <w:szCs w:val="7"/>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40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0"/>
                <w:szCs w:val="10"/>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0"/>
                <w:szCs w:val="10"/>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0"/>
                <w:szCs w:val="10"/>
                <w:color w:val="auto"/>
              </w:rPr>
            </w:pPr>
          </w:p>
        </w:tc>
        <w:tc>
          <w:tcPr>
            <w:tcW w:w="1160" w:type="dxa"/>
            <w:vAlign w:val="bottom"/>
            <w:vMerge w:val="restart"/>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71"/>
        </w:trPr>
        <w:tc>
          <w:tcPr>
            <w:tcW w:w="34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61,701,467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1,235,095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(1,093,694)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142,013</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4,788</w:t>
            </w:r>
          </w:p>
        </w:tc>
        <w:tc>
          <w:tcPr>
            <w:tcW w:w="0" w:type="dxa"/>
            <w:vAlign w:val="bottom"/>
          </w:tcPr>
          <w:p>
            <w:pPr>
              <w:spacing w:after="0"/>
              <w:rPr>
                <w:sz w:val="1"/>
                <w:szCs w:val="1"/>
                <w:color w:val="auto"/>
              </w:rPr>
            </w:pPr>
          </w:p>
        </w:tc>
      </w:tr>
      <w:tr>
        <w:trPr>
          <w:trHeight w:val="175"/>
        </w:trPr>
        <w:tc>
          <w:tcPr>
            <w:tcW w:w="3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net of offering</w:t>
            </w: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plan related activity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on investments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(38,009)</w:t>
            </w:r>
          </w:p>
        </w:tc>
        <w:tc>
          <w:tcPr>
            <w:tcW w:w="0" w:type="dxa"/>
            <w:vAlign w:val="bottom"/>
          </w:tcPr>
          <w:p>
            <w:pPr>
              <w:spacing w:after="0"/>
              <w:rPr>
                <w:sz w:val="1"/>
                <w:szCs w:val="1"/>
                <w:color w:val="auto"/>
              </w:rPr>
            </w:pPr>
          </w:p>
        </w:tc>
      </w:tr>
      <w:tr>
        <w:trPr>
          <w:trHeight w:val="223"/>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2023</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61,838,565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1,240,345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(1,131,703)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109,268</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0" w:type="dxa"/>
            <w:vAlign w:val="bottom"/>
          </w:tcPr>
          <w:p>
            <w:pPr>
              <w:spacing w:after="0"/>
              <w:rPr>
                <w:sz w:val="1"/>
                <w:szCs w:val="1"/>
                <w:color w:val="auto"/>
              </w:rPr>
            </w:pPr>
          </w:p>
        </w:tc>
      </w:tr>
      <w:tr>
        <w:trPr>
          <w:trHeight w:val="176"/>
        </w:trPr>
        <w:tc>
          <w:tcPr>
            <w:tcW w:w="3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net of offering</w:t>
            </w: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plan related activity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57,469</w:t>
            </w:r>
          </w:p>
        </w:tc>
        <w:tc>
          <w:tcPr>
            <w:tcW w:w="0" w:type="dxa"/>
            <w:vAlign w:val="bottom"/>
          </w:tcPr>
          <w:p>
            <w:pPr>
              <w:spacing w:after="0"/>
              <w:rPr>
                <w:sz w:val="1"/>
                <w:szCs w:val="1"/>
                <w:color w:val="auto"/>
              </w:rPr>
            </w:pPr>
          </w:p>
        </w:tc>
      </w:tr>
      <w:tr>
        <w:trPr>
          <w:trHeight w:val="248"/>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2023</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61,938,493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1,245,231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(1,074,234)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171,544</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MACROGENICS,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75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(107,854)</w:t>
            </w:r>
          </w:p>
        </w:tc>
        <w:tc>
          <w:tcPr>
            <w:tcW w:w="1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19,460</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5,795</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premiums and discounts on marketable securities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9,224</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royalty monetization arrangement</w:t>
            </w:r>
          </w:p>
        </w:tc>
        <w:tc>
          <w:tcPr>
            <w:tcW w:w="4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(100,930)</w:t>
            </w: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4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non-cash items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49,812</w:t>
            </w:r>
          </w:p>
        </w:tc>
      </w:tr>
      <w:tr>
        <w:trPr>
          <w:trHeight w:val="229"/>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w:t>
            </w:r>
          </w:p>
        </w:tc>
      </w:tr>
      <w:tr>
        <w:trPr>
          <w:trHeight w:val="229"/>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 current assets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r>
      <w:tr>
        <w:trPr>
          <w:trHeight w:val="229"/>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r>
      <w:tr>
        <w:trPr>
          <w:trHeight w:val="22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3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r>
      <w:tr>
        <w:trPr>
          <w:trHeight w:val="223"/>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(90,128)</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(14,922)</w:t>
            </w:r>
          </w:p>
        </w:tc>
      </w:tr>
      <w:tr>
        <w:trPr>
          <w:trHeight w:val="20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(58,505)</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(148,040)</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and maturities of marketable securities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133,150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63,250</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equipment and software</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sales of equipment</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72,231</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(85,381)</w:t>
            </w:r>
          </w:p>
        </w:tc>
      </w:tr>
      <w:tr>
        <w:trPr>
          <w:trHeight w:val="21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net of offering costs</w:t>
            </w:r>
          </w:p>
        </w:tc>
        <w:tc>
          <w:tcPr>
            <w:tcW w:w="4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stock option exercises and ESPP purchases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payments on royalty monetization arrangement</w:t>
            </w:r>
          </w:p>
        </w:tc>
        <w:tc>
          <w:tcPr>
            <w:tcW w:w="4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proceeds from sale of future royalties</w:t>
            </w:r>
          </w:p>
        </w:tc>
        <w:tc>
          <w:tcPr>
            <w:tcW w:w="4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99,655</w:t>
            </w:r>
          </w:p>
        </w:tc>
      </w:tr>
      <w:tr>
        <w:trPr>
          <w:trHeight w:val="223"/>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100,177</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100,956</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108,884</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83,932</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108,758</w:t>
            </w: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7"/>
        </w:trPr>
        <w:tc>
          <w:tcPr>
            <w:tcW w:w="7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54"/>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included in accounts payable or accruals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MACROGENICS,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175"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MacroGenics, Inc. (the Company) is incorporated in the state of Delaware. The Company is a biopharmaceutical company focused on discovering, developing, manufacturing and commercializing innovative antibody-based therapeutics for the treatment of cancer. The Company has a pipeline of product candidates designed to target either various tumor-associated antigens or immune checkpoint molecules. These candidates are being evaluated in clinical trials sponsored by the Company or its collaborators or are in preclinical development. The Company’s clinical product candidates include multiple oncology programs which have either been created using its proprietary, antibody-based technology platforms or enabled through its technology licensing arrangements with other companies. The Company believes its product candidates have the potential, if approved for marketing by regulatory authorities, to have a meaningful effect on treating patients' unmet medical needs as monotherapy or, in some cases, in combination with other therapeutic agents. To date, three products originating from the Company’s pipeline of proprietary or partnered product candidates have received U.S. Food and Drug Administration (FDA) approval. In March 2021, the Company and its commercialization partner commenced U.S. marketing of MARGENZA (margetuximab-cmkb), a human epidermal growth factor receptor 2 (HER2) antagonist indicated, in combination with chemotherapy, for the treatment of adult patients with metastatic HER2-positive breast cancer who have received two or more prior anti-HER2 regimens, at least one of which was for metastatic disease. In November 2022, the FDA approved TZIELD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(teplizumab-mzwv) to delay the onset of Stage 3 Type 1 Diabetes (T1D) in adult and pediatric patients aged 8 years and older with Stage 2 T1D. Teplizumab was acquired from the Company by Provention Bio, Inc. (Provention) in May 2018, pursuant to an asset purchase agreement. In March 2023, the FDA approved ZYNYZ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(retifanlimab-dlwr), a humanized monoclonal antibody targeting programmed death receptor-1 (PD-1). Retifanlimab was previously developed by the Company and licensed to Incyte Corporation (Incyte) pursuant to an exclusive global collaboration and license agreement in October 2017.</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7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Company’s multiple product candidates currently under development will require significant additional research and development efforts that include extensive preclinical studies and clinical testing, and regulatory approval prior to commercial use.</w:t>
      </w:r>
    </w:p>
    <w:p>
      <w:pPr>
        <w:spacing w:after="0" w:line="10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future success of the Company is dependent on its ability to identify and develop its product candidates, and ultimately upon its ability to attain profitable operations. The Company has devoted substantially all of its financial resources and efforts to research and development and general and administrative expense to support such research and development. Net losses and negative cash flows have had, and will continue to have, an adverse effect on the Company’s stockholders’ equity and working capital, and accordingly, its ability to execute its future operating plans.</w:t>
      </w:r>
    </w:p>
    <w:p>
      <w:pPr>
        <w:spacing w:after="0" w:line="1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As a biotechnology company, the Company has primarily funded its operations with proceeds from the sale of its common stock in equity</w:t>
      </w:r>
    </w:p>
    <w:p>
      <w:pPr>
        <w:spacing w:after="0" w:line="5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offerings and revenue from its multiple collaboration agreements. Management regularly reviews the Company’s available liquidity relative to its operating budget and forecast to monitor the sufficiency of the Company’s working capital. The Company plans to meet its future operating requirements by generating revenue from current and future strategic collaborations or other arrangements, product sales and royalties. The Company anticipates continuing to draw upon available sources of capital, including equity and debt instruments, to support its product development activities. If the Company is unable to enter into new arrangements or to perform under current or future agreements or obtain additional capital, the Company will assess its capital resources and may be required to delay, reduce the scope of, or eliminate one or more of its product research and development programs or clinical studies, reduce other operating expenses, and/or downsize its organization. Based on the Company’s most recent cash flow forecast, the Company believes its current resources are sufficient to fund its operating plans for a minimum of twelve months from the date that this Quarterly Report on Form 10-Q was filed.</w:t>
      </w:r>
    </w:p>
    <w:p>
      <w:pPr>
        <w:spacing w:after="0" w:line="13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Similar to the other risk factors pertinent to the Company's business, including significant equity market volatility and availability of funding in the biotechnology sector, as well as potential issues in the global economy, credit markets and financial markets as a result of significant worldwide events, including adverse events involving financial institutions or the financial services industry, inflation and rising interest rates and geopolitical upheaval might unfavorably impact the Company's ability to generate such additional funding. Given the uncertainty in the rapidly changing market and economic conditions related to these uncertainties, the Company will continue to evaluate the nature and extent of the impact of these uncertainties on its business and financial position.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of the Company have been prepared in accordance with U.S. generally accepted accounting principles (GAAP) for interim financial information. The financial statements include all adjustments (consisting only of normal recurring adjustments) that the management of the Company believes are necessary for a fair presentation of the periods presented. These interim financial results are not necessarily indicative of results expected for the full fiscal year or for any subsequent interim period.</w:t>
      </w:r>
    </w:p>
    <w:p>
      <w:pPr>
        <w:spacing w:after="0" w:line="126" w:lineRule="exact"/>
        <w:rPr>
          <w:sz w:val="20"/>
          <w:szCs w:val="20"/>
          <w:color w:val="auto"/>
        </w:rPr>
      </w:pPr>
    </w:p>
    <w:p>
      <w:pPr>
        <w:ind w:right="420" w:firstLine="648"/>
        <w:spacing w:after="0" w:line="258"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include the accounts of MacroGenics, Inc. and its wholly owned subsidiaries, MacroGenics UK Limited and MacroGenics Limited. All intercompany accounts and transactions have been eliminated in consolidation. These consolidated financial statements and related notes should be read in conjunction with the financial statements and notes thereto included in the Company's Annual Report on Form 10-K for the fiscal year ended December 31, 2023, filed with the Securities and Exchange Commission (SEC) on March 7,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5"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there were no material changes to the significant accounting policies previously disclosed in the Company’s Annual Report on Form 10-K for the fiscal year ended December 31,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60"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280): Improvements to Reportable Segment Disclosures, </w:t>
      </w:r>
      <w:r>
        <w:rPr>
          <w:rFonts w:ascii="Times New Roman" w:cs="Times New Roman" w:eastAsia="Times New Roman" w:hAnsi="Times New Roman"/>
          <w:sz w:val="18"/>
          <w:szCs w:val="18"/>
          <w:color w:val="auto"/>
        </w:rPr>
        <w:t>which is intended to improve reportable segment disclosures, primarily through enhanced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about significant segment expenses, as well as how the chief operating decision maker uses the reported measure(s) of segment profit or loss in assessing performance. The guidance is effective for fiscal years beginning after December 15, 2023, and interim periods within fiscal years beginning after December 15, 2024. Early adoption is permitted. The guidance is to be applied retrospectively to all periods presented in the financial statements. The Company is currently evaluating the potential impact of adopting this new guidance on its consolidated financial statements and disclosures</w:t>
      </w:r>
      <w:r>
        <w:rPr>
          <w:rFonts w:ascii="Calibri" w:cs="Calibri" w:eastAsia="Calibri" w:hAnsi="Calibri"/>
          <w:sz w:val="21"/>
          <w:szCs w:val="21"/>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of Financial Instruments</w:t>
      </w:r>
    </w:p>
    <w:p>
      <w:pPr>
        <w:spacing w:after="0" w:line="175"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252525"/>
        </w:rPr>
        <w:t xml:space="preserve">The Company's financial instruments consist of cash and cash equivalents, marketable securities, accounts receivable, accounts payable and accrued expenses. The carrying amount of accounts receivable, accounts payable and accrued expenses are generally considered to be representative of their respective fair values because of their short-term nature. </w:t>
      </w:r>
      <w:r>
        <w:rPr>
          <w:rFonts w:ascii="Times New Roman" w:cs="Times New Roman" w:eastAsia="Times New Roman" w:hAnsi="Times New Roman"/>
          <w:sz w:val="18"/>
          <w:szCs w:val="18"/>
          <w:color w:val="000000"/>
        </w:rPr>
        <w:t>The Company accounts for recurring and non-recurring fair value measurements in</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 xml:space="preserve">accordance with FASB Accounting Standards Codification (ASC) Topic 820, </w:t>
      </w:r>
      <w:r>
        <w:rPr>
          <w:rFonts w:ascii="Times New Roman" w:cs="Times New Roman" w:eastAsia="Times New Roman" w:hAnsi="Times New Roman"/>
          <w:sz w:val="18"/>
          <w:szCs w:val="18"/>
          <w:i w:val="1"/>
          <w:iCs w:val="1"/>
          <w:color w:val="000000"/>
        </w:rPr>
        <w:t>Fair Value Measurements and Disclosures</w:t>
      </w:r>
      <w:r>
        <w:rPr>
          <w:rFonts w:ascii="Times New Roman" w:cs="Times New Roman" w:eastAsia="Times New Roman" w:hAnsi="Times New Roman"/>
          <w:sz w:val="18"/>
          <w:szCs w:val="18"/>
          <w:color w:val="000000"/>
        </w:rPr>
        <w:t xml:space="preserve"> (ASC 820). ASC 820 defines fair value, establishes a fair value hierarchy for assets and liabilities measured at fair value, and requires expanded disclosures about fair value measurements. The ASC 820 hierarchy ranks the quality of reliability of inputs, or assumptions, used in the determination of fair value and requires assets and liabilities carried at fair value to be classified and disclosed in one of the following three categories:</w:t>
      </w:r>
    </w:p>
    <w:p>
      <w:pPr>
        <w:spacing w:after="0" w:line="135"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Fair value is determined by using unadjusted quoted prices that are available in active markets for identical assets and liabilities.</w:t>
      </w:r>
    </w:p>
    <w:p>
      <w:pPr>
        <w:spacing w:after="0" w:line="117" w:lineRule="exact"/>
        <w:rPr>
          <w:rFonts w:ascii="Times New Roman" w:cs="Times New Roman" w:eastAsia="Times New Roman" w:hAnsi="Times New Roman"/>
          <w:sz w:val="18"/>
          <w:szCs w:val="18"/>
          <w:color w:val="auto"/>
        </w:rPr>
      </w:pPr>
    </w:p>
    <w:p>
      <w:pPr>
        <w:ind w:left="980" w:hanging="324"/>
        <w:spacing w:after="0" w:line="261"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Fair value is determined by using inputs other than Level 1 quoted prices that are directly or indirectly observable. Inputs can include quoted prices for similar assets and liabilities in active markets or quoted prices for identical assets and liabilities in inactive markets. Related inputs can also include those used in valuation or other pricing models, such as interest rates and yield curves that can be corroborated by observable market data.</w:t>
      </w:r>
    </w:p>
    <w:p>
      <w:pPr>
        <w:spacing w:after="0" w:line="71" w:lineRule="exact"/>
        <w:rPr>
          <w:rFonts w:ascii="Times New Roman" w:cs="Times New Roman" w:eastAsia="Times New Roman" w:hAnsi="Times New Roman"/>
          <w:sz w:val="18"/>
          <w:szCs w:val="18"/>
          <w:color w:val="auto"/>
        </w:rPr>
      </w:pPr>
    </w:p>
    <w:p>
      <w:pPr>
        <w:ind w:left="980" w:right="320" w:hanging="324"/>
        <w:spacing w:after="0" w:line="266"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Fair value is determined by inputs that are unobservable and not corroborated by market data. Use of these inputs involves significant and subjective judgments to be made by a reporting entity - e.g., determining an appropriate adjustment to a discount factor for illiquidity associated with a given security.</w:t>
      </w:r>
    </w:p>
    <w:p>
      <w:pPr>
        <w:spacing w:after="0" w:line="68"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 xml:space="preserve">The Company evaluates financial assets and liabilities subject to fair value measurements on a recurring basis to determine the appropriate level at which to classify them each reporting period. This determination requires the Company to make subjective judgments as to the significance of inputs used in determining fair value and where such inputs lie within the ASC 820 hierarchy. </w:t>
      </w:r>
      <w:r>
        <w:rPr>
          <w:rFonts w:ascii="Times New Roman" w:cs="Times New Roman" w:eastAsia="Times New Roman" w:hAnsi="Times New Roman"/>
          <w:sz w:val="17"/>
          <w:szCs w:val="17"/>
          <w:color w:val="252525"/>
        </w:rPr>
        <w:t>There were no transfers between levels during the periods presented.</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color w:val="auto"/>
        </w:rPr>
        <w:t>Financial assets measured at fair value on a recurring basis were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Measurements at June 30, 2024</w:t>
            </w:r>
          </w:p>
        </w:tc>
        <w:tc>
          <w:tcPr>
            <w:tcW w:w="1360" w:type="dxa"/>
            <w:vAlign w:val="bottom"/>
            <w:tcBorders>
              <w:bottom w:val="single" w:sz="8" w:color="auto"/>
            </w:tcBorders>
          </w:tcPr>
          <w:p>
            <w:pPr>
              <w:spacing w:after="0"/>
              <w:rPr>
                <w:sz w:val="20"/>
                <w:szCs w:val="20"/>
                <w:color w:val="auto"/>
              </w:rPr>
            </w:pPr>
          </w:p>
        </w:tc>
      </w:tr>
      <w:tr>
        <w:trPr>
          <w:trHeight w:val="223"/>
        </w:trPr>
        <w:tc>
          <w:tcPr>
            <w:tcW w:w="50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620" w:type="dxa"/>
            <w:vAlign w:val="bottom"/>
          </w:tcPr>
          <w:p>
            <w:pPr>
              <w:spacing w:after="0"/>
              <w:rPr>
                <w:sz w:val="19"/>
                <w:szCs w:val="19"/>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Level 2</w:t>
            </w:r>
          </w:p>
        </w:tc>
      </w:tr>
      <w:tr>
        <w:trPr>
          <w:trHeight w:val="209"/>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30"/>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43,463</w:t>
            </w:r>
          </w:p>
        </w:tc>
        <w:tc>
          <w:tcPr>
            <w:tcW w:w="2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43,463</w:t>
            </w:r>
          </w:p>
        </w:tc>
        <w:tc>
          <w:tcPr>
            <w:tcW w:w="28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16,900</w:t>
            </w:r>
          </w:p>
        </w:tc>
      </w:tr>
      <w:tr>
        <w:trPr>
          <w:trHeight w:val="230"/>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Government-sponsored enterprises</w:t>
            </w: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14,549</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14,549</w:t>
            </w:r>
          </w:p>
        </w:tc>
      </w:tr>
      <w:tr>
        <w:trPr>
          <w:trHeight w:val="22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24,991</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24,991</w:t>
            </w:r>
          </w:p>
        </w:tc>
      </w:tr>
      <w:tr>
        <w:trPr>
          <w:trHeight w:val="223"/>
        </w:trPr>
        <w:tc>
          <w:tcPr>
            <w:tcW w:w="50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assets measured at fair value</w:t>
            </w:r>
            <w:r>
              <w:rPr>
                <w:rFonts w:ascii="Times New Roman" w:cs="Times New Roman" w:eastAsia="Times New Roman" w:hAnsi="Times New Roman"/>
                <w:sz w:val="23"/>
                <w:szCs w:val="23"/>
                <w:color w:val="auto"/>
                <w:vertAlign w:val="superscript"/>
              </w:rPr>
              <w:t>(a)</w:t>
            </w: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99,903</w:t>
            </w:r>
          </w:p>
        </w:tc>
        <w:tc>
          <w:tcPr>
            <w:tcW w:w="2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43,463</w:t>
            </w:r>
          </w:p>
        </w:tc>
        <w:tc>
          <w:tcPr>
            <w:tcW w:w="2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56,440</w:t>
            </w:r>
          </w:p>
        </w:tc>
      </w:tr>
      <w:tr>
        <w:trPr>
          <w:trHeight w:val="21"/>
        </w:trPr>
        <w:tc>
          <w:tcPr>
            <w:tcW w:w="5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780" w:type="dxa"/>
            <w:vAlign w:val="bottom"/>
            <w:tcBorders>
              <w:bottom w:val="single" w:sz="8" w:color="auto"/>
            </w:tcBorders>
            <w:gridSpan w:val="7"/>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Fair Value Measurements at December 31, 2023</w:t>
            </w:r>
          </w:p>
        </w:tc>
      </w:tr>
      <w:tr>
        <w:trPr>
          <w:trHeight w:val="223"/>
        </w:trPr>
        <w:tc>
          <w:tcPr>
            <w:tcW w:w="5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Pr>
          <w:p>
            <w:pPr>
              <w:spacing w:after="0"/>
              <w:rPr>
                <w:sz w:val="19"/>
                <w:szCs w:val="19"/>
                <w:color w:val="auto"/>
              </w:rPr>
            </w:pPr>
          </w:p>
        </w:tc>
        <w:tc>
          <w:tcPr>
            <w:tcW w:w="18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20" w:type="dxa"/>
            <w:vAlign w:val="bottom"/>
          </w:tcPr>
          <w:p>
            <w:pPr>
              <w:spacing w:after="0"/>
              <w:rPr>
                <w:sz w:val="19"/>
                <w:szCs w:val="19"/>
                <w:color w:val="auto"/>
              </w:rPr>
            </w:pPr>
          </w:p>
        </w:tc>
        <w:tc>
          <w:tcPr>
            <w:tcW w:w="15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Level 2</w:t>
            </w:r>
          </w:p>
        </w:tc>
      </w:tr>
      <w:tr>
        <w:trPr>
          <w:trHeight w:val="209"/>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30"/>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91,665</w:t>
            </w:r>
          </w:p>
        </w:tc>
        <w:tc>
          <w:tcPr>
            <w:tcW w:w="2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91,665</w:t>
            </w:r>
          </w:p>
        </w:tc>
        <w:tc>
          <w:tcPr>
            <w:tcW w:w="2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31,179</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31,179</w:t>
            </w:r>
          </w:p>
        </w:tc>
      </w:tr>
      <w:tr>
        <w:trPr>
          <w:trHeight w:val="230"/>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Government-sponsored enterprises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45,043</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45,043</w:t>
            </w:r>
          </w:p>
        </w:tc>
      </w:tr>
      <w:tr>
        <w:trPr>
          <w:trHeight w:val="22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52,627</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52,627</w:t>
            </w:r>
          </w:p>
        </w:tc>
      </w:tr>
      <w:tr>
        <w:trPr>
          <w:trHeight w:val="223"/>
        </w:trPr>
        <w:tc>
          <w:tcPr>
            <w:tcW w:w="50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assets measured at fair value</w:t>
            </w:r>
            <w:r>
              <w:rPr>
                <w:rFonts w:ascii="Times New Roman" w:cs="Times New Roman" w:eastAsia="Times New Roman" w:hAnsi="Times New Roman"/>
                <w:sz w:val="23"/>
                <w:szCs w:val="23"/>
                <w:color w:val="auto"/>
                <w:vertAlign w:val="superscript"/>
              </w:rPr>
              <w:t>(b)</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220,514</w:t>
            </w:r>
          </w:p>
        </w:tc>
        <w:tc>
          <w:tcPr>
            <w:tcW w:w="2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91,665</w:t>
            </w:r>
          </w:p>
        </w:tc>
        <w:tc>
          <w:tcPr>
            <w:tcW w:w="2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128,849</w:t>
            </w:r>
          </w:p>
        </w:tc>
      </w:tr>
      <w:tr>
        <w:trPr>
          <w:trHeight w:val="21"/>
        </w:trPr>
        <w:tc>
          <w:tcPr>
            <w:tcW w:w="5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260" w:right="380" w:hanging="252"/>
        <w:spacing w:after="0" w:line="282" w:lineRule="auto"/>
        <w:tabs>
          <w:tab w:leader="none" w:pos="2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measured at fair value at June 30, 2024 includes approximately $43.5 million reported in cash and cash equivalents on the consolidated balance sheet.</w:t>
      </w:r>
    </w:p>
    <w:p>
      <w:pPr>
        <w:spacing w:after="0" w:line="161" w:lineRule="exact"/>
        <w:rPr>
          <w:rFonts w:ascii="Times New Roman" w:cs="Times New Roman" w:eastAsia="Times New Roman" w:hAnsi="Times New Roman"/>
          <w:sz w:val="18"/>
          <w:szCs w:val="18"/>
          <w:color w:val="auto"/>
        </w:rPr>
      </w:pPr>
    </w:p>
    <w:p>
      <w:pPr>
        <w:ind w:left="260" w:right="920" w:hanging="252"/>
        <w:spacing w:after="0" w:line="282" w:lineRule="auto"/>
        <w:tabs>
          <w:tab w:leader="none" w:pos="2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measured at fair value at December 31, 2023 includes approximately $91.7 million reported in cash and cash equivalents on the consolidated balance sheet.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the Company's marketable debt securities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6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0" w:type="dxa"/>
            <w:vAlign w:val="bottom"/>
          </w:tcPr>
          <w:p>
            <w:pPr>
              <w:spacing w:after="0"/>
              <w:rPr>
                <w:sz w:val="15"/>
                <w:szCs w:val="15"/>
                <w:color w:val="auto"/>
              </w:rPr>
            </w:pPr>
          </w:p>
        </w:tc>
        <w:tc>
          <w:tcPr>
            <w:tcW w:w="116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rPr>
              <w:t>Gross</w:t>
            </w:r>
          </w:p>
        </w:tc>
        <w:tc>
          <w:tcPr>
            <w:tcW w:w="260" w:type="dxa"/>
            <w:vAlign w:val="bottom"/>
          </w:tcPr>
          <w:p>
            <w:pPr>
              <w:spacing w:after="0"/>
              <w:rPr>
                <w:sz w:val="15"/>
                <w:szCs w:val="15"/>
                <w:color w:val="auto"/>
              </w:rPr>
            </w:pPr>
          </w:p>
        </w:tc>
        <w:tc>
          <w:tcPr>
            <w:tcW w:w="96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184"/>
        </w:trPr>
        <w:tc>
          <w:tcPr>
            <w:tcW w:w="6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6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60" w:type="dxa"/>
            <w:vAlign w:val="bottom"/>
          </w:tcPr>
          <w:p>
            <w:pPr>
              <w:spacing w:after="0"/>
              <w:rPr>
                <w:sz w:val="19"/>
                <w:szCs w:val="19"/>
                <w:color w:val="auto"/>
              </w:rPr>
            </w:pPr>
          </w:p>
        </w:tc>
        <w:tc>
          <w:tcPr>
            <w:tcW w:w="9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3"/>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Government-sponsored enterprises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14,549</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24,991</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56,463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56,440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6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0" w:type="dxa"/>
            <w:vAlign w:val="bottom"/>
          </w:tcPr>
          <w:p>
            <w:pPr>
              <w:spacing w:after="0"/>
              <w:rPr>
                <w:sz w:val="14"/>
                <w:szCs w:val="14"/>
                <w:color w:val="auto"/>
              </w:rPr>
            </w:pPr>
          </w:p>
        </w:tc>
        <w:tc>
          <w:tcPr>
            <w:tcW w:w="116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14"/>
                <w:szCs w:val="14"/>
                <w:color w:val="auto"/>
              </w:rPr>
            </w:pPr>
          </w:p>
        </w:tc>
        <w:tc>
          <w:tcPr>
            <w:tcW w:w="116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260" w:type="dxa"/>
            <w:vAlign w:val="bottom"/>
          </w:tcPr>
          <w:p>
            <w:pPr>
              <w:spacing w:after="0"/>
              <w:rPr>
                <w:sz w:val="14"/>
                <w:szCs w:val="14"/>
                <w:color w:val="auto"/>
              </w:rPr>
            </w:pPr>
          </w:p>
        </w:tc>
        <w:tc>
          <w:tcPr>
            <w:tcW w:w="96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175"/>
        </w:trPr>
        <w:tc>
          <w:tcPr>
            <w:tcW w:w="6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6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60" w:type="dxa"/>
            <w:vAlign w:val="bottom"/>
          </w:tcPr>
          <w:p>
            <w:pPr>
              <w:spacing w:after="0"/>
              <w:rPr>
                <w:sz w:val="21"/>
                <w:szCs w:val="21"/>
                <w:color w:val="auto"/>
              </w:rPr>
            </w:pPr>
          </w:p>
        </w:tc>
        <w:tc>
          <w:tcPr>
            <w:tcW w:w="9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3"/>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31,179</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Government-sponsored enterprises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45,043</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52,627</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128,855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128,849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All available-for-sale marketable debt securities held as of June 30, 2024 and December 31, 2023 had contractual maturities of less than one year. All of the Company's available-for-sale marketable debt securities in an unrealized loss position as of June 30, 2024 and December 31, 2023 were in a loss position for less than twelve months. Unrealized losses on available-for-sale debt securities as of June 30, 2024 and December 31, 2023 were not significant and were primarily due to</w:t>
      </w:r>
    </w:p>
    <w:p>
      <w:pPr>
        <w:sectPr>
          <w:pgSz w:w="11900" w:h="16838" w:orient="portrait"/>
          <w:cols w:equalWidth="0" w:num="1">
            <w:col w:w="11240"/>
          </w:cols>
          <w:pgMar w:left="320" w:top="12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10" w:name="page11"/>
    <w:bookmarkEnd w:id="10"/>
    <w:p>
      <w:pPr>
        <w:ind w:right="480"/>
        <w:spacing w:after="0" w:line="261" w:lineRule="auto"/>
        <w:rPr>
          <w:sz w:val="20"/>
          <w:szCs w:val="20"/>
          <w:color w:val="auto"/>
        </w:rPr>
      </w:pPr>
      <w:r>
        <w:rPr>
          <w:rFonts w:ascii="Times New Roman" w:cs="Times New Roman" w:eastAsia="Times New Roman" w:hAnsi="Times New Roman"/>
          <w:sz w:val="18"/>
          <w:szCs w:val="18"/>
          <w:color w:val="auto"/>
        </w:rPr>
        <w:t>changes in interest rates, including market credit spreads, and not due to increased credit risks associated with specific securities. Accordingly, no allowance for credit losses related to the Company's available-for-sale debt securities was recorded for any periods presented. The Company does not intend to sell these investments and it is not more likely than not that the Company will be required to sell the investments before recovery of their amortized cost bases, which may be at maturity.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Inventory, Net</w:t>
      </w:r>
    </w:p>
    <w:p>
      <w:pPr>
        <w:spacing w:after="0" w:line="175" w:lineRule="exact"/>
        <w:rPr>
          <w:sz w:val="20"/>
          <w:szCs w:val="20"/>
          <w:color w:val="auto"/>
        </w:rPr>
      </w:pPr>
    </w:p>
    <w:p>
      <w:pPr>
        <w:ind w:right="500" w:firstLine="567"/>
        <w:spacing w:after="0" w:line="271" w:lineRule="auto"/>
        <w:rPr>
          <w:sz w:val="20"/>
          <w:szCs w:val="20"/>
          <w:color w:val="auto"/>
        </w:rPr>
      </w:pPr>
      <w:r>
        <w:rPr>
          <w:rFonts w:ascii="Times New Roman" w:cs="Times New Roman" w:eastAsia="Times New Roman" w:hAnsi="Times New Roman"/>
          <w:sz w:val="18"/>
          <w:szCs w:val="18"/>
          <w:color w:val="auto"/>
        </w:rPr>
        <w:t>All of the Company's inventory relates to the manufacturing of MARGENZA. The following table sets forth the Company's net inventory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5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660" w:type="dxa"/>
            <w:vAlign w:val="bottom"/>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inventory, net</w:t>
            </w:r>
          </w:p>
        </w:tc>
        <w:tc>
          <w:tcPr>
            <w:tcW w:w="1660" w:type="dxa"/>
            <w:vAlign w:val="bottom"/>
            <w:tcBorders>
              <w:bottom w:val="single" w:sz="8" w:color="auto"/>
            </w:tcBorders>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Prior to FDA approval of MARGENZA in December 2020, the cost of materials and expenses associated with the manufacturing of MARGENZA were recorded as research and development expense. Subsequent to FDA approval, the Company began capitalizing inventory costs related to the manufacture of MARGENZA. As of June 30, 2024, there was no reserve for unsaleable inventory. Inventory balance as of December 31, 2023 is net of a reserve of $3.1 million, for unsaleable inventory. These reserves are reflected in cost of product sales during the period they are recorded.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Stockholders' Equity</w:t>
      </w:r>
    </w:p>
    <w:p>
      <w:pPr>
        <w:spacing w:after="0" w:line="15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March 2023, the Company entered into a sales agreement (Sales Agreement) with an agent to sell, from time to time, shares of its common stock having an aggregate sales price of up to $100.0 million through an “at the market offering” (ATM Offering) as defined in Rule 415 under the Securities Act of 1933, as amended. No shares were sold under the ATM offering during the six months ended June 30, 2024. During the six months ended June 30, 2023, the Company sold 95,000 shares of common stock at a weighted average price per share of $6.60, resulting in net proceeds of approximately $0.6 million, net of offering expenses.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Revenue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Collaborative and Other Agreements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Incyte Corporation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Incyte License Agreement</w:t>
      </w:r>
    </w:p>
    <w:p>
      <w:pPr>
        <w:spacing w:after="0" w:line="17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2017, the Company entered into an exclusive global collaboration and license agreement with Incyte, which was amended in March 2018, April 2022, July 2022 and July 2024 (see Note 10, Subsequent Events, for additional information), for retifanlimab, an investigational monoclonal antibody that inhibits PD-1 (Incyte License Agreement). Incyte has obtained exclusive worldwide rights for the development and commercialization of retifanlimab in all indications, while the Company retains the right to develop its pipeline assets in combination with retifanlimab. Under the terms of the Incyte License Agreement, Incyte paid the Company an upfront payment of $150.0 million in 2017. The Company manufactures a portion of Incyte’s global commercial supply of retifanlimab. In March 2023, the FDA approved Incyte's Biologics License Application (BLA) for ZYNYZ (retifanlimab-dlwr) for the treatment of adults with metastatic or recurrent locally advanced Merkel cell carcinoma. Incyte has stated it is pursuing development of retifanlimab in potentially registration-enabling studies, including in patients with squamous cell carcinoma of the anal canal, MSI-high endometrial cancer and non-small cell lung cancer. Incyte is also pursuing development of retifanlimab in combination with multiple product candidates from its pipeline.</w:t>
      </w:r>
    </w:p>
    <w:p>
      <w:pPr>
        <w:spacing w:after="0" w:line="13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Under the terms of the Incyte License Agreement, as amended, Incyte will lead global development of retifanlimab. Assuming successful development and commercialization by Incyte in multiple indications, the Company could receive up to a total of $425.0 million in development and regulatory milestones and up to $330.0 million in commercial milestones. From the inception of the Incyte License Agreement through </w:t>
      </w:r>
      <w:r>
        <w:rPr>
          <w:rFonts w:ascii="Times New Roman" w:cs="Times New Roman" w:eastAsia="Times New Roman" w:hAnsi="Times New Roman"/>
          <w:sz w:val="18"/>
          <w:szCs w:val="18"/>
          <w:color w:val="252525"/>
        </w:rPr>
        <w:t>June 30, 2024</w:t>
      </w:r>
      <w:r>
        <w:rPr>
          <w:rFonts w:ascii="Times New Roman" w:cs="Times New Roman" w:eastAsia="Times New Roman" w:hAnsi="Times New Roman"/>
          <w:sz w:val="18"/>
          <w:szCs w:val="18"/>
          <w:color w:val="auto"/>
        </w:rPr>
        <w:t>, the Company has recognized $115.0 million in development milestones under the Incyte License Agreement, including $15.0 million received following the FDA approval of ZYNYZ. Additionally, the Company received $100.0 million of milestones subsequent to June 30, 2024 (see Note 10, Subsequent Events, for additional information). The Company is also eligible to receive tiered royalties of 15% to 24% on global net sales. The Company retains the right to develop its pipeline assets in combination with retifanlimab, with Incyte commercializing retifanlimab and the Company commercializing its asset(s), if any such potential combinations are approved. In addition, the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 w:name="page12"/>
    <w:bookmarkEnd w:id="11"/>
    <w:p>
      <w:pPr>
        <w:ind w:right="40"/>
        <w:spacing w:after="0" w:line="282" w:lineRule="auto"/>
        <w:rPr>
          <w:sz w:val="20"/>
          <w:szCs w:val="20"/>
          <w:color w:val="auto"/>
        </w:rPr>
      </w:pPr>
      <w:r>
        <w:rPr>
          <w:rFonts w:ascii="Times New Roman" w:cs="Times New Roman" w:eastAsia="Times New Roman" w:hAnsi="Times New Roman"/>
          <w:sz w:val="18"/>
          <w:szCs w:val="18"/>
          <w:color w:val="auto"/>
        </w:rPr>
        <w:t>Company retains the right to manufacture a portion of both companies' global commercial supply needs of retifanlimab, subject to the separate commercial supply agreement.</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Company evaluated the Incyte License Agreement under the provisions of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w:t>
      </w:r>
    </w:p>
    <w:p>
      <w:pPr>
        <w:spacing w:after="0" w:line="29" w:lineRule="exact"/>
        <w:rPr>
          <w:sz w:val="20"/>
          <w:szCs w:val="20"/>
          <w:color w:val="auto"/>
        </w:rPr>
      </w:pPr>
    </w:p>
    <w:p>
      <w:pPr>
        <w:ind w:firstLine="8"/>
        <w:spacing w:after="0" w:line="252" w:lineRule="auto"/>
        <w:tabs>
          <w:tab w:leader="none" w:pos="3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inception and identified the following two performance obligations under the agreement: (i) the license of retifanlimab and (ii) the performance of certain clinical activities through a brief technology transfer period. The Company determined that the license and clinical activities are separate performance obligations because they are capable of being distinct and are distinct in the context of the contract. The license has standalone functionality as it is sublicensable, Incyte has significant capabilities in performing clinical trials, and Incyte is capable of performing these activities without the Company's involvement; the Company performed the activities during the transfer period as a matter of convenience. The Company determined that the transaction price of the Incyte License Agreement at inception was $154.0 million, consisting of the consideration to which the Company was entitled in exchange for the license and an estimate of the consideration for clinical activities to be performed. The transaction price was allocated to each performance obligation based on their relative standalone selling price. The standalone selling price of the license was determined using the adjusted market assessment approach considering similar collaboration and license agreements. The standalone selling price for the agreed-upon clinical activities to be performed was determined using the expected cost approach based on similar arrangements the Company has with other parties.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sales-based milestones and royalties will be recognized when the related sales occur, as they were determined to relate predominantly to the license granted to Incyte and, therefore, have also been excluded from the transaction price. The Company re-assesses the transaction price in each reporting period and when events whose outcomes are resolved or other changes in circumstances occur. From 2018 through </w:t>
      </w:r>
      <w:r>
        <w:rPr>
          <w:rFonts w:ascii="Times New Roman" w:cs="Times New Roman" w:eastAsia="Times New Roman" w:hAnsi="Times New Roman"/>
          <w:sz w:val="18"/>
          <w:szCs w:val="18"/>
          <w:color w:val="252525"/>
        </w:rPr>
        <w:t>June 30, 2024</w:t>
      </w:r>
      <w:r>
        <w:rPr>
          <w:rFonts w:ascii="Times New Roman" w:cs="Times New Roman" w:eastAsia="Times New Roman" w:hAnsi="Times New Roman"/>
          <w:sz w:val="18"/>
          <w:szCs w:val="18"/>
          <w:color w:val="auto"/>
        </w:rPr>
        <w:t xml:space="preserve">, it became probable that a significant reversal of cumulative revenue would not occur for development milestones totaling $115.0 million related to </w:t>
      </w:r>
      <w:r>
        <w:rPr>
          <w:rFonts w:ascii="Times New Roman" w:cs="Times New Roman" w:eastAsia="Times New Roman" w:hAnsi="Times New Roman"/>
          <w:sz w:val="18"/>
          <w:szCs w:val="18"/>
          <w:color w:val="252525"/>
        </w:rPr>
        <w:t>clinical and regulatory activities related to the further advancement of retifanlimab</w:t>
      </w:r>
      <w:r>
        <w:rPr>
          <w:rFonts w:ascii="Times New Roman" w:cs="Times New Roman" w:eastAsia="Times New Roman" w:hAnsi="Times New Roman"/>
          <w:sz w:val="18"/>
          <w:szCs w:val="18"/>
          <w:color w:val="auto"/>
        </w:rPr>
        <w:t>. Therefore, the associated consideration was added to the estimated transaction price and was recognized as revenue</w:t>
      </w:r>
      <w:r>
        <w:rPr>
          <w:rFonts w:ascii="Times New Roman" w:cs="Times New Roman" w:eastAsia="Times New Roman" w:hAnsi="Times New Roman"/>
          <w:sz w:val="21"/>
          <w:szCs w:val="21"/>
          <w:color w:val="252525"/>
        </w:rPr>
        <w:t>.</w:t>
      </w:r>
    </w:p>
    <w:p>
      <w:pPr>
        <w:spacing w:after="0" w:line="20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recognized the $150.0 million allocated to the license when it satisfied its performance obligation and transferred the license to Incyte in 2017. The $4.0 million allocated to the clinical activities was recognized ratably as services were performed during 2017 and 2018. The Company recognized $0.1 million and $0.3 million in revenue under the Incyte License Agreement during the three and six months ended June 30, 2024, respectively. The Company recognized the $15.0 million ZYNYZ approval milestone as revenue under the Incyte License Agreement during the six months ended June 30, 2023.</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Incyte Clinical Supply Agreement</w:t>
      </w:r>
    </w:p>
    <w:p>
      <w:pPr>
        <w:spacing w:after="0" w:line="17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In 2018, the Company entered into an agreement with Incyte, under which the Company is to perform development and manufacturing services for Incyte’s clinical needs of retifanlimab (Incyte Clinical Supply Agreement). The Company evaluated the Incyte Clinical Supply Agreement under ASC 606 and identified one performance obligation under the agreement: to perform services related to the development and manufacturing of the clinical supply of retifanlimab. The transaction price is based on the costs incurred to develop and manufacture drug product and drug substance, and is recognized over time as the services are provided, as the performance by the Company does not create an asset with an alternative use and the Company has an enforceable right to payment for the performance completed to date. The transaction price is being recognized using the input method reflecting the costs incurred (including resources consumed and labor hours expended) related to the manufacturing services. The Company recognized a de minimis amount of revenue during the three months ended June 30, 2024 and revenue of $0.1 million during the three months ended June 30, 2023, for services performed under the Incyte Clinical Supply Agreement. During the six months ended June 30, 2024 and 2023, the Company recognized revenue of $0.1 million and $1.4 million, respectively, for services performed under the Incyte Clinical Supply Agreement.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Incyte Commercial Supply Agreement</w:t>
      </w:r>
    </w:p>
    <w:p>
      <w:pPr>
        <w:spacing w:after="0" w:line="173" w:lineRule="exact"/>
        <w:rPr>
          <w:sz w:val="20"/>
          <w:szCs w:val="20"/>
          <w:color w:val="auto"/>
        </w:rPr>
      </w:pPr>
    </w:p>
    <w:p>
      <w:pPr>
        <w:ind w:right="60" w:firstLine="756"/>
        <w:spacing w:after="0" w:line="255" w:lineRule="auto"/>
        <w:rPr>
          <w:sz w:val="20"/>
          <w:szCs w:val="20"/>
          <w:color w:val="auto"/>
        </w:rPr>
      </w:pPr>
      <w:r>
        <w:rPr>
          <w:rFonts w:ascii="Times New Roman" w:cs="Times New Roman" w:eastAsia="Times New Roman" w:hAnsi="Times New Roman"/>
          <w:sz w:val="18"/>
          <w:szCs w:val="18"/>
          <w:color w:val="auto"/>
        </w:rPr>
        <w:t>In 2020, the Company entered into an agreement with Incyte pursuant to which the Company is entitled to manufacture a portion of the global commercial supply needs for retifanlimab (Incyte Commercial Supply Agreement). Unless terminated earlier, the term of the Incyte Commercial Supply Agreement will expire upon the expiration of Incyte’s obligation to pay royalties under the Incyte License Agreement. The Company evaluated this agreement under ASC 606 and identified one performance obligation under the agreement: to perform services related to manufacturing the commercial supply of retifanlimab. The transaction price is based on a fixed price per batch of bulk drug substance to be manufactured and is recognized over time as the services are provided, as the performance by the Company does not create an asset with an alternative use and the Company has an enforceable right to payment for the performance completed to date. The transaction</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price is being recognized using the input method reflecting the costs incurred (including resources consumed and labor costs incurred) related to the</w:t>
      </w:r>
    </w:p>
    <w:p>
      <w:pPr>
        <w:spacing w:after="0" w:line="5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manufacturing services. During the three and six months ended June 30, 2024, the Company recognized revenue of $0.4 million and $0.8 million, respectively, for services performed under the Incyte Commercial Supply Agreement. During the three and six months ended June 30, 2023, the Company recognized revenue of $0.1 million for the services performed under the Incyte Commercial Supply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Gilead Sciences, Inc</w:t>
      </w:r>
    </w:p>
    <w:p>
      <w:pPr>
        <w:spacing w:after="0" w:line="16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In 2022, the Company and Gilead Sciences, Inc. (Gilead) entered into an exclusive option and collaboration agreement (Gilead Agreement) to develop and commercialize MGD024, an investigational, bispecific antibody that binds CD123 and CD3 (CD123 Option), and create bispecific cancer antibodies using the Company’s DART platform and undertake their early development under a maximum of two separate bispecific cancer target research programs. Under the agreement, the Company will continue the ongoing phase 1 trial for MGD024 according to a development plan, during which Gilead will have the right to exercise an option granted to Gilead to obtain an exclusive license under the Company’s intellectual property to develop and commercialize MGD024 and other bispecific antibodies of MacroGenics that bind CD123 and CD3. The agreement also grants Gilead the right, within its first two years, to nominate a bispecific cancer target set for up to two research programs conducted by the Company and to exercise separate options to obtain an exclusive license for the development, commercialization and exploitation of molecules created under each research program (Research Program Option). Gilead nominated the first of the two research programs in September 2023. On January 11, 2024, the parties amended the Gilead Agreement to revise certain matters related to intellectual property in the performance of the research plans under the agreement.</w:t>
      </w:r>
    </w:p>
    <w:p>
      <w:pPr>
        <w:spacing w:after="0" w:line="140" w:lineRule="exact"/>
        <w:rPr>
          <w:sz w:val="20"/>
          <w:szCs w:val="20"/>
          <w:color w:val="auto"/>
        </w:rPr>
      </w:pPr>
    </w:p>
    <w:p>
      <w:pPr>
        <w:ind w:right="160" w:firstLine="648"/>
        <w:spacing w:after="0" w:line="274" w:lineRule="auto"/>
        <w:rPr>
          <w:sz w:val="20"/>
          <w:szCs w:val="20"/>
          <w:color w:val="auto"/>
        </w:rPr>
      </w:pPr>
      <w:r>
        <w:rPr>
          <w:rFonts w:ascii="Times New Roman" w:cs="Times New Roman" w:eastAsia="Times New Roman" w:hAnsi="Times New Roman"/>
          <w:sz w:val="17"/>
          <w:szCs w:val="17"/>
          <w:color w:val="auto"/>
        </w:rPr>
        <w:t>Under the terms of the Gilead Agreement, in October 2022 Gilead paid the Company an upfront payment of $60.0 million. Assuming Gilead exercises the CD123 Option and Research Program Option and successfully develops and commercializes MGD024, or other CD123 products developed under the agreement, and products result from the two additional research programs, the Company would be eligible to receive up to $1.7 billion in target nomination, option fees, and development, regulatory and commercial milestones. Assuming exercise of the CD123 Option, the Company will also be eligible to receive tiered, low double-digit royalties on worldwide net sales of MGD024 (or other CD123 products developed under the agreement) and assuming exercise of the Research Program Option, a flat royalty on worldwide net sales of any products resulting from the two research programs.</w:t>
      </w:r>
    </w:p>
    <w:p>
      <w:pPr>
        <w:spacing w:after="0" w:line="11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evaluated the Gilead Agreement under the provisions of ASC 606 and identified the following material promises under the agreement: (i) a license to perform any activities allocated to Gilead under the MGD024 development plan; (ii) development activities regarding MGD024, including manufacturing, research and early clinical development activities, necessary to deliver an informational package of development and clinical data, information and materials specified in the Gilead Agreement during the period in which Gilead can exercise the CD123 Option; (iii) the CD123 Option and (iv) the Research Program Option.</w:t>
      </w:r>
    </w:p>
    <w:p>
      <w:pPr>
        <w:spacing w:after="0" w:line="1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Company concluded that the license under the MGD024 development plan and development activities are not distinct from one another, as the license has limited value without the Company’s performance of the development activities. Therefore, the Company determined that the development term license and development activities should be combined into a single performance obligation (Development Activities). The CD123 Option is considered a material right as the value of the exclusive license exceeds the payment to be made by Gilead if they exercise their option to obtain an exclusive license to develop and commercialize MGD024 or an alternative CD123 product, and is therefore a distinct performance obligation. The Company determined that the Research Program Option does not provide a material right, as there is no discount on its standalone selling price.</w:t>
      </w:r>
    </w:p>
    <w:p>
      <w:pPr>
        <w:spacing w:after="0" w:line="13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ASC 606, the Company determined that the initial transaction price under the Gilead Agreement was $60.0 million, consisting of the upfront, non-refundable payment paid by Gilead. The CD123 Option and Research Program Option payments are excluded from the initial transaction price at contract inception along with any future development, regulatory, and commercial milestone payments (including royalties) following the CD123 Option and Research Program Option exercise. The Company reassesses the amount of variable consideration included in the transaction price</w:t>
      </w:r>
    </w:p>
    <w:p>
      <w:pPr>
        <w:spacing w:after="0" w:line="18"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17"/>
          <w:szCs w:val="17"/>
          <w:color w:val="auto"/>
        </w:rPr>
        <w:t>every reporting period. The Company allocated the $60.0 million upfront payment in the transaction price to the Development Activities and the CD123 Option based on each performance obligation’s relative standalone selling price. The standalone selling price for the Development Activities was calculated using an expected cost-plus margin approach for the pre-option development timeline. For the standalone selling price of the CD123 Option, the Company</w:t>
      </w:r>
    </w:p>
    <w:p>
      <w:pPr>
        <w:spacing w:after="0" w:line="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utilized an income-based approach which included the following key assumptions: post-option development timeline and costs, forecasted revenues, discount rates and probabilities of technical and regulatory success.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3" w:name="page14"/>
    <w:bookmarkEnd w:id="13"/>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Company is recognizing revenue related to the Development Activities performance obligation over the estimated period to complete the Development Activities using an input method reflecting the costs incurred (including resources consumed and labor hours expended) related to the Development Activities. The Company will defer revenue recognition related to the CD123 Option. If Gilead exercises the CD123 Option and obtains an exclusive license, the Company will recognize revenue as it fulfills its obligations under the Gilead Agreement. If the CD123 Option is not exercised, the Company will recognize the entirety of the revenue in the period when the CD123 Option expires.</w:t>
      </w:r>
    </w:p>
    <w:p>
      <w:pPr>
        <w:spacing w:after="0" w:line="129"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The Company recorded revenue of $0.2 million for each of the three month periods ended June 30, 2024 and 2023 related to the Gilead Agreement. During the six months ended June 30, 2024 and 2023, the Company recorded revenue of $0.5 million and $0.6 million, respectively, related to the Gilead Agreement. As of June 30, 2024, $57.8 million in revenue was deferred under this agreement, $2.3 million of which was current and</w:t>
      </w:r>
    </w:p>
    <w:p>
      <w:pPr>
        <w:spacing w:after="0" w:line="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$55.5 million of which was non-current. As of December 31, 2023, $58.3 million in revenue was deferred under this agreement, $2.2 million of which was current and $56.1 million of which was non-current.</w:t>
      </w:r>
    </w:p>
    <w:p>
      <w:pPr>
        <w:spacing w:after="0" w:line="12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September 2023, the Company and Gilead executed a Letter Agreement through which Gilead nominated the first of the two research programs contemplated in the Gilead Agreement (First Research Program), the Company granted Gilead a research license, and the parties agreed on a research plan for the First Research Program under which the Company will provide research and development services. Gilead paid the Company a $15.7 million nomination fee. The Company evaluated the Letter Agreement under the terms of ASC 606, and concluded that it is a modification to the Gilead Agreement that results in a separate contract since the modification is for additional goods and services that are distinct and at standalone selling price. The Company determined that the license and the related research and development activities were not distinct from one another, as the license has limited value without the performance of the research and development activities. As such, the Company determined that these should be combined into a single performance obligation. Gilead also has the exclusive option to pay the Company $10.0 million to obtain a license to exploit the research molecule and research product with respect to the First Research Program. The Company determined that this exclusive option does not provide a material right, as there is no discount on its standalone selling price.</w:t>
      </w:r>
    </w:p>
    <w:p>
      <w:pPr>
        <w:spacing w:after="0" w:line="14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In accordance with ASC 606, the Company determined that the initial transaction price for the First Research Program agreement was</w:t>
      </w:r>
    </w:p>
    <w:p>
      <w:pPr>
        <w:spacing w:after="0" w:line="27"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$15.7 million, consisting of the non-refundable payment paid by Gilead. The Company is recognizing revenue over the estimated period to complete the services using the input method reflecting the costs incurred (including resources consumed and labor hours expended) related to the research and development services. In June 2024, the Company received variable consideration totaling $3.3 million from Gilead upon achievement of a research plan milestone. The variable consideration was added to the transaction price and allocated to the performance obligation to determine the amount of related revenue to be recognized. A proportional amount was recognized based on the input cost to cost measurement of work completed to date.</w:t>
      </w:r>
    </w:p>
    <w:p>
      <w:pPr>
        <w:spacing w:after="0" w:line="17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recorded revenue of $1.3 million and $2.0 million, respectively, related to the First Research Program. As of June 30, 2024, $16.2 million in revenue was deferred under this agreement, all of which was current. As of December 31, 2023, $14.9 million in revenue was deferred under this agreement, $11.8 million of which was current and $3.1 million of which was non-current.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Services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Incyte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January 2022, the Company entered into a Manufacturing and Clinical Supply Agreement with Incyte (Incyte Manufacturing and Clinical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Supply Agreement) to provide manufacturing services to produce certain Incyte bulk drug substance over a three-year period at one of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manufacturing facilities. Under the terms of the Incyte Manufacturing and Clinical Supply Agreement, the Company received an upfront payment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million and is eligible to receive annual fixed payments paid quarterly over the term of the contract totaling $14.4 million. The Company will also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reimbursed for materials used to manufacture product as well as other costs incurred to provide manufacturing services. In July 2022, the Company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Incyte executed an amendment to the Incyte Manufacturing and Clinical Supply Agreement which extended the term for one year and provided for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annual fixed payment of $5.1 million (July 2022 Incyte Amendment).</w:t>
      </w:r>
    </w:p>
    <w:p>
      <w:pPr>
        <w:spacing w:after="0" w:line="9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evaluated the Incyte Manufacturing and Clinical Supply Agreement and the July 2022 Incyte Amendment under the provisions of ASC 606 and identified one performance obligation to provide manufacturing runs to Incyte, as and when requested by Incyte, over the term of the contract that is part of a series of goods and services. The Company determined that the transaction price consists of the upfront payment of $10.0 million and the annual fixed payments totaling $19.5 million. The Company will recognize revenue over time on a straight-line basis as the manufacturing services are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4" w:name="page15"/>
    <w:bookmarkEnd w:id="14"/>
    <w:p>
      <w:pPr>
        <w:ind w:right="100"/>
        <w:spacing w:after="0" w:line="258" w:lineRule="auto"/>
        <w:rPr>
          <w:sz w:val="20"/>
          <w:szCs w:val="20"/>
          <w:color w:val="auto"/>
        </w:rPr>
      </w:pPr>
      <w:r>
        <w:rPr>
          <w:rFonts w:ascii="Times New Roman" w:cs="Times New Roman" w:eastAsia="Times New Roman" w:hAnsi="Times New Roman"/>
          <w:sz w:val="18"/>
          <w:szCs w:val="18"/>
          <w:color w:val="auto"/>
        </w:rPr>
        <w:t>provided to Incyte, as the Company determined that its efforts in providing the manufacturing services will be incurred evenly throughout the performance period and therefore straight-line revenue recognition closely approximates the level of effort for the manufacturing services. Variable consideration relating to the reimbursed materials and other reimbursed costs incurred to manufacture product for Incyte will be allocated to the related manufacturing activities and will be recognized as revenue as those activities occur. Materials purchased by the Company to manufacture the product for Incyte are considered costs to fulfill a contract and will be capitalized and expensed as the materials are used to provide the manufacturing services.</w:t>
      </w:r>
    </w:p>
    <w:p>
      <w:pPr>
        <w:spacing w:after="0" w:line="7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During the three months ended June 30, 2024 and 2023 the Company recognized revenue of $2.1 million </w:t>
      </w:r>
      <w:r>
        <w:rPr>
          <w:rFonts w:ascii="Times New Roman" w:cs="Times New Roman" w:eastAsia="Times New Roman" w:hAnsi="Times New Roman"/>
          <w:sz w:val="18"/>
          <w:szCs w:val="18"/>
          <w:color w:val="252525"/>
        </w:rPr>
        <w:t>and</w:t>
      </w:r>
      <w:r>
        <w:rPr>
          <w:rFonts w:ascii="Times New Roman" w:cs="Times New Roman" w:eastAsia="Times New Roman" w:hAnsi="Times New Roman"/>
          <w:sz w:val="18"/>
          <w:szCs w:val="18"/>
          <w:color w:val="auto"/>
        </w:rPr>
        <w:t xml:space="preserve"> $1.6 million, respectively, under the Incyte Manufacturing and Clinical Supply Agreement. During the six months ended June 30, 2024 and 2023, the Company recognized revenue of</w:t>
      </w:r>
    </w:p>
    <w:p>
      <w:pPr>
        <w:spacing w:after="0"/>
        <w:rPr>
          <w:sz w:val="20"/>
          <w:szCs w:val="20"/>
          <w:color w:val="auto"/>
        </w:rPr>
      </w:pPr>
      <w:r>
        <w:rPr>
          <w:rFonts w:ascii="Times New Roman" w:cs="Times New Roman" w:eastAsia="Times New Roman" w:hAnsi="Times New Roman"/>
          <w:sz w:val="18"/>
          <w:szCs w:val="18"/>
          <w:color w:val="auto"/>
        </w:rPr>
        <w:t xml:space="preserve">$4.3 million </w:t>
      </w:r>
      <w:r>
        <w:rPr>
          <w:rFonts w:ascii="Times New Roman" w:cs="Times New Roman" w:eastAsia="Times New Roman" w:hAnsi="Times New Roman"/>
          <w:sz w:val="18"/>
          <w:szCs w:val="18"/>
          <w:color w:val="252525"/>
        </w:rPr>
        <w:t>and</w:t>
      </w:r>
      <w:r>
        <w:rPr>
          <w:rFonts w:ascii="Times New Roman" w:cs="Times New Roman" w:eastAsia="Times New Roman" w:hAnsi="Times New Roman"/>
          <w:sz w:val="18"/>
          <w:szCs w:val="18"/>
          <w:color w:val="auto"/>
        </w:rPr>
        <w:t xml:space="preserve"> $5.2 million, respectively, under the Incyte Manufacturing and Clinical Supply Agreement. As of June 30, 2024, $5.2 million in revenue</w:t>
      </w:r>
    </w:p>
    <w:p>
      <w:pPr>
        <w:spacing w:after="0" w:line="3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was deferred under this agreement, all of which was current. As of December 31, 2023, $7.0 million in revenue was deferred under this agreement, all of which was current.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52525"/>
        </w:rPr>
        <w:t>Government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NIAID Contract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entered into a contract with the National Institute of Allergy and Infectious Diseases (NIAID), effective as of September 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 to perform product development and to advance up to two DART molecules, MGD014 and MGD020 (NIAID Contract). Under the NIAID Contract,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develop these product candidates for Phase 1/2 clinical trials as therapeutic agents, in combination with latency reversing treatments,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deplete cells infected with human immunodeficiency virus (HIV) infection. NIAID does not receive goods or services from the Company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therefore the Company does not consider NIAID to be a customer and concluded this contract is outside the scope of ASC 606.</w:t>
      </w:r>
    </w:p>
    <w:p>
      <w:pPr>
        <w:spacing w:after="0" w:line="15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Since the inception of the NIAID Contract, NIAID has exercised the two options contemplated in the original contract and executed modifications such that the total funded contract value as of June 30, 2024 is $25.1 million. In addition, the most recent modification changed the period of performance under the NIAID Contract to end in September 2024. The Company recorded revenue of $0.5 million in each of the three month periods ended June 30, 2024 and 2023 under the NIAID contract. During the six months ended June 30, 2024 and 2023, the Company recognized revenue under the NIAID Contract of $0.9 million and $0.7 million,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May 2017, the Company’s stockholders approved the 2016 Employee Stock Purchase Plan (the 2016 ESPP). The 2016 ESPP is structured as a qualified employee stock purchase plan under Section 423 of the Internal Revenue Code of 1986, as amended (IRC), and is not subject to the provisions of the Employee Retirement Income Security Act of 1974. The Company reserved 800,000 shares of common stock for issuance under the 2016 ESPP. The 2016 ESPP allows eligible employees to purchase shares of the Company’s common stock at a discount through payroll deductions of up to 10% of their eligible compensation, subject to any plan limitations. The 2016 ESPP provides for six-month offering periods ending on May 31 and November 30 of each year. At the end of each offering period, employees are able to purchase shares at 85% of the fair market value of the Company’s common stock on the last day of the offering period. During the six months ended June 30, 2024, 44,129 shares of common stock were purchased under the 2016 ESPP.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Incentive Plans</w:t>
      </w:r>
    </w:p>
    <w:p>
      <w:pPr>
        <w:spacing w:after="0" w:line="17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October 2013, the Company implemented the 2013 Equity Incentive Plan (2013 Plan). The 2013 Plan provides for the grant of stock options and other stock-based awards, as well as cash-based performance awards. In May 2023, the 2013 Plan was terminated, and no further awards may be issued under the plan. If an option granted under the 2013 Plan expires or terminates for any reason without having been fully exercised, if any shares of restricted stock are forfeited, or if any award terminates, expires or is settled without all or a portion of the shares of common stock covered by the award being issued, such shares will become available for issuance under the 2023 Equity Incentive Plan (2023 Plan).</w:t>
      </w:r>
    </w:p>
    <w:p>
      <w:pPr>
        <w:spacing w:after="0" w:line="1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2023 Plan was effective as of stockholder approval in May 2023. The 2023 Plan provides for grants of stock options and other stock-based awards, as well as cash-based performance awards. The 2023 Plan authorized the issuance of up to an aggregate of 4,850,000 shares of common stock. In May 2024, the board and stockholders of the Company approved an amendment to the 2023 Plan to increase the number of shares of common stock available for issuance thereunder by 2,000,000 shares. Accordingly, the maximum number of shares of common stock authorized for issuance under the 2023 Plan has been increased to 6,850,000 shares. If an option expires or terminates for any reason without having been fully exercised, if 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 w:name="page16"/>
    <w:bookmarkEnd w:id="15"/>
    <w:p>
      <w:pPr>
        <w:spacing w:after="0" w:line="266" w:lineRule="auto"/>
        <w:rPr>
          <w:sz w:val="20"/>
          <w:szCs w:val="20"/>
          <w:color w:val="auto"/>
        </w:rPr>
      </w:pPr>
      <w:r>
        <w:rPr>
          <w:rFonts w:ascii="Times New Roman" w:cs="Times New Roman" w:eastAsia="Times New Roman" w:hAnsi="Times New Roman"/>
          <w:sz w:val="18"/>
          <w:szCs w:val="18"/>
          <w:color w:val="auto"/>
        </w:rPr>
        <w:t>shares of restricted stock are forfeited, or if any award terminates, expires or is settled without all or a portion of the shares of common stock covered by the award being issued, such shares are available for the grant of additional awards. However, any shares that are withheld (or delivered) to pay withholding taxes or to pay the exercise price of an option are not available for the grant of additional awards.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stock-based compensation expense was recognized for the periods indicated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0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w:t>
            </w:r>
          </w:p>
        </w:tc>
      </w:tr>
      <w:tr>
        <w:trPr>
          <w:trHeight w:val="229"/>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4,563</w:t>
            </w:r>
          </w:p>
        </w:tc>
      </w:tr>
      <w:tr>
        <w:trPr>
          <w:trHeight w:val="248"/>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options</w:t>
      </w:r>
    </w:p>
    <w:p>
      <w:pPr>
        <w:spacing w:after="0" w:line="283" w:lineRule="exact"/>
        <w:rPr>
          <w:sz w:val="20"/>
          <w:szCs w:val="20"/>
          <w:color w:val="auto"/>
        </w:rPr>
      </w:pPr>
    </w:p>
    <w:p>
      <w:pPr>
        <w:ind w:right="240" w:firstLine="648"/>
        <w:spacing w:after="0" w:line="271" w:lineRule="auto"/>
        <w:rPr>
          <w:sz w:val="20"/>
          <w:szCs w:val="20"/>
          <w:color w:val="auto"/>
        </w:rPr>
      </w:pPr>
      <w:r>
        <w:rPr>
          <w:rFonts w:ascii="Times New Roman" w:cs="Times New Roman" w:eastAsia="Times New Roman" w:hAnsi="Times New Roman"/>
          <w:sz w:val="18"/>
          <w:szCs w:val="18"/>
          <w:color w:val="auto"/>
        </w:rPr>
        <w:t>The fair value of each option award is estimated on the date of grant using the Black-Scholes option-pricing model using the assumptions in the following table for options issued during the period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36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60" w:type="dxa"/>
            <w:vAlign w:val="bottom"/>
            <w:tcBorders>
              <w:bottom w:val="single" w:sz="8" w:color="auto"/>
            </w:tcBorders>
          </w:tcPr>
          <w:p>
            <w:pPr>
              <w:spacing w:after="0"/>
              <w:rPr>
                <w:sz w:val="20"/>
                <w:szCs w:val="20"/>
                <w:color w:val="auto"/>
              </w:rPr>
            </w:pPr>
          </w:p>
        </w:tc>
      </w:tr>
      <w:tr>
        <w:trPr>
          <w:trHeight w:val="223"/>
        </w:trPr>
        <w:tc>
          <w:tcPr>
            <w:tcW w:w="6320" w:type="dxa"/>
            <w:vAlign w:val="bottom"/>
            <w:tcBorders>
              <w:bottom w:val="single" w:sz="8" w:color="CCEEFF"/>
            </w:tcBorders>
          </w:tcPr>
          <w:p>
            <w:pPr>
              <w:spacing w:after="0"/>
              <w:rPr>
                <w:sz w:val="19"/>
                <w:szCs w:val="19"/>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c>
          <w:tcPr>
            <w:tcW w:w="2420" w:type="dxa"/>
            <w:vAlign w:val="bottom"/>
            <w:tcBorders>
              <w:bottom w:val="single" w:sz="8" w:color="auto"/>
            </w:tcBorders>
            <w:gridSpan w:val="2"/>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0%</w:t>
            </w: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94.9% -114.3%</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- 94.9%</w:t>
            </w: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 - 4.7%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- 3.9%</w:t>
            </w:r>
          </w:p>
        </w:tc>
      </w:tr>
      <w:tr>
        <w:trPr>
          <w:trHeight w:val="234"/>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25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6.06 years</w:t>
            </w:r>
          </w:p>
        </w:tc>
        <w:tc>
          <w:tcPr>
            <w:tcW w:w="24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5.88 years</w:t>
            </w:r>
          </w:p>
        </w:tc>
      </w:tr>
    </w:tbl>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six months ended June 30, 2024: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vMerge w:val="restart"/>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84"/>
        </w:trPr>
        <w:tc>
          <w:tcPr>
            <w:tcW w:w="3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center"/>
              <w:ind w:left="1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192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5"/>
                <w:szCs w:val="15"/>
                <w:color w:val="auto"/>
              </w:rPr>
            </w:pPr>
          </w:p>
        </w:tc>
        <w:tc>
          <w:tcPr>
            <w:tcW w:w="1380" w:type="dxa"/>
            <w:vAlign w:val="bottom"/>
          </w:tcPr>
          <w:p>
            <w:pPr>
              <w:jc w:val="center"/>
              <w:ind w:left="43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jc w:val="center"/>
              <w:ind w:lef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12,223,637</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1,903,482</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(330,641)</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(119,105)</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(171,485)</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June 30, 2024</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13,505,888</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6.7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As of June 30, 2024:</w:t>
            </w:r>
          </w:p>
        </w:tc>
        <w:tc>
          <w:tcPr>
            <w:tcW w:w="1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Exercisable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8,404,002</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12,415,387</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320" w:firstLine="648"/>
        <w:spacing w:after="0" w:line="264" w:lineRule="auto"/>
        <w:rPr>
          <w:sz w:val="20"/>
          <w:szCs w:val="20"/>
          <w:color w:val="auto"/>
        </w:rPr>
      </w:pPr>
      <w:r>
        <w:rPr>
          <w:rFonts w:ascii="Times New Roman" w:cs="Times New Roman" w:eastAsia="Times New Roman" w:hAnsi="Times New Roman"/>
          <w:sz w:val="18"/>
          <w:szCs w:val="18"/>
          <w:color w:val="auto"/>
        </w:rPr>
        <w:t>As of June 30, 2024, the total unrecognized compensation expense related to unvested stock options, net of related forfeiture estimates, was approximately $30.1 million, which the Company expects to recognize over a weighted-average period of approximately 1.5 years. The following table summarizes additional information on stock options (in thousands,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 per share of stock options granted</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392"/>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intrinsic value of stock options exercised</w:t>
            </w:r>
          </w:p>
        </w:tc>
        <w:tc>
          <w:tcPr>
            <w:tcW w:w="4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100" w:type="dxa"/>
            <w:vAlign w:val="bottom"/>
          </w:tcPr>
          <w:p>
            <w:pPr>
              <w:spacing w:after="0"/>
              <w:rPr>
                <w:sz w:val="24"/>
                <w:szCs w:val="24"/>
                <w:color w:val="auto"/>
              </w:rPr>
            </w:pP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62"/>
        </w:trPr>
        <w:tc>
          <w:tcPr>
            <w:tcW w:w="762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91"/>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received for stock options exercised</w:t>
            </w:r>
          </w:p>
        </w:tc>
        <w:tc>
          <w:tcPr>
            <w:tcW w:w="40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00" w:type="dxa"/>
            <w:vAlign w:val="bottom"/>
            <w:shd w:val="clear" w:color="auto" w:fill="CCEEFF"/>
          </w:tcPr>
          <w:p>
            <w:pPr>
              <w:spacing w:after="0"/>
              <w:rPr>
                <w:sz w:val="24"/>
                <w:szCs w:val="24"/>
                <w:color w:val="auto"/>
              </w:rPr>
            </w:pP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62"/>
        </w:trPr>
        <w:tc>
          <w:tcPr>
            <w:tcW w:w="762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1"/>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grant date fair value of stock options vested</w:t>
            </w:r>
          </w:p>
        </w:tc>
        <w:tc>
          <w:tcPr>
            <w:tcW w:w="4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7,344</w:t>
            </w:r>
          </w:p>
        </w:tc>
        <w:tc>
          <w:tcPr>
            <w:tcW w:w="100" w:type="dxa"/>
            <w:vAlign w:val="bottom"/>
          </w:tcPr>
          <w:p>
            <w:pPr>
              <w:spacing w:after="0"/>
              <w:rPr>
                <w:sz w:val="24"/>
                <w:szCs w:val="24"/>
                <w:color w:val="auto"/>
              </w:rPr>
            </w:pP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0" w:type="dxa"/>
            <w:vAlign w:val="bottom"/>
          </w:tcPr>
          <w:p>
            <w:pPr>
              <w:spacing w:after="0"/>
              <w:rPr>
                <w:sz w:val="1"/>
                <w:szCs w:val="1"/>
                <w:color w:val="auto"/>
              </w:rPr>
            </w:pPr>
          </w:p>
        </w:tc>
      </w:tr>
      <w:tr>
        <w:trPr>
          <w:trHeight w:val="162"/>
        </w:trPr>
        <w:tc>
          <w:tcPr>
            <w:tcW w:w="762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ind w:right="320" w:firstLine="648"/>
        <w:spacing w:after="0" w:line="265" w:lineRule="auto"/>
        <w:rPr>
          <w:sz w:val="20"/>
          <w:szCs w:val="20"/>
          <w:color w:val="auto"/>
        </w:rPr>
      </w:pPr>
      <w:r>
        <w:rPr>
          <w:rFonts w:ascii="Times New Roman" w:cs="Times New Roman" w:eastAsia="Times New Roman" w:hAnsi="Times New Roman"/>
          <w:sz w:val="18"/>
          <w:szCs w:val="18"/>
          <w:color w:val="auto"/>
        </w:rPr>
        <w:t>Restricted stock units (RSUs) are valued based on the closing price of the Company’s common stock on the date of the grant. The fair value of RSUs is recognized and amortized on a straight-line basis over the requisite service period of the award</w:t>
      </w:r>
      <w:r>
        <w:rPr>
          <w:rFonts w:ascii="Calibri" w:cs="Calibri" w:eastAsia="Calibri" w:hAnsi="Calibri"/>
          <w:sz w:val="18"/>
          <w:szCs w:val="18"/>
          <w:color w:val="252525"/>
        </w:rPr>
        <w: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RSU activity during the six months ended June 30, 2024:</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180" w:type="dxa"/>
            <w:vAlign w:val="bottom"/>
          </w:tcPr>
          <w:p>
            <w:pPr>
              <w:spacing w:after="0"/>
              <w:rPr>
                <w:sz w:val="22"/>
                <w:szCs w:val="22"/>
                <w:color w:val="auto"/>
              </w:rPr>
            </w:pPr>
          </w:p>
        </w:tc>
        <w:tc>
          <w:tcPr>
            <w:tcW w:w="1620" w:type="dxa"/>
            <w:vAlign w:val="bottom"/>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0" w:type="dxa"/>
            <w:vAlign w:val="bottom"/>
          </w:tcPr>
          <w:p>
            <w:pPr>
              <w:spacing w:after="0"/>
              <w:rPr>
                <w:sz w:val="1"/>
                <w:szCs w:val="1"/>
                <w:color w:val="auto"/>
              </w:rPr>
            </w:pPr>
          </w:p>
        </w:tc>
      </w:tr>
      <w:tr>
        <w:trPr>
          <w:trHeight w:val="243"/>
        </w:trPr>
        <w:tc>
          <w:tcPr>
            <w:tcW w:w="618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Grant Date Fair Value</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905,614</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29"/>
        </w:trPr>
        <w:tc>
          <w:tcPr>
            <w:tcW w:w="7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649,715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0" w:type="dxa"/>
            <w:vAlign w:val="bottom"/>
          </w:tcPr>
          <w:p>
            <w:pPr>
              <w:spacing w:after="0"/>
              <w:rPr>
                <w:sz w:val="1"/>
                <w:szCs w:val="1"/>
                <w:color w:val="auto"/>
              </w:rPr>
            </w:pPr>
          </w:p>
        </w:tc>
      </w:tr>
      <w:tr>
        <w:trPr>
          <w:trHeight w:val="229"/>
        </w:trPr>
        <w:tc>
          <w:tcPr>
            <w:tcW w:w="7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(415,591)</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30"/>
        </w:trPr>
        <w:tc>
          <w:tcPr>
            <w:tcW w:w="7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248"/>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June 30, 2024</w:t>
            </w:r>
          </w:p>
        </w:tc>
        <w:tc>
          <w:tcPr>
            <w:tcW w:w="162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1,115,597</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At June 30, 2024, there was $9.2 million of total unrecognized compensation cost related to unvested RSUs, which the Company expects to recognize over a remaining weighted-average period of approximately 1.6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In-licensing arrangement</w:t>
      </w:r>
    </w:p>
    <w:p>
      <w:pPr>
        <w:spacing w:after="0" w:line="175" w:lineRule="exact"/>
        <w:rPr>
          <w:sz w:val="20"/>
          <w:szCs w:val="20"/>
          <w:color w:val="auto"/>
        </w:rPr>
      </w:pPr>
    </w:p>
    <w:p>
      <w:pPr>
        <w:ind w:right="20" w:firstLine="648"/>
        <w:spacing w:after="0" w:line="218" w:lineRule="exact"/>
        <w:rPr>
          <w:sz w:val="20"/>
          <w:szCs w:val="20"/>
          <w:color w:val="auto"/>
        </w:rPr>
      </w:pPr>
      <w:r>
        <w:rPr>
          <w:rFonts w:ascii="Times New Roman" w:cs="Times New Roman" w:eastAsia="Times New Roman" w:hAnsi="Times New Roman"/>
          <w:sz w:val="18"/>
          <w:szCs w:val="18"/>
          <w:color w:val="auto"/>
        </w:rPr>
        <w:t>In January 2022, the Company entered into a non-exclusive license agreement with Synaffix B.V., a Lonza company, (Synaffix) to develop, manufacture and commercialize up to three antibody-drug conjugate targets using Synaffix’s proprietary technology. The Company made an upfront payment to Synaffix upon contract execution. In March 2023, the Company and Synaffix amended the agreement, adding four additional targets. Assuming all seven targets are successfully developed and commercialized, the Company would be obligated to pay up to $2.8 billion for development, regulatory and sales milestones. Finally, pursuant to the terms of this license agreement, as amended, upon commencement of commercial sales of any products developed from these targets, the Company would be required to pay Synaffix tiered royalties in the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single digit percentages on net sales of the respective products. The Company may terminate this agreement at any time with 30 days’ notice to Synaffix. Amounts paid to Synaffix under this agreement are recorded as research and development expense in the consolidated statement of operations. During the three and six months ended June 30, 2024, the Company recorded expense of $1.0 million and $3.4 million, respectively, under this agreement. During the three and six months ended June 30, 2023 the company recorded expense of $1.7 million under this agreement.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Subsequent Event</w:t>
      </w:r>
    </w:p>
    <w:p>
      <w:pPr>
        <w:spacing w:after="0" w:line="175"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In July 2024, the Company and Incyte entered into an amendment to the Incyte License Agreement, pursuant to which certain milestones were deemed to have been met, resulting in $100.0 million in milestone payments to the Company. The Company received the milestone payments in August 2024.</w:t>
      </w:r>
    </w:p>
    <w:p>
      <w:pPr>
        <w:spacing w:after="0" w:line="189"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18"/>
          <w:szCs w:val="18"/>
          <w:color w:val="auto"/>
        </w:rPr>
        <w:t>On July 26, 2024, a putative securities class action suit, entitled Crain v. MacroGenics, Inc. (Case No. 24-cv-02184), was filed in the U.S. District Court for the District of Maryland against the Company and Scott Koenig, the Company’s President, Chief Executive Officer and a member of the Company’s Board of Directors, alleging violations of securities laws during 2024. The suit asserts certain claims under Section 10 and Rule 10b-5 of the Securities and Exchange Act of 1934 based on alleged misstatements or omissions concerning the Company's TAMARACK Phase 2 study of vobramitamab duocarmazine (vobra duo) in patients with metastatic castration-resistant prostate cancer (mCRPC). The Company plans to vigorously defend against these claims. Currently, no reserve has been established for any potential liability related to this suit.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7" w:name="page18"/>
    <w:bookmarkEnd w:id="17"/>
    <w:p>
      <w:pPr>
        <w:ind w:left="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06" w:lineRule="exact"/>
        <w:rPr>
          <w:sz w:val="20"/>
          <w:szCs w:val="20"/>
          <w:color w:val="auto"/>
        </w:rPr>
      </w:pPr>
    </w:p>
    <w:p>
      <w:pPr>
        <w:ind w:right="240" w:firstLine="810"/>
        <w:spacing w:after="0" w:line="277" w:lineRule="auto"/>
        <w:rPr>
          <w:sz w:val="20"/>
          <w:szCs w:val="20"/>
          <w:color w:val="auto"/>
        </w:rPr>
      </w:pPr>
      <w:r>
        <w:rPr>
          <w:rFonts w:ascii="Times New Roman" w:cs="Times New Roman" w:eastAsia="Times New Roman" w:hAnsi="Times New Roman"/>
          <w:sz w:val="17"/>
          <w:szCs w:val="17"/>
          <w:i w:val="1"/>
          <w:iCs w:val="1"/>
          <w:color w:val="auto"/>
        </w:rPr>
        <w:t>The following discussion of our financial condition and results of operations is based upon our unaudited consolidated financial statements included in this Quarterly Report on Form 10-Q, which have been prepared by us in accordance with U.S. generally accepted accounting principles (GAAP), for interim periods and with Regulation S-X promulgated under the Securities Exchange Act of 1934, as amended. This discussion and analysis should be read in conjunction with these unaudited consolidated financial statements and the notes thereto as well as in conjunction with our audited consolidated financial statements and related notes thereto included in our Annual Report on Form 10-K for the fiscal year ended December 31, 2023.</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We are a biopharmaceutical company focused on discovering, developing, manufacturing and commercializing innovative antibody-based therapeutics for the treatment of cancer. We have a pipeline of product candidates designed to target either various tumor-associated antigens or immune checkpoint molecules. These candidates are being evaluated in clinical trials sponsored by us or our collaborators or are in preclinical development. Our clinical product candidates include multiple oncology programs which have either been created using our proprietary, antibody-based technology platforms or enabled through our technology licensing arrangements with other companies. We believe our product candidates have the potential, if approved for marketing by regulatory authorities, to have a meaningful effect on treating patients' unmet medical needs as monotherapy or, in some cases, in combination with other therapeutic agents. To date, three products originating from our pipeline of proprietary or partnered product candidates have received U.S. Food and Drug Administration (FDA) approval. In March 2021, we and our commercialization partner commenced U.S. marketing of MARGENZA (margetuximab-cmkb), a human epidermal growth factor receptor 2 (HER2) antagonist indicated, in combination with chemotherapy, for the treatment of adult patients with metastatic HER2-positive breast cancer who have received two or more prior anti-HER2 regimens, at least one of which was for metastatic disease. In November 2022, the FDA approved TZIELD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(teplizumab-mzwv) to delay the onset of Stage 3 Type 1 Diabetes (T1D) in adult and pediatric patients aged 8 years and older with Stage 2 T1D. Teplizumab was acquired from us by Provention Bio, Inc. (Provention) in 2018, pursuant to an asset purchase agreement (Provention APA). In March 2023, the FDA approved ZYNYZ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(retifanlimab-dlwr), a humanized monoclonal antibody targeting programmed death receptor-1 (PD-1). Retifanlimab was previously developed by us and licensed to Incyte Corporation (Incyte) pursuant to an exclusive global collaboration and license agreement in October 2017 (Incyte License Agreement).</w:t>
      </w:r>
    </w:p>
    <w:p>
      <w:pPr>
        <w:spacing w:after="0" w:line="142" w:lineRule="exact"/>
        <w:rPr>
          <w:sz w:val="20"/>
          <w:szCs w:val="20"/>
          <w:color w:val="auto"/>
        </w:rPr>
      </w:pPr>
    </w:p>
    <w:p>
      <w:pPr>
        <w:ind w:right="120" w:firstLine="648"/>
        <w:spacing w:after="0" w:line="270" w:lineRule="auto"/>
        <w:rPr>
          <w:sz w:val="20"/>
          <w:szCs w:val="20"/>
          <w:color w:val="auto"/>
        </w:rPr>
      </w:pPr>
      <w:r>
        <w:rPr>
          <w:rFonts w:ascii="Times New Roman" w:cs="Times New Roman" w:eastAsia="Times New Roman" w:hAnsi="Times New Roman"/>
          <w:sz w:val="17"/>
          <w:szCs w:val="17"/>
          <w:color w:val="auto"/>
        </w:rPr>
        <w:t>Our operations to date have concentrated on developing our technology platforms, identifying potential product candidates, undertaking preclinical studies, conducting clinical trials, developing collaborations, operating manufacturing facilities, business planning and raising capital. We only began generating revenues from the sale of products in 2021. We have financed our operations primarily through the public and private offerings of our securities, and collaborations with other biopharmaceutical companies. Although it is difficult to predict our funding requirements, we anticipate that our cash, cash equivalents and marketable securities as of June 30, 2024, combined with the $100.0 million payment we received from Incyte in August 2024 related to certain milestones deemed to have been met under the Incyte License Agreement (see Note 10, Subsequent Events, of the Notes to Consolidated Financial Statements, for additional information), anticipated and potential collaboration payments, product revenue, contract manufacturing revenue, and royalties, should enable us to fund our operations into 2026. Our expected funding requirements reflect anticipated expenditures related to the ongoing Phase 2 TAMARACK clinical trial of vobramitamab duocarmazine (vobra duo) in metastatic castration-resistant prostate cancer (mCRPC), our ongoing Phase 2 LORIKEET study of lorigerlimab in mCRPC as well as our other clinical and preclinical studies currently ongoing.</w:t>
      </w:r>
    </w:p>
    <w:p>
      <w:pPr>
        <w:spacing w:after="0" w:line="123"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Through June 30, 2024, we had an accumulated deficit of $1.2 billion. We expect that over the next several years this deficit will increase as we continue to incur research and development expense in connection with our ongoing activities and several clinical studies.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Conditions</w:t>
      </w:r>
    </w:p>
    <w:p>
      <w:pPr>
        <w:spacing w:after="0" w:line="17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global economy, credit markets and financial markets have and may continue to experience significant volatility as a result of significant worldwide events, including adverse events involving financial institutions or the financial services industry, inflation and rising interest rates and geopolitical upheaval (collectively, the Macroeconomic Conditions). These Macroeconomic Conditions have and may continue to create supply chain disruptions, inventory disruptions, and fluctuations in economic growth, including fluctuations in employment rates, inflation, energy prices and consumer sentiment. It remains difficult to assess or predict the ultimate duration and economic impact of the Macroeconomic Conditions. Prolonged uncertainty with respect to Macroeconomic Conditions could cause further economic slowdown or cause other unpredictable events, each of which could adversely affect our business, results of operations or financial condition.</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Collaborations</w:t>
      </w:r>
    </w:p>
    <w:p>
      <w:pPr>
        <w:spacing w:after="0" w:line="17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pursue a balanced approach between product candidates that we develop ourselves and those that we develop with our collaborators. Under our strategic collaborations to date, we have received significant non-dilutive funding and continue to have rights to additional funding upon completion of certain research, achievement of key product development milestones and royalties and other payments upon the commercial sale of products. Our current collaborations include the following:</w:t>
      </w:r>
    </w:p>
    <w:p>
      <w:pPr>
        <w:spacing w:after="0" w:line="124" w:lineRule="exact"/>
        <w:rPr>
          <w:sz w:val="20"/>
          <w:szCs w:val="20"/>
          <w:color w:val="auto"/>
        </w:rPr>
      </w:pPr>
    </w:p>
    <w:p>
      <w:pPr>
        <w:ind w:left="980" w:right="20" w:hanging="324"/>
        <w:spacing w:after="0" w:line="252" w:lineRule="auto"/>
        <w:tabs>
          <w:tab w:leader="none" w:pos="973" w:val="left"/>
        </w:tabs>
        <w:numPr>
          <w:ilvl w:val="0"/>
          <w:numId w:val="7"/>
        </w:numPr>
        <w:rPr>
          <w:rFonts w:ascii="Calibri" w:cs="Calibri" w:eastAsia="Calibri" w:hAnsi="Calibri"/>
          <w:sz w:val="20"/>
          <w:szCs w:val="20"/>
          <w:b w:val="1"/>
          <w:bCs w:val="1"/>
          <w:i w:val="1"/>
          <w:iCs w:val="1"/>
          <w:color w:val="252525"/>
        </w:rPr>
      </w:pPr>
      <w:r>
        <w:rPr>
          <w:rFonts w:ascii="Times New Roman" w:cs="Times New Roman" w:eastAsia="Times New Roman" w:hAnsi="Times New Roman"/>
          <w:sz w:val="18"/>
          <w:szCs w:val="18"/>
          <w:i w:val="1"/>
          <w:iCs w:val="1"/>
          <w:color w:val="auto"/>
        </w:rPr>
        <w:t xml:space="preserve">Incyte. </w:t>
      </w:r>
      <w:r>
        <w:rPr>
          <w:rFonts w:ascii="Times New Roman" w:cs="Times New Roman" w:eastAsia="Times New Roman" w:hAnsi="Times New Roman"/>
          <w:sz w:val="18"/>
          <w:szCs w:val="18"/>
          <w:color w:val="auto"/>
        </w:rPr>
        <w:t>We have an exclusive global collaboration and license agreement with Incyte for retifanlimab, an investigational monoclonal antibody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inhibits PD-1. Under this agreement, as amended, Incyte has obtained exclusive worldwide rights for the development and commercialization of retifanlimab in all indications, while we retain the right to develop our pipeline assets in combination with retifanlimab. We received an upfront payment of $150.0 million and milestone payments totaling $115.0 million from Incyte through June 30, 2024, including $15.0 million upon the FDA approval of ZYNYZ (retifanlimab-dlwr) in March 2023. In July 2024, we entered into an amendment to the Incyte License Agreement, pursuant to which certain milestones were deemed to have been met, resulting in $100.0 million in milestone payments received subsequent to June 30, 2024. We are eligible to receive an additional $210.0 million in development and regulatory milestones and $330.0 million in commercial milestones. We receive tiered royalties of 15% to 24% on any global net sales and we have the option to co-promote retifanlimab with Incyte. We retain the right to develop our pipeline assets in combination with retifanlimab, with Incyte commercializing retifanlimab and us commercializing our asset(s), if any such potential combinations are approved. We also have an agreement with Incyte under which we are to perform development and manufacturing services for Incyte's clinical needs of retifanlimab (Incyte Clinical Supply Agreement) and another agreement under which we are entitled to manufacture a portion of Incyte’s global commercial supply of retifanlimab (Incyte Commercial Supply Agreement).</w:t>
      </w:r>
    </w:p>
    <w:p>
      <w:pPr>
        <w:spacing w:after="0" w:line="78" w:lineRule="exact"/>
        <w:rPr>
          <w:rFonts w:ascii="Calibri" w:cs="Calibri" w:eastAsia="Calibri" w:hAnsi="Calibri"/>
          <w:sz w:val="20"/>
          <w:szCs w:val="20"/>
          <w:b w:val="1"/>
          <w:bCs w:val="1"/>
          <w:i w:val="1"/>
          <w:iCs w:val="1"/>
          <w:color w:val="252525"/>
        </w:rPr>
      </w:pPr>
    </w:p>
    <w:p>
      <w:pPr>
        <w:ind w:left="980" w:hanging="324"/>
        <w:spacing w:after="0" w:line="25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Gilead</w:t>
      </w:r>
      <w:r>
        <w:rPr>
          <w:rFonts w:ascii="Times New Roman" w:cs="Times New Roman" w:eastAsia="Times New Roman" w:hAnsi="Times New Roman"/>
          <w:sz w:val="18"/>
          <w:szCs w:val="18"/>
          <w:color w:val="auto"/>
        </w:rPr>
        <w:t>. In 2022, we and Gilead Sciences, Inc. (Gilead) entered into an exclusive option and collaboration agreement (Gilead Agreement)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 and commercialize MGD024 and create bispecific cancer antibodies using our DART platform and undertake their early development under a maximum of two separate bispecific cancer target research programs. Under the Gilead Agreement, we will continue the ongoing phase 1 trial for MGD024 according to a development plan, during which Gilead will have the right to exercise an option granted to Gilead to obtain an exclusive license to develop and commercialize MGD024 and other bispecific antibodies of ours that bind CD123 and CD3 (CD123 Option). The agreement also grants Gilead the right, within its first two years, to nominate a bispecific cancer target set for up to two research programs conducted by us and to exercise separate options to obtain an exclusive license for the development, commercialization and exploitation of molecules created under each research program (Research Program Option). As part of the Gilead Agreement, Gilead paid us a non-refundable upfront payment of $60.0 million and we will be eligible to receive up to $1.7 billion in target nomination, option fees, and development, regulatory and commercial milestones, assuming Gilead exercises the CD123 Option and Research Program Option, successfully develops and commercializes MGD024 or other CD123 products developed under the agreement, and products result from the two additional research programs. Assuming exercise of the CD123 Option, we will also be eligible to receive tiered, low double-digit royalties on worldwide net sales of MGD024 (or other CD123 products developed under the agreement) and assuming exercise of the Research Program Option, a flat royalty on worldwide net sales of any products resulting from the two research programs. In 2023, Gilead nominated the first of the two research programs contemplated in the Gilead Agreement (First Research Program) and paid us a $15.7 million nomination fee. We granted Gilead a research license, and the parties agreed on a research plan for the First Research Program under which we will provide research and development services. In January 2024, the parties amended the Gilead Agreement to revise certain matters related to intellectual property in the performance of the research plans under the agreement. In June 2024, Gilead paid us variable consideration totaling $3.3 million upon achievement of a research plan milestone.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Our critical accounting estimates are policies which require the most significant judgments and estimates in the preparation of our consolidated financial statements. A summary of our critical accounting estimates is presented in Part II, Item 7, "Management's Discussion and Analysis of Financial Condition and Results of Operations" of our Annual Report on Form 10-K for the fiscal year ended December 31, 2023. There have been no material changes with respect to our critical accounting estimates during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represents a comparison of our revenue for the three and six months ended June 30, 2024 and 2023 (dollars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080" w:type="dxa"/>
            <w:vAlign w:val="bottom"/>
            <w:tcBorders>
              <w:bottom w:val="single" w:sz="8" w:color="auto"/>
            </w:tcBorders>
          </w:tcPr>
          <w:p>
            <w:pPr>
              <w:spacing w:after="0"/>
              <w:rPr>
                <w:sz w:val="18"/>
                <w:szCs w:val="18"/>
                <w:color w:val="auto"/>
              </w:rPr>
            </w:pPr>
          </w:p>
        </w:tc>
      </w:tr>
      <w:tr>
        <w:trPr>
          <w:trHeight w:val="211"/>
        </w:trPr>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1"/>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Collaborative and other agreements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sales, net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1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manufacturing</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Royalty revenue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N/A</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Government agreements</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07"/>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3"/>
        </w:trPr>
        <w:tc>
          <w:tcPr>
            <w:tcW w:w="2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The decrease in revenue of $2.3 million for the three months ended June 30, 2024 compared to the three months ended June 30, 2023 was primarily due to:</w:t>
      </w:r>
    </w:p>
    <w:p>
      <w:pPr>
        <w:spacing w:after="0" w:line="54" w:lineRule="exact"/>
        <w:rPr>
          <w:sz w:val="20"/>
          <w:szCs w:val="20"/>
          <w:color w:val="auto"/>
        </w:rPr>
      </w:pPr>
    </w:p>
    <w:p>
      <w:pPr>
        <w:ind w:left="660" w:right="4780" w:hanging="4"/>
        <w:spacing w:after="0" w:line="375" w:lineRule="auto"/>
        <w:tabs>
          <w:tab w:leader="none" w:pos="979" w:val="left"/>
        </w:tabs>
        <w:numPr>
          <w:ilvl w:val="0"/>
          <w:numId w:val="8"/>
        </w:numPr>
        <w:rPr>
          <w:rFonts w:ascii="Times New Roman" w:cs="Times New Roman" w:eastAsia="Times New Roman" w:hAnsi="Times New Roman"/>
          <w:sz w:val="18"/>
          <w:szCs w:val="18"/>
          <w:b w:val="1"/>
          <w:bCs w:val="1"/>
          <w:i w:val="1"/>
          <w:iCs w:val="1"/>
          <w:color w:val="252525"/>
        </w:rPr>
      </w:pPr>
      <w:r>
        <w:rPr>
          <w:rFonts w:ascii="Times New Roman" w:cs="Times New Roman" w:eastAsia="Times New Roman" w:hAnsi="Times New Roman"/>
          <w:sz w:val="18"/>
          <w:szCs w:val="18"/>
          <w:color w:val="252525"/>
        </w:rPr>
        <w:t xml:space="preserve">a decrease of $5.5 million in revenue recognized under the Provention APA. </w:t>
      </w:r>
      <w:r>
        <w:rPr>
          <w:rFonts w:ascii="Times New Roman" w:cs="Times New Roman" w:eastAsia="Times New Roman" w:hAnsi="Times New Roman"/>
          <w:sz w:val="18"/>
          <w:szCs w:val="18"/>
          <w:color w:val="000000"/>
        </w:rPr>
        <w:t>This decrease was partially offset by:</w:t>
      </w:r>
    </w:p>
    <w:p>
      <w:pPr>
        <w:spacing w:after="0" w:line="1" w:lineRule="exact"/>
        <w:rPr>
          <w:rFonts w:ascii="Times New Roman" w:cs="Times New Roman" w:eastAsia="Times New Roman" w:hAnsi="Times New Roman"/>
          <w:sz w:val="18"/>
          <w:szCs w:val="18"/>
          <w:b w:val="1"/>
          <w:bCs w:val="1"/>
          <w:i w:val="1"/>
          <w:iCs w:val="1"/>
          <w:color w:val="252525"/>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$1.3 million in revenue recognized under the Gilead Agreement;</w:t>
      </w:r>
    </w:p>
    <w:p>
      <w:pPr>
        <w:spacing w:after="0" w:line="117" w:lineRule="exact"/>
        <w:rPr>
          <w:rFonts w:ascii="Times New Roman" w:cs="Times New Roman" w:eastAsia="Times New Roman" w:hAnsi="Times New Roman"/>
          <w:sz w:val="18"/>
          <w:szCs w:val="18"/>
          <w:color w:val="auto"/>
        </w:rPr>
      </w:pPr>
    </w:p>
    <w:p>
      <w:pPr>
        <w:ind w:left="980" w:right="660" w:hanging="324"/>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$0.8 million in revenue recognized under our manufacturing services agreements with Emergent Product Development Gaithersburg Inc. (Emergent Manufacturing Agreements); and</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$0.5 million in revenue recognized under the Incyte Manufacturing and Clinical Supply Agreement.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decrease in revenue of $17.7 million for the six months ended June 30, 2024 compared to the six months ended June 30, 2023 was primarily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w:t>
      </w:r>
    </w:p>
    <w:p>
      <w:pPr>
        <w:spacing w:after="0" w:line="99"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 xml:space="preserve">a decrease of $15.0 million due to milestone payments under the </w:t>
      </w:r>
      <w:r>
        <w:rPr>
          <w:rFonts w:ascii="Times New Roman" w:cs="Times New Roman" w:eastAsia="Times New Roman" w:hAnsi="Times New Roman"/>
          <w:sz w:val="18"/>
          <w:szCs w:val="18"/>
          <w:color w:val="000000"/>
        </w:rPr>
        <w:t>Incyte License Agreement received in the first quarter of 2023;</w:t>
      </w:r>
    </w:p>
    <w:p>
      <w:pPr>
        <w:spacing w:after="0" w:line="117" w:lineRule="exact"/>
        <w:rPr>
          <w:rFonts w:ascii="Times New Roman" w:cs="Times New Roman" w:eastAsia="Times New Roman" w:hAnsi="Times New Roman"/>
          <w:sz w:val="18"/>
          <w:szCs w:val="18"/>
          <w:color w:val="252525"/>
        </w:rPr>
      </w:pPr>
    </w:p>
    <w:p>
      <w:pPr>
        <w:ind w:left="980" w:hanging="324"/>
        <w:spacing w:after="0"/>
        <w:tabs>
          <w:tab w:leader="none" w:pos="980" w:val="left"/>
        </w:tabs>
        <w:numPr>
          <w:ilvl w:val="0"/>
          <w:numId w:val="9"/>
        </w:numPr>
        <w:rPr>
          <w:rFonts w:ascii="Times New Roman" w:cs="Times New Roman" w:eastAsia="Times New Roman" w:hAnsi="Times New Roman"/>
          <w:sz w:val="18"/>
          <w:szCs w:val="18"/>
          <w:b w:val="1"/>
          <w:bCs w:val="1"/>
          <w:i w:val="1"/>
          <w:iCs w:val="1"/>
          <w:color w:val="252525"/>
        </w:rPr>
      </w:pPr>
      <w:r>
        <w:rPr>
          <w:rFonts w:ascii="Times New Roman" w:cs="Times New Roman" w:eastAsia="Times New Roman" w:hAnsi="Times New Roman"/>
          <w:sz w:val="18"/>
          <w:szCs w:val="18"/>
          <w:color w:val="252525"/>
        </w:rPr>
        <w:t>a decrease of $5.5 million in revenue recognized under the Provention APA;</w:t>
      </w:r>
    </w:p>
    <w:p>
      <w:pPr>
        <w:spacing w:after="0" w:line="117" w:lineRule="exact"/>
        <w:rPr>
          <w:rFonts w:ascii="Times New Roman" w:cs="Times New Roman" w:eastAsia="Times New Roman" w:hAnsi="Times New Roman"/>
          <w:sz w:val="18"/>
          <w:szCs w:val="18"/>
          <w:b w:val="1"/>
          <w:bCs w:val="1"/>
          <w:i w:val="1"/>
          <w:iCs w:val="1"/>
          <w:color w:val="252525"/>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$1.3 million in revenue recognized under the Incyte Clinical Supply Agreement;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$0.9 million in revenue recognized under the Incyte Manufacturing and Clinical Supply Agreement.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decreases were partially offset by:</w:t>
      </w:r>
    </w:p>
    <w:p>
      <w:pPr>
        <w:spacing w:after="0" w:line="117"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auto"/>
        </w:rPr>
        <w:t>an increase of $1.9 million in revenue recognized under the Gilead Agreement; and</w:t>
      </w:r>
    </w:p>
    <w:p>
      <w:pPr>
        <w:spacing w:after="0" w:line="117" w:lineRule="exact"/>
        <w:rPr>
          <w:rFonts w:ascii="Times New Roman" w:cs="Times New Roman" w:eastAsia="Times New Roman" w:hAnsi="Times New Roman"/>
          <w:sz w:val="18"/>
          <w:szCs w:val="18"/>
          <w:color w:val="252525"/>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$1.5 million in MARGENZA net product sales.</w:t>
      </w:r>
    </w:p>
    <w:p>
      <w:pPr>
        <w:spacing w:after="0" w:line="117" w:lineRule="exact"/>
        <w:rPr>
          <w:sz w:val="20"/>
          <w:szCs w:val="20"/>
          <w:color w:val="auto"/>
        </w:rPr>
      </w:pPr>
    </w:p>
    <w:p>
      <w:pPr>
        <w:jc w:val="both"/>
        <w:ind w:right="780" w:firstLine="648"/>
        <w:spacing w:after="0" w:line="266" w:lineRule="auto"/>
        <w:rPr>
          <w:sz w:val="20"/>
          <w:szCs w:val="20"/>
          <w:color w:val="auto"/>
        </w:rPr>
      </w:pPr>
      <w:r>
        <w:rPr>
          <w:rFonts w:ascii="Times New Roman" w:cs="Times New Roman" w:eastAsia="Times New Roman" w:hAnsi="Times New Roman"/>
          <w:sz w:val="18"/>
          <w:szCs w:val="18"/>
          <w:color w:val="auto"/>
        </w:rPr>
        <w:t>Revenue from collaborative and other agreements may vary substantially from period to period depending on the progress made by our collaborators with their product candidates and the timing of milestones achieved under current agreements, and whether we enter into additional collaboration agreements.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Sales</w:t>
      </w:r>
    </w:p>
    <w:p>
      <w:pPr>
        <w:spacing w:after="0" w:line="216"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2024 and 2023, cost of product sales was $0.2 million and $0.3 million, respectively. Cost of product sales was $0.4 million, for both the six months ended June 30, 2024 and 2023. Cost of product sales consists primarily of product royalties and fill finish costs. Product sold during both periods consisted of drug product that was previously charged to research and development expense prior to FDA approval of MARGENZA, which favorably impacted our gross margin. We expect cost of product sales to continue to be positively impacted as we sell through this drug product.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Manufacturing Services</w:t>
      </w:r>
    </w:p>
    <w:p>
      <w:pPr>
        <w:spacing w:after="0" w:line="21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2024 and 2023, cost of manufacturing services was $2.6 million and $0.9 million, respectively. Cost of manufacturing services was $4.5 million and $4.3 million for the six months ended June 30, 2024 and 2023, respectively. Cost of manufacturing services includes the costs to provide manufacturing services to produce</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20" w:name="page21"/>
    <w:bookmarkEnd w:id="20"/>
    <w:p>
      <w:pPr>
        <w:ind w:right="80"/>
        <w:spacing w:after="0" w:line="266" w:lineRule="auto"/>
        <w:rPr>
          <w:sz w:val="20"/>
          <w:szCs w:val="20"/>
          <w:color w:val="auto"/>
        </w:rPr>
      </w:pPr>
      <w:r>
        <w:rPr>
          <w:rFonts w:ascii="Times New Roman" w:cs="Times New Roman" w:eastAsia="Times New Roman" w:hAnsi="Times New Roman"/>
          <w:sz w:val="18"/>
          <w:szCs w:val="18"/>
          <w:color w:val="auto"/>
        </w:rPr>
        <w:t>certain Incyte bulk drug substance under the Incyte Manufacturing and Clinical Supply Agreement during both 2023 and 2024. Cost of manufacturing services includes the costs incurred under the Emergent Manufacturing Agreements in 2024. We expect cost of manufacturing services to vary from period to period based on the agreed-upon manufacturing schedule.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75"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following represents a comparison of our research and development expense for the three and six months ended June 30, 2024 and 2023 (dollars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9"/>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5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40" w:type="dxa"/>
            <w:vAlign w:val="bottom"/>
            <w:tcBorders>
              <w:bottom w:val="single" w:sz="8" w:color="auto"/>
            </w:tcBorders>
          </w:tcPr>
          <w:p>
            <w:pPr>
              <w:spacing w:after="0"/>
              <w:rPr>
                <w:sz w:val="20"/>
                <w:szCs w:val="20"/>
                <w:color w:val="auto"/>
              </w:rPr>
            </w:pPr>
          </w:p>
        </w:tc>
      </w:tr>
      <w:tr>
        <w:trPr>
          <w:trHeight w:val="223"/>
        </w:trPr>
        <w:tc>
          <w:tcPr>
            <w:tcW w:w="4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12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Vobramitamab duocarmazine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(0.3)</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Lorigerlimab</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MGC028</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6.9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342 %</w:t>
            </w: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antibody-drug conjugates (ADCs)</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3.7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127 %</w:t>
            </w: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MGC026</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Margetuximab</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MGD024</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0.3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Next-generation T-cell engagers (a)</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Enoblituzumab</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(0.4)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Retifanlimab</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programs (a) (b)</w:t>
            </w: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(2.1)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7"/>
              </w:rPr>
              <w:t>8.5</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1"/>
        </w:trPr>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research and discovery projects, as well as early preclinical molecules and molecules not advanced to clinical development.</w:t>
      </w:r>
    </w:p>
    <w:p>
      <w:pPr>
        <w:spacing w:after="0" w:line="6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discontinued projects.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research and development expense for the three months ended June 30, 2024 increased by $8.5 million compared to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2023 primarily due to:</w:t>
      </w:r>
    </w:p>
    <w:p>
      <w:pPr>
        <w:spacing w:after="0" w:line="153"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auto"/>
        </w:rPr>
        <w:t>increased development, manufacturing and IND-enabling costs related to MGC028;</w:t>
      </w:r>
    </w:p>
    <w:p>
      <w:pPr>
        <w:spacing w:after="0" w:line="171" w:lineRule="exact"/>
        <w:rPr>
          <w:rFonts w:ascii="Times New Roman" w:cs="Times New Roman" w:eastAsia="Times New Roman" w:hAnsi="Times New Roman"/>
          <w:sz w:val="18"/>
          <w:szCs w:val="18"/>
          <w:color w:val="252525"/>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52525"/>
        </w:rPr>
        <w:t>increased development costs for other ADCs; and</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increased clinical trial costs related to lorigerlimab.</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increases were offset by:</w:t>
      </w:r>
    </w:p>
    <w:p>
      <w:pPr>
        <w:spacing w:after="0" w:line="171"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development and clinical trial costs related to margetuximab;</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development costs related to t-cell engagers; and</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auto"/>
        </w:rPr>
        <w:t>decreased development, manufacturing and clinical trial costs related to discontinued projects.</w:t>
      </w:r>
    </w:p>
    <w:p>
      <w:pPr>
        <w:spacing w:after="0" w:line="171"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 for the six months ended June 30, 2024 increased by $8.7 million compared to the six months ended June 30, 2023 primarily due to:</w:t>
      </w:r>
    </w:p>
    <w:p>
      <w:pPr>
        <w:spacing w:after="0" w:line="108" w:lineRule="exact"/>
        <w:rPr>
          <w:sz w:val="20"/>
          <w:szCs w:val="20"/>
          <w:color w:val="auto"/>
        </w:rPr>
      </w:pPr>
    </w:p>
    <w:p>
      <w:pPr>
        <w:ind w:left="900" w:hanging="244"/>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development, manufacturing and IND-enabling costs related to MGC028;</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increased development costs for other ADCs; and</w:t>
      </w:r>
    </w:p>
    <w:p>
      <w:pPr>
        <w:spacing w:after="0" w:line="171" w:lineRule="exact"/>
        <w:rPr>
          <w:rFonts w:ascii="Times New Roman" w:cs="Times New Roman" w:eastAsia="Times New Roman" w:hAnsi="Times New Roman"/>
          <w:sz w:val="18"/>
          <w:szCs w:val="18"/>
          <w:color w:val="252525"/>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increased clinical trial costs related to lorigerlimab.</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increases were offset by:</w:t>
      </w:r>
    </w:p>
    <w:p>
      <w:pPr>
        <w:spacing w:after="0" w:line="171"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development, manufacturing and clinical trial costs related to discontinued projects;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development and clinical trial costs related to margetuximab;</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1" w:name="page22"/>
    <w:bookmarkEnd w:id="21"/>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development costs related to MGC026;</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clinical trial costs related to enoblituzumab; and</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development costs related to t-cell engagers.</w:t>
      </w:r>
    </w:p>
    <w:p>
      <w:pPr>
        <w:spacing w:after="0" w:line="171"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There are uncertainties associated with our research and development expenses for future quarters which are impacted by multiple variables, including timing of wind down activities for recently closed studies and current and expected expenditures associated with our ongoing clinical studies.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Selling, general and administrative expenses were $14.4 million and $13.7 million for the three months ended June 30, 2024 and 2023,</w:t>
      </w:r>
    </w:p>
    <w:p>
      <w:pPr>
        <w:spacing w:after="0" w:line="50"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respectively. For the six months ended June 30, 2024 and 2023, selling, general and administrative expenses were $29.1 million and $27.2 million, respectively. The increase for both periods is primarily due to increased stock-based compensation expense.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Royalty Monetization Arrangement</w:t>
      </w:r>
    </w:p>
    <w:p>
      <w:pPr>
        <w:spacing w:after="0" w:line="17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2023, we entered into a tripartite agreement with DRI Healthcare Acquisitions LP (DRI) and Sanofi S.A. (Sanofi), whereby we consented to the sale of DRI’s royalty interest in TZIELD and the related milestone payment obligations to Sanofi. The execution of the tripartite agreement resulted in a modification to the liability related to future royalties, and we recognized a $100.9 million gain on royalty monetization arrangement.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a summary of our cash flows for the six months ended June 30, 2024 and 2023:</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0" w:type="dxa"/>
            <w:vAlign w:val="bottom"/>
          </w:tcPr>
          <w:p>
            <w:pPr>
              <w:spacing w:after="0"/>
              <w:rPr>
                <w:sz w:val="20"/>
                <w:szCs w:val="20"/>
                <w:color w:val="auto"/>
              </w:rPr>
            </w:pPr>
          </w:p>
        </w:tc>
        <w:tc>
          <w:tcPr>
            <w:tcW w:w="322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20" w:type="dxa"/>
            <w:vAlign w:val="bottom"/>
            <w:tcBorders>
              <w:bottom w:val="single" w:sz="8" w:color="auto"/>
            </w:tcBorders>
          </w:tcPr>
          <w:p>
            <w:pPr>
              <w:spacing w:after="0"/>
              <w:rPr>
                <w:sz w:val="20"/>
                <w:szCs w:val="20"/>
                <w:color w:val="auto"/>
              </w:rPr>
            </w:pPr>
          </w:p>
        </w:tc>
      </w:tr>
      <w:tr>
        <w:trPr>
          <w:trHeight w:val="223"/>
        </w:trPr>
        <w:tc>
          <w:tcPr>
            <w:tcW w:w="74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19"/>
                <w:szCs w:val="19"/>
                <w:color w:val="auto"/>
              </w:rPr>
            </w:pPr>
          </w:p>
        </w:tc>
      </w:tr>
      <w:tr>
        <w:trPr>
          <w:trHeight w:val="263"/>
        </w:trPr>
        <w:tc>
          <w:tcPr>
            <w:tcW w:w="7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6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(dollars in millions)</w:t>
            </w:r>
          </w:p>
        </w:tc>
        <w:tc>
          <w:tcPr>
            <w:tcW w:w="620" w:type="dxa"/>
            <w:vAlign w:val="bottom"/>
          </w:tcPr>
          <w:p>
            <w:pPr>
              <w:spacing w:after="0"/>
              <w:rPr>
                <w:sz w:val="22"/>
                <w:szCs w:val="22"/>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30"/>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11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20" w:type="dxa"/>
            <w:vAlign w:val="bottom"/>
          </w:tcPr>
          <w:p>
            <w:pPr>
              <w:spacing w:after="0"/>
              <w:rPr>
                <w:sz w:val="19"/>
                <w:szCs w:val="19"/>
                <w:color w:val="auto"/>
              </w:rPr>
            </w:pPr>
          </w:p>
        </w:tc>
        <w:tc>
          <w:tcPr>
            <w:tcW w:w="1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r>
      <w:tr>
        <w:trPr>
          <w:trHeight w:val="230"/>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consists of our net loss adjusted for non-cash items such as depreciation and amortization expense and stock-based compensation and changes in working capital. Net cash used in operating activities for the six months ended June 30, 2023 benefited from $15.0 million in milestones received from Incyte under the Incyte License Agreement.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60"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during the six months ended June 30, 2024 is primarily due to maturities of marketable securities, partially offset by purchases of marketable securities. Net cash used in investing activities during the six months ended June 30, 2023 is primarily due to purchases of marketable securities, partially offset by maturities of marketable securities.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activity for the six months ended June 30, 2024 includes proceeds from stock option exercises and ESPP purchases, offset by taxes paid related to net share settlement of equity awards. Net cash provided by financing activities for the six months ended June 30, 2023 includes net cash proceeds from our Royalty Purchase Agreement with DRI of $99.7 million.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multiple product candidates currently under development will require significant additional research and development efforts that include extensive preclinical studies and clinical testing, and regulatory approval prior to commercial use. Our future success is dependent on our ability to identify and develop our product candidates, and ultimately upon our ability to attain profitable operations. We have devoted substantially all of our financial resources and efforts to research and development and general and administrative expense to support such research and development. Net losses and negative cash flows have had, and will continue to have, an adverse effect on our stockholders’ equity and working capital, and accordingly, our ability to execute our future operating plans.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biotechnology company, we have primarily funded our operations with proceeds from the sale of our common stock in equity offerings and</w:t>
      </w:r>
    </w:p>
    <w:p>
      <w:pPr>
        <w:spacing w:after="0" w:line="5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revenue from our multiple collaboration agreements. Management regularly reviews our available liquidity relative to our operating budget and forecast to monitor the sufficiency of our working capital, and anticipates continuing to draw upon available sources of capital, including equity and debt instruments, to support our product development activities. There can be no assurances that new sources of capital will be available to us on commercially acceptable terms, if at all. Also, any future collaborations, strategic alliances and marketing, distribution or licensing arrangements may require us to give up some or all rights to a product or technology at less than its full potential value. If we are unable to enter into new arrangements or to perform under current or future agreements or obtain additional capital, we will assess our capital resources and may be required to delay, reduce the scope of, or eliminate one or more of our product research and development programs or clinical studies, and/or downsize our organization</w:t>
      </w:r>
      <w:r>
        <w:rPr>
          <w:rFonts w:ascii="Times New Roman" w:cs="Times New Roman" w:eastAsia="Times New Roman" w:hAnsi="Times New Roman"/>
          <w:sz w:val="18"/>
          <w:szCs w:val="18"/>
          <w:color w:val="EE2724"/>
        </w:rPr>
        <w:t>.</w:t>
      </w:r>
      <w:r>
        <w:rPr>
          <w:rFonts w:ascii="Times New Roman" w:cs="Times New Roman" w:eastAsia="Times New Roman" w:hAnsi="Times New Roman"/>
          <w:sz w:val="18"/>
          <w:szCs w:val="18"/>
          <w:color w:val="auto"/>
        </w:rPr>
        <w:t xml:space="preserve"> Although it is difficult to predict our funding requirements, we anticipate that our cash, cash equivalents and marketable securities as of June 30, 2024, combined with the $100.0 million payment we received from Incyte in August 2024 related to certain milestones deemed to have been met under the Incyte License Agreement, anticipated and potential collaboration payments, product revenue, contract manufacturing revenue, and royalties, should enable us to fund our operations into 2026. Our expected funding requirements reflect anticipated expenditures related to the ongoing Phase 2 TAMARACK clinical trial of vobra duo in mCRPC, our ongoing Phase 2 study of lorigerlimab in mCRPC as well as our other clinical and preclinical studies currently ongoing.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52525"/>
        </w:rPr>
        <w:t>Material Cash Requirements</w:t>
      </w:r>
    </w:p>
    <w:p>
      <w:pPr>
        <w:spacing w:after="0" w:line="121"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there were no significant changes to our material cash requirements, including contractual and other obligations, as presented in Part II, Item 7, "Management’s Discussion and Analysis of Financial Condition and Results of Operations" included in our Annual Report on Form 10-K for the fiscal year ended December 31, 2023.</w:t>
      </w:r>
    </w:p>
    <w:p>
      <w:pPr>
        <w:spacing w:after="0" w:line="158"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16" w:lineRule="exact"/>
        <w:rPr>
          <w:sz w:val="20"/>
          <w:szCs w:val="20"/>
          <w:color w:val="auto"/>
        </w:rPr>
      </w:pPr>
    </w:p>
    <w:p>
      <w:pPr>
        <w:jc w:val="both"/>
        <w:ind w:firstLine="683"/>
        <w:spacing w:after="0" w:line="266" w:lineRule="auto"/>
        <w:rPr>
          <w:sz w:val="20"/>
          <w:szCs w:val="20"/>
          <w:color w:val="auto"/>
        </w:rPr>
      </w:pPr>
      <w:r>
        <w:rPr>
          <w:rFonts w:ascii="Times New Roman" w:cs="Times New Roman" w:eastAsia="Times New Roman" w:hAnsi="Times New Roman"/>
          <w:sz w:val="18"/>
          <w:szCs w:val="18"/>
          <w:color w:val="auto"/>
        </w:rPr>
        <w:t>As of June 30, 2024, our exposure to market risk has not changed materially since December 31, 2023. For more information on financial market risks related to changes in interest rates, reference is made to Item 7A. "Quantitative and Qualitative Disclosures About Market Risk" contained in Part II of our Annual Report on Form 10-K for the fiscal year ended December 31, 2023, filed with the SEC on March 7, 2024.</w:t>
      </w:r>
    </w:p>
    <w:p>
      <w:pPr>
        <w:spacing w:after="0" w:line="347"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has evaluated the effectiveness of our disclosure controls and procedures (as defined in Exchange Act Rule 13a-15(e) and 15d-15(e)) as of June 30, 2024. Our disclosure controls and procedures are designed to provide reasonable assurance that the information required to be disclosed in our periodic reports filed with the SEC (such as this Quarterly Report on Form 10-Q) has been appropriately recorded, processed, summarized and reported within the time periods specified in the SEC's rules and forms, and that such information is accumulated and communicated to our management, including our principal executive officer and principal financial officer, to allow timely decisions regarding required disclosure. Based on their evaluation of our disclosure controls and procedures as of June 30, 2024, our principal executive officer and principal financial officer have concluded that our disclosure controls and procedures are effective at the reasonable assurance level.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w:t>
      </w:r>
    </w:p>
    <w:p>
      <w:pPr>
        <w:spacing w:after="0" w:line="121"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June 30, 2024 that materially affected, or are reasonably likely to materially effect,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information set forth under Note 10 - Subsequent Events contained in the “Notes to Consolidated Financial Statements” in this Quarterly Report on Form 10-Q is incorporated herein by reference.</w:t>
      </w:r>
    </w:p>
    <w:p>
      <w:pPr>
        <w:spacing w:after="0" w:line="108"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In the ordinary course of business, we are or may be involved in various legal or regulatory proceedings, claims or class actions related to alleged patent infringements and other intellectual property rights, or alleged violation of commercial, corporate, securities, labor and employment, and other matters incidental to our business. We do not currently, however, expect such legal proceedings to have a material adverse effect on our business, financial condition or results of operations. However, depending on the nature and timing of a given dispute, an eventual unfavorable resolution could materially affect our current or future results of operations or cash flows.</w:t>
      </w:r>
    </w:p>
    <w:p>
      <w:pPr>
        <w:spacing w:after="0" w:line="167"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7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business is subject to risks and events that, if they occur, could adversely affect our financial condition and results of operations and trading price of our securities. In addition to the other information set forth in this Quarterly Report on Form 10-Q, you should carefully consider the factors described in Part I, Item 1A. “ Risk Factors” of our Annual Report on Form 10-K for the fiscal year ended December 31, 2023. There have been no material changes in the risk factors described in Item 1A. "Risk Factors” of our Annual Report on Form 10-K for the fiscal year ended December 31,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10b5-1 Trading Plans</w:t>
      </w:r>
    </w:p>
    <w:p>
      <w:pPr>
        <w:spacing w:after="0" w:line="17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2024, none of the Company's directors or officers have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86" w:right="399" w:bottom="1440" w:gutter="0" w:footer="0" w:header="0"/>
        </w:sectPr>
      </w:pPr>
    </w:p>
    <w:bookmarkStart w:id="24" w:name="page25"/>
    <w:bookmarkEnd w:id="24"/>
    <w:tbl>
      <w:tblPr>
        <w:tblLayout w:type="fixed"/>
        <w:tblInd w:w="12"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18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1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31.1</w:t>
            </w:r>
            <w:r>
              <w:rPr>
                <w:rFonts w:ascii="Times New Roman" w:cs="Times New Roman" w:eastAsia="Times New Roman" w:hAnsi="Times New Roman"/>
                <w:sz w:val="23"/>
                <w:szCs w:val="23"/>
                <w:color w:val="auto"/>
                <w:vertAlign w:val="superscript"/>
              </w:rPr>
              <w:t>*</w:t>
            </w:r>
          </w:p>
        </w:tc>
        <w:tc>
          <w:tcPr>
            <w:tcW w:w="940" w:type="dxa"/>
            <w:vAlign w:val="bottom"/>
          </w:tcPr>
          <w:p>
            <w:pPr>
              <w:spacing w:after="0"/>
              <w:rPr>
                <w:sz w:val="24"/>
                <w:szCs w:val="24"/>
                <w:color w:val="auto"/>
              </w:rPr>
            </w:pPr>
          </w:p>
        </w:tc>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Rule 13a-14(a) Certification of Principal Executive Officer</w:t>
            </w:r>
          </w:p>
        </w:tc>
      </w:tr>
      <w:tr>
        <w:trPr>
          <w:trHeight w:val="48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31.2</w:t>
            </w:r>
            <w:r>
              <w:rPr>
                <w:rFonts w:ascii="Times New Roman" w:cs="Times New Roman" w:eastAsia="Times New Roman" w:hAnsi="Times New Roman"/>
                <w:sz w:val="23"/>
                <w:szCs w:val="23"/>
                <w:color w:val="auto"/>
                <w:vertAlign w:val="superscript"/>
              </w:rPr>
              <w:t>*</w:t>
            </w:r>
          </w:p>
        </w:tc>
        <w:tc>
          <w:tcPr>
            <w:tcW w:w="940" w:type="dxa"/>
            <w:vAlign w:val="bottom"/>
          </w:tcPr>
          <w:p>
            <w:pPr>
              <w:spacing w:after="0"/>
              <w:rPr>
                <w:sz w:val="24"/>
                <w:szCs w:val="24"/>
                <w:color w:val="auto"/>
              </w:rPr>
            </w:pPr>
          </w:p>
        </w:tc>
        <w:tc>
          <w:tcPr>
            <w:tcW w:w="42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Rule 13a-14(a) Certification of Principal Financial Officer</w:t>
            </w:r>
          </w:p>
        </w:tc>
        <w:tc>
          <w:tcPr>
            <w:tcW w:w="40" w:type="dxa"/>
            <w:vAlign w:val="bottom"/>
            <w:tcBorders>
              <w:top w:val="single" w:sz="8" w:color="0000FF"/>
            </w:tcBorders>
          </w:tcPr>
          <w:p>
            <w:pPr>
              <w:spacing w:after="0"/>
              <w:rPr>
                <w:sz w:val="24"/>
                <w:szCs w:val="24"/>
                <w:color w:val="auto"/>
              </w:rPr>
            </w:pPr>
          </w:p>
        </w:tc>
        <w:tc>
          <w:tcPr>
            <w:tcW w:w="3000" w:type="dxa"/>
            <w:vAlign w:val="bottom"/>
          </w:tcPr>
          <w:p>
            <w:pPr>
              <w:spacing w:after="0"/>
              <w:rPr>
                <w:sz w:val="24"/>
                <w:szCs w:val="24"/>
                <w:color w:val="auto"/>
              </w:rPr>
            </w:pPr>
          </w:p>
        </w:tc>
      </w:tr>
      <w:tr>
        <w:trPr>
          <w:trHeight w:val="48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23"/>
                <w:szCs w:val="23"/>
                <w:color w:val="auto"/>
                <w:vertAlign w:val="superscript"/>
              </w:rPr>
              <w:t>**</w:t>
            </w:r>
          </w:p>
        </w:tc>
        <w:tc>
          <w:tcPr>
            <w:tcW w:w="940" w:type="dxa"/>
            <w:vAlign w:val="bottom"/>
          </w:tcPr>
          <w:p>
            <w:pPr>
              <w:spacing w:after="0"/>
              <w:rPr>
                <w:sz w:val="24"/>
                <w:szCs w:val="24"/>
                <w:color w:val="auto"/>
              </w:rPr>
            </w:pPr>
          </w:p>
        </w:tc>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Section 1350 Certification of Principal Executive Officer</w:t>
            </w:r>
          </w:p>
        </w:tc>
      </w:tr>
      <w:tr>
        <w:trPr>
          <w:trHeight w:val="47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32.2</w:t>
            </w:r>
            <w:r>
              <w:rPr>
                <w:rFonts w:ascii="Times New Roman" w:cs="Times New Roman" w:eastAsia="Times New Roman" w:hAnsi="Times New Roman"/>
                <w:sz w:val="23"/>
                <w:szCs w:val="23"/>
                <w:color w:val="auto"/>
                <w:vertAlign w:val="superscript"/>
              </w:rPr>
              <w:t>**</w:t>
            </w:r>
          </w:p>
        </w:tc>
        <w:tc>
          <w:tcPr>
            <w:tcW w:w="940" w:type="dxa"/>
            <w:vAlign w:val="bottom"/>
          </w:tcPr>
          <w:p>
            <w:pPr>
              <w:spacing w:after="0"/>
              <w:rPr>
                <w:sz w:val="24"/>
                <w:szCs w:val="24"/>
                <w:color w:val="auto"/>
              </w:rPr>
            </w:pPr>
          </w:p>
        </w:tc>
        <w:tc>
          <w:tcPr>
            <w:tcW w:w="40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Principal Financial Officer</w:t>
            </w:r>
          </w:p>
        </w:tc>
        <w:tc>
          <w:tcPr>
            <w:tcW w:w="40" w:type="dxa"/>
            <w:vAlign w:val="bottom"/>
            <w:tcBorders>
              <w:top w:val="single" w:sz="8" w:color="0000FF"/>
            </w:tcBorders>
          </w:tcPr>
          <w:p>
            <w:pPr>
              <w:spacing w:after="0"/>
              <w:rPr>
                <w:sz w:val="24"/>
                <w:szCs w:val="24"/>
                <w:color w:val="auto"/>
              </w:rPr>
            </w:pPr>
          </w:p>
        </w:tc>
        <w:tc>
          <w:tcPr>
            <w:tcW w:w="3140" w:type="dxa"/>
            <w:vAlign w:val="bottom"/>
            <w:gridSpan w:val="3"/>
          </w:tcPr>
          <w:p>
            <w:pPr>
              <w:spacing w:after="0"/>
              <w:rPr>
                <w:sz w:val="24"/>
                <w:szCs w:val="24"/>
                <w:color w:val="auto"/>
              </w:rPr>
            </w:pPr>
          </w:p>
        </w:tc>
      </w:tr>
      <w:tr>
        <w:trPr>
          <w:trHeight w:val="52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40" w:type="dxa"/>
            <w:vAlign w:val="bottom"/>
          </w:tcPr>
          <w:p>
            <w:pPr>
              <w:spacing w:after="0"/>
              <w:rPr>
                <w:sz w:val="24"/>
                <w:szCs w:val="24"/>
                <w:color w:val="auto"/>
              </w:rPr>
            </w:pPr>
          </w:p>
        </w:tc>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50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40" w:type="dxa"/>
            <w:vAlign w:val="bottom"/>
          </w:tcPr>
          <w:p>
            <w:pPr>
              <w:spacing w:after="0"/>
              <w:rPr>
                <w:sz w:val="24"/>
                <w:szCs w:val="24"/>
                <w:color w:val="auto"/>
              </w:rPr>
            </w:pPr>
          </w:p>
        </w:tc>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49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40" w:type="dxa"/>
            <w:vAlign w:val="bottom"/>
          </w:tcPr>
          <w:p>
            <w:pPr>
              <w:spacing w:after="0"/>
              <w:rPr>
                <w:sz w:val="24"/>
                <w:szCs w:val="24"/>
                <w:color w:val="auto"/>
              </w:rPr>
            </w:pPr>
          </w:p>
        </w:tc>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49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40" w:type="dxa"/>
            <w:vAlign w:val="bottom"/>
          </w:tcPr>
          <w:p>
            <w:pPr>
              <w:spacing w:after="0"/>
              <w:rPr>
                <w:sz w:val="24"/>
                <w:szCs w:val="24"/>
                <w:color w:val="auto"/>
              </w:rPr>
            </w:pPr>
          </w:p>
        </w:tc>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50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40" w:type="dxa"/>
            <w:vAlign w:val="bottom"/>
          </w:tcPr>
          <w:p>
            <w:pPr>
              <w:spacing w:after="0"/>
              <w:rPr>
                <w:sz w:val="24"/>
                <w:szCs w:val="24"/>
                <w:color w:val="auto"/>
              </w:rPr>
            </w:pPr>
          </w:p>
        </w:tc>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Labels Linkbase Document</w:t>
            </w:r>
          </w:p>
        </w:tc>
      </w:tr>
      <w:tr>
        <w:trPr>
          <w:trHeight w:val="49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40" w:type="dxa"/>
            <w:vAlign w:val="bottom"/>
          </w:tcPr>
          <w:p>
            <w:pPr>
              <w:spacing w:after="0"/>
              <w:rPr>
                <w:sz w:val="24"/>
                <w:szCs w:val="24"/>
                <w:color w:val="auto"/>
              </w:rPr>
            </w:pPr>
          </w:p>
        </w:tc>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Presentation Linkbase Document</w:t>
            </w:r>
          </w:p>
        </w:tc>
      </w:tr>
      <w:tr>
        <w:trPr>
          <w:trHeight w:val="44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tcPr>
          <w:p>
            <w:pPr>
              <w:spacing w:after="0"/>
              <w:rPr>
                <w:sz w:val="24"/>
                <w:szCs w:val="24"/>
                <w:color w:val="auto"/>
              </w:rPr>
            </w:pPr>
          </w:p>
        </w:tc>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Cover Page Interactive Data (formatted as Inline XBRL and contained in Exhibit 101 filed herewith)</w:t>
            </w:r>
          </w:p>
        </w:tc>
      </w:tr>
    </w:tbl>
    <w:p>
      <w:pPr>
        <w:spacing w:after="0" w:line="200" w:lineRule="exact"/>
        <w:rPr>
          <w:sz w:val="20"/>
          <w:szCs w:val="20"/>
          <w:color w:val="auto"/>
        </w:rPr>
      </w:pPr>
    </w:p>
    <w:p>
      <w:pPr>
        <w:spacing w:after="0" w:line="214" w:lineRule="exact"/>
        <w:rPr>
          <w:sz w:val="20"/>
          <w:szCs w:val="20"/>
          <w:color w:val="auto"/>
        </w:rPr>
      </w:pPr>
    </w:p>
    <w:p>
      <w:pPr>
        <w:ind w:left="312" w:hanging="312"/>
        <w:spacing w:after="0"/>
        <w:tabs>
          <w:tab w:leader="none" w:pos="31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412" w:hanging="412"/>
        <w:spacing w:after="0"/>
        <w:tabs>
          <w:tab w:leader="none" w:pos="41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987425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1"/>
          </w:cols>
          <w:pgMar w:left="328" w:top="968" w:right="1440" w:bottom="1440" w:gutter="0" w:footer="0" w:header="0"/>
        </w:sectPr>
      </w:pPr>
    </w:p>
    <w:bookmarkStart w:id="25" w:name="page26"/>
    <w:bookmarkEnd w:id="25"/>
    <w:p>
      <w:pPr>
        <w:jc w:val="center"/>
        <w:ind w:right="-3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75"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MACROGENICS, INC.</w:t>
      </w:r>
    </w:p>
    <w:p>
      <w:pPr>
        <w:spacing w:after="0" w:line="293" w:lineRule="exact"/>
        <w:rPr>
          <w:sz w:val="20"/>
          <w:szCs w:val="20"/>
          <w:color w:val="auto"/>
        </w:rPr>
      </w:pPr>
    </w:p>
    <w:p>
      <w:pPr>
        <w:ind w:left="550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/s/ Scott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2918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Scott Koenig, M.D., Ph.D.</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8" w:lineRule="exact"/>
        <w:rPr>
          <w:sz w:val="20"/>
          <w:szCs w:val="20"/>
          <w:color w:val="auto"/>
        </w:rPr>
      </w:pPr>
    </w:p>
    <w:p>
      <w:pPr>
        <w:ind w:left="550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/s/ James Karrels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2918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James Karrels</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August 6, 2024</w:t>
      </w:r>
    </w:p>
    <w:p>
      <w:pPr>
        <w:sectPr>
          <w:pgSz w:w="11900" w:h="16838" w:orient="portrait"/>
          <w:cols w:equalWidth="0" w:num="1">
            <w:col w:w="10920"/>
          </w:cols>
          <w:pgMar w:left="320" w:top="927" w:right="65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Koenig, certify that:</w:t>
      </w:r>
    </w:p>
    <w:p>
      <w:pPr>
        <w:spacing w:after="0" w:line="252" w:lineRule="exact"/>
        <w:rPr>
          <w:sz w:val="20"/>
          <w:szCs w:val="20"/>
          <w:color w:val="auto"/>
        </w:rPr>
      </w:pPr>
    </w:p>
    <w:p>
      <w:pPr>
        <w:ind w:left="500" w:hanging="492"/>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2024 of MacroGenics, Inc.;</w:t>
      </w:r>
    </w:p>
    <w:p>
      <w:pPr>
        <w:spacing w:after="0" w:line="17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3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140" w:hanging="484"/>
        <w:spacing w:after="0" w:line="282" w:lineRule="auto"/>
        <w:tabs>
          <w:tab w:leader="none" w:pos="113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140" w:hanging="484"/>
        <w:spacing w:after="0" w:line="282" w:lineRule="auto"/>
        <w:tabs>
          <w:tab w:leader="none" w:pos="113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140" w:right="20" w:hanging="484"/>
        <w:spacing w:after="0" w:line="282" w:lineRule="auto"/>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/s/ Scott Koenig</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Scott Koenig, M.D., Ph.D.</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6, 2024</w:t>
      </w:r>
    </w:p>
    <w:p>
      <w:pPr>
        <w:sectPr>
          <w:pgSz w:w="11900" w:h="16838" w:orient="portrait"/>
          <w:cols w:equalWidth="0" w:num="1">
            <w:col w:w="11240"/>
          </w:cols>
          <w:pgMar w:left="320" w:top="1255" w:right="339" w:bottom="1440" w:gutter="0" w:footer="0" w:header="0"/>
        </w:sectPr>
      </w:pPr>
    </w:p>
    <w:bookmarkStart w:id="27" w:name="page28"/>
    <w:bookmarkEnd w:id="27"/>
    <w:p>
      <w:pPr>
        <w:spacing w:after="0" w:line="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Karrels, certify that:</w:t>
      </w:r>
    </w:p>
    <w:p>
      <w:pPr>
        <w:spacing w:after="0" w:line="234" w:lineRule="exact"/>
        <w:rPr>
          <w:sz w:val="20"/>
          <w:szCs w:val="20"/>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2024 of MacroGenics, Inc.;</w:t>
      </w:r>
    </w:p>
    <w:p>
      <w:pPr>
        <w:spacing w:after="0" w:line="17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3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140" w:hanging="484"/>
        <w:spacing w:after="0" w:line="282" w:lineRule="auto"/>
        <w:tabs>
          <w:tab w:leader="none" w:pos="113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140" w:hanging="484"/>
        <w:spacing w:after="0" w:line="282" w:lineRule="auto"/>
        <w:tabs>
          <w:tab w:leader="none" w:pos="113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140" w:right="20" w:hanging="484"/>
        <w:spacing w:after="0" w:line="282"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/s/ James Karrels</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James Karrels</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6, 2024</w:t>
      </w:r>
    </w:p>
    <w:p>
      <w:pPr>
        <w:sectPr>
          <w:pgSz w:w="11900" w:h="16838" w:orient="portrait"/>
          <w:cols w:equalWidth="0" w:num="1">
            <w:col w:w="11240"/>
          </w:cols>
          <w:pgMar w:left="320" w:top="1440" w:right="339" w:bottom="1440" w:gutter="0" w:footer="0" w:header="0"/>
        </w:sectPr>
      </w:pPr>
    </w:p>
    <w:bookmarkStart w:id="28" w:name="page29"/>
    <w:bookmarkEnd w:id="28"/>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 Scott Koenig, President and Chief Executive Officer (principal executive officer) of MacroGenics, Inc. (the Registrant), certify, to the best of my knowledge, based upon a review of the Quarterly Report on Form 10-Q for the period ended June 30, 2024 of the Registrant (the Report), that:</w:t>
      </w:r>
    </w:p>
    <w:p>
      <w:pPr>
        <w:spacing w:after="0" w:line="189"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/s/ Scott Koenig</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Name: Scott Koenig, M.D., Ph.D.</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Date: August 6, 2024</w:t>
      </w:r>
    </w:p>
    <w:p>
      <w:pPr>
        <w:sectPr>
          <w:pgSz w:w="11900" w:h="16838" w:orient="portrait"/>
          <w:cols w:equalWidth="0" w:num="1">
            <w:col w:w="11240"/>
          </w:cols>
          <w:pgMar w:left="320" w:top="1440" w:right="339" w:bottom="1440" w:gutter="0" w:footer="0" w:header="0"/>
        </w:sectPr>
      </w:pPr>
    </w:p>
    <w:bookmarkStart w:id="29" w:name="page30"/>
    <w:bookmarkEnd w:id="29"/>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 James Karrels, Senior Vice President and Chief Financial Officer (principal financial officer) of MacroGenics, Inc. (the Registrant), certify, to the best of my knowledge, based upon a review of the Quarterly Report on Form 10-Q for the period ended June 30, 2024 of the Registrant (the Report), that:</w:t>
      </w:r>
    </w:p>
    <w:p>
      <w:pPr>
        <w:spacing w:after="0" w:line="189"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/s/ James Karrels</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Name: James Karrels</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Date: August 6, 2024</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lowerLetter"/>
      <w:start w:val="1"/>
    </w:lvl>
  </w:abstractNum>
  <w:abstractNum w:abstractNumId="5">
    <w:nsid w:val="DED7263"/>
    <w:multiLevelType w:val="hybridMultilevel"/>
    <w:lvl w:ilvl="0">
      <w:lvlJc w:val="left"/>
      <w:lvlText w:val="%1)"/>
      <w:numFmt w:val="decimal"/>
      <w:start w:val="606"/>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lowerLetter"/>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2024-08-06T15:19:36Z</dcterms:created>
  <dcterms:modified xsi:type="dcterms:W3CDTF">2024-08-06T15:19:36Z</dcterms:modified>
</cp:coreProperties>
</file>