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12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Commission File Number: 001-36112</w:t>
      </w:r>
    </w:p>
    <w:p>
      <w:pPr>
        <w:pStyle w:val="TextBody"/>
        <w:bidi w:val="0"/>
        <w:spacing w:lineRule="auto" w:line="288" w:before="120" w:after="120"/>
        <w:jc w:val="center"/>
        <w:rPr>
          <w:rFonts w:ascii="Times New Roman;serif" w:hAnsi="Times New Roman;serif"/>
          <w:b/>
          <w:color w:val="000000"/>
          <w:sz w:val="48"/>
        </w:rPr>
      </w:pPr>
      <w:r>
        <w:rPr>
          <w:rFonts w:ascii="Times New Roman;serif" w:hAnsi="Times New Roman;serif"/>
          <w:b/>
          <w:color w:val="000000"/>
          <w:sz w:val="48"/>
        </w:rPr>
        <w:t>MACROGENICS,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053" w:type="dxa"/>
        <w:jc w:val="center"/>
        <w:tblInd w:w="0" w:type="dxa"/>
        <w:tblLayout w:type="fixed"/>
        <w:tblCellMar>
          <w:top w:w="28" w:type="dxa"/>
          <w:left w:w="28" w:type="dxa"/>
          <w:bottom w:w="28" w:type="dxa"/>
          <w:right w:w="28" w:type="dxa"/>
        </w:tblCellMar>
      </w:tblPr>
      <w:tblGrid>
        <w:gridCol w:w="1220"/>
        <w:gridCol w:w="1072"/>
        <w:gridCol w:w="1082"/>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9704 Medical Center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Rockville, Maryland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301-251-5172</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firstLine="7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   No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November 7, 2025, 63,258,532 shares of the registrant's common stock, par value $0.01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320"/>
        <w:gridCol w:w="281"/>
        <w:gridCol w:w="285"/>
        <w:gridCol w:w="2726"/>
        <w:gridCol w:w="2726"/>
        <w:gridCol w:w="386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3">
              <w:r>
                <w:rPr>
                  <w:rStyle w:val="InternetLink"/>
                  <w:rFonts w:ascii="Times New Roman;serif" w:hAnsi="Times New Roman;serif"/>
                  <w:b/>
                  <w:color w:val="0000FF"/>
                  <w:sz w:val="20"/>
                  <w:u w:val="single"/>
                </w:rPr>
                <w:t>FINANCIAL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6">
              <w:r>
                <w:rPr>
                  <w:rStyle w:val="InternetLink"/>
                  <w:rFonts w:ascii="Times New Roman;serif" w:hAnsi="Times New Roman;serif"/>
                  <w:b w:val="false"/>
                  <w:color w:val="0000FF"/>
                  <w:sz w:val="20"/>
                  <w:u w:val="single"/>
                </w:rPr>
                <w:t>Financial Statements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9">
              <w:r>
                <w:rPr>
                  <w:rStyle w:val="InternetLink"/>
                  <w:rFonts w:ascii="Times New Roman;serif" w:hAnsi="Times New Roman;serif"/>
                  <w:b w:val="false"/>
                  <w:color w:val="000080"/>
                  <w:sz w:val="20"/>
                  <w:u w:val="single"/>
                </w:rPr>
                <w:t xml:space="preserve">Consolidated Balance Sheets at </w:t>
              </w:r>
            </w:hyperlink>
            <w:hyperlink w:anchor="i711627f1abb04d42965a176939feec5d_19">
              <w:r>
                <w:rPr>
                  <w:rStyle w:val="InternetLink"/>
                  <w:rFonts w:ascii="Times New Roman;serif" w:hAnsi="Times New Roman;serif"/>
                  <w:b w:val="false"/>
                  <w:color w:val="000080"/>
                  <w:sz w:val="20"/>
                  <w:u w:val="single"/>
                </w:rPr>
                <w:t>September</w:t>
              </w:r>
            </w:hyperlink>
            <w:hyperlink w:anchor="i711627f1abb04d42965a176939feec5d_19">
              <w:r>
                <w:rPr>
                  <w:rStyle w:val="InternetLink"/>
                  <w:rFonts w:ascii="Times New Roman;serif" w:hAnsi="Times New Roman;serif"/>
                  <w:b w:val="false"/>
                  <w:color w:val="000080"/>
                  <w:sz w:val="20"/>
                  <w:u w:val="single"/>
                </w:rPr>
                <w:t xml:space="preserve"> 30, 2025 (unaudited) and December 31, 2024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22">
              <w:r>
                <w:rPr>
                  <w:rStyle w:val="InternetLink"/>
                  <w:rFonts w:ascii="Times New Roman;serif" w:hAnsi="Times New Roman;serif"/>
                  <w:b w:val="false"/>
                  <w:color w:val="000080"/>
                  <w:sz w:val="20"/>
                  <w:u w:val="single"/>
                </w:rPr>
                <w:t xml:space="preserve">Consolidated Statements of Operations and Comprehensive Loss for the three and </w:t>
              </w:r>
            </w:hyperlink>
            <w:hyperlink w:anchor="i711627f1abb04d42965a176939feec5d_22">
              <w:r>
                <w:rPr>
                  <w:rStyle w:val="InternetLink"/>
                  <w:rFonts w:ascii="Times New Roman;serif" w:hAnsi="Times New Roman;serif"/>
                  <w:b w:val="false"/>
                  <w:color w:val="000080"/>
                  <w:sz w:val="20"/>
                  <w:u w:val="single"/>
                </w:rPr>
                <w:t>nine</w:t>
              </w:r>
            </w:hyperlink>
            <w:hyperlink w:anchor="i711627f1abb04d42965a176939feec5d_22">
              <w:r>
                <w:rPr>
                  <w:rStyle w:val="InternetLink"/>
                  <w:rFonts w:ascii="Times New Roman;serif" w:hAnsi="Times New Roman;serif"/>
                  <w:b w:val="false"/>
                  <w:color w:val="000080"/>
                  <w:sz w:val="20"/>
                  <w:u w:val="single"/>
                </w:rPr>
                <w:t xml:space="preserve"> months ended </w:t>
              </w:r>
            </w:hyperlink>
            <w:hyperlink w:anchor="i711627f1abb04d42965a176939feec5d_22">
              <w:r>
                <w:rPr>
                  <w:rStyle w:val="InternetLink"/>
                  <w:rFonts w:ascii="Times New Roman;serif" w:hAnsi="Times New Roman;serif"/>
                  <w:b w:val="false"/>
                  <w:color w:val="000080"/>
                  <w:sz w:val="20"/>
                  <w:u w:val="single"/>
                </w:rPr>
                <w:t>Septem</w:t>
              </w:r>
            </w:hyperlink>
            <w:hyperlink w:anchor="i711627f1abb04d42965a176939feec5d_22">
              <w:r>
                <w:rPr>
                  <w:rStyle w:val="InternetLink"/>
                  <w:rFonts w:ascii="Times New Roman;serif" w:hAnsi="Times New Roman;serif"/>
                  <w:b w:val="false"/>
                  <w:color w:val="000080"/>
                  <w:sz w:val="20"/>
                  <w:u w:val="single"/>
                </w:rPr>
                <w:t>ber</w:t>
              </w:r>
            </w:hyperlink>
            <w:hyperlink w:anchor="i711627f1abb04d42965a176939feec5d_22">
              <w:r>
                <w:rPr>
                  <w:rStyle w:val="InternetLink"/>
                  <w:rFonts w:ascii="Times New Roman;serif" w:hAnsi="Times New Roman;serif"/>
                  <w:b w:val="false"/>
                  <w:color w:val="000080"/>
                  <w:sz w:val="20"/>
                  <w:u w:val="single"/>
                </w:rPr>
                <w:t xml:space="preserve"> 30, 2025 and </w:t>
              </w:r>
            </w:hyperlink>
            <w:hyperlink w:anchor="i711627f1abb04d42965a176939feec5d_22">
              <w:r>
                <w:rPr>
                  <w:rStyle w:val="InternetLink"/>
                  <w:rFonts w:ascii="Times New Roman;serif" w:hAnsi="Times New Roman;serif"/>
                  <w:b w:val="false"/>
                  <w:color w:val="000080"/>
                  <w:sz w:val="20"/>
                  <w:u w:val="single"/>
                </w:rPr>
                <w:t>September</w:t>
              </w:r>
            </w:hyperlink>
            <w:hyperlink w:anchor="i711627f1abb04d42965a176939feec5d_22">
              <w:r>
                <w:rPr>
                  <w:rStyle w:val="InternetLink"/>
                  <w:rFonts w:ascii="Times New Roman;serif" w:hAnsi="Times New Roman;serif"/>
                  <w:b w:val="false"/>
                  <w:color w:val="000080"/>
                  <w:sz w:val="20"/>
                  <w:u w:val="single"/>
                </w:rPr>
                <w:t xml:space="preserve"> 30, 2024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25">
              <w:r>
                <w:rPr>
                  <w:rStyle w:val="InternetLink"/>
                  <w:rFonts w:ascii="Times New Roman;serif" w:hAnsi="Times New Roman;serif"/>
                  <w:b w:val="false"/>
                  <w:color w:val="000080"/>
                  <w:sz w:val="20"/>
                  <w:u w:val="single"/>
                </w:rPr>
                <w:t xml:space="preserve">Consolidated Statements of Stockholders' Equity for the three and </w:t>
              </w:r>
            </w:hyperlink>
            <w:hyperlink w:anchor="i711627f1abb04d42965a176939feec5d_25">
              <w:r>
                <w:rPr>
                  <w:rStyle w:val="InternetLink"/>
                  <w:rFonts w:ascii="Times New Roman;serif" w:hAnsi="Times New Roman;serif"/>
                  <w:b w:val="false"/>
                  <w:color w:val="000080"/>
                  <w:sz w:val="20"/>
                  <w:u w:val="single"/>
                </w:rPr>
                <w:t>nine</w:t>
              </w:r>
            </w:hyperlink>
            <w:hyperlink w:anchor="i711627f1abb04d42965a176939feec5d_25">
              <w:r>
                <w:rPr>
                  <w:rStyle w:val="InternetLink"/>
                  <w:rFonts w:ascii="Times New Roman;serif" w:hAnsi="Times New Roman;serif"/>
                  <w:b w:val="false"/>
                  <w:color w:val="000080"/>
                  <w:sz w:val="20"/>
                  <w:u w:val="single"/>
                </w:rPr>
                <w:t xml:space="preserve"> months ended </w:t>
              </w:r>
            </w:hyperlink>
            <w:hyperlink w:anchor="i711627f1abb04d42965a176939feec5d_25">
              <w:r>
                <w:rPr>
                  <w:rStyle w:val="InternetLink"/>
                  <w:rFonts w:ascii="Times New Roman;serif" w:hAnsi="Times New Roman;serif"/>
                  <w:b w:val="false"/>
                  <w:color w:val="000080"/>
                  <w:sz w:val="20"/>
                  <w:u w:val="single"/>
                </w:rPr>
                <w:t>September</w:t>
              </w:r>
            </w:hyperlink>
            <w:hyperlink w:anchor="i711627f1abb04d42965a176939feec5d_25">
              <w:r>
                <w:rPr>
                  <w:rStyle w:val="InternetLink"/>
                  <w:rFonts w:ascii="Times New Roman;serif" w:hAnsi="Times New Roman;serif"/>
                  <w:b w:val="false"/>
                  <w:color w:val="000080"/>
                  <w:sz w:val="20"/>
                  <w:u w:val="single"/>
                </w:rPr>
                <w:t xml:space="preserve"> 30, 2025 and </w:t>
              </w:r>
            </w:hyperlink>
            <w:hyperlink w:anchor="i711627f1abb04d42965a176939feec5d_25">
              <w:r>
                <w:rPr>
                  <w:rStyle w:val="InternetLink"/>
                  <w:rFonts w:ascii="Times New Roman;serif" w:hAnsi="Times New Roman;serif"/>
                  <w:b w:val="false"/>
                  <w:color w:val="000080"/>
                  <w:sz w:val="20"/>
                  <w:u w:val="single"/>
                </w:rPr>
                <w:t>September</w:t>
              </w:r>
            </w:hyperlink>
            <w:hyperlink w:anchor="i711627f1abb04d42965a176939feec5d_25">
              <w:r>
                <w:rPr>
                  <w:rStyle w:val="InternetLink"/>
                  <w:rFonts w:ascii="Times New Roman;serif" w:hAnsi="Times New Roman;serif"/>
                  <w:b w:val="false"/>
                  <w:color w:val="000080"/>
                  <w:sz w:val="20"/>
                  <w:u w:val="single"/>
                </w:rPr>
                <w:t xml:space="preserve"> 30, 2024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28">
              <w:r>
                <w:rPr>
                  <w:rStyle w:val="InternetLink"/>
                  <w:rFonts w:ascii="Times New Roman;serif" w:hAnsi="Times New Roman;serif"/>
                  <w:b w:val="false"/>
                  <w:color w:val="000080"/>
                  <w:sz w:val="20"/>
                  <w:u w:val="single"/>
                </w:rPr>
                <w:t xml:space="preserve">Consolidated Statements of Cash Flows for the </w:t>
              </w:r>
            </w:hyperlink>
            <w:hyperlink w:anchor="i711627f1abb04d42965a176939feec5d_28">
              <w:r>
                <w:rPr>
                  <w:rStyle w:val="InternetLink"/>
                  <w:rFonts w:ascii="Times New Roman;serif" w:hAnsi="Times New Roman;serif"/>
                  <w:b w:val="false"/>
                  <w:color w:val="000080"/>
                  <w:sz w:val="20"/>
                  <w:u w:val="single"/>
                </w:rPr>
                <w:t>ni</w:t>
              </w:r>
            </w:hyperlink>
            <w:hyperlink w:anchor="i711627f1abb04d42965a176939feec5d_28">
              <w:r>
                <w:rPr>
                  <w:rStyle w:val="InternetLink"/>
                  <w:rFonts w:ascii="Times New Roman;serif" w:hAnsi="Times New Roman;serif"/>
                  <w:b w:val="false"/>
                  <w:color w:val="000080"/>
                  <w:sz w:val="20"/>
                  <w:u w:val="single"/>
                </w:rPr>
                <w:t>ne</w:t>
              </w:r>
            </w:hyperlink>
            <w:hyperlink w:anchor="i711627f1abb04d42965a176939feec5d_28">
              <w:r>
                <w:rPr>
                  <w:rStyle w:val="InternetLink"/>
                  <w:rFonts w:ascii="Times New Roman;serif" w:hAnsi="Times New Roman;serif"/>
                  <w:b w:val="false"/>
                  <w:color w:val="000080"/>
                  <w:sz w:val="20"/>
                  <w:u w:val="single"/>
                </w:rPr>
                <w:t xml:space="preserve"> months ended </w:t>
              </w:r>
            </w:hyperlink>
            <w:hyperlink w:anchor="i711627f1abb04d42965a176939feec5d_28">
              <w:r>
                <w:rPr>
                  <w:rStyle w:val="InternetLink"/>
                  <w:rFonts w:ascii="Times New Roman;serif" w:hAnsi="Times New Roman;serif"/>
                  <w:b w:val="false"/>
                  <w:color w:val="000080"/>
                  <w:sz w:val="20"/>
                  <w:u w:val="single"/>
                </w:rPr>
                <w:t>Sept</w:t>
              </w:r>
            </w:hyperlink>
            <w:hyperlink w:anchor="i711627f1abb04d42965a176939feec5d_28">
              <w:r>
                <w:rPr>
                  <w:rStyle w:val="InternetLink"/>
                  <w:rFonts w:ascii="Times New Roman;serif" w:hAnsi="Times New Roman;serif"/>
                  <w:b w:val="false"/>
                  <w:color w:val="000080"/>
                  <w:sz w:val="20"/>
                  <w:u w:val="single"/>
                </w:rPr>
                <w:t>ember</w:t>
              </w:r>
            </w:hyperlink>
            <w:hyperlink w:anchor="i711627f1abb04d42965a176939feec5d_28">
              <w:r>
                <w:rPr>
                  <w:rStyle w:val="InternetLink"/>
                  <w:rFonts w:ascii="Times New Roman;serif" w:hAnsi="Times New Roman;serif"/>
                  <w:b w:val="false"/>
                  <w:color w:val="000080"/>
                  <w:sz w:val="20"/>
                  <w:u w:val="single"/>
                </w:rPr>
                <w:t xml:space="preserve"> 30, 2025 and </w:t>
              </w:r>
            </w:hyperlink>
            <w:hyperlink w:anchor="i711627f1abb04d42965a176939feec5d_28">
              <w:r>
                <w:rPr>
                  <w:rStyle w:val="InternetLink"/>
                  <w:rFonts w:ascii="Times New Roman;serif" w:hAnsi="Times New Roman;serif"/>
                  <w:b w:val="false"/>
                  <w:color w:val="000080"/>
                  <w:sz w:val="20"/>
                  <w:u w:val="single"/>
                </w:rPr>
                <w:t>September</w:t>
              </w:r>
            </w:hyperlink>
            <w:hyperlink w:anchor="i711627f1abb04d42965a176939feec5d_28">
              <w:r>
                <w:rPr>
                  <w:rStyle w:val="InternetLink"/>
                  <w:rFonts w:ascii="Times New Roman;serif" w:hAnsi="Times New Roman;serif"/>
                  <w:b w:val="false"/>
                  <w:color w:val="000080"/>
                  <w:sz w:val="20"/>
                  <w:u w:val="single"/>
                </w:rPr>
                <w:t xml:space="preserve"> 30, 2024 (unaudited) </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31">
              <w:r>
                <w:rPr>
                  <w:rStyle w:val="InternetLink"/>
                  <w:rFonts w:ascii="Times New Roman;serif" w:hAnsi="Times New Roman;serif"/>
                  <w:b w:val="false"/>
                  <w:color w:val="0000FF"/>
                  <w:sz w:val="20"/>
                  <w:u w:val="single"/>
                </w:rPr>
                <w:t>Notes to Consolidated Financial Statements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73">
              <w:r>
                <w:rPr>
                  <w:rStyle w:val="InternetLink"/>
                  <w:rFonts w:ascii="Times New Roman;serif" w:hAnsi="Times New Roman;serif"/>
                  <w:b w:val="false"/>
                  <w:color w:val="0000FF"/>
                  <w:sz w:val="20"/>
                  <w:u w:val="single"/>
                </w:rPr>
                <w:t>Management's Discussion and Analysis of Financial Condition and Results of Operations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94">
              <w:r>
                <w:rPr>
                  <w:rStyle w:val="InternetLink"/>
                  <w:rFonts w:ascii="Times New Roman;serif" w:hAnsi="Times New Roman;serif"/>
                  <w:b w:val="false"/>
                  <w:color w:val="0000FF"/>
                  <w:sz w:val="20"/>
                  <w:u w:val="single"/>
                </w:rPr>
                <w:t>Quantitative and Qualitative Disclosures about Market Risk</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97">
              <w:r>
                <w:rPr>
                  <w:rStyle w:val="InternetLink"/>
                  <w:rFonts w:ascii="Times New Roman;serif" w:hAnsi="Times New Roman;serif"/>
                  <w:b w:val="false"/>
                  <w:color w:val="0000FF"/>
                  <w:sz w:val="20"/>
                  <w:u w:val="single"/>
                </w:rPr>
                <w:t>Controls and Procedures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00">
              <w:r>
                <w:rPr>
                  <w:rStyle w:val="InternetLink"/>
                  <w:rFonts w:ascii="Times New Roman;serif" w:hAnsi="Times New Roman;serif"/>
                  <w:b/>
                  <w:color w:val="0000FF"/>
                  <w:sz w:val="20"/>
                  <w:u w:val="single"/>
                </w:rPr>
                <w:t>OTHER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03">
              <w:r>
                <w:rPr>
                  <w:rStyle w:val="InternetLink"/>
                  <w:rFonts w:ascii="Times New Roman;serif" w:hAnsi="Times New Roman;serif"/>
                  <w:b w:val="false"/>
                  <w:color w:val="0000FF"/>
                  <w:sz w:val="20"/>
                  <w:u w:val="single"/>
                </w:rPr>
                <w:t>Legal Proceedings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06">
              <w:r>
                <w:rPr>
                  <w:rStyle w:val="InternetLink"/>
                  <w:rFonts w:ascii="Times New Roman;serif" w:hAnsi="Times New Roman;serif"/>
                  <w:b w:val="false"/>
                  <w:color w:val="0000FF"/>
                  <w:sz w:val="20"/>
                  <w:u w:val="single"/>
                </w:rPr>
                <w:t>Risk Factors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319"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711627f1abb04d42965a176939feec5d_109">
              <w:r>
                <w:rPr>
                  <w:rStyle w:val="InternetLink"/>
                  <w:rFonts w:ascii="Times New Roman;serif" w:hAnsi="Times New Roman;serif"/>
                  <w:b w:val="false"/>
                  <w:color w:val="0000FF"/>
                  <w:sz w:val="20"/>
                  <w:u w:val="single"/>
                </w:rPr>
                <w:t>Other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15">
              <w:r>
                <w:rPr>
                  <w:rStyle w:val="InternetLink"/>
                  <w:rFonts w:ascii="Times New Roman;serif" w:hAnsi="Times New Roman;serif"/>
                  <w:b w:val="false"/>
                  <w:color w:val="0000FF"/>
                  <w:sz w:val="20"/>
                  <w:u w:val="single"/>
                </w:rPr>
                <w:t>Exhibits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1627f1abb04d42965a176939feec5d_118">
              <w:r>
                <w:rPr>
                  <w:rStyle w:val="InternetLink"/>
                  <w:rFonts w:ascii="Times New Roman;serif" w:hAnsi="Times New Roman;serif"/>
                  <w:b w:val="false"/>
                  <w:color w:val="0000FF"/>
                  <w:sz w:val="20"/>
                  <w:u w:val="single"/>
                </w:rPr>
                <w:t>Signatures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fiscal year ended December 31, 2024 and "Part II, Item 1A. Risk Factors" of this Quarterly Report on Form 10-Q), could affect future performance and cause actual results to differ materially from those matters expressed in or implied by forward-looking statements: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plans to develop and commercialize our product candidates;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outcomes of our ongoing and planned clinical trials and the timing of those outcomes, including when clinical trials will be initiated or completed, enrollment of trials, and when data will be reported or regulatory filings will be made;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timing of and our ability to obtain and maintain regulatory approvals for our product candidates and the labeling for any approved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raise additional capital through the capital markets or through one or more corporate partnerships, equity offerings, debt financings, collaborations, licensing arrangements or asset sales;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expectations regarding product candidates currently being developed by our collaborators;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anticipated receipt of sales milestone payments in connection with the sale of MARGENZA to TerSera Therapeutics, LLC (TerSera);</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compromise of our or our third parties’ information technology systems and resultant costs, disruptions in our operations or related impact on our reputation;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enter into new collaborations or to identify additional products or product candidates with significant commercial potential that are consistent with our commercial objectives;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potential benefits and future operation of our existing collaborations;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recover the investment in our manufacturing capabilities;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commercialization, marketing and manufacturing capabilities and strategy;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significant competition in our industry;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costs of litigation and the failure to successfully defend lawsuits and other claims against us and our expectations regarding the outcome of any regulatory or legal proceedings;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economic, political and other risks associated with our international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receive research funding and achieve anticipated milestones under our collaborations;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protect and enforce patents and other intellectual property;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costs of compliance and our failure to comply with new and existing governmental regulations including, but not limited to, tax regulations;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loss or retirement of key members of management;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failure to successfully execute our growth strategy, including any delays in our planned future growth;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failure to maintain effective internal controls;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legislative and regulatory developments, public health crises, geopolitical tensions or other macroeconomic factors on our business, operations, clinical programs, manufacturing, financial results and other aspects of our business.</w:t>
      </w:r>
    </w:p>
    <w:p>
      <w:pPr>
        <w:pStyle w:val="TextBody"/>
        <w:bidi w:val="0"/>
        <w:spacing w:lineRule="auto" w:line="288" w:before="0" w:after="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Consequently, forward-looking statements speak only as of the date that they are made and should be regarded solely as our current plans, estimates and beliefs. You should not place undue reliance on forward-looking statements.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76"/>
        <w:gridCol w:w="2190"/>
        <w:gridCol w:w="2144"/>
        <w:gridCol w:w="261"/>
        <w:gridCol w:w="1024"/>
        <w:gridCol w:w="134"/>
        <w:gridCol w:w="109"/>
        <w:gridCol w:w="109"/>
        <w:gridCol w:w="109"/>
        <w:gridCol w:w="255"/>
        <w:gridCol w:w="1003"/>
        <w:gridCol w:w="191"/>
      </w:tblGrid>
      <w:tr>
        <w:trPr/>
        <w:tc>
          <w:tcPr>
            <w:tcW w:w="2676"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net </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232,091 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217,490 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assets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liabilities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-- 125,000,000 shares authorized, 63,258,532 and 62,819,857 shares outstanding at September 30, 2025 and December 31, 2024, respectively</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(1,230,183)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0"/>
        <w:gridCol w:w="1190"/>
        <w:gridCol w:w="1206"/>
        <w:gridCol w:w="261"/>
        <w:gridCol w:w="889"/>
        <w:gridCol w:w="133"/>
        <w:gridCol w:w="133"/>
        <w:gridCol w:w="133"/>
        <w:gridCol w:w="133"/>
        <w:gridCol w:w="260"/>
        <w:gridCol w:w="1010"/>
        <w:gridCol w:w="133"/>
        <w:gridCol w:w="109"/>
        <w:gridCol w:w="109"/>
        <w:gridCol w:w="109"/>
        <w:gridCol w:w="244"/>
        <w:gridCol w:w="913"/>
        <w:gridCol w:w="124"/>
        <w:gridCol w:w="124"/>
        <w:gridCol w:w="124"/>
        <w:gridCol w:w="124"/>
        <w:gridCol w:w="244"/>
        <w:gridCol w:w="946"/>
        <w:gridCol w:w="184"/>
      </w:tblGrid>
      <w:tr>
        <w:trPr/>
        <w:tc>
          <w:tcPr>
            <w:tcW w:w="137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manufacturing </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agreements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188,350 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63,233,266 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62,744,005 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63,112,560 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62,566,723 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63,283,624 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62,865,841 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63,112,560 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62,566,723 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5"/>
        <w:gridCol w:w="317"/>
        <w:gridCol w:w="318"/>
        <w:gridCol w:w="540"/>
        <w:gridCol w:w="541"/>
        <w:gridCol w:w="196"/>
        <w:gridCol w:w="109"/>
        <w:gridCol w:w="109"/>
        <w:gridCol w:w="109"/>
        <w:gridCol w:w="211"/>
        <w:gridCol w:w="466"/>
        <w:gridCol w:w="109"/>
        <w:gridCol w:w="109"/>
        <w:gridCol w:w="109"/>
        <w:gridCol w:w="109"/>
        <w:gridCol w:w="211"/>
        <w:gridCol w:w="976"/>
        <w:gridCol w:w="109"/>
        <w:gridCol w:w="109"/>
        <w:gridCol w:w="109"/>
        <w:gridCol w:w="109"/>
        <w:gridCol w:w="211"/>
        <w:gridCol w:w="996"/>
        <w:gridCol w:w="109"/>
        <w:gridCol w:w="109"/>
        <w:gridCol w:w="109"/>
        <w:gridCol w:w="109"/>
        <w:gridCol w:w="480"/>
        <w:gridCol w:w="582"/>
        <w:gridCol w:w="249"/>
        <w:gridCol w:w="109"/>
        <w:gridCol w:w="109"/>
        <w:gridCol w:w="109"/>
        <w:gridCol w:w="211"/>
        <w:gridCol w:w="826"/>
        <w:gridCol w:w="157"/>
      </w:tblGrid>
      <w:tr>
        <w:trPr/>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62,819,857 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63,090,323 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63,205,703 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63,258,532 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(1,230,183)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5"/>
        <w:gridCol w:w="317"/>
        <w:gridCol w:w="318"/>
        <w:gridCol w:w="540"/>
        <w:gridCol w:w="541"/>
        <w:gridCol w:w="196"/>
        <w:gridCol w:w="109"/>
        <w:gridCol w:w="109"/>
        <w:gridCol w:w="109"/>
        <w:gridCol w:w="211"/>
        <w:gridCol w:w="466"/>
        <w:gridCol w:w="109"/>
        <w:gridCol w:w="109"/>
        <w:gridCol w:w="109"/>
        <w:gridCol w:w="109"/>
        <w:gridCol w:w="211"/>
        <w:gridCol w:w="976"/>
        <w:gridCol w:w="109"/>
        <w:gridCol w:w="109"/>
        <w:gridCol w:w="109"/>
        <w:gridCol w:w="109"/>
        <w:gridCol w:w="211"/>
        <w:gridCol w:w="996"/>
        <w:gridCol w:w="109"/>
        <w:gridCol w:w="109"/>
        <w:gridCol w:w="109"/>
        <w:gridCol w:w="109"/>
        <w:gridCol w:w="405"/>
        <w:gridCol w:w="694"/>
        <w:gridCol w:w="211"/>
        <w:gridCol w:w="109"/>
        <w:gridCol w:w="109"/>
        <w:gridCol w:w="109"/>
        <w:gridCol w:w="211"/>
        <w:gridCol w:w="826"/>
        <w:gridCol w:w="158"/>
      </w:tblGrid>
      <w:tr>
        <w:trPr/>
        <w:tc>
          <w:tcPr>
            <w:tcW w:w="7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62,070,627 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62,560,502 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62,720,969 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62,763,120 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720" w:type="dxa"/>
        <w:jc w:val="center"/>
        <w:tblInd w:w="0" w:type="dxa"/>
        <w:tblLayout w:type="fixed"/>
        <w:tblCellMar>
          <w:top w:w="28" w:type="dxa"/>
          <w:left w:w="28" w:type="dxa"/>
          <w:bottom w:w="28" w:type="dxa"/>
          <w:right w:w="28" w:type="dxa"/>
        </w:tblCellMar>
      </w:tblPr>
      <w:tblGrid>
        <w:gridCol w:w="2413"/>
        <w:gridCol w:w="2124"/>
        <w:gridCol w:w="2138"/>
        <w:gridCol w:w="244"/>
        <w:gridCol w:w="920"/>
        <w:gridCol w:w="126"/>
        <w:gridCol w:w="126"/>
        <w:gridCol w:w="126"/>
        <w:gridCol w:w="126"/>
        <w:gridCol w:w="244"/>
        <w:gridCol w:w="955"/>
        <w:gridCol w:w="178"/>
      </w:tblGrid>
      <w:tr>
        <w:trPr/>
        <w:tc>
          <w:tcPr>
            <w:tcW w:w="241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premiums and discounts on marketable securities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assets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liabilities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and maturities of marketable securities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software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equipment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 and ESPP purchases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future royalties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operating and investing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included in accounts payable or accruals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Description of the business</w:t>
      </w:r>
    </w:p>
    <w:p>
      <w:pPr>
        <w:pStyle w:val="TextBody"/>
        <w:bidi w:val="0"/>
        <w:spacing w:lineRule="auto" w:line="288" w:before="0" w:after="180"/>
        <w:ind w:left="0" w:right="0" w:firstLine="720"/>
        <w:jc w:val="left"/>
        <w:rPr/>
      </w:pPr>
      <w:r>
        <w:rPr>
          <w:rFonts w:ascii="Times New Roman;serif" w:hAnsi="Times New Roman;serif"/>
          <w:b w:val="false"/>
          <w:color w:val="000000"/>
          <w:sz w:val="20"/>
        </w:rPr>
        <w:t>MacroGenics, Inc. (the Company) is incorporated in the state of Delaware. The Company is a biopharmaceutical company focused on developing innovative antibody-based therapeutics for the treatment of cancer. The Company generates its pipeline of product candidates from its proprietary suite of antibody technology platforms. The Company is currently developing therapeutics utilizing multiple modalities, including antibody-drug conjugates (ADCs) and multi-specific antibodies (which are referred to as DART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TRIDENT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molecules). The combination of the Company’s technology platforms and antibody engineering expertise has allowed the Company to generate promising product candidates – three of which have received marketing approval by the U.S. Food and Drug Administration (FDA) – and to enter into several strategic collaborations with global biopharmaceutical companies. These collaborations have provided the Company with over $1.6 billion of non-dilutive funding since its inception in 2000, and have enabled the Company to leverage the additional expertise of its collaborators to advance the development of multiple partnered product candidates. In addition, the Company operates a commercial-scale cGMP antibody manufacturing facility in its Maryland headquarters to support its clinical programs. The Company also provides outsourced contract development and manufacturing services to its collaborators and other third parties for commercial and clinical products to offset a portion of the operating costs of this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currently advancing three proprietary product candidates in clinical development: lorigerlimab, a bispecific DART molecule that targets checkpoint inhibitors PD-1 and CTLA-4; MGC026, an ADC that targets B7-H3 and delivers a novel topoisomerase 1 inhibitor (TOP1i)-based linker-payload, and MGC028, an ADC that targets ADAM9 and delivers a novel TOP1i-based linker-payload. The Company is also actively developing multiple preclinical-stage programs, including ADC and next generation T-cell engager programs.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Company and its partners are developing or commercializing product candidates for which the Company retains certain economic rights. These include three products approved by the FDA: MARGENZA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(margetuximab-cmkb), an anti-HER2 monoclonal antibody (mAb) that the Company sold to a partner; ZYNYZ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(retifanlimab-dlwr), an anti-PD-1 mAb that the Company out-licensed; and TZIELD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(teplizumab-mzwv), an anti-CD3 mAb that the Company sold to a partner. The Company is also collaborating with Gilead Sciences, Inc. (Gilead) on the development of MGD024, a bispecific DART antibody targeting CD123 and CD3 that utilizes its next-generation T-cell engager technology, as well as two additional undisclosed pre-clinical development programs.</w:t>
      </w:r>
    </w:p>
    <w:p>
      <w:pPr>
        <w:pStyle w:val="TextBody"/>
        <w:bidi w:val="0"/>
        <w:spacing w:before="0" w:after="0"/>
        <w:jc w:val="left"/>
        <w:rPr/>
      </w:pPr>
      <w:r>
        <w:rPr/>
      </w:r>
    </w:p>
    <w:p>
      <w:pPr>
        <w:pStyle w:val="TextBody"/>
        <w:bidi w:val="0"/>
        <w:spacing w:lineRule="auto" w:line="288" w:before="100" w:after="18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multiple product candidates currently under development will require significant additional research and development efforts that include extensive preclinical studies and clinical testing, and regulatory approval prior to commercial use.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As a biotechnology company, the Company has primarily funded its operations with proceeds from the sale of its common stock in equity offerings and revenue from its multiple collaboration agreements.</w:t>
      </w:r>
      <w:r>
        <w:rPr>
          <w:color w:val="000000"/>
        </w:rPr>
        <w:t xml:space="preserve"> </w:t>
      </w:r>
      <w:r>
        <w:rPr>
          <w:rFonts w:ascii="Times New Roman;serif" w:hAnsi="Times New Roman;serif"/>
          <w:b w:val="false"/>
          <w:color w:val="000000"/>
          <w:sz w:val="20"/>
        </w:rPr>
        <w:t>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inflation, fluctuating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Annual Report on Form 10-K for the fiscal year ended December 31, 2024, filed with the Securities and Exchange Commission (SEC) on March 20,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following accounting policy is considered significant in addition to those disclosed in the Company's Annual Report on Form 10-K for the fiscal year ended December 31, 2024.</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Liability related to the sale of future royalties and related interest expense</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assesses the relevant accounting criteria under the Financial Accounting Standards Board (FASB) Accounting Standards Codification (ASC) Topic 470,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(ASC 470) to determine whether the upfront payment received from the purchaser should be accounted for as debt or deferred income depending on the facts and circumstances. If the criteria in ASC 470 is met, the Company accounts for net proceeds from sales of its rights to receive future royalty payments as a liability that is amortized using the effective interest method over the term of the arrangement. The liability related to future royalties is presented net of unamortized issuance costs on the consolidated balance sheets. Interest expense on the liability related to future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royalties is recognized using the effective interest rate method over the life of the arrangement. The Company calculates an effective interest rate which will amortize its related obligation to zero over the anticipated repayment period. The liability related to future royalties and the related interest expense are based on the Company’s current estimates of future revenues expected to be received over the life of the arrangement, which the Company determines by using internal sales projections and external information from market data sources, which are considered Level 3 inputs. The Company periodically assesses the expected payments and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Non-cash amortization is reflected as interest expense in the consolidated statements of operations and comprehensive loss.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0"/>
        <w:ind w:left="0" w:right="0" w:firstLine="720"/>
        <w:jc w:val="left"/>
        <w:rPr/>
      </w:pPr>
      <w:r>
        <w:rPr>
          <w:rFonts w:ascii="Times New Roman;serif" w:hAnsi="Times New Roman;serif"/>
          <w:b w:val="false"/>
          <w:color w:val="252525"/>
          <w:sz w:val="20"/>
        </w:rPr>
        <w:t xml:space="preserve">In November 2024, the FASB issued Accounting Standards Update (ASU) No. 2024-03, </w:t>
      </w:r>
      <w:r>
        <w:rPr>
          <w:rFonts w:ascii="Times New Roman;serif" w:hAnsi="Times New Roman;serif"/>
          <w:b w:val="false"/>
          <w:i/>
          <w:color w:val="252525"/>
          <w:sz w:val="20"/>
        </w:rPr>
        <w:t>Disaggregation of Income Statement Expense</w:t>
      </w:r>
      <w:r>
        <w:rPr>
          <w:rFonts w:ascii="Times New Roman;serif" w:hAnsi="Times New Roman;serif"/>
          <w:b w:val="false"/>
          <w:color w:val="252525"/>
          <w:sz w:val="20"/>
        </w:rPr>
        <w:t>. The standard requires further disaggregation of relevant expense captions in a separate note to the financial statements. The standard is effective for fiscal years beginning after December 15, 2026 and interim periods within fiscal years beginning after December 15, 2027. Early adoption is permitted. The Company is currently assessing the impact of adopting this guidance on its consolidated financial statements.</w:t>
      </w:r>
    </w:p>
    <w:p>
      <w:pPr>
        <w:pStyle w:val="TextBody"/>
        <w:bidi w:val="0"/>
        <w:spacing w:before="0" w:after="0"/>
        <w:jc w:val="left"/>
        <w:rPr/>
      </w:pPr>
      <w:r>
        <w:rPr/>
      </w:r>
    </w:p>
    <w:p>
      <w:pPr>
        <w:pStyle w:val="TextBody"/>
        <w:bidi w:val="0"/>
        <w:spacing w:lineRule="auto" w:line="288" w:before="0" w:after="180"/>
        <w:ind w:left="0" w:right="0" w:firstLine="720"/>
        <w:jc w:val="left"/>
        <w:rPr/>
      </w:pPr>
      <w:r>
        <w:rPr>
          <w:rFonts w:ascii="Times New Roman;serif" w:hAnsi="Times New Roman;serif"/>
          <w:b w:val="false"/>
          <w:color w:val="252525"/>
          <w:sz w:val="20"/>
        </w:rPr>
        <w:t xml:space="preserve">In December 2023, the FASB issued ASU No. 2023-09, </w:t>
      </w:r>
      <w:r>
        <w:rPr>
          <w:rFonts w:ascii="Times New Roman;serif" w:hAnsi="Times New Roman;serif"/>
          <w:b w:val="false"/>
          <w:i/>
          <w:color w:val="252525"/>
          <w:sz w:val="20"/>
        </w:rPr>
        <w:t>Income Taxes</w:t>
      </w:r>
      <w:r>
        <w:rPr>
          <w:color w:val="252525"/>
        </w:rPr>
        <w:t xml:space="preserve"> </w:t>
      </w:r>
      <w:r>
        <w:rPr>
          <w:rFonts w:ascii="Times New Roman;serif" w:hAnsi="Times New Roman;serif"/>
          <w:b w:val="false"/>
          <w:color w:val="252525"/>
          <w:sz w:val="20"/>
        </w:rPr>
        <w:t>(Topic 740). The standard requires disaggregation of the effective rate reconciliation into standard categories, enhances disclosure of income taxes paid, and modifies other income tax-related disclosures. The standard is effective for fiscal years beginning after December 15, 2024. The adoption of ASU 2023-09 will expand our income tax disclosures, but will have no impact on reported income tax expense or related tax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0" w:after="180"/>
        <w:ind w:left="0" w:right="0" w:firstLine="720"/>
        <w:jc w:val="left"/>
        <w:rPr/>
      </w:pPr>
      <w:r>
        <w:rPr>
          <w:rFonts w:ascii="Times New Roman;serif" w:hAnsi="Times New Roman;serif"/>
          <w:b w:val="false"/>
          <w:color w:val="252525"/>
          <w:sz w:val="20"/>
        </w:rPr>
        <w:t>The Company's financial instruments consist of cash and cash equivalents, marketable securities, accounts receivable, accounts payable and accrued expenses.</w:t>
      </w:r>
      <w:r>
        <w:rPr>
          <w:color w:val="000000"/>
        </w:rPr>
        <w:t xml:space="preserve"> </w:t>
      </w:r>
      <w:r>
        <w:rPr>
          <w:rFonts w:ascii="Times New Roman;serif" w:hAnsi="Times New Roman;serif"/>
          <w:b w:val="false"/>
          <w:color w:val="252525"/>
          <w:sz w:val="20"/>
        </w:rPr>
        <w:t>The carrying amount of accounts receivable, accounts payable and accrued expenses are generally considered to be representative of their respective fair values because of their short-term nature. </w:t>
      </w:r>
      <w:r>
        <w:rPr>
          <w:rFonts w:ascii="Times New Roman;serif" w:hAnsi="Times New Roman;serif"/>
          <w:b w:val="false"/>
          <w:color w:val="000000"/>
          <w:sz w:val="20"/>
        </w:rPr>
        <w:t xml:space="preserve">The Company accounts for recurring and non-recurring fair value measurements in accordance with FASB ASC Topic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1 - Fair value is determined by using unadjusted quoted prices that are available in active markets for identical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serif" w:hAnsi="Times New Roman;serif"/>
          <w:b w:val="false"/>
          <w:color w:val="252525"/>
          <w:sz w:val="20"/>
        </w:rPr>
        <w:t xml:space="preserve">There were no transfers between levels during the periods presented. </w:t>
      </w:r>
    </w:p>
    <w:p>
      <w:pPr>
        <w:pStyle w:val="TextBody"/>
        <w:bidi w:val="0"/>
        <w:spacing w:lineRule="auto" w:line="288" w:before="300" w:after="3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measured at fair value on a recurring basis were as follows (in thousands):</w:t>
      </w:r>
    </w:p>
    <w:tbl>
      <w:tblPr>
        <w:tblW w:w="7285" w:type="dxa"/>
        <w:jc w:val="left"/>
        <w:tblInd w:w="0" w:type="dxa"/>
        <w:tblLayout w:type="fixed"/>
        <w:tblCellMar>
          <w:top w:w="28" w:type="dxa"/>
          <w:left w:w="28" w:type="dxa"/>
          <w:bottom w:w="28" w:type="dxa"/>
          <w:right w:w="28" w:type="dxa"/>
        </w:tblCellMar>
      </w:tblPr>
      <w:tblGrid>
        <w:gridCol w:w="1318"/>
        <w:gridCol w:w="850"/>
        <w:gridCol w:w="862"/>
        <w:gridCol w:w="228"/>
        <w:gridCol w:w="896"/>
        <w:gridCol w:w="118"/>
        <w:gridCol w:w="118"/>
        <w:gridCol w:w="118"/>
        <w:gridCol w:w="118"/>
        <w:gridCol w:w="228"/>
        <w:gridCol w:w="782"/>
        <w:gridCol w:w="118"/>
        <w:gridCol w:w="118"/>
        <w:gridCol w:w="118"/>
        <w:gridCol w:w="118"/>
        <w:gridCol w:w="228"/>
        <w:gridCol w:w="782"/>
        <w:gridCol w:w="167"/>
      </w:tblGrid>
      <w:tr>
        <w:trPr/>
        <w:tc>
          <w:tcPr>
            <w:tcW w:w="13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at September 30, 2025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 measured at fair value</w:t>
            </w:r>
            <w:r>
              <w:rPr>
                <w:rFonts w:ascii="Times New Roman;serif" w:hAnsi="Times New Roman;serif"/>
                <w:b w:val="false"/>
                <w:color w:val="000000"/>
                <w:sz w:val="13"/>
              </w:rPr>
              <w:t>(a)</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57" w:type="dxa"/>
        <w:jc w:val="left"/>
        <w:tblInd w:w="0" w:type="dxa"/>
        <w:tblLayout w:type="fixed"/>
        <w:tblCellMar>
          <w:top w:w="28" w:type="dxa"/>
          <w:left w:w="28" w:type="dxa"/>
          <w:bottom w:w="28" w:type="dxa"/>
          <w:right w:w="28" w:type="dxa"/>
        </w:tblCellMar>
      </w:tblPr>
      <w:tblGrid>
        <w:gridCol w:w="1324"/>
        <w:gridCol w:w="854"/>
        <w:gridCol w:w="866"/>
        <w:gridCol w:w="226"/>
        <w:gridCol w:w="886"/>
        <w:gridCol w:w="117"/>
        <w:gridCol w:w="117"/>
        <w:gridCol w:w="117"/>
        <w:gridCol w:w="117"/>
        <w:gridCol w:w="226"/>
        <w:gridCol w:w="774"/>
        <w:gridCol w:w="117"/>
        <w:gridCol w:w="117"/>
        <w:gridCol w:w="117"/>
        <w:gridCol w:w="117"/>
        <w:gridCol w:w="226"/>
        <w:gridCol w:w="774"/>
        <w:gridCol w:w="165"/>
      </w:tblGrid>
      <w:tr>
        <w:trPr/>
        <w:tc>
          <w:tcPr>
            <w:tcW w:w="132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at December 31, 2024</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 measured at fair value</w:t>
            </w:r>
            <w:r>
              <w:rPr>
                <w:rFonts w:ascii="Times New Roman;serif" w:hAnsi="Times New Roman;serif"/>
                <w:b w:val="false"/>
                <w:color w:val="000000"/>
                <w:sz w:val="13"/>
              </w:rPr>
              <w:t>(b)</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Total assets measured at fair value at September 30, 2025 includes approximately $39.5 million reported in cash and cash equivalents on the consolidated balance sheet.</w:t>
      </w:r>
    </w:p>
    <w:p>
      <w:pPr>
        <w:pStyle w:val="TextBody"/>
        <w:bidi w:val="0"/>
        <w:spacing w:lineRule="auto" w:line="288" w:before="2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Total assets measured at fair value at December 31, 2024 includes approximately $83.6 million reported in cash and cash equivalents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4. Marketable Securities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marketable securities (in thousands):</w:t>
      </w:r>
    </w:p>
    <w:tbl>
      <w:tblPr>
        <w:tblW w:w="9195" w:type="dxa"/>
        <w:jc w:val="left"/>
        <w:tblInd w:w="0" w:type="dxa"/>
        <w:tblLayout w:type="fixed"/>
        <w:tblCellMar>
          <w:top w:w="28" w:type="dxa"/>
          <w:left w:w="28" w:type="dxa"/>
          <w:bottom w:w="28" w:type="dxa"/>
          <w:right w:w="28" w:type="dxa"/>
        </w:tblCellMar>
      </w:tblPr>
      <w:tblGrid>
        <w:gridCol w:w="1059"/>
        <w:gridCol w:w="931"/>
        <w:gridCol w:w="935"/>
        <w:gridCol w:w="211"/>
        <w:gridCol w:w="721"/>
        <w:gridCol w:w="109"/>
        <w:gridCol w:w="109"/>
        <w:gridCol w:w="109"/>
        <w:gridCol w:w="109"/>
        <w:gridCol w:w="320"/>
        <w:gridCol w:w="549"/>
        <w:gridCol w:w="167"/>
        <w:gridCol w:w="109"/>
        <w:gridCol w:w="109"/>
        <w:gridCol w:w="109"/>
        <w:gridCol w:w="301"/>
        <w:gridCol w:w="579"/>
        <w:gridCol w:w="156"/>
        <w:gridCol w:w="109"/>
        <w:gridCol w:w="109"/>
        <w:gridCol w:w="109"/>
        <w:gridCol w:w="211"/>
        <w:gridCol w:w="721"/>
        <w:gridCol w:w="109"/>
        <w:gridCol w:w="109"/>
        <w:gridCol w:w="109"/>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105" w:type="dxa"/>
        <w:jc w:val="left"/>
        <w:tblInd w:w="0" w:type="dxa"/>
        <w:tblLayout w:type="fixed"/>
        <w:tblCellMar>
          <w:top w:w="28" w:type="dxa"/>
          <w:left w:w="28" w:type="dxa"/>
          <w:bottom w:w="28" w:type="dxa"/>
          <w:right w:w="28" w:type="dxa"/>
        </w:tblCellMar>
      </w:tblPr>
      <w:tblGrid>
        <w:gridCol w:w="1060"/>
        <w:gridCol w:w="931"/>
        <w:gridCol w:w="934"/>
        <w:gridCol w:w="211"/>
        <w:gridCol w:w="721"/>
        <w:gridCol w:w="109"/>
        <w:gridCol w:w="109"/>
        <w:gridCol w:w="109"/>
        <w:gridCol w:w="109"/>
        <w:gridCol w:w="301"/>
        <w:gridCol w:w="579"/>
        <w:gridCol w:w="156"/>
        <w:gridCol w:w="109"/>
        <w:gridCol w:w="109"/>
        <w:gridCol w:w="109"/>
        <w:gridCol w:w="301"/>
        <w:gridCol w:w="579"/>
        <w:gridCol w:w="156"/>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available-for-sale securities held as of September 30, 2025 and December 31, 2024 had contractual maturities of less than one year. All of the Company's available-for-sale securities in an unrealized loss position as of September 30, 2025 were in a loss position for less than twelve months. Unrealized losses on available-for-sale debt securities as of September 30, 2025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The Company does not intend to sell its investments and it is not more likely than not that the Company will be required to sell its investments before recovery of their amortized cost bases, which may be at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5. Inventory, Net</w:t>
      </w:r>
    </w:p>
    <w:p>
      <w:pPr>
        <w:pStyle w:val="TextBody"/>
        <w:bidi w:val="0"/>
        <w:spacing w:lineRule="auto" w:line="288" w:before="0" w:after="18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at September 30, 2025 consists of $8.8 million in materials and supplies procured for the purpose of manufacturing drug substance for the Company's contract manufacturing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Royalty Monetization Arrangement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the Company and Sagard Healthcare Partners (Sagard) entered into a Purchase and Sale Agreement (Royalty Purchase Agreement) pursuant to which the Company sold to Sagard its right to receive royalties on global net sales of ZYNYZ (retifanlimab-dlwr) occurring on and after July 1, 2025 under the Company’s Global Collaboration and License Agreement, dated as of October 24, 2017, as amended (Incyte License Agreement), with Incyte Corporation (Incyte).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Royalty Purchase Agreement, the Company received a cash payment of $70.0 million. In exchange, Sagard acquired the royalties payable to the Company under the License Agreement for global net sales of ZYNYZ, subject to a cap. Following Sagard’s receipt of aggregate royalty payments totaling $140.0 million, the Company will resume collecting all future royalties under the License Agreement. The Company has retained its other economic interests related to ZYNYZ, including future potential development, regulatory and commercial milestones.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$70.0 million proceeds received from Sagard under the Royalty Purchase Agreement were recorded as a liability related to future royalties, net of transaction costs of $0.3 million, which will be amortized over the estimated life of the arrangement using the effective interest rate method. The Company accounted for the Royalty Purchase Agreement as a financing arrangement because the Company has significant continuing involvement in the generation of cash flows due to Sagard and other existing obligations under the License Agreement. Royalty revenue will be recognized as earned on net sales of ZYNYZ, and the Company will record the royalty payments Incyte makes to Sagard as a reduction of the liability when earned. The aggregate future estimated payments, less the $69.7 million of net proceeds, will be recorded as interest expense over the estimated life of the arrangement. As such payments are made to Sagard, the balance of the liability will be effectively repaid over the life of the Royalty Purchase Agreement. The Company estimates the payments to be made to Sagard over the term of the Royalty Purchase Agreement based on forecasted royalties and will calculate the effective interest rate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discount such payments back to the liability balance. As of September 30, 2025, the estimated effective interest rate under the agreement was approximately 18.6%. Over the course of the Royalty Purchase Agreement, the actual effective interest rate will be affected by the amount and timing of net royalty revenue recognized and changes in forecasted revenue. On a quarterly basis, the Company will reassess the effective interest rate and adjust the rate prospectively as necessary. The company recognized non-cash interest expense of $3.3 million and $3.9 million during the three and nine months ended September 30, 2025, respectively, which is reflected in the interest and other expense line on the consolidated statements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to the liability related to future royalties were as follows for the nine months ended September 30, 2025 (in thousands):</w:t>
      </w:r>
    </w:p>
    <w:p>
      <w:pPr>
        <w:pStyle w:val="TextBody"/>
        <w:bidi w:val="0"/>
        <w:spacing w:before="0" w:after="0"/>
        <w:ind w:left="0" w:right="0" w:firstLine="720"/>
        <w:jc w:val="left"/>
        <w:rPr/>
      </w:pPr>
      <w:r>
        <w:rPr/>
      </w:r>
    </w:p>
    <w:tbl>
      <w:tblPr>
        <w:tblW w:w="5784" w:type="dxa"/>
        <w:jc w:val="left"/>
        <w:tblInd w:w="0" w:type="dxa"/>
        <w:tblLayout w:type="fixed"/>
        <w:tblCellMar>
          <w:top w:w="28" w:type="dxa"/>
          <w:left w:w="28" w:type="dxa"/>
          <w:bottom w:w="28" w:type="dxa"/>
          <w:right w:w="28" w:type="dxa"/>
        </w:tblCellMar>
      </w:tblPr>
      <w:tblGrid>
        <w:gridCol w:w="1662"/>
        <w:gridCol w:w="1459"/>
        <w:gridCol w:w="1468"/>
        <w:gridCol w:w="211"/>
        <w:gridCol w:w="721"/>
        <w:gridCol w:w="109"/>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 -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future royalties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transaction costs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payable to Sagard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recognized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 - 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7. Revenue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Collaborative and Other Agreements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Incyte Corporation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Incyte License Agreement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ZYNYZ (retifanlimab-dlwr) for the treatment of adults with metastatic or recurrent locally advanced Merkel cell carcinoma. In May 2025, the FDA approved ZYNYZ with carboplatin and paclitaxel for the first-line treatment of adults with inoperable locally recurrent or metastatic squamous cell carcinoma of the anal canal (SCAC), and as a single agent, for adults with locally recurrent or metastatic SCAC with disease progression on or intolerance to platinum-based chemotherapy. Furthermore, Incyte has stated it is pursuing development of retifanlimab in potentially registration-enabling studies, including in patients with non-small cell lung cancer. Incyte is also pursuing development of retifanlimab in combination with select product candidates from its pipeline. </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Under the terms of the Incyte License Agreement, as amended, Incyte leads global development of retifanlimab. From the inception of the Incyte License Agreement through </w:t>
      </w:r>
      <w:r>
        <w:rPr>
          <w:rFonts w:ascii="Times New Roman;serif" w:hAnsi="Times New Roman;serif"/>
          <w:b w:val="false"/>
          <w:color w:val="252525"/>
          <w:sz w:val="20"/>
        </w:rPr>
        <w:t>September 30, 2025</w:t>
      </w:r>
      <w:r>
        <w:rPr>
          <w:rFonts w:ascii="Times New Roman;serif" w:hAnsi="Times New Roman;serif"/>
          <w:b w:val="false"/>
          <w:color w:val="000000"/>
          <w:sz w:val="20"/>
        </w:rPr>
        <w:t xml:space="preserve">, the Company has recognized $215.0 million for certain development and regulatory milestones under the Incyte License Agreement, including $100.0 million received in August 2024 upon entering into an amendment to the Incyte License Agreement pursuant to which certain development milestones were deemed to have been met. Assuming successful development and commercialization by Incyte in multiple indications, the Company is eligible to receive up to an additional $210.0 million in development and regulatory milestones and up to $330.0 million in commercial milestones. The Company is also eligible to receive tiered royalties of 15% to 24% on global net sales, but sold this right to Sagard in June 2025 as described more fully in Note 6. Royalty Monetization Arrangement.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 </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The Company evaluated the Incyte License Agreement under the provisions of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in 2024. From 2018 through </w:t>
      </w:r>
      <w:r>
        <w:rPr>
          <w:rFonts w:ascii="Times New Roman;serif" w:hAnsi="Times New Roman;serif"/>
          <w:b w:val="false"/>
          <w:color w:val="252525"/>
          <w:sz w:val="20"/>
        </w:rPr>
        <w:t>September 30, 2025</w:t>
      </w:r>
      <w:r>
        <w:rPr>
          <w:rFonts w:ascii="Times New Roman;serif" w:hAnsi="Times New Roman;serif"/>
          <w:b w:val="false"/>
          <w:color w:val="000000"/>
          <w:sz w:val="20"/>
        </w:rPr>
        <w:t xml:space="preserve">, it became probable that a significant reversal of cumulative revenue would not occur for development milestones totaling $215.0 million related to </w:t>
      </w:r>
      <w:r>
        <w:rPr>
          <w:rFonts w:ascii="Times New Roman;serif" w:hAnsi="Times New Roman;serif"/>
          <w:b w:val="false"/>
          <w:color w:val="252525"/>
          <w:sz w:val="20"/>
        </w:rPr>
        <w:t>clinical and regulatory activities related to the further advancement of retifanlimab</w:t>
      </w:r>
      <w:r>
        <w:rPr>
          <w:rFonts w:ascii="Times New Roman;serif" w:hAnsi="Times New Roman;serif"/>
          <w:b w:val="false"/>
          <w:color w:val="000000"/>
          <w:sz w:val="20"/>
        </w:rPr>
        <w:t>. Therefore, the associated consideration was added to the estimated transaction price and was recognized as revenue</w:t>
      </w:r>
      <w:r>
        <w:rPr>
          <w:rFonts w:ascii="Times New Roman;serif" w:hAnsi="Times New Roman;serif"/>
          <w:b w:val="false"/>
          <w:color w:val="252525"/>
          <w:sz w:val="24"/>
        </w:rPr>
        <w:t xml:space="preserve">.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$3.3 million and $0.1 million in revenue under the Incyte License Agreement during the three months ended September 30, 2025 and 2024, respectively. The Company recognized $5.1 million and $0.3 million in revenue under the Incyte License Agreement during the nine months ended September 30, 2025 and 2024, respectively.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Incyte Commercial Supply Agreement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The Company recognized $1.0 million and $0.5 million in revenue under the Incyte Commercial Supply Agreement during the three months ended September 30, 2025 and 2024, respectively. The Company recognized $1.7 million and $1.4 million in revenue under the Incyte Commercial Supply Agreement during the nine months ended September 30, 2025 and 2024, respectively.</w:t>
      </w:r>
    </w:p>
    <w:p>
      <w:pPr>
        <w:pStyle w:val="TextBody"/>
        <w:bidi w:val="0"/>
        <w:spacing w:lineRule="auto" w:line="256" w:before="180" w:after="180"/>
        <w:jc w:val="left"/>
        <w:rPr>
          <w:rFonts w:ascii="Times New Roman;serif" w:hAnsi="Times New Roman;serif"/>
          <w:b/>
          <w:i/>
          <w:color w:val="000000"/>
          <w:sz w:val="20"/>
        </w:rPr>
      </w:pPr>
      <w:r>
        <w:rPr>
          <w:rFonts w:ascii="Times New Roman;serif" w:hAnsi="Times New Roman;serif"/>
          <w:b/>
          <w:i/>
          <w:color w:val="000000"/>
          <w:sz w:val="20"/>
        </w:rPr>
        <w:t xml:space="preserve">Gilead Sciences, Inc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In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w:t>
      </w:r>
      <w:r>
        <w:rPr>
          <w:rFonts w:ascii="Times New Roman;serif" w:hAnsi="Times New Roman;serif"/>
          <w:b w:val="false"/>
          <w:color w:val="000000"/>
          <w:sz w:val="20"/>
        </w:rPr>
        <w:t>ng to a development plan</w:t>
      </w:r>
      <w:r>
        <w:rPr>
          <w:rFonts w:ascii="Times New Roman;serif" w:hAnsi="Times New Roman;serif"/>
          <w:b w:val="false"/>
          <w:color w:val="000000"/>
          <w:sz w:val="20"/>
          <w:shd w:fill="FFFFFF" w:val="clear"/>
        </w:rPr>
        <w:t>, during which Gilead will have the right to exercise an option granted to Gilead to obtain an exclusive license under the Company’s intellectual property to develop and commercialize MGD024 and other bispecific antibodies of MacroGenics that bind CD123 and CD3 (CD123 Option)</w:t>
      </w:r>
      <w:r>
        <w:rPr>
          <w:rFonts w:ascii="Times New Roman;serif" w:hAnsi="Times New Roman;serif"/>
          <w:b w:val="false"/>
          <w:color w:val="000000"/>
          <w:sz w:val="20"/>
        </w:rPr>
        <w:t>.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w:t>
      </w:r>
      <w:r>
        <w:rPr>
          <w:color w:val="000000"/>
          <w:shd w:fill="FFFFFF" w:val="clear"/>
        </w:rPr>
        <w:t xml:space="preserve"> </w:t>
      </w:r>
      <w:r>
        <w:rPr>
          <w:rFonts w:ascii="Times New Roman;serif" w:hAnsi="Times New Roman;serif"/>
          <w:b w:val="false"/>
          <w:color w:val="000000"/>
          <w:sz w:val="20"/>
          <w:shd w:fill="FFFFFF" w:val="clear"/>
        </w:rPr>
        <w:t xml:space="preserve">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Gilead will pay the Company to conduct certain research and which extends the period for Gilead to select its second research target combination.</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Under the terms of the Gilead Agreement, as amended, in October 2022 Gilead paid the Company an upfront payment of $60.0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w:t>
      </w:r>
      <w:r>
        <w:rPr>
          <w:color w:val="000000"/>
        </w:rPr>
        <w:t xml:space="preserve"> </w:t>
      </w:r>
      <w:r>
        <w:rPr>
          <w:rFonts w:ascii="Times New Roman;serif" w:hAnsi="Times New Roman;serif"/>
          <w:b w:val="false"/>
          <w:color w:val="000000"/>
          <w:sz w:val="20"/>
          <w:shd w:fill="FFFFFF" w:val="clear"/>
        </w:rPr>
        <w:t xml:space="preserve">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w:t>
      </w:r>
      <w:r>
        <w:rPr>
          <w:rFonts w:ascii="Times New Roman;serif" w:hAnsi="Times New Roman;serif"/>
          <w:b w:val="false"/>
          <w:color w:val="000000"/>
          <w:sz w:val="20"/>
        </w:rPr>
        <w:t>Research Program Option,</w:t>
      </w:r>
      <w:r>
        <w:rPr>
          <w:color w:val="000000"/>
          <w:shd w:fill="FFFFFF" w:val="clear"/>
        </w:rPr>
        <w:t xml:space="preserve"> </w:t>
      </w:r>
      <w:r>
        <w:rPr>
          <w:rFonts w:ascii="Times New Roman;serif" w:hAnsi="Times New Roman;serif"/>
          <w:b w:val="false"/>
          <w:color w:val="000000"/>
          <w:sz w:val="20"/>
          <w:shd w:fill="FFFFFF" w:val="clear"/>
        </w:rPr>
        <w:t>a flat royalty on worldwide net sales of any products resulting from the two research programs.</w:t>
      </w:r>
      <w:r>
        <w:rPr>
          <w:color w:val="000000"/>
        </w:rPr>
        <w:t xml:space="preserve"> </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 xml:space="preserve">The Company evaluated the Gilead Agreement under the provisions of ASC 606 and identified the following material promises under the agreement: (i) a license to perform any activities allocated to Gilead under the MGD024 </w:t>
      </w:r>
      <w:r>
        <w:rPr>
          <w:rFonts w:ascii="Times New Roman;serif" w:hAnsi="Times New Roman;serif"/>
          <w:b w:val="false"/>
          <w:color w:val="000000"/>
          <w:sz w:val="20"/>
        </w:rPr>
        <w:t>development plan</w:t>
      </w:r>
      <w:r>
        <w:rPr>
          <w:rFonts w:ascii="Times New Roman;serif" w:hAnsi="Times New Roman;serif"/>
          <w:b w:val="false"/>
          <w:color w:val="000000"/>
          <w:sz w:val="20"/>
          <w:shd w:fill="FFFFFF" w:val="clear"/>
        </w:rPr>
        <w:t xml:space="preserve">; (ii) development activities regarding MGD024, including manufacturing, research and early clinical development activities, necessary to deliver an informational package of development and clinical data, information and materials specified in the Gilead Agreement during the period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which Gilead can exercise the CD123 Option; (iii) the CD123 Option and (iv) the </w:t>
      </w:r>
      <w:r>
        <w:rPr>
          <w:rFonts w:ascii="Times New Roman;serif" w:hAnsi="Times New Roman;serif"/>
          <w:b w:val="false"/>
          <w:color w:val="000000"/>
          <w:sz w:val="20"/>
        </w:rPr>
        <w:t>Research Program Option</w:t>
      </w:r>
      <w:r>
        <w:rPr>
          <w:rFonts w:ascii="Times New Roman;serif" w:hAnsi="Times New Roman;serif"/>
          <w:b w:val="false"/>
          <w:color w:val="000000"/>
          <w:sz w:val="20"/>
          <w:shd w:fill="FFFFFF" w:val="clear"/>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The Company concluded that the license under the MGD024 developme</w:t>
      </w:r>
      <w:r>
        <w:rPr>
          <w:rFonts w:ascii="Times New Roman;serif" w:hAnsi="Times New Roman;serif"/>
          <w:b w:val="false"/>
          <w:color w:val="000000"/>
          <w:sz w:val="20"/>
        </w:rPr>
        <w:t>nt plan</w:t>
      </w:r>
      <w:r>
        <w:rPr>
          <w:color w:val="000000"/>
          <w:shd w:fill="FFFFFF" w:val="clear"/>
        </w:rPr>
        <w:t xml:space="preserve"> </w:t>
      </w:r>
      <w:r>
        <w:rPr>
          <w:rFonts w:ascii="Times New Roman;serif" w:hAnsi="Times New Roman;serif"/>
          <w:b w:val="false"/>
          <w:color w:val="000000"/>
          <w:sz w:val="20"/>
          <w:shd w:fill="FFFFFF" w:val="clear"/>
        </w:rPr>
        <w:t>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w:t>
      </w:r>
      <w:r>
        <w:rPr>
          <w:color w:val="000000"/>
        </w:rPr>
        <w:t xml:space="preserve"> </w:t>
      </w:r>
      <w:r>
        <w:rPr>
          <w:rFonts w:ascii="Times New Roman;serif" w:hAnsi="Times New Roman;serif"/>
          <w:b w:val="false"/>
          <w:color w:val="000000"/>
          <w:sz w:val="20"/>
        </w:rPr>
        <w:t>The Company reassesses the amount of variable consideration included in the transaction price every reporting period.</w:t>
      </w:r>
      <w:r>
        <w:rPr>
          <w:color w:val="000000"/>
          <w:shd w:fill="FFFFFF" w:val="clear"/>
        </w:rPr>
        <w:t xml:space="preserve"> </w:t>
      </w:r>
      <w:r>
        <w:rPr>
          <w:rFonts w:ascii="Times New Roman;serif" w:hAnsi="Times New Roman;serif"/>
          <w:b w:val="false"/>
          <w:color w:val="000000"/>
          <w:sz w:val="20"/>
          <w:shd w:fill="FFFFFF" w:val="clear"/>
        </w:rPr>
        <w:t xml:space="preserve">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w:t>
      </w:r>
      <w:r>
        <w:rPr>
          <w:rFonts w:ascii="Times New Roman;serif" w:hAnsi="Times New Roman;serif"/>
          <w:b w:val="false"/>
          <w:color w:val="000000"/>
          <w:sz w:val="20"/>
        </w:rPr>
        <w:t>for the pre-option development timeline.</w:t>
      </w:r>
      <w:r>
        <w:rPr>
          <w:color w:val="000000"/>
        </w:rPr>
        <w:t xml:space="preserve"> </w:t>
      </w:r>
      <w:r>
        <w:rPr>
          <w:rFonts w:ascii="Times New Roman;serif" w:hAnsi="Times New Roman;serif"/>
          <w:b w:val="false"/>
          <w:color w:val="000000"/>
          <w:sz w:val="20"/>
        </w:rPr>
        <w:t>For the standalone selling price of the CD123 Option, the Company utilized an income-based approach which included the following key assumptions:</w:t>
      </w:r>
      <w:r>
        <w:rPr>
          <w:color w:val="000000"/>
        </w:rPr>
        <w:t xml:space="preserve"> </w:t>
      </w:r>
      <w:r>
        <w:rPr>
          <w:rFonts w:ascii="Times New Roman;serif" w:hAnsi="Times New Roman;serif"/>
          <w:b w:val="false"/>
          <w:color w:val="000000"/>
          <w:sz w:val="20"/>
        </w:rPr>
        <w:t xml:space="preserve">post-option development timeline and costs, forecasted revenues, discount rates and probabilities of technical and regulatory success. </w:t>
      </w:r>
    </w:p>
    <w:p>
      <w:pPr>
        <w:pStyle w:val="TextBody"/>
        <w:bidi w:val="0"/>
        <w:spacing w:lineRule="auto" w:line="288" w:before="18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revenue was recognized under the Gilead Agreement during the three and nine months ended September 30, 2025. The Company recognized $0.4 million and $0.9 million in revenue under the Gilead Agreement during the three and nine months ended September 30, 2024, respectively. As of September 30, 2025, $57.1 million in revenue was deferred under this agreement, $1.3 million of which was current and $55.8 million of which was non-current. As of December 31, 2024, $56.8 million in revenue was deferred under this agreement, $1.3 million of which was current and $55.5 million of which was non-current.</w:t>
      </w:r>
    </w:p>
    <w:p>
      <w:pPr>
        <w:pStyle w:val="TextBody"/>
        <w:bidi w:val="0"/>
        <w:spacing w:lineRule="auto" w:line="288" w:before="180" w:after="180"/>
        <w:ind w:left="0" w:right="0" w:firstLine="720"/>
        <w:jc w:val="left"/>
        <w:rPr/>
      </w:pPr>
      <w:r>
        <w:rPr>
          <w:rFonts w:ascii="Times New Roman;serif" w:hAnsi="Times New Roman;serif"/>
          <w:b w:val="false"/>
          <w:color w:val="000000"/>
          <w:sz w:val="20"/>
          <w:shd w:fill="FFFFFF" w:val="clear"/>
        </w:rPr>
        <w:t xml:space="preserve">In September 2023, </w:t>
      </w:r>
      <w:r>
        <w:rPr>
          <w:rFonts w:ascii="Times New Roman;serif" w:hAnsi="Times New Roman;serif"/>
          <w:b w:val="false"/>
          <w:color w:val="000000"/>
          <w:sz w:val="20"/>
        </w:rPr>
        <w:t xml:space="preserve">the Company and Gilead executed a letter agreement (the 2023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2023 Letter Agreement under the terms of ASC 606, and concluded that it is a modification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ASC 606, the Company determined that the initial transaction price for the First Research Program agreement was $15.7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 </w:t>
      </w:r>
    </w:p>
    <w:p>
      <w:pPr>
        <w:pStyle w:val="TextBody"/>
        <w:bidi w:val="0"/>
        <w:spacing w:lineRule="auto" w:line="288" w:before="180" w:after="180"/>
        <w:ind w:left="0" w:right="0" w:firstLine="720"/>
        <w:jc w:val="left"/>
        <w:rPr/>
      </w:pPr>
      <w:r>
        <w:rPr>
          <w:rFonts w:ascii="Times New Roman;serif" w:hAnsi="Times New Roman;serif"/>
          <w:b w:val="false"/>
          <w:color w:val="000000"/>
          <w:sz w:val="20"/>
        </w:rPr>
        <w:t xml:space="preserve">As of September 30, 2025, the Company has completed performing the services related to the First Research Program and therefore all of the related revenue has been recognized. The Company recorded no revenue and $0.4 million in revenue related to the First Research Program during the three months ended September 30, 2025 and 2024, respectively. During the nine months ended September 30, 2025 and 2024, the Company recorded revenue of $11.0 million and $2.4 million, respectively. As of September 30, 2025, no revenue was deferred under this agreement. As of December 31, 2024, $11.0 million </w:t>
      </w:r>
      <w:r>
        <w:rPr>
          <w:rFonts w:ascii="Times New Roman;serif" w:hAnsi="Times New Roman;serif"/>
          <w:b w:val="false"/>
          <w:color w:val="252525"/>
          <w:sz w:val="20"/>
        </w:rPr>
        <w:t>in revenue was deferred under this agreement, all of which was current</w:t>
      </w:r>
      <w:r>
        <w:rPr>
          <w:rFonts w:ascii="Times New Roman;serif" w:hAnsi="Times New Roman;serif"/>
          <w:b w:val="false"/>
          <w:color w:val="000000"/>
          <w:sz w:val="20"/>
        </w:rPr>
        <w: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Sanofi S.A.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2018, the Company entered into an asset purchase agreement with Provention Bio, Inc. (Provention) pursuant to which Provention acquired the Company’s interest in teplizumab, a monoclonal antibody being developed for the treatment of type 1 diabetes (Provention APA). The FDA approved the BLA for TZIELD (teplizumab-mzwv) in November 2022. In March 2023, the Company sold its single-digit royalty interest in TZIELD to a wholly-owned subsidiary of DRI Healthcare Trust (DRI) and received a $100.0 million payment from DRI under a Royalty Purchase Agreement. The Company retained its other economic interests related to TZIELD, including future potential regulatory and commercial milestones, as well as the right to receive a 50% share of the royalty on global net sales above a certain annual threshold. In addition, the Company remains eligible to receive an additional $50.0 million if TZIELD achieves a certain level of net sales.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2023, Sanofi S.A. (Sanofi) completed its acquisition of Provention and the Company entered into a tripartite agreement with DRI and Sanofi under which it was released of any obligations under the Royalty Purchase Agreement. In September 2023, the Company and Sanofi executed Amendment No. 2 to the Provention APA and terminated the Royalty Purchase Agreement with DRI. As a result, the remaining $50.0 million sales milestone under the Royalty Purchase Agreement was incorporated into the Provention APA. </w: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Provention APA under the provisions of ASC 606, and determined that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Any consideration related to sales-based milestones will be recognized when the related sales occur. The Company re-assesses the transaction price in each reporting period and when events whose outcomes are resolved or other changes in circumstances occur.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two regulatory milestones were achieved and the Company recognized $50.0 million in revenue. Payment for these milestones is not due from Sanofi until after September 30, 2025, therefore the $50.0 million is included in accounts receivable on the consolidated balance sheet. As of September 30, 2025, the remaining future potential regulatory and commercial milestones total $279.5 million.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Manufacturing Services Agreement</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Incyte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2022, the Company entered into a Manufacturing and Clinical Supply Agreement with Incyte (2022 Incyte Manufacturing and Clinical Supply Agreement) to provide manufacturing services to produce certain Incyte bulk drug substance over a three-year period. Under the terms of the 2022 Incyte Manufacturing and Clinical Supply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Company received an upfront payment of $10.0 million and was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2022 Incyte Manufacturing and Clinical Supply Agreement which extended the term for one year and provided for an additional annual fixed payment of $5.1 million (July 2022 Incyte Amendment). In December 2024 and March 2025, the Company and Incyte entered into letter agreements whereby Incyte reserved additional manufacturing services during 2025 with a total fixed cost of $13.5 million (Incyte Letter Agreements).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the 2022 Incyte Manufacturing and Clinical Supply Agreement, the July 2022 Incyte Amendment and the Incyte Letter Agreements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the annual fixed payments and the payments per batch under the Incyte Letter Agreements totaling $41.7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inventory and will be capitalized and expensed as the materials are used to provide the manufacturing services.</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During the three months ended September 30, 2025 and 2024, the Company recognized revenue of $10.5 million and $3.8 million, respectively, under the 2022 Incyte Manufacturing and Clinical Supply Agreement. During the nine months ended September 30, 2025 and 2024, the Company recognized revenue of $28.4 million and $8.1 million, respectively, under the 2022 Incyte Manufacturing and Clinical Supply Agreement. As of September 30, 2025, no revenue was deferred under this agreement. As of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$3.4 million in revenue was deferred under this agreement, all of which was current.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entered into a new Manufacturing and Clinical Supply Agreement with Incyte (2025 Incyte Manufacturing and Clinical Supply Agreement) to provide manufacturing services to produce certain Incyte bulk drug substance over a three-year period beginning in January 2026. Under the terms of the 2025 Incyte Manufacturing and Clinical Supply Agreement, Incyte will pay a total fixed cost of $16.8 million over the term of the agreement. The Company will also be reimbursed for materials used to manufacture product as well as other costs incurred to provide manufacturing services. As of September 30, 2025, no revenue was recorded under this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720"/>
        <w:jc w:val="left"/>
        <w:rPr/>
      </w:pPr>
      <w:r>
        <w:rPr>
          <w:rFonts w:ascii="Times New Roman;serif" w:hAnsi="Times New Roman;serif"/>
          <w:b w:val="false"/>
          <w:color w:val="000000"/>
          <w:sz w:val="20"/>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nine months ended September 30, 2025 and 2024, 56,880</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44,129 shares of common stock were purchased under the 2016 ESPP,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Incentive Plans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2023 Plan was effective as of stockholder approval in May 2023. The 2023 Plan provides for grants of stock options and other stock-based awards, as well as cash-based performance awards. The 2023 Plan originally authorized the issuance of up to an aggregate of 4,850,000 shares of common stock. In May 2024 and May 2025, the board and stockholders of the Company approved amendments to the 2023 Plan to increase the number of shares of common stock available to a total of 8,100,000 shares. If an option expires or terminates for any reason without having been fully exercised, if any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stock-based compensation expense was recognized for the periods indicated (in thousands):</w:t>
      </w:r>
    </w:p>
    <w:tbl>
      <w:tblPr>
        <w:tblW w:w="9933" w:type="dxa"/>
        <w:jc w:val="left"/>
        <w:tblInd w:w="0" w:type="dxa"/>
        <w:tblLayout w:type="fixed"/>
        <w:tblCellMar>
          <w:top w:w="28" w:type="dxa"/>
          <w:left w:w="28" w:type="dxa"/>
          <w:bottom w:w="28" w:type="dxa"/>
          <w:right w:w="28" w:type="dxa"/>
        </w:tblCellMar>
      </w:tblPr>
      <w:tblGrid>
        <w:gridCol w:w="1251"/>
        <w:gridCol w:w="1096"/>
        <w:gridCol w:w="1102"/>
        <w:gridCol w:w="299"/>
        <w:gridCol w:w="874"/>
        <w:gridCol w:w="154"/>
        <w:gridCol w:w="154"/>
        <w:gridCol w:w="154"/>
        <w:gridCol w:w="154"/>
        <w:gridCol w:w="299"/>
        <w:gridCol w:w="874"/>
        <w:gridCol w:w="154"/>
        <w:gridCol w:w="109"/>
        <w:gridCol w:w="109"/>
        <w:gridCol w:w="109"/>
        <w:gridCol w:w="261"/>
        <w:gridCol w:w="894"/>
        <w:gridCol w:w="135"/>
        <w:gridCol w:w="135"/>
        <w:gridCol w:w="135"/>
        <w:gridCol w:w="135"/>
        <w:gridCol w:w="261"/>
        <w:gridCol w:w="894"/>
        <w:gridCol w:w="191"/>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options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each option award is estimated on the date of grant using the Black-Scholes option-pricing model using the assumptions in the following table for options issued during the period indicated:</w:t>
      </w:r>
    </w:p>
    <w:tbl>
      <w:tblPr>
        <w:tblW w:w="6062" w:type="dxa"/>
        <w:jc w:val="left"/>
        <w:tblInd w:w="0" w:type="dxa"/>
        <w:tblLayout w:type="fixed"/>
        <w:tblCellMar>
          <w:top w:w="28" w:type="dxa"/>
          <w:left w:w="28" w:type="dxa"/>
          <w:bottom w:w="28" w:type="dxa"/>
          <w:right w:w="28" w:type="dxa"/>
        </w:tblCellMar>
      </w:tblPr>
      <w:tblGrid>
        <w:gridCol w:w="772"/>
        <w:gridCol w:w="678"/>
        <w:gridCol w:w="680"/>
        <w:gridCol w:w="505"/>
        <w:gridCol w:w="505"/>
        <w:gridCol w:w="505"/>
        <w:gridCol w:w="321"/>
        <w:gridCol w:w="321"/>
        <w:gridCol w:w="321"/>
        <w:gridCol w:w="419"/>
        <w:gridCol w:w="419"/>
        <w:gridCol w:w="6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110.7% - 115.6%</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94.9% - 115.7%</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 - 4.5%</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 - 4.7%</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6.11 years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6.06 years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nine months ended September 30, 2025:</w:t>
      </w:r>
    </w:p>
    <w:tbl>
      <w:tblPr>
        <w:tblW w:w="9517" w:type="dxa"/>
        <w:jc w:val="left"/>
        <w:tblInd w:w="0" w:type="dxa"/>
        <w:tblLayout w:type="fixed"/>
        <w:tblCellMar>
          <w:top w:w="28" w:type="dxa"/>
          <w:left w:w="28" w:type="dxa"/>
          <w:bottom w:w="28" w:type="dxa"/>
          <w:right w:w="28" w:type="dxa"/>
        </w:tblCellMar>
      </w:tblPr>
      <w:tblGrid>
        <w:gridCol w:w="1026"/>
        <w:gridCol w:w="903"/>
        <w:gridCol w:w="905"/>
        <w:gridCol w:w="540"/>
        <w:gridCol w:w="541"/>
        <w:gridCol w:w="226"/>
        <w:gridCol w:w="109"/>
        <w:gridCol w:w="109"/>
        <w:gridCol w:w="109"/>
        <w:gridCol w:w="301"/>
        <w:gridCol w:w="878"/>
        <w:gridCol w:w="156"/>
        <w:gridCol w:w="109"/>
        <w:gridCol w:w="109"/>
        <w:gridCol w:w="109"/>
        <w:gridCol w:w="565"/>
        <w:gridCol w:w="565"/>
        <w:gridCol w:w="566"/>
        <w:gridCol w:w="109"/>
        <w:gridCol w:w="109"/>
        <w:gridCol w:w="109"/>
        <w:gridCol w:w="346"/>
        <w:gridCol w:w="764"/>
        <w:gridCol w:w="2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 (in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12,939,517 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2,874,944 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(210,693)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15,210,035 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10,698,518 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14,880,587 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total unrecognized compensation expense related to unvested stock options, net of related forfeiture estimates, was approximately $17.3 million, which the Company expects to recognize over a weighted-average period of approximately 1.3 years. The following table summarizes additional information on stock options (in thousands, except per share amounts):</w:t>
      </w:r>
    </w:p>
    <w:tbl>
      <w:tblPr>
        <w:tblW w:w="9818" w:type="dxa"/>
        <w:jc w:val="left"/>
        <w:tblInd w:w="0" w:type="dxa"/>
        <w:tblLayout w:type="fixed"/>
        <w:tblCellMar>
          <w:top w:w="28" w:type="dxa"/>
          <w:left w:w="28" w:type="dxa"/>
          <w:bottom w:w="28" w:type="dxa"/>
          <w:right w:w="28" w:type="dxa"/>
        </w:tblCellMar>
      </w:tblPr>
      <w:tblGrid>
        <w:gridCol w:w="1881"/>
        <w:gridCol w:w="1651"/>
        <w:gridCol w:w="1658"/>
        <w:gridCol w:w="109"/>
        <w:gridCol w:w="109"/>
        <w:gridCol w:w="259"/>
        <w:gridCol w:w="259"/>
        <w:gridCol w:w="502"/>
        <w:gridCol w:w="1718"/>
        <w:gridCol w:w="259"/>
        <w:gridCol w:w="109"/>
        <w:gridCol w:w="109"/>
        <w:gridCol w:w="109"/>
        <w:gridCol w:w="211"/>
        <w:gridCol w:w="72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fair value per share of stock 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Total intrinsic value of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Total cash received for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stock options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720"/>
        <w:jc w:val="left"/>
        <w:rPr/>
      </w:pPr>
      <w:r>
        <w:rPr>
          <w:rFonts w:ascii="Times New Roman;serif" w:hAnsi="Times New Roman;serif"/>
          <w:b w:val="false"/>
          <w:color w:val="000000"/>
          <w:sz w:val="20"/>
        </w:rPr>
        <w:t>Restricted stock units (RSUs) are valued based on the closing price of the Company’s common stock on the date of the grant. The fair value of RSUs is recognized and amortized on a straight-line basis over the requisite service period of the award</w:t>
      </w:r>
      <w:r>
        <w:rPr>
          <w:rFonts w:ascii="sans-serif" w:hAnsi="sans-serif"/>
          <w:b w:val="false"/>
          <w:color w:val="252525"/>
          <w:sz w:val="20"/>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during the nine months ended September 30, 2025:</w:t>
      </w:r>
    </w:p>
    <w:tbl>
      <w:tblPr>
        <w:tblW w:w="6417" w:type="dxa"/>
        <w:jc w:val="left"/>
        <w:tblInd w:w="0" w:type="dxa"/>
        <w:tblLayout w:type="fixed"/>
        <w:tblCellMar>
          <w:top w:w="28" w:type="dxa"/>
          <w:left w:w="28" w:type="dxa"/>
          <w:bottom w:w="28" w:type="dxa"/>
          <w:right w:w="28" w:type="dxa"/>
        </w:tblCellMar>
      </w:tblPr>
      <w:tblGrid>
        <w:gridCol w:w="1026"/>
        <w:gridCol w:w="903"/>
        <w:gridCol w:w="905"/>
        <w:gridCol w:w="488"/>
        <w:gridCol w:w="488"/>
        <w:gridCol w:w="226"/>
        <w:gridCol w:w="109"/>
        <w:gridCol w:w="109"/>
        <w:gridCol w:w="109"/>
        <w:gridCol w:w="441"/>
        <w:gridCol w:w="1290"/>
        <w:gridCol w:w="323"/>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1,068,994 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(491,146)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837,216 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there was $4.7 million of total unrecognized compensation cost related to unvested RSUs, which the Company expects to recognize over a remaining weighted-average period of approximately 1.1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In-licensing Arrangement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noBreakHyphen/>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During the three months ended September 30, 2025 and 2024, the Company recorded expense of $0.8 million and $1.0 million, respectively, under this agreement. During the nine months ended September 30, 2025 and 2024, the Company recorded expense of $3.2 million and $4.4 million, respectively, under this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Commitments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certain contractual commitments under manufacturing-related supplier arrangements as of September 30, 2025 totaling $7.1 million that expire through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10. Net Income (Loss) Per Share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income (loss) per common share is determined by dividing income (loss) attributable to common stockholders by the weighted-average number of common shares outstanding during the period, without consideration of common stock equivalents. Diluted income (loss) per share is computed by dividing the income (loss) attributable to common stockholders by the weighted-average number of common stock equivalents outstanding for the period. The treasury stock method is used to determine the dilutive effect of the Company's stock option grants and RSUs. 15,609,038 stock options and RSUs (common stock equivalents) were excluded from the calculation of diluted income per share for the three months ended September 30, 2025, because their inclusion would have been anti-dilutive. 14,235,295 stock options and RSUs (common stock equivalents) were excluded from the calculation of diluted income per share for the three months ended September 30, 2024, because their inclusion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income (loss) per common share is computed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451"/>
        <w:gridCol w:w="1239"/>
        <w:gridCol w:w="1246"/>
        <w:gridCol w:w="273"/>
        <w:gridCol w:w="894"/>
        <w:gridCol w:w="130"/>
        <w:gridCol w:w="130"/>
        <w:gridCol w:w="130"/>
        <w:gridCol w:w="130"/>
        <w:gridCol w:w="273"/>
        <w:gridCol w:w="894"/>
        <w:gridCol w:w="130"/>
        <w:gridCol w:w="109"/>
        <w:gridCol w:w="109"/>
        <w:gridCol w:w="109"/>
        <w:gridCol w:w="246"/>
        <w:gridCol w:w="900"/>
        <w:gridCol w:w="121"/>
        <w:gridCol w:w="121"/>
        <w:gridCol w:w="121"/>
        <w:gridCol w:w="121"/>
        <w:gridCol w:w="246"/>
        <w:gridCol w:w="900"/>
        <w:gridCol w:w="182"/>
      </w:tblGrid>
      <w:tr>
        <w:trPr/>
        <w:tc>
          <w:tcPr>
            <w:tcW w:w="14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used for calculation of basic and diluted EPS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63,233,266 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62,744,005 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63,112,560 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62,566,723 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1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63,283,624 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62,865,841 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63,112,560 </w:t>
            </w:r>
          </w:p>
        </w:tc>
        <w:tc>
          <w:tcPr>
            <w:tcW w:w="1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62,566,723 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11. Segment Reporting</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identifies its reportable segments based on information reviewed by the Company’s Chief Operating Decision Maker (CODM). The Company operates as one operating and reportable segment, which is developing innovative antibody-based therapeutics for the treatment of cancer. The Company has determined its reportable operating segment based on the management approach, which considers the internal organization and reporting used by the Company’s CODM to make decisions about allocating resources and assessing the Company’s performance. The determination of a single business segment is consistent with the consolidated financial information regularly reviewed by the CODM for purposes of assessing performance and allocating resources.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uses consolidated net loss, consistent with the amounts reported in the Company’s consolidated statements of operations to evaluate performance, forecast future period financial results and allocate resources. Please refer to the consolidated balance sheets and the accompanying notes to the consolidated financial statements for segment asset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significant expenses regularly reviewed by the CODM (in thousands):</w:t>
      </w:r>
    </w:p>
    <w:tbl>
      <w:tblPr>
        <w:tblW w:w="10205" w:type="dxa"/>
        <w:jc w:val="left"/>
        <w:tblInd w:w="0" w:type="dxa"/>
        <w:tblLayout w:type="fixed"/>
        <w:tblCellMar>
          <w:top w:w="28" w:type="dxa"/>
          <w:left w:w="28" w:type="dxa"/>
          <w:bottom w:w="28" w:type="dxa"/>
          <w:right w:w="28" w:type="dxa"/>
        </w:tblCellMar>
      </w:tblPr>
      <w:tblGrid>
        <w:gridCol w:w="1319"/>
        <w:gridCol w:w="1136"/>
        <w:gridCol w:w="1129"/>
        <w:gridCol w:w="256"/>
        <w:gridCol w:w="880"/>
        <w:gridCol w:w="132"/>
        <w:gridCol w:w="132"/>
        <w:gridCol w:w="132"/>
        <w:gridCol w:w="132"/>
        <w:gridCol w:w="256"/>
        <w:gridCol w:w="1008"/>
        <w:gridCol w:w="132"/>
        <w:gridCol w:w="109"/>
        <w:gridCol w:w="109"/>
        <w:gridCol w:w="109"/>
        <w:gridCol w:w="238"/>
        <w:gridCol w:w="936"/>
        <w:gridCol w:w="122"/>
        <w:gridCol w:w="122"/>
        <w:gridCol w:w="122"/>
        <w:gridCol w:w="122"/>
        <w:gridCol w:w="238"/>
        <w:gridCol w:w="936"/>
        <w:gridCol w:w="122"/>
        <w:gridCol w:w="109"/>
        <w:gridCol w:w="167"/>
      </w:tblGrid>
      <w:tr>
        <w:trPr/>
        <w:tc>
          <w:tcPr>
            <w:tcW w:w="131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(a)</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Lorigerlimab</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MGC030</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MGC028</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Vobramitamab duocarmazine</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Next-generation T-cell engagers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MGC026</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MGD024</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antibody-drug conjugates (ADCs)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Margetuximab</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income (loss), net (b)</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Total revenue includes collaborative and other agreements, product sales, net, contract manufacturing, and government agreements.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Other segment income (loss), net includes interest and other income and interest and other expense.</w:t>
      </w:r>
    </w:p>
    <w:p>
      <w:pPr>
        <w:pStyle w:val="TextBody"/>
        <w:bidi w:val="0"/>
        <w:spacing w:before="0" w:after="0"/>
        <w:jc w:val="left"/>
        <w:rPr/>
      </w:pPr>
      <w:r>
        <w:rPr/>
      </w:r>
    </w:p>
    <w:p>
      <w:pPr>
        <w:pStyle w:val="TextBody"/>
        <w:bidi w:val="0"/>
        <w:spacing w:lineRule="auto" w:line="25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the United States and all material long-lived assets of the Company reside in the United States. For information about the Company’s revenues, see Note 7.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12. Subsequent Event</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September 30, 2025, the Company and Gilead executed a letter agreement (the 2025 Letter Agreement) through which Gilead nominated the second of the two research programs contemplated in the Gilead Agreement (Second Research Program) and the Company granted Gilead a research license. Gilead also exercised their exclusive option to obtain a license to exploit the research molecule and research product with respect to the Second Research Program. Gilead is obligated to pay the Company a total of $25.0 million related to the nomination and option exercise.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1"/>
        <w:gridCol w:w="264"/>
        <w:gridCol w:w="2743"/>
        <w:gridCol w:w="2743"/>
        <w:gridCol w:w="3896"/>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0" w:after="180"/>
        <w:ind w:left="0" w:right="0" w:firstLine="900"/>
        <w:jc w:val="left"/>
        <w:rPr/>
      </w:pPr>
      <w:r>
        <w:rPr>
          <w:rFonts w:ascii="Times New Roman;serif" w:hAnsi="Times New Roman;serif"/>
          <w:b w:val="false"/>
          <w:i/>
          <w:color w:val="000000"/>
          <w:sz w:val="20"/>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fiscal year ended December 31, 2024.</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biopharmaceutical company focused on developing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$1.6 billion of non-dilutive funding since our inception in 2000, and have enabled us to leverage the additional expertise of our collaborators to advance the development of multiple partnered product candidates. In addition, we operate a commercial-scale cGMP antibody manufacturing facility in our Maryland headquarters to support our clinical programs. We also provide outsourced contract development and manufacturing services to our collaborators and other third parties for commercial and clinical products to offset a portion of the operating costs of this facility.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advancing three proprietary product candidates in clinical development: lorigerlimab, a bispecific DART molecule that targets checkpoint inhibitors PD-1 and CTLA-4; MGC026, an ADC that targets B7-H3 and delivers a novel topoisomerase 1 inhibitor (TOP1i)-based linker-payload, and MGC028, an ADC that targets ADAM9 and delivers a novel TOP1i-based linker-payload. We are also actively developing multiple preclinical-stage programs, including ADC and next generation T-cell engager programs.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and our partners are developing or commercializing product candidates for which we retain certain economic rights. These include three products approved by the FDA: MARGENZA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(margetuximab-cmkb), an anti-HER2 monoclonal antibody (mAb) that we sold to a partner, ZYNYZ</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(retifanlimab-dlwr), an anti-PD-1 mAb that we out-licensed; and TZIELD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(teplizumab-mzwv), an anti-CD3 mAb that we sold to a partner. We are also collaborating with Gilead Sciences, Inc. (Gilead) on the development of MGD024, a bispecific DART antibody targeting CD123 and CD3 that utilizes our next-generation T-cell engager technology, as well as two additional undisclosed pre-clinical development programs.</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September 30, 2025, combined with the $50.0 million receivable from Sanofi, plus projected and anticipated future payments from our partners, and anticipated savings from our ongoing cost-reduction initiatives, supports our cash runway into late 2027. We have implemented, and will continue to evaluate and execute, various cost-saving measures that are intended to extend our financial runway while continuing to progress our pipeline.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September 30, 2025, we had an accumulated deficit of $1.2 billion. We expect that over the next several years this deficit will increase as we continue to incur research and development expense in connection with our ongoing activities and several clinical trials.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Macroeconomic Conditions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economy, credit markets and financial markets have and may continue to experience significant volatility as a result of significant worldwide events, including, fluctuating interest rates, geopolitical upheaval and tariffs or other restrictions imposed by the United States government or governments of other nations (collectively, the Macroeconomic Conditions). These Macroeconomic Conditions have and may continue to create supply chain disruptions, inventory disruptions, and fluctuations in economic growth, including fluctuations in employment rates, inflation, energy prices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Collaborations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pStyle w:val="TextBody"/>
        <w:bidi w:val="0"/>
        <w:spacing w:lineRule="auto" w:line="288" w:before="0" w:after="180"/>
        <w:ind w:left="0" w:right="0" w:hanging="360"/>
        <w:jc w:val="left"/>
        <w:rPr/>
      </w:pPr>
      <w:r>
        <w:rPr>
          <w:color w:val="252525"/>
        </w:rPr>
        <w:t>•</w:t>
      </w:r>
      <w:r>
        <w:rPr>
          <w:rFonts w:ascii="Times New Roman;serif" w:hAnsi="Times New Roman;serif"/>
          <w:b w:val="false"/>
          <w:i/>
          <w:color w:val="000000"/>
          <w:sz w:val="20"/>
        </w:rPr>
        <w:t xml:space="preserve">Incyte Corporation (Incyte). </w:t>
      </w:r>
      <w:r>
        <w:rPr>
          <w:rFonts w:ascii="Times New Roman;serif" w:hAnsi="Times New Roman;serif"/>
          <w:b w:val="false"/>
          <w:color w:val="000000"/>
          <w:sz w:val="20"/>
        </w:rPr>
        <w:t>We have an exclusive global collaboration and license agreement with Incyte for retifanlimab, an investigational 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 million from Incyte through September 30, 2025, including $100.0 million received in August 2024</w:t>
      </w:r>
      <w:r>
        <w:rPr>
          <w:rFonts w:ascii="sans-serif" w:hAnsi="sans-serif"/>
          <w:b w:val="false"/>
          <w:color w:val="008080"/>
          <w:sz w:val="24"/>
        </w:rPr>
        <w:t>.</w:t>
      </w:r>
      <w:r>
        <w:rPr>
          <w:color w:val="000000"/>
        </w:rPr>
        <w:t xml:space="preserve"> </w:t>
      </w:r>
      <w:r>
        <w:rPr>
          <w:rFonts w:ascii="Times New Roman;serif" w:hAnsi="Times New Roman;serif"/>
          <w:b w:val="false"/>
          <w:color w:val="000000"/>
          <w:sz w:val="20"/>
        </w:rPr>
        <w:t>We are eligible to receive up to an additional $210.0 million in development and regulatory milestones and $330.0 million in commercial milestones. We receive tiered royalties of 15% to 24% on any global net sales, other than with respect to ZYNYZ (see Note 6. Royalty Monetization Arrangement for further information),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performed development and manufacturing services for Incyte's clinical needs of retifanlimab and another agreement under which we are entitled to manufacture a portion of Incyte’s global commercial supply of retifanlimab (Incyte Commercial Supply Agreement).</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i/>
          <w:color w:val="000000"/>
          <w:sz w:val="20"/>
        </w:rPr>
        <w:t>Gilead</w:t>
      </w:r>
      <w:r>
        <w:rPr>
          <w:rFonts w:ascii="Times New Roman;serif" w:hAnsi="Times New Roman;serif"/>
          <w:b w:val="false"/>
          <w:color w:val="000000"/>
          <w:sz w:val="20"/>
        </w:rPr>
        <w:t xml:space="preserve">. In October 2022, we and Gilead entered into an exclusive option and collaboration agreement (Gilead Agreement) to develop and commercialize MGD024 </w:t>
      </w:r>
      <w:r>
        <w:rPr>
          <w:rFonts w:ascii="Times New Roman;serif" w:hAnsi="Times New Roman;serif"/>
          <w:b w:val="false"/>
          <w:color w:val="000000"/>
          <w:sz w:val="20"/>
          <w:shd w:fill="FFFFFF" w:val="clear"/>
        </w:rPr>
        <w:t>and create bispecific cancer antibodies using our DART platform and undertake their early development under a maximum of two separate bispecific cancer target research programs. Under t</w:t>
      </w:r>
      <w:r>
        <w:rPr>
          <w:rFonts w:ascii="Times New Roman;serif" w:hAnsi="Times New Roman;serif"/>
          <w:b w:val="false"/>
          <w:color w:val="000000"/>
          <w:sz w:val="20"/>
        </w:rPr>
        <w:t xml:space="preserve">he Gilead Agreement, we </w:t>
      </w:r>
      <w:r>
        <w:rPr>
          <w:rFonts w:ascii="Times New Roman;serif" w:hAnsi="Times New Roman;serif"/>
          <w:b w:val="false"/>
          <w:color w:val="000000"/>
          <w:sz w:val="20"/>
          <w:shd w:fill="FFFFFF" w:val="clear"/>
        </w:rPr>
        <w:t>will continue the ongoing phase 1 trial for MGD024 accordi</w:t>
      </w:r>
      <w:r>
        <w:rPr>
          <w:rFonts w:ascii="Times New Roman;serif" w:hAnsi="Times New Roman;serif"/>
          <w:b w:val="false"/>
          <w:color w:val="000000"/>
          <w:sz w:val="20"/>
        </w:rPr>
        <w:t>ng to a development plan</w:t>
      </w:r>
      <w:r>
        <w:rPr>
          <w:rFonts w:ascii="Times New Roman;serif" w:hAnsi="Times New Roman;serif"/>
          <w:b w:val="false"/>
          <w:color w:val="000000"/>
          <w:sz w:val="20"/>
          <w:shd w:fill="FFFFFF" w:val="clear"/>
        </w:rPr>
        <w:t>, during which Gilead will have the right to exercise an option granted to Gilead to obtain an exclusive license to develop and commercialize MGD024 and other bispecific antibodies of ours that bind CD123 and CD3</w:t>
      </w:r>
      <w:r>
        <w:rPr>
          <w:color w:val="000000"/>
        </w:rPr>
        <w:t xml:space="preserve"> </w:t>
      </w:r>
      <w:r>
        <w:rPr>
          <w:rFonts w:ascii="Times New Roman;serif" w:hAnsi="Times New Roman;serif"/>
          <w:b w:val="false"/>
          <w:color w:val="000000"/>
          <w:sz w:val="20"/>
        </w:rPr>
        <w:t xml:space="preserve">(CD123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w:t>
      </w:r>
      <w:r>
        <w:rPr>
          <w:rFonts w:ascii="Times New Roman;serif" w:hAnsi="Times New Roman;serif"/>
          <w:b w:val="false"/>
          <w:color w:val="000000"/>
          <w:sz w:val="20"/>
          <w:shd w:fill="FFFFFF" w:val="clear"/>
        </w:rPr>
        <w:t>and products result from the two additional research programs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Assuming exercise of the CD123 Option, w</w:t>
      </w:r>
      <w:r>
        <w:rPr>
          <w:rFonts w:ascii="Times New Roman;serif" w:hAnsi="Times New Roman;serif"/>
          <w:b w:val="false"/>
          <w:color w:val="000000"/>
          <w:sz w:val="20"/>
        </w:rPr>
        <w:t xml:space="preserve">e will also be eligible to receive tiered, low double-digit royalties on worldwide net sales of MGD024 </w:t>
      </w:r>
      <w:r>
        <w:rPr>
          <w:rFonts w:ascii="Times New Roman;serif" w:hAnsi="Times New Roman;serif"/>
          <w:b w:val="false"/>
          <w:color w:val="000000"/>
          <w:sz w:val="20"/>
          <w:shd w:fill="FFFFFF" w:val="clear"/>
        </w:rPr>
        <w:t xml:space="preserve">(or other CD123 products developed under the agreement)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assuming exercise of the </w:t>
      </w:r>
      <w:r>
        <w:rPr>
          <w:rFonts w:ascii="Times New Roman;serif" w:hAnsi="Times New Roman;serif"/>
          <w:b w:val="false"/>
          <w:color w:val="000000"/>
          <w:sz w:val="20"/>
        </w:rPr>
        <w:t>Research Program Option, a flat royalty on worldwide net sales of any products resulting from the two research programs.</w:t>
      </w:r>
      <w:r>
        <w:rPr>
          <w:color w:val="008080"/>
        </w:rPr>
        <w:t xml:space="preserve"> </w:t>
      </w:r>
      <w:r>
        <w:rPr>
          <w:rFonts w:ascii="Times New Roman;serif" w:hAnsi="Times New Roman;serif"/>
          <w:b w:val="false"/>
          <w:color w:val="000000"/>
          <w:sz w:val="20"/>
        </w:rPr>
        <w:t xml:space="preserve">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 milestone. Subsequent to September 30, 2025, Gilead nominated the second of the two research programs contemplated in the Gilead Agreement (Second Research Program) and we granted Gilead a research license. Gilead also exercised their exclusive option to obtain a license to exploit the research molecule and research product with respect to the Second Research Program. Gilead is obligated to pay us a total of $25.0 million related to the nomination and option exercise.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fiscal year ended December 31, 2024. The following accounting policies and estimates were deemed critical during the nine months ended September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Liability related to the sale of future royalties and related interest expense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liability related to future royalties is presented net of unamortized issuance costs on our consolidated balance sheets. Interest expense on the liability related to future royalties is recognized using the effective interest rate method over the life of the arrangement. We calculate an effective interest rate which will amortize our related obligation to zero over the anticipated repayment period. The liability related to future royalties and the related interest expense are based on our current estimates of future royalties expected to be received over the life of the arrangement, which we determine by using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internal sales projections and external information from market data sources, which are considered Level 3 inputs. We periodically assess the expected payments and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represents a comparison of our revenue for the three and nine months ended September 30, 2025 and 2024 (dollars in millions):</w:t>
      </w:r>
    </w:p>
    <w:tbl>
      <w:tblPr>
        <w:tblW w:w="10205" w:type="dxa"/>
        <w:jc w:val="left"/>
        <w:tblInd w:w="0" w:type="dxa"/>
        <w:tblLayout w:type="fixed"/>
        <w:tblCellMar>
          <w:top w:w="28" w:type="dxa"/>
          <w:left w:w="28" w:type="dxa"/>
          <w:bottom w:w="28" w:type="dxa"/>
          <w:right w:w="28" w:type="dxa"/>
        </w:tblCellMar>
      </w:tblPr>
      <w:tblGrid>
        <w:gridCol w:w="520"/>
        <w:gridCol w:w="399"/>
        <w:gridCol w:w="402"/>
        <w:gridCol w:w="207"/>
        <w:gridCol w:w="493"/>
        <w:gridCol w:w="115"/>
        <w:gridCol w:w="115"/>
        <w:gridCol w:w="115"/>
        <w:gridCol w:w="115"/>
        <w:gridCol w:w="207"/>
        <w:gridCol w:w="588"/>
        <w:gridCol w:w="115"/>
        <w:gridCol w:w="109"/>
        <w:gridCol w:w="109"/>
        <w:gridCol w:w="109"/>
        <w:gridCol w:w="196"/>
        <w:gridCol w:w="488"/>
        <w:gridCol w:w="109"/>
        <w:gridCol w:w="109"/>
        <w:gridCol w:w="109"/>
        <w:gridCol w:w="109"/>
        <w:gridCol w:w="221"/>
        <w:gridCol w:w="221"/>
        <w:gridCol w:w="256"/>
        <w:gridCol w:w="109"/>
        <w:gridCol w:w="109"/>
        <w:gridCol w:w="109"/>
        <w:gridCol w:w="204"/>
        <w:gridCol w:w="581"/>
        <w:gridCol w:w="113"/>
        <w:gridCol w:w="113"/>
        <w:gridCol w:w="113"/>
        <w:gridCol w:w="113"/>
        <w:gridCol w:w="204"/>
        <w:gridCol w:w="581"/>
        <w:gridCol w:w="113"/>
        <w:gridCol w:w="109"/>
        <w:gridCol w:w="109"/>
        <w:gridCol w:w="109"/>
        <w:gridCol w:w="196"/>
        <w:gridCol w:w="488"/>
        <w:gridCol w:w="109"/>
        <w:gridCol w:w="109"/>
        <w:gridCol w:w="109"/>
        <w:gridCol w:w="109"/>
        <w:gridCol w:w="221"/>
        <w:gridCol w:w="221"/>
        <w:gridCol w:w="318"/>
      </w:tblGrid>
      <w:tr>
        <w:trPr/>
        <w:tc>
          <w:tcPr>
            <w:tcW w:w="52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Collaborative and other agreements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Contract manufacturing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agreements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revenue of $37.9 million for the three months ended September 30, 2025 compared to the three months ended September 30, 2024 was primarily due to:</w:t>
      </w:r>
    </w:p>
    <w:p>
      <w:pPr>
        <w:pStyle w:val="TextBody"/>
        <w:bidi w:val="0"/>
        <w:spacing w:lineRule="auto" w:line="288" w:before="0" w:after="120"/>
        <w:ind w:left="0" w:right="0" w:hanging="360"/>
        <w:jc w:val="left"/>
        <w:rPr/>
      </w:pPr>
      <w:r>
        <w:rPr>
          <w:color w:val="252525"/>
        </w:rPr>
        <w:t>•</w:t>
      </w:r>
      <w:r>
        <w:rPr>
          <w:rFonts w:ascii="Times New Roman;serif" w:hAnsi="Times New Roman;serif"/>
          <w:b w:val="false"/>
          <w:color w:val="252525"/>
          <w:sz w:val="20"/>
        </w:rPr>
        <w:t>$100.0 million recognized from milestones under the Incyte License Agreement during the three months ended September 30, 2024 compared to $50.0 million recognized from milestones under the Provention (Sanofi) Asset Purchase Agreement during the three months ended September 30, 2025</w:t>
      </w:r>
      <w:r>
        <w:rPr>
          <w:rFonts w:ascii="Times New Roman;serif" w:hAnsi="Times New Roman;serif"/>
          <w:b w:val="false"/>
          <w:color w:val="000000"/>
          <w:sz w:val="20"/>
        </w:rPr>
        <w: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252525"/>
          <w:sz w:val="20"/>
        </w:rPr>
        <w:t xml:space="preserve">a decrease </w:t>
      </w:r>
      <w:r>
        <w:rPr>
          <w:rFonts w:ascii="Times New Roman;serif" w:hAnsi="Times New Roman;serif"/>
          <w:b w:val="false"/>
          <w:color w:val="000000"/>
          <w:sz w:val="20"/>
        </w:rPr>
        <w:t>of $4.2 million in MARGENZA net product sales due to the fact that we sold the global rights to MARGENZA to TerSera Therapeutics, LLC (TerSera) in November 2024.</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of $15.2 million in contract manufacturing revenue due to higher production volume in 2025;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of $3.2 million in royalty revenue recognized due to higher sales of ZYNYZ.</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revenue of $22.3 million for the nine months ended September 30, 2025 compared to the nine months ended September 30, 2024 was primarily due to:</w:t>
      </w:r>
    </w:p>
    <w:p>
      <w:pPr>
        <w:pStyle w:val="TextBody"/>
        <w:bidi w:val="0"/>
        <w:spacing w:lineRule="auto" w:line="288" w:before="0" w:after="120"/>
        <w:ind w:left="0" w:right="0" w:hanging="360"/>
        <w:jc w:val="left"/>
        <w:rPr/>
      </w:pPr>
      <w:r>
        <w:rPr>
          <w:color w:val="252525"/>
        </w:rPr>
        <w:t>•</w:t>
      </w:r>
      <w:r>
        <w:rPr>
          <w:rFonts w:ascii="Times New Roman;serif" w:hAnsi="Times New Roman;serif"/>
          <w:b w:val="false"/>
          <w:color w:val="252525"/>
          <w:sz w:val="20"/>
        </w:rPr>
        <w:t>$100.0 million recognized from milestones under the Incyte License Agreement during the three months ended September 30, 2024 compared to $50.0 million recognized from milestones under the Provention (Sanofi) Asset Purchase Agreement during the three months ended September 30, 2025;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252525"/>
          <w:sz w:val="20"/>
        </w:rPr>
        <w:t xml:space="preserve">a decrease </w:t>
      </w:r>
      <w:r>
        <w:rPr>
          <w:rFonts w:ascii="Times New Roman;serif" w:hAnsi="Times New Roman;serif"/>
          <w:b w:val="false"/>
          <w:color w:val="000000"/>
          <w:sz w:val="20"/>
        </w:rPr>
        <w:t>of $14.3 million in MARGENZA net product sales due to the fact that we sold the global rights to MARGENZA to TerSera in November 2024.</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of $31.7 million in contract manufacturing revenue due to higher production volume in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increase of $7.4 million in revenue recognized under the Gilead Agreement.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MARGENZA was sold to TerSera in 2024, therefore there were no cost of product sales for the three and nine months ended September 30, 2025. Cost of product sales was $0.2 million and $0.6 million for the three and nine months ended September 30, 2024, respectively. Cost of product sales consisted primarily of product royalties and fill finish costs. Product sold during the period consisted of drug product that was previously charged to research and development expense prior to FDA approval of MARGENZA, which favorably impacted our gross margin.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Manufacturing Services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 was $11.6 million and $1.7 million for the three months ended September 30, 2025 and 2024, respectively. Cost of manufacturing services was $25.9 million and $6.2 million for the nine months ended September 30, 2025 and 2024, respectively. Cost of manufacturing services includes process development costs and costs to produce bulk drug substance for our contract development and manufacturing customers. We expect cost of manufacturing services to vary from period to period based on the agreed-upon manufacturing schedule.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represents a comparison of our research and development expense for the three and nine months ended September 30, 2025 and 2024 (dollars in millions):</w:t>
      </w:r>
    </w:p>
    <w:tbl>
      <w:tblPr>
        <w:tblW w:w="10295" w:type="dxa"/>
        <w:jc w:val="left"/>
        <w:tblInd w:w="0" w:type="dxa"/>
        <w:tblLayout w:type="fixed"/>
        <w:tblCellMar>
          <w:top w:w="28" w:type="dxa"/>
          <w:left w:w="28" w:type="dxa"/>
          <w:bottom w:w="28" w:type="dxa"/>
          <w:right w:w="28" w:type="dxa"/>
        </w:tblCellMar>
      </w:tblPr>
      <w:tblGrid>
        <w:gridCol w:w="598"/>
        <w:gridCol w:w="419"/>
        <w:gridCol w:w="424"/>
        <w:gridCol w:w="211"/>
        <w:gridCol w:w="511"/>
        <w:gridCol w:w="109"/>
        <w:gridCol w:w="109"/>
        <w:gridCol w:w="109"/>
        <w:gridCol w:w="109"/>
        <w:gridCol w:w="211"/>
        <w:gridCol w:w="511"/>
        <w:gridCol w:w="109"/>
        <w:gridCol w:w="109"/>
        <w:gridCol w:w="109"/>
        <w:gridCol w:w="109"/>
        <w:gridCol w:w="211"/>
        <w:gridCol w:w="421"/>
        <w:gridCol w:w="109"/>
        <w:gridCol w:w="109"/>
        <w:gridCol w:w="109"/>
        <w:gridCol w:w="109"/>
        <w:gridCol w:w="255"/>
        <w:gridCol w:w="226"/>
        <w:gridCol w:w="271"/>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187"/>
        <w:gridCol w:w="189"/>
        <w:gridCol w:w="316"/>
      </w:tblGrid>
      <w:tr>
        <w:trPr/>
        <w:tc>
          <w:tcPr>
            <w:tcW w:w="5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Lorigerlimab</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MGC030</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Vobramitamab duocarmazine (vobra duo)</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Next-generation T-cell engagers (a)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MGC026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MGD024</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antibody-drug conjugates (ADCs)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Margetuximab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 (a)</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Includes discontinued projects.</w:t>
      </w:r>
    </w:p>
    <w:p>
      <w:pPr>
        <w:pStyle w:val="TextBody"/>
        <w:bidi w:val="0"/>
        <w:spacing w:lineRule="auto" w:line="288" w:before="18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our research and development expense for the three and nine months ended September 30, 2025 compared to the three and nine months ended September 30, 2024 was primarily due to:</w:t>
      </w:r>
    </w:p>
    <w:p>
      <w:pPr>
        <w:pStyle w:val="TextBody"/>
        <w:bidi w:val="0"/>
        <w:spacing w:lineRule="auto" w:line="288" w:before="180" w:after="120"/>
        <w:ind w:left="0" w:right="0" w:hanging="360"/>
        <w:jc w:val="left"/>
        <w:rPr>
          <w:color w:val="000000"/>
        </w:rPr>
      </w:pPr>
      <w:r>
        <w:rPr>
          <w:color w:val="000000"/>
        </w:rPr>
        <w:t>•    </w:t>
      </w:r>
      <w:r>
        <w:rPr>
          <w:rFonts w:ascii="Times New Roman;serif" w:hAnsi="Times New Roman;serif"/>
          <w:b w:val="false"/>
          <w:color w:val="000000"/>
          <w:sz w:val="20"/>
        </w:rPr>
        <w:t>decreased vobra duo costs due to the decision to discontinue further internal development of that program;</w:t>
      </w:r>
    </w:p>
    <w:p>
      <w:pPr>
        <w:pStyle w:val="TextBody"/>
        <w:bidi w:val="0"/>
        <w:spacing w:lineRule="auto" w:line="288" w:before="180" w:after="120"/>
        <w:ind w:left="0" w:right="0" w:hanging="360"/>
        <w:jc w:val="left"/>
        <w:rPr/>
      </w:pPr>
      <w:r>
        <w:rPr>
          <w:color w:val="000000"/>
        </w:rPr>
        <w:t>•</w:t>
      </w:r>
      <w:r>
        <w:rPr>
          <w:rFonts w:ascii="Times New Roman;serif" w:hAnsi="Times New Roman;serif"/>
          <w:b w:val="false"/>
          <w:color w:val="000000"/>
          <w:sz w:val="20"/>
        </w:rPr>
        <w:t xml:space="preserve">decreased development, manufacturing and IND-enabling costs related to MGC028; and </w:t>
      </w:r>
    </w:p>
    <w:p>
      <w:pPr>
        <w:pStyle w:val="TextBody"/>
        <w:bidi w:val="0"/>
        <w:spacing w:lineRule="auto" w:line="288" w:before="180" w:after="120"/>
        <w:ind w:left="0" w:right="0" w:hanging="360"/>
        <w:jc w:val="left"/>
        <w:rPr/>
      </w:pPr>
      <w:r>
        <w:rPr>
          <w:color w:val="000000"/>
        </w:rPr>
        <w:t>•</w:t>
      </w:r>
      <w:r>
        <w:rPr>
          <w:rFonts w:ascii="Times New Roman;serif" w:hAnsi="Times New Roman;serif"/>
          <w:b w:val="false"/>
          <w:color w:val="000000"/>
          <w:sz w:val="20"/>
        </w:rPr>
        <w:t>decreased development costs related to margetuximab.</w:t>
      </w:r>
    </w:p>
    <w:p>
      <w:pPr>
        <w:pStyle w:val="TextBody"/>
        <w:bidi w:val="0"/>
        <w:spacing w:lineRule="auto" w:line="288" w:before="18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increased development costs related to MGC030.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80" w:after="120"/>
        <w:ind w:left="0" w:right="0" w:firstLine="720"/>
        <w:jc w:val="left"/>
        <w:rPr/>
      </w:pPr>
      <w:r>
        <w:rPr>
          <w:rFonts w:ascii="Times New Roman;serif" w:hAnsi="Times New Roman;serif"/>
          <w:b w:val="false"/>
          <w:color w:val="000000"/>
          <w:sz w:val="20"/>
        </w:rPr>
        <w:t>For the three months ended September 30, 2025 and 2024, selling, general and administrative expenses were $9.9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$14.1 million, respectively. For the nine months ended September 30, 2025 and 2024, selling, general and administrative expenses were $29.9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$43.2 million, respectively. The decrease for both periods was primarily due to lower stock-based compensation expense and reduced professional fees. The reduction in professional fees was largely driven by the cessation of commercialization activities for MARGENZA.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summary of our cash flows for the nine months ended September 30, 2025 and 2024:</w:t>
      </w:r>
    </w:p>
    <w:tbl>
      <w:tblPr>
        <w:tblW w:w="6432" w:type="dxa"/>
        <w:jc w:val="left"/>
        <w:tblInd w:w="0" w:type="dxa"/>
        <w:tblLayout w:type="fixed"/>
        <w:tblCellMar>
          <w:top w:w="28" w:type="dxa"/>
          <w:left w:w="28" w:type="dxa"/>
          <w:bottom w:w="28" w:type="dxa"/>
          <w:right w:w="28" w:type="dxa"/>
        </w:tblCellMar>
      </w:tblPr>
      <w:tblGrid>
        <w:gridCol w:w="1227"/>
        <w:gridCol w:w="1077"/>
        <w:gridCol w:w="1086"/>
        <w:gridCol w:w="280"/>
        <w:gridCol w:w="919"/>
        <w:gridCol w:w="145"/>
        <w:gridCol w:w="145"/>
        <w:gridCol w:w="145"/>
        <w:gridCol w:w="145"/>
        <w:gridCol w:w="280"/>
        <w:gridCol w:w="779"/>
        <w:gridCol w:w="20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consists of our net loss adjusted for non-cash items such as depreciation and amortization expense and stock-based compensation and changes in working capital.</w:t>
      </w:r>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nine months ended September 30, 2025 is primarily due to purchases of marketable securities, partially offset by maturities of marketable securities and net cash provided by investing activities during the nine months ended September 30, 2024 is primarily due to maturities of marketable securities, partially offset by purchases of marketable securities.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nine months ended September 30, 2025 includes net cash proceeds of $69.7 million from Sagard Healthcare Partners (Sagard) under a Purchase and Sale Agreement (Royalty Purchase Agreement) pursuant to which we sold to Sagard our right to receive royalties on global net sales of ZYNYZ (retifanlimab-dlwr). See Note 6. Royalty Monetization Arrangement for further information.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As a biotechnology company, we have primarily funded our operations with proceeds from the sale of our common stock in equity offerings and revenue from our multiple collaboration agreements.</w:t>
      </w:r>
      <w:r>
        <w:rPr>
          <w:color w:val="000000"/>
        </w:rPr>
        <w:t xml:space="preserve"> </w:t>
      </w:r>
      <w:r>
        <w:rPr>
          <w:rFonts w:ascii="Times New Roman;serif" w:hAnsi="Times New Roman;serif"/>
          <w:b w:val="false"/>
          <w:color w:val="000000"/>
          <w:sz w:val="20"/>
        </w:rPr>
        <w:t xml:space="preserve">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serif" w:hAnsi="Times New Roman;serif"/>
          <w:b w:val="false"/>
          <w:color w:val="EE2724"/>
          <w:sz w:val="20"/>
        </w:rPr>
        <w:t xml:space="preserve">. </w:t>
      </w:r>
      <w:r>
        <w:rPr>
          <w:rFonts w:ascii="Times New Roman;serif" w:hAnsi="Times New Roman;serif"/>
          <w:b w:val="false"/>
          <w:color w:val="000000"/>
          <w:sz w:val="20"/>
        </w:rPr>
        <w:t xml:space="preserve">Although it is difficult to predict our funding requirements, we anticipate that our cash, cash equivalents and marketable securities as of September 30, 2025, combined with the $50.0 million receivable from Sanofi, plus projected and anticipated future payments from our partners, and anticipated savings from our ongoing cost-reduction initiatives, supports our cash runway into late 2027. We have implemented, and will continue to evaluate and execute, various cost-saving measures that are intended to extend our financial runway while continuing to progress our pipeline. </w:t>
      </w:r>
    </w:p>
    <w:p>
      <w:pPr>
        <w:pStyle w:val="TextBody"/>
        <w:bidi w:val="0"/>
        <w:spacing w:lineRule="auto" w:line="288" w:before="0" w:after="180"/>
        <w:jc w:val="left"/>
        <w:rPr>
          <w:rFonts w:ascii="Times New Roman;serif" w:hAnsi="Times New Roman;serif"/>
          <w:b/>
          <w:i/>
          <w:color w:val="252525"/>
          <w:sz w:val="20"/>
        </w:rPr>
      </w:pPr>
      <w:r>
        <w:rPr>
          <w:rFonts w:ascii="Times New Roman;serif" w:hAnsi="Times New Roman;serif"/>
          <w:b/>
          <w:i/>
          <w:color w:val="252525"/>
          <w:sz w:val="20"/>
        </w:rPr>
        <w:t>Material Cash Requirements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3" w:type="dxa"/>
        <w:jc w:val="left"/>
        <w:tblInd w:w="0" w:type="dxa"/>
        <w:tblLayout w:type="fixed"/>
        <w:tblCellMar>
          <w:top w:w="28" w:type="dxa"/>
          <w:left w:w="28" w:type="dxa"/>
          <w:bottom w:w="28" w:type="dxa"/>
          <w:right w:w="28" w:type="dxa"/>
        </w:tblCellMar>
      </w:tblPr>
      <w:tblGrid>
        <w:gridCol w:w="304"/>
        <w:gridCol w:w="266"/>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20" w:after="180"/>
        <w:ind w:left="0" w:right="0" w:firstLine="720"/>
        <w:jc w:val="left"/>
        <w:rPr>
          <w:color w:val="000000"/>
        </w:rPr>
      </w:pPr>
      <w:r>
        <w:rPr>
          <w:color w:val="000000"/>
        </w:rPr>
        <w:t> </w:t>
      </w:r>
      <w:r>
        <w:rPr>
          <w:rFonts w:ascii="Times New Roman;serif" w:hAnsi="Times New Roman;serif"/>
          <w:b w:val="false"/>
          <w:color w:val="000000"/>
          <w:sz w:val="20"/>
        </w:rPr>
        <w:t>As of September 30, 2025, our exposure to market risk has not changed materially since December 31, 2024. For more information on financial market risks related to changes in interest rates, reference is made to Item 7A. "Quantitative and Qualitative Disclosures About Market Risk" contained in Part II of our Annual Report on Form 10-K for the fiscal year ended December 31, 2024, filed with the SEC on March 20,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4" w:type="dxa"/>
        <w:jc w:val="left"/>
        <w:tblInd w:w="0" w:type="dxa"/>
        <w:tblLayout w:type="fixed"/>
        <w:tblCellMar>
          <w:top w:w="28" w:type="dxa"/>
          <w:left w:w="28" w:type="dxa"/>
          <w:bottom w:w="28" w:type="dxa"/>
          <w:right w:w="28" w:type="dxa"/>
        </w:tblCellMar>
      </w:tblPr>
      <w:tblGrid>
        <w:gridCol w:w="304"/>
        <w:gridCol w:w="266"/>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has evaluated the effectiveness of our disclosure controls and procedures (as defined in Exchange Act Rule 13a-15(e) and 15d-15(e)) as of September 30, 2025.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September 30, 2025, our principal executive officer and principal financial officer have concluded that our disclosure controls and procedures are effective at the reasonable assurance level.</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September 30, 2025 that materially affected, or are reasonably likely to materially effect,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8" w:type="dxa"/>
        <w:jc w:val="left"/>
        <w:tblInd w:w="0" w:type="dxa"/>
        <w:tblLayout w:type="fixed"/>
        <w:tblCellMar>
          <w:top w:w="28" w:type="dxa"/>
          <w:left w:w="28" w:type="dxa"/>
          <w:bottom w:w="28" w:type="dxa"/>
          <w:right w:w="28" w:type="dxa"/>
        </w:tblCellMar>
      </w:tblPr>
      <w:tblGrid>
        <w:gridCol w:w="255"/>
        <w:gridCol w:w="223"/>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3" w:type="dxa"/>
        <w:jc w:val="left"/>
        <w:tblInd w:w="0" w:type="dxa"/>
        <w:tblLayout w:type="fixed"/>
        <w:tblCellMar>
          <w:top w:w="28" w:type="dxa"/>
          <w:left w:w="28" w:type="dxa"/>
          <w:bottom w:w="28" w:type="dxa"/>
          <w:right w:w="28" w:type="dxa"/>
        </w:tblCellMar>
      </w:tblPr>
      <w:tblGrid>
        <w:gridCol w:w="304"/>
        <w:gridCol w:w="266"/>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fiscal year ended December 31, 2024. There have been no material changes in the risk factors described in Item 1A. "Risk Factors” of our Annual Report on Form 10-K for the fiscal year ended December 31, 2024 and in Part II, Item 1A. "Risk Factors" of our Quarterly Report on Form 10-Q for the period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8" w:type="dxa"/>
        <w:jc w:val="left"/>
        <w:tblInd w:w="0" w:type="dxa"/>
        <w:tblLayout w:type="fixed"/>
        <w:tblCellMar>
          <w:top w:w="28" w:type="dxa"/>
          <w:left w:w="28" w:type="dxa"/>
          <w:bottom w:w="28" w:type="dxa"/>
          <w:right w:w="28" w:type="dxa"/>
        </w:tblCellMar>
      </w:tblPr>
      <w:tblGrid>
        <w:gridCol w:w="255"/>
        <w:gridCol w:w="223"/>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180" w:after="180"/>
        <w:ind w:left="0" w:right="0" w:hanging="720"/>
        <w:jc w:val="left"/>
        <w:rPr>
          <w:rFonts w:ascii="Times New Roman;serif" w:hAnsi="Times New Roman;serif"/>
          <w:b/>
          <w:color w:val="000000"/>
          <w:sz w:val="20"/>
        </w:rPr>
      </w:pPr>
      <w:r>
        <w:rPr>
          <w:rFonts w:ascii="Times New Roman;serif" w:hAnsi="Times New Roman;serif"/>
          <w:b/>
          <w:color w:val="000000"/>
          <w:sz w:val="20"/>
        </w:rPr>
        <w:t>10b5-1 Trading Plans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the Company's directors or officers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560" w:type="dxa"/>
        <w:jc w:val="left"/>
        <w:tblInd w:w="0" w:type="dxa"/>
        <w:tblLayout w:type="fixed"/>
        <w:tblCellMar>
          <w:top w:w="28" w:type="dxa"/>
          <w:left w:w="28" w:type="dxa"/>
          <w:bottom w:w="28" w:type="dxa"/>
          <w:right w:w="28" w:type="dxa"/>
        </w:tblCellMar>
      </w:tblPr>
      <w:tblGrid>
        <w:gridCol w:w="255"/>
        <w:gridCol w:w="223"/>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tbl>
      <w:tblPr>
        <w:tblW w:w="9134" w:type="dxa"/>
        <w:jc w:val="left"/>
        <w:tblInd w:w="0" w:type="dxa"/>
        <w:tblLayout w:type="fixed"/>
        <w:tblCellMar>
          <w:top w:w="28" w:type="dxa"/>
          <w:left w:w="28" w:type="dxa"/>
          <w:bottom w:w="28" w:type="dxa"/>
          <w:right w:w="28" w:type="dxa"/>
        </w:tblCellMar>
      </w:tblPr>
      <w:tblGrid>
        <w:gridCol w:w="315"/>
        <w:gridCol w:w="276"/>
        <w:gridCol w:w="279"/>
        <w:gridCol w:w="2413"/>
        <w:gridCol w:w="2413"/>
        <w:gridCol w:w="3438"/>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31.1</w:t>
            </w:r>
            <w:r>
              <w:rPr>
                <w:rFonts w:ascii="Times New Roman;serif" w:hAnsi="Times New Roman;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5.htm">
              <w:r>
                <w:rPr>
                  <w:rStyle w:val="InternetLink"/>
                  <w:rFonts w:ascii="Times New Roman;serif" w:hAnsi="Times New Roman;serif"/>
                  <w:b w:val="false"/>
                  <w:color w:val="0000FF"/>
                  <w:sz w:val="20"/>
                  <w:u w:val="single"/>
                </w:rPr>
                <w:t>Rule 13a-14(a) Certification of Principal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31.2</w:t>
            </w:r>
            <w:r>
              <w:rPr>
                <w:rFonts w:ascii="Times New Roman;serif" w:hAnsi="Times New Roman;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5.htm">
              <w:r>
                <w:rPr>
                  <w:rStyle w:val="InternetLink"/>
                  <w:rFonts w:ascii="Times New Roman;serif" w:hAnsi="Times New Roman;serif"/>
                  <w:b w:val="false"/>
                  <w:color w:val="0000FF"/>
                  <w:sz w:val="20"/>
                  <w:u w:val="single"/>
                </w:rPr>
                <w:t>Rule 13a-14(a) Certification of Principal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32.1</w:t>
            </w:r>
            <w:r>
              <w:rPr>
                <w:rFonts w:ascii="Times New Roman;serif" w:hAnsi="Times New Roman;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5.htm">
              <w:r>
                <w:rPr>
                  <w:rStyle w:val="InternetLink"/>
                  <w:rFonts w:ascii="Times New Roman;serif" w:hAnsi="Times New Roman;serif"/>
                  <w:b w:val="false"/>
                  <w:color w:val="0000FF"/>
                  <w:sz w:val="20"/>
                  <w:u w:val="single"/>
                </w:rPr>
                <w:t>Section 1350 Certification of Principal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32.2</w:t>
            </w:r>
            <w:r>
              <w:rPr>
                <w:rFonts w:ascii="Times New Roman;serif" w:hAnsi="Times New Roman;serif"/>
                <w:b w:val="false"/>
                <w:color w:val="000000"/>
                <w:sz w:val="13"/>
              </w:rPr>
              <w:t>**</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32025.htm">
              <w:r>
                <w:rPr>
                  <w:rStyle w:val="InternetLink"/>
                  <w:rFonts w:ascii="Times New Roman;serif" w:hAnsi="Times New Roman;serif"/>
                  <w:b w:val="false"/>
                  <w:color w:val="0000FF"/>
                  <w:sz w:val="20"/>
                  <w:u w:val="single"/>
                </w:rPr>
                <w:t>Section 1350 Certification of Principal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(formatted as Inline XBRL and contained in Exhibit 101 filed herewith)</w:t>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8264"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95" w:type="dxa"/>
        <w:jc w:val="left"/>
        <w:tblInd w:w="0" w:type="dxa"/>
        <w:tblLayout w:type="fixed"/>
        <w:tblCellMar>
          <w:top w:w="28" w:type="dxa"/>
          <w:left w:w="28" w:type="dxa"/>
          <w:bottom w:w="28" w:type="dxa"/>
          <w:right w:w="28" w:type="dxa"/>
        </w:tblCellMar>
      </w:tblPr>
      <w:tblGrid>
        <w:gridCol w:w="835"/>
        <w:gridCol w:w="734"/>
        <w:gridCol w:w="741"/>
        <w:gridCol w:w="315"/>
        <w:gridCol w:w="315"/>
        <w:gridCol w:w="315"/>
        <w:gridCol w:w="1209"/>
        <w:gridCol w:w="1209"/>
        <w:gridCol w:w="1722"/>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Eric Risser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Risser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Karrels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Karrels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12, 2025</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Risser,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September 30, 2025 of MacroGenics, Inc.;</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12,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Karrels,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September 30, 2025 of MacroGenics, Inc.;</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12,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of Principal Executive Officer</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Pursuant to 18 U.S.C. 1350</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Risser, President and Chief Executive Officer (principal executive officer) of MacroGenics, Inc. (the Registrant), certify, to the best of my knowledge, based upon a review of the Quarterly Report on Form 10-Q for the period ended September 30, 2025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ind w:left="0" w:right="0" w:hanging="4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Eric Risser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12, 2025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Certification of Principal Financial Officer</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Pursuant to 18 U.S.C. 1350</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James Karrels, Senior Vice President and Chief Financial Officer (principal financial officer) of MacroGenics, Inc. (the Registrant), certify, to the best of my knowledge, based upon a review of the Quarterly Report on Form 10-Q for the period ended September 30, 2025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James Karrels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12, 2025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15930</Words>
  <Characters>91639</Characters>
  <CharactersWithSpaces>106723</CharactersWithSpaces>
  <Paragraphs>1704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