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12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001-36112</w:t>
      </w:r>
    </w:p>
    <w:p>
      <w:pPr>
        <w:pStyle w:val="TextBody"/>
        <w:bidi w:val="0"/>
        <w:spacing w:lineRule="auto" w:line="288" w:before="120" w:after="120"/>
        <w:jc w:val="center"/>
        <w:rPr>
          <w:rFonts w:ascii="Times New Roman;sans-serif" w:hAnsi="Times New Roman;sans-serif"/>
          <w:b/>
          <w:color w:val="000000"/>
          <w:sz w:val="48"/>
        </w:rPr>
      </w:pPr>
      <w:r>
        <w:rPr>
          <w:rFonts w:ascii="Times New Roman;sans-serif" w:hAnsi="Times New Roman;sans-serif"/>
          <w:b/>
          <w:color w:val="000000"/>
          <w:sz w:val="48"/>
        </w:rPr>
        <w:t>MACROGENICS, INC.</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5053" w:type="dxa"/>
        <w:jc w:val="center"/>
        <w:tblInd w:w="0" w:type="dxa"/>
        <w:tblLayout w:type="fixed"/>
        <w:tblCellMar>
          <w:top w:w="28" w:type="dxa"/>
          <w:left w:w="28" w:type="dxa"/>
          <w:bottom w:w="28" w:type="dxa"/>
          <w:right w:w="28" w:type="dxa"/>
        </w:tblCellMar>
      </w:tblPr>
      <w:tblGrid>
        <w:gridCol w:w="1220"/>
        <w:gridCol w:w="1072"/>
        <w:gridCol w:w="1082"/>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06-1591613</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9704 Medical Center Drive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Rockville, Maryland</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20850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301-251-5172</w:t>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MGNX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ind w:left="0" w:right="0" w:firstLine="720"/>
        <w:jc w:val="left"/>
        <w:rPr/>
      </w:pPr>
      <w:r>
        <w:rPr/>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   No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"accelerated filer," "large accelerated filer," "smaller reporting company" and "emerging growth company" in Rule 12b-2 of the Exchange Act. (Check one):</w:t>
      </w:r>
    </w:p>
    <w:tbl>
      <w:tblPr>
        <w:tblW w:w="5335"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May 3, 2024, 62,633,460 shares of the registrant's common stock, par value $0.01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320"/>
        <w:gridCol w:w="281"/>
        <w:gridCol w:w="285"/>
        <w:gridCol w:w="2726"/>
        <w:gridCol w:w="2726"/>
        <w:gridCol w:w="3867"/>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13">
              <w:r>
                <w:rPr>
                  <w:rStyle w:val="InternetLink"/>
                  <w:rFonts w:ascii="Times New Roman;sans-serif" w:hAnsi="Times New Roman;sans-serif"/>
                  <w:b/>
                  <w:color w:val="0000FF"/>
                  <w:sz w:val="20"/>
                  <w:u w:val="single"/>
                </w:rPr>
                <w:t>FINANCIAL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16">
              <w:r>
                <w:rPr>
                  <w:rStyle w:val="InternetLink"/>
                  <w:rFonts w:ascii="Times New Roman;sans-serif" w:hAnsi="Times New Roman;sans-serif"/>
                  <w:b w:val="false"/>
                  <w:color w:val="0000FF"/>
                  <w:sz w:val="20"/>
                  <w:u w:val="single"/>
                </w:rPr>
                <w:t>Financial Statements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19">
              <w:r>
                <w:rPr>
                  <w:rStyle w:val="InternetLink"/>
                  <w:rFonts w:ascii="Times New Roman;sans-serif" w:hAnsi="Times New Roman;sans-serif"/>
                  <w:b w:val="false"/>
                  <w:color w:val="0000FF"/>
                  <w:sz w:val="20"/>
                  <w:u w:val="single"/>
                </w:rPr>
                <w:t>Consolidated Balance Sheets at March 31, 2024 (unaudited) and December 31, 2023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22">
              <w:r>
                <w:rPr>
                  <w:rStyle w:val="InternetLink"/>
                  <w:rFonts w:ascii="Times New Roman;sans-serif" w:hAnsi="Times New Roman;sans-serif"/>
                  <w:b w:val="false"/>
                  <w:color w:val="000080"/>
                  <w:sz w:val="20"/>
                  <w:u w:val="single"/>
                </w:rPr>
                <w:t xml:space="preserve">Consolidated Statements of Operations and Comprehensive </w:t>
              </w:r>
            </w:hyperlink>
            <w:hyperlink w:anchor="ied5d634ea59e4feb863080061177f316_22">
              <w:r>
                <w:rPr>
                  <w:rStyle w:val="InternetLink"/>
                  <w:rFonts w:ascii="Times New Roman;sans-serif" w:hAnsi="Times New Roman;sans-serif"/>
                  <w:b w:val="false"/>
                  <w:color w:val="000080"/>
                  <w:sz w:val="20"/>
                  <w:u w:val="single"/>
                </w:rPr>
                <w:t>Loss</w:t>
              </w:r>
            </w:hyperlink>
            <w:hyperlink w:anchor="ied5d634ea59e4feb863080061177f316_22">
              <w:r>
                <w:rPr>
                  <w:rStyle w:val="InternetLink"/>
                  <w:rFonts w:ascii="Times New Roman;sans-serif" w:hAnsi="Times New Roman;sans-serif"/>
                  <w:b w:val="false"/>
                  <w:color w:val="000080"/>
                  <w:sz w:val="20"/>
                  <w:u w:val="single"/>
                </w:rPr>
                <w:t xml:space="preserve"> for the three months ended March 31, 2024 and March 31, 2023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25">
              <w:r>
                <w:rPr>
                  <w:rStyle w:val="InternetLink"/>
                  <w:rFonts w:ascii="Times New Roman;sans-serif" w:hAnsi="Times New Roman;sans-serif"/>
                  <w:b w:val="false"/>
                  <w:color w:val="0000FF"/>
                  <w:sz w:val="20"/>
                  <w:u w:val="single"/>
                </w:rPr>
                <w:t>Consolidated Statements of Stockholders' Equity for the three months ended March 31, 2024 and March 31, 2023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28">
              <w:r>
                <w:rPr>
                  <w:rStyle w:val="InternetLink"/>
                  <w:rFonts w:ascii="Times New Roman;sans-serif" w:hAnsi="Times New Roman;sans-serif"/>
                  <w:b w:val="false"/>
                  <w:color w:val="0000FF"/>
                  <w:sz w:val="20"/>
                  <w:u w:val="single"/>
                </w:rPr>
                <w:t xml:space="preserve">Consolidated Statements of Cash Flows for the three months ended March 31, 2024 and March 31, 2023 (unaudited) </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31">
              <w:r>
                <w:rPr>
                  <w:rStyle w:val="InternetLink"/>
                  <w:rFonts w:ascii="Times New Roman;sans-serif" w:hAnsi="Times New Roman;sans-serif"/>
                  <w:b w:val="false"/>
                  <w:color w:val="0000FF"/>
                  <w:sz w:val="20"/>
                  <w:u w:val="single"/>
                </w:rPr>
                <w:t>Notes to Consolidated Financial Statements (unaudited)</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91">
              <w:r>
                <w:rPr>
                  <w:rStyle w:val="InternetLink"/>
                  <w:rFonts w:ascii="Times New Roman;sans-serif" w:hAnsi="Times New Roman;sans-serif"/>
                  <w:b w:val="false"/>
                  <w:color w:val="0000FF"/>
                  <w:sz w:val="20"/>
                  <w:u w:val="single"/>
                </w:rPr>
                <w:t>Quantitative and Qualitative Disclosures about Market Risk</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94">
              <w:r>
                <w:rPr>
                  <w:rStyle w:val="InternetLink"/>
                  <w:rFonts w:ascii="Times New Roman;sans-serif" w:hAnsi="Times New Roman;sans-serif"/>
                  <w:b w:val="false"/>
                  <w:color w:val="0000FF"/>
                  <w:sz w:val="20"/>
                  <w:u w:val="single"/>
                </w:rPr>
                <w:t>Controls and Procedures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97">
              <w:r>
                <w:rPr>
                  <w:rStyle w:val="InternetLink"/>
                  <w:rFonts w:ascii="Times New Roman;sans-serif" w:hAnsi="Times New Roman;sans-serif"/>
                  <w:b/>
                  <w:color w:val="0000FF"/>
                  <w:sz w:val="20"/>
                  <w:u w:val="single"/>
                </w:rPr>
                <w:t>OTHER 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100">
              <w:r>
                <w:rPr>
                  <w:rStyle w:val="InternetLink"/>
                  <w:rFonts w:ascii="Times New Roman;sans-serif" w:hAnsi="Times New Roman;sans-serif"/>
                  <w:b w:val="false"/>
                  <w:color w:val="0000FF"/>
                  <w:sz w:val="20"/>
                  <w:u w:val="single"/>
                </w:rPr>
                <w:t>Legal Proceedings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103">
              <w:r>
                <w:rPr>
                  <w:rStyle w:val="InternetLink"/>
                  <w:rFonts w:ascii="Times New Roman;sans-serif" w:hAnsi="Times New Roman;sans-serif"/>
                  <w:b w:val="false"/>
                  <w:color w:val="0000FF"/>
                  <w:sz w:val="20"/>
                  <w:u w:val="single"/>
                </w:rPr>
                <w:t>Risk Factors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9319" w:type="dxa"/>
            <w:gridSpan w:val="3"/>
            <w:tcBorders/>
            <w:tcMar>
              <w:top w:w="0" w:type="dxa"/>
              <w:left w:w="0" w:type="dxa"/>
              <w:bottom w:w="0" w:type="dxa"/>
              <w:right w:w="0" w:type="dxa"/>
            </w:tcMar>
            <w:vAlign w:val="center"/>
          </w:tcPr>
          <w:p>
            <w:pPr>
              <w:pStyle w:val="TableContents"/>
              <w:bidi w:val="0"/>
              <w:spacing w:lineRule="auto" w:line="240" w:before="180" w:after="283"/>
              <w:jc w:val="left"/>
              <w:rPr/>
            </w:pPr>
            <w:hyperlink w:anchor="ied5d634ea59e4feb863080061177f316_532">
              <w:r>
                <w:rPr>
                  <w:rStyle w:val="InternetLink"/>
                  <w:rFonts w:ascii="Times New Roman;sans-serif" w:hAnsi="Times New Roman;sans-serif"/>
                  <w:b w:val="false"/>
                  <w:color w:val="000080"/>
                  <w:sz w:val="20"/>
                  <w:u w:val="single"/>
                </w:rPr>
                <w:t>O</w:t>
              </w:r>
            </w:hyperlink>
            <w:hyperlink w:anchor="ied5d634ea59e4feb863080061177f316_532">
              <w:r>
                <w:rPr>
                  <w:rStyle w:val="InternetLink"/>
                  <w:rFonts w:ascii="Times New Roman;sans-serif" w:hAnsi="Times New Roman;sans-serif"/>
                  <w:b w:val="false"/>
                  <w:color w:val="000080"/>
                  <w:sz w:val="20"/>
                  <w:u w:val="single"/>
                </w:rPr>
                <w:t xml:space="preserve">ther </w:t>
              </w:r>
            </w:hyperlink>
            <w:hyperlink w:anchor="ied5d634ea59e4feb863080061177f316_532">
              <w:r>
                <w:rPr>
                  <w:rStyle w:val="InternetLink"/>
                  <w:rFonts w:ascii="Times New Roman;sans-serif" w:hAnsi="Times New Roman;sans-serif"/>
                  <w:b w:val="false"/>
                  <w:color w:val="000080"/>
                  <w:sz w:val="20"/>
                  <w:u w:val="single"/>
                </w:rPr>
                <w:t>Information</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106">
              <w:r>
                <w:rPr>
                  <w:rStyle w:val="InternetLink"/>
                  <w:rFonts w:ascii="Times New Roman;sans-serif" w:hAnsi="Times New Roman;sans-serif"/>
                  <w:b w:val="false"/>
                  <w:color w:val="0000FF"/>
                  <w:sz w:val="20"/>
                  <w:u w:val="single"/>
                </w:rPr>
                <w:t>Exhibits</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d5d634ea59e4feb863080061177f316_109">
              <w:r>
                <w:rPr>
                  <w:rStyle w:val="InternetLink"/>
                  <w:rFonts w:ascii="Times New Roman;sans-serif" w:hAnsi="Times New Roman;sans-serif"/>
                  <w:b w:val="false"/>
                  <w:color w:val="0000FF"/>
                  <w:sz w:val="20"/>
                  <w:u w:val="single"/>
                </w:rPr>
                <w:t>Signatures</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Quarterly Report on Form 10-Q.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"Item 1A. Risk Factors" of our Annual Report on Form 10-K for the year ended December 31, 2023 and "Part II, Item 1A. Risk Factors" of this Quarterly Report on Form 10-Q), could affect future performance and cause actual results to differ materially from those matters expressed in or implied by forward-looking statements: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plans to develop and commercialize our product candidates;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outcomes of our ongoing and planned clinical trials and the timing of those outcomes, including when clinical trials will be initiated or completed, enrollment of trials, and when data will be reported or regulatory filings will be made;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timing of and our ability to obtain and maintain regulatory approvals for our product candidates and the labeling for any approved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raise additional capital through the capital markets or through one or more corporate partnerships, equity offerings, debt financings, collaborations, licensing arrangements or asset sales;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expectations regarding product candidates currently being developed by our collaborators;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compromise of our or our third parties’ information technology systems and resultant costs, disruptions in our operations or related impact on our reputation;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enter into new collaborations or to identify additional products or product candidates with significant commercial potential that are consistent with our commercial objectives;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the potential benefits and future operation of our existing collaborations;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recover the investment in our manufacturing capabilities;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our products;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significant competition in our industry;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costs of litigation and the failure to successfully defend lawsuits and other claims against us and our expectations regarding the outcome of any regulatory or legal proceedings;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economic, political and other risks associated with our international operations;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receive research funding and achieve anticipated milestones under our collaborations;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ability to protect and enforce patents and other intellectual property;</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costs of compliance and our failure to comply with new and existing governmental regulations including, but not limited to, tax regulations;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loss or retirement of key members of management;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failure to successfully execute our growth strategy, including any delays in our planned future growth;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our failure to maintain effective internal controls;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severity and duration of the impact of a global pandemic on our business, operations, clinical programs, manufacturing, financial results and other aspects of our business.</w:t>
      </w:r>
    </w:p>
    <w:p>
      <w:pPr>
        <w:pStyle w:val="TextBody"/>
        <w:bidi w:val="0"/>
        <w:spacing w:lineRule="auto" w:line="288" w:before="0" w:after="8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 undertake and specifically decline any obligation to update, republish or revise forward-looking statements to reflect future events or circumstances or to reflect the occurrences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716"/>
        <w:gridCol w:w="2231"/>
        <w:gridCol w:w="2189"/>
        <w:gridCol w:w="235"/>
        <w:gridCol w:w="923"/>
        <w:gridCol w:w="121"/>
        <w:gridCol w:w="109"/>
        <w:gridCol w:w="109"/>
        <w:gridCol w:w="109"/>
        <w:gridCol w:w="258"/>
        <w:gridCol w:w="1011"/>
        <w:gridCol w:w="194"/>
      </w:tblGrid>
      <w:tr>
        <w:trPr/>
        <w:tc>
          <w:tcPr>
            <w:tcW w:w="271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net </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251,339 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248,285 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298,418 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net of current portion</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net of current portion</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liabilities</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142,131 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-- 125,000,000 shares authorized, 62,560,502 and 62,070,627 shares outstanding at March 31, 2024 and December 31, 2023, respectively</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(1,154,942)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(1,102,752)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248,285 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298,418 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before="0" w:after="0"/>
        <w:jc w:val="center"/>
        <w:rPr/>
      </w:pPr>
      <w:r>
        <w:rPr/>
      </w:r>
    </w:p>
    <w:tbl>
      <w:tblPr>
        <w:tblW w:w="9895" w:type="dxa"/>
        <w:jc w:val="center"/>
        <w:tblInd w:w="0" w:type="dxa"/>
        <w:tblLayout w:type="fixed"/>
        <w:tblCellMar>
          <w:top w:w="28" w:type="dxa"/>
          <w:left w:w="28" w:type="dxa"/>
          <w:bottom w:w="28" w:type="dxa"/>
          <w:right w:w="28" w:type="dxa"/>
        </w:tblCellMar>
      </w:tblPr>
      <w:tblGrid>
        <w:gridCol w:w="1927"/>
        <w:gridCol w:w="1689"/>
        <w:gridCol w:w="1709"/>
        <w:gridCol w:w="109"/>
        <w:gridCol w:w="109"/>
        <w:gridCol w:w="228"/>
        <w:gridCol w:w="228"/>
        <w:gridCol w:w="441"/>
        <w:gridCol w:w="1665"/>
        <w:gridCol w:w="228"/>
        <w:gridCol w:w="109"/>
        <w:gridCol w:w="109"/>
        <w:gridCol w:w="109"/>
        <w:gridCol w:w="240"/>
        <w:gridCol w:w="841"/>
        <w:gridCol w:w="154"/>
      </w:tblGrid>
      <w:tr>
        <w:trPr/>
        <w:tc>
          <w:tcPr>
            <w:tcW w:w="1927"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562" w:type="dxa"/>
            <w:gridSpan w:val="6"/>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Collaborative and other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manufacturing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manufacturing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(53,750)</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(52,190)</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(52,219)</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62,290,538 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61,809,817 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bidi w:val="0"/>
        <w:spacing w:before="0" w:after="0"/>
        <w:jc w:val="center"/>
        <w:rPr/>
      </w:pPr>
      <w:r>
        <w:rPr/>
      </w:r>
    </w:p>
    <w:p>
      <w:pPr>
        <w:pStyle w:val="TextBody"/>
        <w:bidi w:val="0"/>
        <w:spacing w:before="0" w:after="0"/>
        <w:jc w:val="center"/>
        <w:rPr/>
      </w:pPr>
      <w:r>
        <w:rPr/>
      </w:r>
    </w:p>
    <w:tbl>
      <w:tblPr>
        <w:tblW w:w="11036" w:type="dxa"/>
        <w:jc w:val="center"/>
        <w:tblInd w:w="0" w:type="dxa"/>
        <w:tblLayout w:type="fixed"/>
        <w:tblCellMar>
          <w:top w:w="28" w:type="dxa"/>
          <w:left w:w="28" w:type="dxa"/>
          <w:bottom w:w="28" w:type="dxa"/>
          <w:right w:w="28" w:type="dxa"/>
        </w:tblCellMar>
      </w:tblPr>
      <w:tblGrid>
        <w:gridCol w:w="734"/>
        <w:gridCol w:w="263"/>
        <w:gridCol w:w="264"/>
        <w:gridCol w:w="540"/>
        <w:gridCol w:w="541"/>
        <w:gridCol w:w="196"/>
        <w:gridCol w:w="109"/>
        <w:gridCol w:w="109"/>
        <w:gridCol w:w="109"/>
        <w:gridCol w:w="211"/>
        <w:gridCol w:w="466"/>
        <w:gridCol w:w="109"/>
        <w:gridCol w:w="109"/>
        <w:gridCol w:w="109"/>
        <w:gridCol w:w="109"/>
        <w:gridCol w:w="109"/>
        <w:gridCol w:w="109"/>
        <w:gridCol w:w="871"/>
        <w:gridCol w:w="109"/>
        <w:gridCol w:w="211"/>
        <w:gridCol w:w="976"/>
        <w:gridCol w:w="109"/>
        <w:gridCol w:w="109"/>
        <w:gridCol w:w="109"/>
        <w:gridCol w:w="109"/>
        <w:gridCol w:w="211"/>
        <w:gridCol w:w="991"/>
        <w:gridCol w:w="109"/>
        <w:gridCol w:w="109"/>
        <w:gridCol w:w="109"/>
        <w:gridCol w:w="109"/>
        <w:gridCol w:w="327"/>
        <w:gridCol w:w="583"/>
        <w:gridCol w:w="17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62,070,627 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62,560,502 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1036" w:type="dxa"/>
        <w:jc w:val="left"/>
        <w:tblInd w:w="0" w:type="dxa"/>
        <w:tblLayout w:type="fixed"/>
        <w:tblCellMar>
          <w:top w:w="28" w:type="dxa"/>
          <w:left w:w="28" w:type="dxa"/>
          <w:bottom w:w="28" w:type="dxa"/>
          <w:right w:w="28" w:type="dxa"/>
        </w:tblCellMar>
      </w:tblPr>
      <w:tblGrid>
        <w:gridCol w:w="734"/>
        <w:gridCol w:w="263"/>
        <w:gridCol w:w="264"/>
        <w:gridCol w:w="540"/>
        <w:gridCol w:w="541"/>
        <w:gridCol w:w="196"/>
        <w:gridCol w:w="109"/>
        <w:gridCol w:w="109"/>
        <w:gridCol w:w="109"/>
        <w:gridCol w:w="211"/>
        <w:gridCol w:w="466"/>
        <w:gridCol w:w="109"/>
        <w:gridCol w:w="109"/>
        <w:gridCol w:w="109"/>
        <w:gridCol w:w="109"/>
        <w:gridCol w:w="109"/>
        <w:gridCol w:w="109"/>
        <w:gridCol w:w="871"/>
        <w:gridCol w:w="109"/>
        <w:gridCol w:w="211"/>
        <w:gridCol w:w="976"/>
        <w:gridCol w:w="109"/>
        <w:gridCol w:w="109"/>
        <w:gridCol w:w="109"/>
        <w:gridCol w:w="109"/>
        <w:gridCol w:w="211"/>
        <w:gridCol w:w="991"/>
        <w:gridCol w:w="109"/>
        <w:gridCol w:w="109"/>
        <w:gridCol w:w="109"/>
        <w:gridCol w:w="109"/>
        <w:gridCol w:w="385"/>
        <w:gridCol w:w="495"/>
        <w:gridCol w:w="201"/>
        <w:gridCol w:w="109"/>
        <w:gridCol w:w="109"/>
        <w:gridCol w:w="109"/>
        <w:gridCol w:w="211"/>
        <w:gridCol w:w="826"/>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61,701,467 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offering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plan related activity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61,838,565 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(1,131,703)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012" w:type="dxa"/>
        <w:jc w:val="center"/>
        <w:tblInd w:w="0" w:type="dxa"/>
        <w:tblLayout w:type="fixed"/>
        <w:tblCellMar>
          <w:top w:w="28" w:type="dxa"/>
          <w:left w:w="28" w:type="dxa"/>
          <w:bottom w:w="28" w:type="dxa"/>
          <w:right w:w="28" w:type="dxa"/>
        </w:tblCellMar>
      </w:tblPr>
      <w:tblGrid>
        <w:gridCol w:w="2233"/>
        <w:gridCol w:w="1966"/>
        <w:gridCol w:w="1980"/>
        <w:gridCol w:w="227"/>
        <w:gridCol w:w="857"/>
        <w:gridCol w:w="117"/>
        <w:gridCol w:w="117"/>
        <w:gridCol w:w="117"/>
        <w:gridCol w:w="117"/>
        <w:gridCol w:w="227"/>
        <w:gridCol w:w="889"/>
        <w:gridCol w:w="165"/>
      </w:tblGrid>
      <w:tr>
        <w:trPr/>
        <w:tc>
          <w:tcPr>
            <w:tcW w:w="2233"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discounts on marketable securities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 current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and maturities of marketable securities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equipment and software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net of offering costs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 and ESPP purchases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future royalties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included in accounts payable or accruals</w:t>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MACROGENICS,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 Nature of Operations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Description of the business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MacroGenics, Inc. (the Company) is incorporated in the state of Delaware. The Company is a biopharmaceutical company focused on discovering, developing, manufacturing and commercializing innovative antibody-based therapeutics for the treatment of cancer. The Company has a pipeline of product candidates designed to target either various tumor-associated antigens or immune checkpoint molecules. These candidates are being evaluated in clinical trials sponsored by the Company or its collaborators or are in preclinical development. The Company’s clinical product candidates include multiple oncology programs which have either been created using its proprietary, antibody-based technology platforms or enabled through its technology licensing arrangements with other companies. The Company believes its product candidates have the potential, if approved for marketing by regulatory authorities, to have a meaningful effect on treating patients' unmet medical needs as monotherapy or, in some cases, in combination with other therapeutic agents. To date, three products originating from the Company’s pipeline of proprietary or partnered product candidates have received U.S. Food and Drug Administration (FDA) approval. In March 2021, the Company and its commercialization partner commenced U.S. marketing of MARGENZA (margetuximab-cmkb), a human epidermal growth factor receptor 2 (HER2) antagonist indicated, in combination with chemotherapy, for the treatment of adult patients with metastatic HER2-positive breast cancer who have received two or more prior anti-HER2 regimens, at least one of which was for metastatic disease. In November 2022, the FDA approved TZIELD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(teplizumab-mzwv) to delay the onset of Stage 3 Type 1 Diabetes (T1D) in adult and pediatric patients aged 8 years and older with Stage 2 T1D. Teplizumab was acquired from the Company by Provention Bio, Inc. (Provention) in May 2018, pursuant to an asset purchase agreement. In March 2023, the FDA approved ZYNYZ™ (retifanlimab-dlwr), a humanized monoclonal antibody targeting programmed death receptor-1 (PD-1). Retifanlimab was previously developed by the Company and licensed to Incyte Corporation (Incyte) pursuant to an exclusive global collaboration and license agreement in October 2017.</w:t>
      </w:r>
    </w:p>
    <w:p>
      <w:pPr>
        <w:pStyle w:val="TextBody"/>
        <w:bidi w:val="0"/>
        <w:spacing w:lineRule="auto" w:line="288" w:before="100" w:after="180"/>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multiple product candidates currently under development will require significant additional research and development efforts that include extensive preclinical studies and clinical testing, and regulatory approval prior to commercial use.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As a biotechnology company, the Company has primarily funded its operations with proceeds from the sale of its common stock in equity offerings and revenue from its multiple collaboration agreements.</w:t>
      </w:r>
      <w:r>
        <w:rPr>
          <w:color w:val="000000"/>
        </w:rPr>
        <w:t xml:space="preserve"> </w:t>
      </w:r>
      <w:r>
        <w:rPr>
          <w:rFonts w:ascii="Times New Roman;sans-serif" w:hAnsi="Times New Roman;sans-serif"/>
          <w:b w:val="false"/>
          <w:color w:val="000000"/>
          <w:sz w:val="20"/>
        </w:rPr>
        <w:t>Management regularly reviews the Company’s available liquidity relative to its operating budget and forecast to monitor the sufficiency of the Company’s working capital. The Company plans to meet its future operating requirements by generating revenue from current and future strategic collaborations or other arrangements, product sales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Quarterly Report on Form 10-Q was filed.</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Similar to the 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adverse events involving financial institutions or the financial services industry, inflation and rising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of the Company have been prepared in accordance with U.S. generally accepted accounting principles (GAAP) for interim financial information. The financial statements include all adjustments (consisting only of normal recurring adjustments) that the management of the Company believes are necessary for a fair presentation of the periods presented. These interim financial results are not necessarily indicative of results expected for the full fiscal year or for any subsequent interim period.</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consolidated financial statements include the accounts of MacroGenics, Inc. and its wholly owned subsidiaries, MacroGenics UK Limited and MacroGenics Limited. All intercompany accounts and transactions have been eliminated in consolidation. These consolidated financial statements and related notes should be read in conjunction with the financial statements and notes thereto included in the Company's 2023 Annual Report on Form 10-K filed with the Securities and Exchange Commission (SEC) on March 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there have been no material changes to the significant accounting policies previously disclosed in the Company’s Annual Report on Form 10-K for the year ended December 31, 2023. </w:t>
      </w:r>
    </w:p>
    <w:p>
      <w:pPr>
        <w:pStyle w:val="TextBody"/>
        <w:bidi w:val="0"/>
        <w:spacing w:lineRule="auto" w:line="276" w:before="180" w:after="18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pronouncements that were issued or became effective since the issuance of the Company’s 2023 Annual Report on Form 10-K that had, or are expected to have, a material impact on its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3. Fair Value of Financial Instruments</w:t>
      </w:r>
    </w:p>
    <w:p>
      <w:pPr>
        <w:pStyle w:val="TextBody"/>
        <w:bidi w:val="0"/>
        <w:spacing w:lineRule="auto" w:line="288" w:before="0" w:after="180"/>
        <w:ind w:left="0" w:right="0" w:firstLine="720"/>
        <w:jc w:val="left"/>
        <w:rPr/>
      </w:pPr>
      <w:r>
        <w:rPr>
          <w:rFonts w:ascii="Times New Roman;sans-serif" w:hAnsi="Times New Roman;sans-serif"/>
          <w:b w:val="false"/>
          <w:color w:val="252525"/>
          <w:sz w:val="20"/>
        </w:rPr>
        <w:t>The Company's financial instruments consist of cash and cash equivalents, marketable securities, accounts receivable, accounts payable and accrued expenses.</w:t>
      </w:r>
      <w:r>
        <w:rPr>
          <w:color w:val="000000"/>
        </w:rPr>
        <w:t xml:space="preserve"> </w:t>
      </w:r>
      <w:r>
        <w:rPr>
          <w:rFonts w:ascii="Times New Roman;sans-serif" w:hAnsi="Times New Roman;sans-serif"/>
          <w:b w:val="false"/>
          <w:color w:val="252525"/>
          <w:sz w:val="20"/>
        </w:rPr>
        <w:t>The carrying amount of accounts receivable, accounts payable and accrued expenses are generally considered to be representative of their respective fair values because of their short-term nature. </w:t>
      </w:r>
      <w:r>
        <w:rPr>
          <w:rFonts w:ascii="Times New Roman;sans-serif" w:hAnsi="Times New Roman;sans-serif"/>
          <w:b w:val="false"/>
          <w:color w:val="000000"/>
          <w:sz w:val="20"/>
        </w:rPr>
        <w:t xml:space="preserve">The Company accounts for recurring and non-recurring fair value measurements in accordance with the Financial Accounting Standards Board (FASB) Accounting Standards Codification (ASC) Topic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1 - Fair value is determined by using unadjusted quoted prices that are available in active markets for identical assets and liabilities.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pStyle w:val="TextBody"/>
        <w:bidi w:val="0"/>
        <w:spacing w:lineRule="auto" w:line="288" w:before="0" w:after="60"/>
        <w:ind w:left="0" w:right="0" w:firstLine="720"/>
        <w:jc w:val="left"/>
        <w:rPr/>
      </w:pPr>
      <w:r>
        <w:rPr>
          <w:rFonts w:ascii="Times New Roman;sans-serif" w:hAnsi="Times New Roman;sans-serif"/>
          <w:b w:val="false"/>
          <w:color w:val="000000"/>
          <w:sz w:val="20"/>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sans-serif" w:hAnsi="Times New Roman;sans-serif"/>
          <w:b w:val="false"/>
          <w:color w:val="252525"/>
          <w:sz w:val="20"/>
        </w:rPr>
        <w:t xml:space="preserve">There were no transfers between levels during the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00" w:after="3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at fair value on a recurring basis were as follows (in thousands):</w:t>
      </w:r>
    </w:p>
    <w:tbl>
      <w:tblPr>
        <w:tblW w:w="7062" w:type="dxa"/>
        <w:jc w:val="left"/>
        <w:tblInd w:w="0" w:type="dxa"/>
        <w:tblLayout w:type="fixed"/>
        <w:tblCellMar>
          <w:top w:w="28" w:type="dxa"/>
          <w:left w:w="28" w:type="dxa"/>
          <w:bottom w:w="28" w:type="dxa"/>
          <w:right w:w="28" w:type="dxa"/>
        </w:tblCellMar>
      </w:tblPr>
      <w:tblGrid>
        <w:gridCol w:w="1318"/>
        <w:gridCol w:w="850"/>
        <w:gridCol w:w="862"/>
        <w:gridCol w:w="211"/>
        <w:gridCol w:w="826"/>
        <w:gridCol w:w="109"/>
        <w:gridCol w:w="109"/>
        <w:gridCol w:w="109"/>
        <w:gridCol w:w="109"/>
        <w:gridCol w:w="211"/>
        <w:gridCol w:w="721"/>
        <w:gridCol w:w="109"/>
        <w:gridCol w:w="109"/>
        <w:gridCol w:w="109"/>
        <w:gridCol w:w="109"/>
        <w:gridCol w:w="211"/>
        <w:gridCol w:w="826"/>
        <w:gridCol w:w="154"/>
      </w:tblGrid>
      <w:tr>
        <w:trPr/>
        <w:tc>
          <w:tcPr>
            <w:tcW w:w="131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March 31, 2024</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 measured at fair value</w:t>
            </w:r>
            <w:r>
              <w:rPr>
                <w:rFonts w:ascii="Times New Roman;sans-serif" w:hAnsi="Times New Roman;sans-serif"/>
                <w:b w:val="false"/>
                <w:color w:val="000000"/>
                <w:sz w:val="13"/>
              </w:rPr>
              <w:t>(a)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48" w:type="dxa"/>
        <w:jc w:val="left"/>
        <w:tblInd w:w="0" w:type="dxa"/>
        <w:tblLayout w:type="fixed"/>
        <w:tblCellMar>
          <w:top w:w="28" w:type="dxa"/>
          <w:left w:w="28" w:type="dxa"/>
          <w:bottom w:w="28" w:type="dxa"/>
          <w:right w:w="28" w:type="dxa"/>
        </w:tblCellMar>
      </w:tblPr>
      <w:tblGrid>
        <w:gridCol w:w="1324"/>
        <w:gridCol w:w="854"/>
        <w:gridCol w:w="866"/>
        <w:gridCol w:w="220"/>
        <w:gridCol w:w="863"/>
        <w:gridCol w:w="113"/>
        <w:gridCol w:w="113"/>
        <w:gridCol w:w="113"/>
        <w:gridCol w:w="113"/>
        <w:gridCol w:w="220"/>
        <w:gridCol w:w="753"/>
        <w:gridCol w:w="113"/>
        <w:gridCol w:w="113"/>
        <w:gridCol w:w="113"/>
        <w:gridCol w:w="113"/>
        <w:gridCol w:w="220"/>
        <w:gridCol w:w="863"/>
        <w:gridCol w:w="161"/>
      </w:tblGrid>
      <w:tr>
        <w:trPr/>
        <w:tc>
          <w:tcPr>
            <w:tcW w:w="132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2023</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assets measured at fair value</w:t>
            </w:r>
            <w:r>
              <w:rPr>
                <w:rFonts w:ascii="Times New Roman;sans-serif" w:hAnsi="Times New Roman;sans-serif"/>
                <w:b w:val="false"/>
                <w:color w:val="000000"/>
                <w:sz w:val="13"/>
              </w:rPr>
              <w:t>(b)</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220,514 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 Total assets measured at fair value at March 31, 2024 includes approximately $64.0 million reported in cash and cash equivalents on the consolidated balance sheet.</w:t>
      </w:r>
    </w:p>
    <w:p>
      <w:pPr>
        <w:pStyle w:val="TextBody"/>
        <w:bidi w:val="0"/>
        <w:spacing w:lineRule="auto" w:line="288" w:before="240" w:after="18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 Total assets measured at fair value at December 31, 2023 includes approximately $91.7 million reported in cash and cash equivalents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4. Marketable Securities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marketable debt securities (in thousands):</w:t>
      </w:r>
    </w:p>
    <w:tbl>
      <w:tblPr>
        <w:tblW w:w="9405" w:type="dxa"/>
        <w:jc w:val="left"/>
        <w:tblInd w:w="0" w:type="dxa"/>
        <w:tblLayout w:type="fixed"/>
        <w:tblCellMar>
          <w:top w:w="28" w:type="dxa"/>
          <w:left w:w="28" w:type="dxa"/>
          <w:bottom w:w="28" w:type="dxa"/>
          <w:right w:w="28" w:type="dxa"/>
        </w:tblCellMar>
      </w:tblPr>
      <w:tblGrid>
        <w:gridCol w:w="1059"/>
        <w:gridCol w:w="931"/>
        <w:gridCol w:w="935"/>
        <w:gridCol w:w="211"/>
        <w:gridCol w:w="826"/>
        <w:gridCol w:w="109"/>
        <w:gridCol w:w="109"/>
        <w:gridCol w:w="109"/>
        <w:gridCol w:w="109"/>
        <w:gridCol w:w="301"/>
        <w:gridCol w:w="579"/>
        <w:gridCol w:w="156"/>
        <w:gridCol w:w="109"/>
        <w:gridCol w:w="109"/>
        <w:gridCol w:w="109"/>
        <w:gridCol w:w="314"/>
        <w:gridCol w:w="559"/>
        <w:gridCol w:w="163"/>
        <w:gridCol w:w="109"/>
        <w:gridCol w:w="109"/>
        <w:gridCol w:w="109"/>
        <w:gridCol w:w="211"/>
        <w:gridCol w:w="826"/>
        <w:gridCol w:w="109"/>
        <w:gridCol w:w="109"/>
        <w:gridCol w:w="109"/>
        <w:gridCol w:w="109"/>
        <w:gridCol w:w="109"/>
        <w:gridCol w:w="109"/>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15" w:type="dxa"/>
        <w:jc w:val="left"/>
        <w:tblInd w:w="0" w:type="dxa"/>
        <w:tblLayout w:type="fixed"/>
        <w:tblCellMar>
          <w:top w:w="28" w:type="dxa"/>
          <w:left w:w="28" w:type="dxa"/>
          <w:bottom w:w="28" w:type="dxa"/>
          <w:right w:w="28" w:type="dxa"/>
        </w:tblCellMar>
      </w:tblPr>
      <w:tblGrid>
        <w:gridCol w:w="1059"/>
        <w:gridCol w:w="931"/>
        <w:gridCol w:w="935"/>
        <w:gridCol w:w="211"/>
        <w:gridCol w:w="826"/>
        <w:gridCol w:w="109"/>
        <w:gridCol w:w="109"/>
        <w:gridCol w:w="109"/>
        <w:gridCol w:w="109"/>
        <w:gridCol w:w="320"/>
        <w:gridCol w:w="549"/>
        <w:gridCol w:w="167"/>
        <w:gridCol w:w="109"/>
        <w:gridCol w:w="109"/>
        <w:gridCol w:w="109"/>
        <w:gridCol w:w="314"/>
        <w:gridCol w:w="559"/>
        <w:gridCol w:w="163"/>
        <w:gridCol w:w="109"/>
        <w:gridCol w:w="109"/>
        <w:gridCol w:w="109"/>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available-for-sale marketable debt securities held as of March 31, 2024 and December 31, 2023 had contractual maturities of less than one year. All of the Company's available-for-sale marketable debt securities in an unrealized loss position as of March 31, 2024 and December 31, 2023 were in a loss position for less than twelve months. Unrealized losses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available-for-sale debt securities as of March 31, 2024 and December 31, 2023 were not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any periods presented. The Company does not intend to sell these investments and it is not more likely than not that the Company will be required to sell the investments before recovery of their amortized cost bases, which may be at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Inventory, Net</w:t>
      </w:r>
    </w:p>
    <w:p>
      <w:pPr>
        <w:pStyle w:val="TextBody"/>
        <w:bidi w:val="0"/>
        <w:spacing w:lineRule="auto" w:line="288" w:before="18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inventory relates to the manufacturing of MARGENZA. The following table sets forth the Company's net inventory (in thousands):</w:t>
      </w:r>
    </w:p>
    <w:tbl>
      <w:tblPr>
        <w:tblW w:w="5274" w:type="dxa"/>
        <w:jc w:val="left"/>
        <w:tblInd w:w="0" w:type="dxa"/>
        <w:tblLayout w:type="fixed"/>
        <w:tblCellMar>
          <w:top w:w="28" w:type="dxa"/>
          <w:left w:w="28" w:type="dxa"/>
          <w:bottom w:w="28" w:type="dxa"/>
          <w:right w:w="28" w:type="dxa"/>
        </w:tblCellMar>
      </w:tblPr>
      <w:tblGrid>
        <w:gridCol w:w="630"/>
        <w:gridCol w:w="552"/>
        <w:gridCol w:w="557"/>
        <w:gridCol w:w="324"/>
        <w:gridCol w:w="948"/>
        <w:gridCol w:w="167"/>
        <w:gridCol w:w="109"/>
        <w:gridCol w:w="109"/>
        <w:gridCol w:w="109"/>
        <w:gridCol w:w="380"/>
        <w:gridCol w:w="1110"/>
        <w:gridCol w:w="27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inventory,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March 31, 2024 and December 31, 2023 is net of a reserve of $1.3 million and $3.1 million, respectively, for unsaleable inventory. These reserves are reflected in cost of product sales during the period they are recorded.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Stockholders' Equity</w:t>
      </w:r>
    </w:p>
    <w:p>
      <w:pPr>
        <w:pStyle w:val="TextBody"/>
        <w:bidi w:val="0"/>
        <w:spacing w:lineRule="auto" w:line="288" w:before="180" w:after="3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entered into a sales agreement (Sales Agreement) with an agent to sell, from time to time, shares of its common stock having an aggregate sales price of up to $100.0 million through an “at the market offering” (ATM Offering) as defined in Rule 415 under the Securities Act of 1933, as amended. During the three months ended March 31, 2023, the Company sold 95,000 shares of common stock at a weighted average price per share of $6.60, resulting in net proceeds of approximately $0.6 million, net of offering expenses. No shares were sold under the ATM offering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7. Revenue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Collaborative and Other Agreements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Incyte Corporation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License Agreement</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Company entered into an exclusive global collaboration and license agreement with Incyte, which was amended in March 2018, April 2022 and July 2022,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will manufacture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squamous cell carcinoma of the anal canal, MSI-high endometrial cancer and non-small cell lung cancer. Incyte is also pursuing development of retifanlimab in combination with multiple product candidates from its pipeline. </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 xml:space="preserve">Under the terms of the Incyte License Agreement, as amended, Incyte will lead global development of retifanlimab. Assuming successful development and commercialization by Incyte in multiple indications, the Company could receive up to a total of $435.0 million in development and regulatory milestones and up to $330.0 million in commercial milestones. From the inception of the Incyte License Agreement through </w:t>
      </w:r>
      <w:r>
        <w:rPr>
          <w:rFonts w:ascii="Times New Roman;sans-serif" w:hAnsi="Times New Roman;sans-serif"/>
          <w:b w:val="false"/>
          <w:color w:val="252525"/>
          <w:sz w:val="20"/>
        </w:rPr>
        <w:t>March 31, 2024</w:t>
      </w:r>
      <w:r>
        <w:rPr>
          <w:rFonts w:ascii="Times New Roman;sans-serif" w:hAnsi="Times New Roman;sans-serif"/>
          <w:b w:val="false"/>
          <w:color w:val="000000"/>
          <w:sz w:val="20"/>
        </w:rPr>
        <w:t xml:space="preserve">, the Company has recognized $115.0 million in development milestones under the Incyte License Agreement, including $15.0 million received following the FDA approval of ZYNYZ. The Company is also eligible to receive tiered royalties of 15% to 24% on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 to manufacture a portion of both companies' global commercial supply needs of retifanlimab, subject to the separate commercial supply agreement.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The Company evaluated the Incyte License Agreement under the provisions of ASC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 xml:space="preserve">(ASC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 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have 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From 2018 through </w:t>
      </w:r>
      <w:r>
        <w:rPr>
          <w:rFonts w:ascii="Times New Roman;sans-serif" w:hAnsi="Times New Roman;sans-serif"/>
          <w:b w:val="false"/>
          <w:color w:val="252525"/>
          <w:sz w:val="20"/>
        </w:rPr>
        <w:t>March 31, 2024</w:t>
      </w:r>
      <w:r>
        <w:rPr>
          <w:rFonts w:ascii="Times New Roman;sans-serif" w:hAnsi="Times New Roman;sans-serif"/>
          <w:b w:val="false"/>
          <w:color w:val="000000"/>
          <w:sz w:val="20"/>
        </w:rPr>
        <w:t xml:space="preserve">, it became probable that a significant reversal of cumulative revenue would not occur for development milestones totaling $115.0 million related to </w:t>
      </w:r>
      <w:r>
        <w:rPr>
          <w:rFonts w:ascii="Times New Roman;sans-serif" w:hAnsi="Times New Roman;sans-serif"/>
          <w:b w:val="false"/>
          <w:color w:val="252525"/>
          <w:sz w:val="20"/>
        </w:rPr>
        <w:t>clinical and regulatory activities related to the further advancement of retifanlimab</w:t>
      </w:r>
      <w:r>
        <w:rPr>
          <w:rFonts w:ascii="Times New Roman;sans-serif" w:hAnsi="Times New Roman;sans-serif"/>
          <w:b w:val="false"/>
          <w:color w:val="000000"/>
          <w:sz w:val="20"/>
        </w:rPr>
        <w:t>. Therefore, the associated consideration was added to the estimated transaction price and was recognized as revenue</w:t>
      </w:r>
      <w:r>
        <w:rPr>
          <w:rFonts w:ascii="Times New Roman;sans-serif" w:hAnsi="Times New Roman;sans-serif"/>
          <w:b w:val="false"/>
          <w:color w:val="252525"/>
          <w:sz w:val="24"/>
        </w:rPr>
        <w:t xml:space="preserve">. </w:t>
      </w:r>
    </w:p>
    <w:p>
      <w:pPr>
        <w:pStyle w:val="TextBody"/>
        <w:bidi w:val="0"/>
        <w:spacing w:before="0" w:after="0"/>
        <w:ind w:left="0" w:right="0" w:firstLine="72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the $150.0 million allocated to the license when it satisfied its performance obligation and transferred the license to Incyte in 2017. The $4.0 million allocated to the clinical activities was recognized ratably as services were performed during 2017 and 2018. The Company recognized $0.2 million and $15.0 million in revenue under the Incyte License Agreement during the three months ended March 31, 2024 and 2023, respectively.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Clinical Supply Agreement</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three months ended March 31, 2024 and 2023, the Company recognized revenue of $0.1 million and $1.3 million, respectively, for services performed under the Incyte Clinical Supply Agreement.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Incyte Commercial Supply Agreement</w:t>
      </w:r>
    </w:p>
    <w:p>
      <w:pPr>
        <w:pStyle w:val="TextBody"/>
        <w:bidi w:val="0"/>
        <w:spacing w:lineRule="auto" w:line="288" w:before="0" w:after="0"/>
        <w:ind w:left="0" w:right="0" w:firstLine="8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During the three months ended March 31, 2024, the Company recognized revenue of $0.4 million for services performed under the Incyte Commercial Supply Agreement. No revenue was recognized for the three months ended March 31, 2023 under the Incyte Commercial Supply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Gilead Sciences, Inc </w:t>
      </w:r>
    </w:p>
    <w:p>
      <w:pPr>
        <w:pStyle w:val="TextBody"/>
        <w:bidi w:val="0"/>
        <w:spacing w:lineRule="auto" w:line="288" w:before="0" w:after="0"/>
        <w:ind w:left="0" w:right="0" w:firstLine="720"/>
        <w:jc w:val="left"/>
        <w:rPr/>
      </w:pPr>
      <w:r>
        <w:rPr>
          <w:rFonts w:ascii="Times New Roman;sans-serif" w:hAnsi="Times New Roman;sans-serif"/>
          <w:b w:val="false"/>
          <w:color w:val="000000"/>
          <w:sz w:val="20"/>
          <w:shd w:fill="FFFFFF" w:val="clear"/>
        </w:rPr>
        <w:t>In 2022, the Company and Gilead Sciences, Inc.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w:t>
      </w:r>
      <w:r>
        <w:rPr>
          <w:rFonts w:ascii="Times New Roman;sans-serif" w:hAnsi="Times New Roman;sans-serif"/>
          <w:b w:val="false"/>
          <w:color w:val="000000"/>
          <w:sz w:val="20"/>
        </w:rPr>
        <w:t>ng to a development plan</w:t>
      </w:r>
      <w:r>
        <w:rPr>
          <w:rFonts w:ascii="Times New Roman;sans-serif" w:hAnsi="Times New Roman;sans-serif"/>
          <w:b w:val="false"/>
          <w:color w:val="000000"/>
          <w:sz w:val="20"/>
          <w:shd w:fill="FFFFFF" w:val="clear"/>
        </w:rPr>
        <w:t>, during which Gilead will have the right to exercise an option granted to Gilead to obtain an exclusive license under the Company’s intellectual property to develop and commercialize MGD024 and other bispecific antibodies of MacroGenics that bind CD123 and CD3</w:t>
      </w:r>
      <w:r>
        <w:rPr>
          <w:color w:val="000000"/>
        </w:rPr>
        <w:t xml:space="preserve"> </w:t>
      </w:r>
      <w:r>
        <w:rPr>
          <w:rFonts w:ascii="Times New Roman;sans-serif" w:hAnsi="Times New Roman;sans-serif"/>
          <w:b w:val="false"/>
          <w:color w:val="000000"/>
          <w:sz w:val="20"/>
        </w:rPr>
        <w:t>(CD123 Option). The agreement also grants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w:t>
      </w:r>
      <w:r>
        <w:rPr>
          <w:color w:val="000000"/>
          <w:shd w:fill="FFFFFF" w:val="clear"/>
        </w:rPr>
        <w:t xml:space="preserve"> </w:t>
      </w:r>
      <w:r>
        <w:rPr>
          <w:rFonts w:ascii="Times New Roman;sans-serif" w:hAnsi="Times New Roman;sans-serif"/>
          <w:b w:val="false"/>
          <w:color w:val="000000"/>
          <w:sz w:val="20"/>
          <w:shd w:fill="FFFFFF" w:val="clear"/>
        </w:rPr>
        <w:t>2023. On January 11, 2024, the parties amended the Gilead Agreement to revise certain matters related to intellectual property in the performance of the research plans under the agreement.</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Under the terms of the Gilead Agreement, in October 2022 Gilead paid the Company an upfront payment of $60.0 million</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w:t>
      </w:r>
      <w:r>
        <w:rPr>
          <w:color w:val="000000"/>
        </w:rPr>
        <w:t xml:space="preserve"> </w:t>
      </w:r>
      <w:r>
        <w:rPr>
          <w:rFonts w:ascii="Times New Roman;sans-serif" w:hAnsi="Times New Roman;sans-serif"/>
          <w:b w:val="false"/>
          <w:color w:val="000000"/>
          <w:sz w:val="20"/>
          <w:shd w:fill="FFFFFF" w:val="clear"/>
        </w:rPr>
        <w:t xml:space="preserve">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w:t>
      </w:r>
      <w:r>
        <w:rPr>
          <w:rFonts w:ascii="Times New Roman;sans-serif" w:hAnsi="Times New Roman;sans-serif"/>
          <w:b w:val="false"/>
          <w:color w:val="000000"/>
          <w:sz w:val="20"/>
        </w:rPr>
        <w:t>Research Program Option,</w:t>
      </w:r>
      <w:r>
        <w:rPr>
          <w:color w:val="000000"/>
          <w:shd w:fill="FFFFFF" w:val="clear"/>
        </w:rPr>
        <w:t xml:space="preserve"> </w:t>
      </w:r>
      <w:r>
        <w:rPr>
          <w:rFonts w:ascii="Times New Roman;sans-serif" w:hAnsi="Times New Roman;sans-serif"/>
          <w:b w:val="false"/>
          <w:color w:val="000000"/>
          <w:sz w:val="20"/>
          <w:shd w:fill="FFFFFF" w:val="clear"/>
        </w:rPr>
        <w:t>a flat royalty on worldwide net sales of any products resulting from the two research programs.</w:t>
      </w:r>
      <w:r>
        <w:rPr>
          <w:color w:val="000000"/>
        </w:rPr>
        <w:t xml:space="preserve"> </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 xml:space="preserve">The Company evaluated the Gilead Agreement under the provisions of ASC 606 and identified the following material promises under the agreement: (i) a license to perform any activities allocated to Gilead under the MGD024 </w:t>
      </w:r>
      <w:r>
        <w:rPr>
          <w:rFonts w:ascii="Times New Roman;sans-serif" w:hAnsi="Times New Roman;sans-serif"/>
          <w:b w:val="false"/>
          <w:color w:val="000000"/>
          <w:sz w:val="20"/>
        </w:rPr>
        <w:t>development plan</w:t>
      </w:r>
      <w:r>
        <w:rPr>
          <w:rFonts w:ascii="Times New Roman;sans-serif" w:hAnsi="Times New Roman;sans-serif"/>
          <w:b w:val="false"/>
          <w:color w:val="000000"/>
          <w:sz w:val="20"/>
          <w:shd w:fill="FFFFFF" w:val="clear"/>
        </w:rPr>
        <w:t xml:space="preserve">; (ii) development activities regarding MGD024, including manufacturing, research and early clinical development activities, necessary to deliver an informational package of development and clinical data, information and materials specified in the Gilead Agreement during the period </w:t>
      </w:r>
      <w:r>
        <w:rPr>
          <w:rFonts w:ascii="Times New Roman;sans-serif" w:hAnsi="Times New Roman;sans-serif"/>
          <w:b w:val="false"/>
          <w:color w:val="000000"/>
          <w:sz w:val="20"/>
        </w:rPr>
        <w:t>in</w:t>
      </w:r>
      <w:r>
        <w:rPr>
          <w:color w:val="000000"/>
          <w:shd w:fill="FFFFFF" w:val="clear"/>
        </w:rPr>
        <w:t xml:space="preserve"> </w:t>
      </w:r>
      <w:r>
        <w:rPr>
          <w:rFonts w:ascii="Times New Roman;sans-serif" w:hAnsi="Times New Roman;sans-serif"/>
          <w:b w:val="false"/>
          <w:color w:val="000000"/>
          <w:sz w:val="20"/>
          <w:shd w:fill="FFFFFF" w:val="clear"/>
        </w:rPr>
        <w:t xml:space="preserve">which Gilead can exercise the CD123 Option; (iii) the CD123 Option and (iv) the </w:t>
      </w:r>
      <w:r>
        <w:rPr>
          <w:rFonts w:ascii="Times New Roman;sans-serif" w:hAnsi="Times New Roman;sans-serif"/>
          <w:b w:val="false"/>
          <w:color w:val="000000"/>
          <w:sz w:val="20"/>
        </w:rPr>
        <w:t>Research Program Option</w:t>
      </w:r>
      <w:r>
        <w:rPr>
          <w:rFonts w:ascii="Times New Roman;sans-serif" w:hAnsi="Times New Roman;sans-serif"/>
          <w:b w:val="false"/>
          <w:color w:val="000000"/>
          <w:sz w:val="20"/>
          <w:shd w:fill="FFFFFF" w:val="clear"/>
        </w:rPr>
        <w:t>.</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The Company concluded that the license under the MGD024 developme</w:t>
      </w:r>
      <w:r>
        <w:rPr>
          <w:rFonts w:ascii="Times New Roman;sans-serif" w:hAnsi="Times New Roman;sans-serif"/>
          <w:b w:val="false"/>
          <w:color w:val="000000"/>
          <w:sz w:val="20"/>
        </w:rPr>
        <w:t>nt plan</w:t>
      </w:r>
      <w:r>
        <w:rPr>
          <w:color w:val="000000"/>
          <w:shd w:fill="FFFFFF" w:val="clear"/>
        </w:rPr>
        <w:t xml:space="preserve"> </w:t>
      </w:r>
      <w:r>
        <w:rPr>
          <w:rFonts w:ascii="Times New Roman;sans-serif" w:hAnsi="Times New Roman;sans-serif"/>
          <w:b w:val="false"/>
          <w:color w:val="000000"/>
          <w:sz w:val="20"/>
          <w:shd w:fill="FFFFFF" w:val="clear"/>
        </w:rPr>
        <w:t>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pStyle w:val="TextBody"/>
        <w:bidi w:val="0"/>
        <w:spacing w:lineRule="auto" w:line="288" w:before="180" w:after="283"/>
        <w:ind w:left="0" w:right="0" w:firstLine="720"/>
        <w:jc w:val="left"/>
        <w:rPr/>
      </w:pPr>
      <w:r>
        <w:rPr>
          <w:rFonts w:ascii="Times New Roman;sans-serif" w:hAnsi="Times New Roman;sans-serif"/>
          <w:b w:val="false"/>
          <w:color w:val="000000"/>
          <w:sz w:val="20"/>
          <w:shd w:fill="FFFFFF" w:val="clear"/>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 Research Program Option exercise.</w:t>
      </w:r>
      <w:r>
        <w:rPr>
          <w:color w:val="000000"/>
        </w:rPr>
        <w:t xml:space="preserve"> </w:t>
      </w:r>
      <w:r>
        <w:rPr>
          <w:rFonts w:ascii="Times New Roman;sans-serif" w:hAnsi="Times New Roman;sans-serif"/>
          <w:b w:val="false"/>
          <w:color w:val="000000"/>
          <w:sz w:val="20"/>
        </w:rPr>
        <w:t>The Company reassesses the amount of variable consideration included in the transaction price every reporting period.</w:t>
      </w:r>
      <w:r>
        <w:rPr>
          <w:color w:val="000000"/>
          <w:shd w:fill="FFFFFF" w:val="clear"/>
        </w:rPr>
        <w:t xml:space="preserve"> </w:t>
      </w:r>
      <w:r>
        <w:rPr>
          <w:rFonts w:ascii="Times New Roman;sans-serif" w:hAnsi="Times New Roman;sans-serif"/>
          <w:b w:val="false"/>
          <w:color w:val="000000"/>
          <w:sz w:val="20"/>
          <w:shd w:fill="FFFFFF" w:val="clear"/>
        </w:rPr>
        <w:t xml:space="preserve">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w:t>
      </w:r>
      <w:r>
        <w:rPr>
          <w:rFonts w:ascii="Times New Roman;sans-serif" w:hAnsi="Times New Roman;sans-serif"/>
          <w:b w:val="false"/>
          <w:color w:val="000000"/>
          <w:sz w:val="20"/>
        </w:rPr>
        <w:t>for the pre-option development timeline.</w:t>
      </w:r>
      <w:r>
        <w:rPr>
          <w:color w:val="000000"/>
        </w:rPr>
        <w:t xml:space="preserve"> </w:t>
      </w:r>
      <w:r>
        <w:rPr>
          <w:rFonts w:ascii="Times New Roman;sans-serif" w:hAnsi="Times New Roman;sans-serif"/>
          <w:b w:val="false"/>
          <w:color w:val="000000"/>
          <w:sz w:val="20"/>
        </w:rPr>
        <w:t>For the standalone selling price of the CD123 Option, the Company utilized an income-based approach which included the following key assumptions:</w:t>
      </w:r>
      <w:r>
        <w:rPr>
          <w:color w:val="000000"/>
        </w:rPr>
        <w:t xml:space="preserve"> </w:t>
      </w:r>
      <w:r>
        <w:rPr>
          <w:rFonts w:ascii="Times New Roman;sans-serif" w:hAnsi="Times New Roman;sans-serif"/>
          <w:b w:val="false"/>
          <w:color w:val="000000"/>
          <w:sz w:val="20"/>
        </w:rPr>
        <w:t xml:space="preserve">post-option development timeline and costs, forecasted revenues, discount rates and probabilities of technical and regulatory success. </w:t>
      </w:r>
    </w:p>
    <w:p>
      <w:pPr>
        <w:pStyle w:val="TextBody"/>
        <w:bidi w:val="0"/>
        <w:spacing w:lineRule="auto" w:line="288" w:before="18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will defer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 xml:space="preserve">During the three months ended March 31, 2024 and 2023, the Company recorded revenue of $0.3 million and $0.4 million, respectively, </w:t>
      </w:r>
      <w:r>
        <w:rPr>
          <w:rFonts w:ascii="Times New Roman;sans-serif" w:hAnsi="Times New Roman;sans-serif"/>
          <w:b w:val="false"/>
          <w:color w:val="000000"/>
          <w:sz w:val="20"/>
          <w:shd w:fill="FFFFFF" w:val="clear"/>
        </w:rPr>
        <w:t xml:space="preserve">related to the Gilead Agreement. As of March 31, 2024, </w:t>
      </w:r>
      <w:r>
        <w:rPr>
          <w:rFonts w:ascii="Times New Roman;sans-serif" w:hAnsi="Times New Roman;sans-serif"/>
          <w:b w:val="false"/>
          <w:color w:val="000000"/>
          <w:sz w:val="20"/>
        </w:rPr>
        <w:t>$58.0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$1.8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$56.2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non-current. As of December 31, 2023, </w:t>
      </w:r>
      <w:r>
        <w:rPr>
          <w:rFonts w:ascii="Times New Roman;sans-serif" w:hAnsi="Times New Roman;sans-serif"/>
          <w:b w:val="false"/>
          <w:color w:val="000000"/>
          <w:sz w:val="20"/>
        </w:rPr>
        <w:t>$58.3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$2.2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$56.1 million</w:t>
      </w:r>
      <w:r>
        <w:rPr>
          <w:color w:val="000000"/>
          <w:shd w:fill="FFFFFF" w:val="clear"/>
        </w:rPr>
        <w:t xml:space="preserve"> </w:t>
      </w:r>
      <w:r>
        <w:rPr>
          <w:rFonts w:ascii="Times New Roman;sans-serif" w:hAnsi="Times New Roman;sans-serif"/>
          <w:b w:val="false"/>
          <w:color w:val="000000"/>
          <w:sz w:val="20"/>
          <w:shd w:fill="FFFFFF" w:val="clear"/>
        </w:rPr>
        <w:t>of which was non-current.</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shd w:fill="FFFFFF" w:val="clear"/>
        </w:rPr>
        <w:t xml:space="preserve">In September 2023, </w:t>
      </w:r>
      <w:r>
        <w:rPr>
          <w:rFonts w:ascii="Times New Roman;sans-serif" w:hAnsi="Times New Roman;sans-serif"/>
          <w:b w:val="false"/>
          <w:color w:val="000000"/>
          <w:sz w:val="20"/>
        </w:rPr>
        <w:t>the Company and Gilead executed a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the Company determined that the initial transaction price for the First Research Program agreement was $15.7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w:t>
      </w:r>
    </w:p>
    <w:p>
      <w:pPr>
        <w:pStyle w:val="TextBody"/>
        <w:bidi w:val="0"/>
        <w:spacing w:lineRule="auto" w:line="288" w:before="180" w:after="180"/>
        <w:ind w:left="0" w:right="0" w:firstLine="720"/>
        <w:jc w:val="left"/>
        <w:rPr/>
      </w:pPr>
      <w:r>
        <w:rPr>
          <w:rFonts w:ascii="Times New Roman;sans-serif" w:hAnsi="Times New Roman;sans-serif"/>
          <w:b w:val="false"/>
          <w:color w:val="000000"/>
          <w:sz w:val="20"/>
        </w:rPr>
        <w:t>During the three months ended March 31, 2024, the Company recorded revenue of $0.7 million r</w:t>
      </w:r>
      <w:r>
        <w:rPr>
          <w:rFonts w:ascii="Times New Roman;sans-serif" w:hAnsi="Times New Roman;sans-serif"/>
          <w:b w:val="false"/>
          <w:color w:val="000000"/>
          <w:sz w:val="20"/>
          <w:shd w:fill="FFFFFF" w:val="clear"/>
        </w:rPr>
        <w:t xml:space="preserve">elated to the First Research Program. As of March 31, 2024, </w:t>
      </w:r>
      <w:r>
        <w:rPr>
          <w:rFonts w:ascii="Times New Roman;sans-serif" w:hAnsi="Times New Roman;sans-serif"/>
          <w:b w:val="false"/>
          <w:color w:val="000000"/>
          <w:sz w:val="20"/>
        </w:rPr>
        <w:t>$14.2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all of which was current. As of December 31, 2023, </w:t>
      </w:r>
      <w:r>
        <w:rPr>
          <w:rFonts w:ascii="Times New Roman;sans-serif" w:hAnsi="Times New Roman;sans-serif"/>
          <w:b w:val="false"/>
          <w:color w:val="000000"/>
          <w:sz w:val="20"/>
        </w:rPr>
        <w:t>$14.9 million</w:t>
      </w:r>
      <w:r>
        <w:rPr>
          <w:color w:val="000000"/>
          <w:shd w:fill="FFFFFF" w:val="clear"/>
        </w:rPr>
        <w:t xml:space="preserve"> </w:t>
      </w:r>
      <w:r>
        <w:rPr>
          <w:rFonts w:ascii="Times New Roman;sans-serif" w:hAnsi="Times New Roman;sans-serif"/>
          <w:b w:val="false"/>
          <w:color w:val="000000"/>
          <w:sz w:val="20"/>
          <w:shd w:fill="FFFFFF" w:val="clear"/>
        </w:rPr>
        <w:t xml:space="preserve">in revenue was deferred under this agreement, </w:t>
      </w:r>
      <w:r>
        <w:rPr>
          <w:rFonts w:ascii="Times New Roman;sans-serif" w:hAnsi="Times New Roman;sans-serif"/>
          <w:b w:val="false"/>
          <w:color w:val="000000"/>
          <w:sz w:val="20"/>
        </w:rPr>
        <w:t>$11.8 million</w:t>
      </w:r>
      <w:r>
        <w:rPr>
          <w:color w:val="000000"/>
          <w:shd w:fill="FFFFFF" w:val="clear"/>
        </w:rPr>
        <w:t xml:space="preserve"> </w:t>
      </w:r>
      <w:r>
        <w:rPr>
          <w:rFonts w:ascii="Times New Roman;sans-serif" w:hAnsi="Times New Roman;sans-serif"/>
          <w:b w:val="false"/>
          <w:color w:val="000000"/>
          <w:sz w:val="20"/>
          <w:shd w:fill="FFFFFF" w:val="clear"/>
        </w:rPr>
        <w:t xml:space="preserve">of which was current and </w:t>
      </w:r>
      <w:r>
        <w:rPr>
          <w:rFonts w:ascii="Times New Roman;sans-serif" w:hAnsi="Times New Roman;sans-serif"/>
          <w:b w:val="false"/>
          <w:color w:val="000000"/>
          <w:sz w:val="20"/>
        </w:rPr>
        <w:t>$3.1 million</w:t>
      </w:r>
      <w:r>
        <w:rPr>
          <w:color w:val="000000"/>
          <w:shd w:fill="FFFFFF" w:val="clear"/>
        </w:rPr>
        <w:t xml:space="preserve"> </w:t>
      </w:r>
      <w:r>
        <w:rPr>
          <w:rFonts w:ascii="Times New Roman;sans-serif" w:hAnsi="Times New Roman;sans-serif"/>
          <w:b w:val="false"/>
          <w:color w:val="000000"/>
          <w:sz w:val="20"/>
          <w:shd w:fill="FFFFFF" w:val="clear"/>
        </w:rPr>
        <w:t>of which was non-current.</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Manufacturing Services Agreement</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Incyte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Company entered into a Manufacturing and Clinical Supply Agreement with Incyte (Incyte Manufacturing and Clinical Supply Agreement) to provide manufacturing services to produce certain Incyte bulk drug substance over a three-year period at one of the Company’s manufacturing facilities. Under the terms of the Incyte Manufacturing and Clinical Supply Agreement, the Company received an upfront payment of $10.0 million and is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the Incyte Manufacturing and Clinical Supply Agreement and the July 2022 Incyte Amendment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consists of the upfront payment of $10.0 million and the annual fixed payments totaling $19.5 million. The Company will recognize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w:t>
      </w:r>
    </w:p>
    <w:p>
      <w:pPr>
        <w:pStyle w:val="TextBody"/>
        <w:bidi w:val="0"/>
        <w:spacing w:lineRule="auto" w:line="288" w:before="0" w:after="180"/>
        <w:ind w:left="0" w:right="0" w:firstLine="720"/>
        <w:jc w:val="left"/>
        <w:rPr/>
      </w:pPr>
      <w:r>
        <w:rPr>
          <w:rFonts w:ascii="Times New Roman;sans-serif" w:hAnsi="Times New Roman;sans-serif"/>
          <w:b w:val="false"/>
          <w:color w:val="000000"/>
          <w:sz w:val="20"/>
        </w:rPr>
        <w:t>During the three months ended March 31, 2024 and 2023 the Company recognized revenue of $2.1 million</w:t>
      </w:r>
      <w:r>
        <w:rPr>
          <w:color w:val="252525"/>
        </w:rPr>
        <w:t xml:space="preserve"> </w:t>
      </w:r>
      <w:r>
        <w:rPr>
          <w:rFonts w:ascii="Times New Roman;sans-serif" w:hAnsi="Times New Roman;sans-serif"/>
          <w:b w:val="false"/>
          <w:color w:val="252525"/>
          <w:sz w:val="20"/>
        </w:rPr>
        <w:t xml:space="preserve">and </w:t>
      </w:r>
      <w:r>
        <w:rPr>
          <w:rFonts w:ascii="Times New Roman;sans-serif" w:hAnsi="Times New Roman;sans-serif"/>
          <w:b w:val="false"/>
          <w:color w:val="000000"/>
          <w:sz w:val="20"/>
        </w:rPr>
        <w:t>$3.6 million, respectively, under the Incyte Manufacturing and Clinical Supply Agreement. As of March 31, 2024, $6.1 million in revenue was deferred under this agreement, all of which was current. As of December 31, 2023, $7.0 million</w:t>
      </w:r>
      <w:r>
        <w:rPr>
          <w:color w:val="000000"/>
        </w:rPr>
        <w:t xml:space="preserve"> </w:t>
      </w:r>
      <w:r>
        <w:rPr>
          <w:rFonts w:ascii="Times New Roman;sans-serif" w:hAnsi="Times New Roman;sans-serif"/>
          <w:b w:val="false"/>
          <w:color w:val="000000"/>
          <w:sz w:val="20"/>
        </w:rPr>
        <w:t>in revenue was deferred under this agreement, all of which was current.</w:t>
      </w:r>
    </w:p>
    <w:p>
      <w:pPr>
        <w:pStyle w:val="TextBody"/>
        <w:bidi w:val="0"/>
        <w:spacing w:lineRule="auto" w:line="288" w:before="0" w:after="120"/>
        <w:jc w:val="left"/>
        <w:rPr>
          <w:rFonts w:ascii="Times New Roman;sans-serif" w:hAnsi="Times New Roman;sans-serif"/>
          <w:b/>
          <w:color w:val="252525"/>
          <w:sz w:val="20"/>
        </w:rPr>
      </w:pPr>
      <w:r>
        <w:rPr>
          <w:rFonts w:ascii="Times New Roman;sans-serif" w:hAnsi="Times New Roman;sans-serif"/>
          <w:b/>
          <w:color w:val="252525"/>
          <w:sz w:val="20"/>
        </w:rPr>
        <w:t>Government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NIAID Contract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contract with NIAID, effective as of September 15, 2015, to perform product development and to advance up to two DART molecules, MGD014 and MGD020 (NIAID Contract). Under the NIAID Contract, the Company will develop these product candidates for Phase 1/2 clinical trials as therapeutic agents, in combination with latency reversing treatments, to deplete cells infected with human immunodeficiency virus (HIV) infection. NIAID does not receive goods or services from the Company under this contract, therefore the Company does not consider NIAID to be a customer and concluded this contract is outside the scope of ASC 606.</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inception of the NIAID Contract, NIAID has exercised the two options contemplated in the original contract and executed modifications such that the total funded contract value as of March 31, 2024 is $25.1 million. In addition, the most recent modification changed the period of performance under the NIAID Contract to end in September 2024. During the three months ended March 31, 2024 and 2023, the Company recognized revenue under the NIAID Contract of $0.4 million and $0.3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8. Stock-Based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2017, the Company’s stockholders approved the 2016 Employee Stock Purchase Plan (the 2016 ESPP). The 2016 ESPP is structured as a qualified employee stock purchase plan under Section 423 of the Internal Revenue Code of 1986, as amended (IRC),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six-month offering periods ending on May 31 and November 30 of each year. At the end of each offering period, employees are able to purchase shares at 85% of the fair market value of the Company’s common stock on the last day of the offering period. During the three months ended March 31, 2024, no shares of common stock were purchased under the 2016 ESPP.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Incentive Plans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2013, the Company implemented the 2013 Equity Incentive Plan (2013 Plan). The 2013 Plan provides for the grant of stock options and other stock-based awards, as well as cash-based performance awards.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Plan was effective as of stockholder approval in May 2023. The 2023 Plan provides for grants of stock options and other stock-based awards, as well as cash-based performance awards. Initially, the maximum number of shares of the Company’s common stock that may be issued under the 2023 Plan will not exceed 4,850,000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stock-based compensation expense was recognized for the periods indicated (in thousands):</w:t>
      </w:r>
    </w:p>
    <w:tbl>
      <w:tblPr>
        <w:tblW w:w="7763" w:type="dxa"/>
        <w:jc w:val="left"/>
        <w:tblInd w:w="0" w:type="dxa"/>
        <w:tblLayout w:type="fixed"/>
        <w:tblCellMar>
          <w:top w:w="28" w:type="dxa"/>
          <w:left w:w="28" w:type="dxa"/>
          <w:bottom w:w="28" w:type="dxa"/>
          <w:right w:w="28" w:type="dxa"/>
        </w:tblCellMar>
      </w:tblPr>
      <w:tblGrid>
        <w:gridCol w:w="1251"/>
        <w:gridCol w:w="1096"/>
        <w:gridCol w:w="1102"/>
        <w:gridCol w:w="109"/>
        <w:gridCol w:w="109"/>
        <w:gridCol w:w="263"/>
        <w:gridCol w:w="263"/>
        <w:gridCol w:w="510"/>
        <w:gridCol w:w="1489"/>
        <w:gridCol w:w="263"/>
        <w:gridCol w:w="109"/>
        <w:gridCol w:w="109"/>
        <w:gridCol w:w="109"/>
        <w:gridCol w:w="211"/>
        <w:gridCol w:w="61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options</w:t>
      </w:r>
    </w:p>
    <w:p>
      <w:pPr>
        <w:pStyle w:val="TextBody"/>
        <w:bidi w:val="0"/>
        <w:spacing w:lineRule="auto" w:line="288" w:before="30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each option award is estimated on the date of grant using the Black-Scholes option-pricing model using the assumptions in the following table for options issued during the period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5642" w:type="dxa"/>
        <w:jc w:val="left"/>
        <w:tblInd w:w="0" w:type="dxa"/>
        <w:tblLayout w:type="fixed"/>
        <w:tblCellMar>
          <w:top w:w="28" w:type="dxa"/>
          <w:left w:w="28" w:type="dxa"/>
          <w:bottom w:w="28" w:type="dxa"/>
          <w:right w:w="28" w:type="dxa"/>
        </w:tblCellMar>
      </w:tblPr>
      <w:tblGrid>
        <w:gridCol w:w="772"/>
        <w:gridCol w:w="678"/>
        <w:gridCol w:w="680"/>
        <w:gridCol w:w="420"/>
        <w:gridCol w:w="420"/>
        <w:gridCol w:w="420"/>
        <w:gridCol w:w="301"/>
        <w:gridCol w:w="301"/>
        <w:gridCol w:w="301"/>
        <w:gridCol w:w="395"/>
        <w:gridCol w:w="395"/>
        <w:gridCol w:w="559"/>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94.9% -95.5%</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92.6% - 94.3%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 - 4.4%</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 - 4.2%</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6.06 years</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5.88 years</w:t>
            </w:r>
          </w:p>
        </w:tc>
      </w:tr>
    </w:tbl>
    <w:p>
      <w:pPr>
        <w:pStyle w:val="TextBody"/>
        <w:bidi w:val="0"/>
        <w:spacing w:lineRule="auto" w:line="288" w:before="12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during the three months ended March 31, 2024:</w:t>
      </w:r>
    </w:p>
    <w:tbl>
      <w:tblPr>
        <w:tblW w:w="9473" w:type="dxa"/>
        <w:jc w:val="left"/>
        <w:tblInd w:w="0" w:type="dxa"/>
        <w:tblLayout w:type="fixed"/>
        <w:tblCellMar>
          <w:top w:w="28" w:type="dxa"/>
          <w:left w:w="28" w:type="dxa"/>
          <w:bottom w:w="28" w:type="dxa"/>
          <w:right w:w="28" w:type="dxa"/>
        </w:tblCellMar>
      </w:tblPr>
      <w:tblGrid>
        <w:gridCol w:w="1010"/>
        <w:gridCol w:w="889"/>
        <w:gridCol w:w="891"/>
        <w:gridCol w:w="540"/>
        <w:gridCol w:w="541"/>
        <w:gridCol w:w="226"/>
        <w:gridCol w:w="109"/>
        <w:gridCol w:w="109"/>
        <w:gridCol w:w="109"/>
        <w:gridCol w:w="301"/>
        <w:gridCol w:w="878"/>
        <w:gridCol w:w="156"/>
        <w:gridCol w:w="109"/>
        <w:gridCol w:w="109"/>
        <w:gridCol w:w="109"/>
        <w:gridCol w:w="565"/>
        <w:gridCol w:w="565"/>
        <w:gridCol w:w="566"/>
        <w:gridCol w:w="109"/>
        <w:gridCol w:w="109"/>
        <w:gridCol w:w="109"/>
        <w:gridCol w:w="265"/>
        <w:gridCol w:w="906"/>
        <w:gridCol w:w="193"/>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br/>
              <w:t> (in thousands)</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12,223,637 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1,654,555 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(257,683)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13,574,356 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w:t>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8,150,261 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12,411,841 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options granted during the three months ended March 31, 2024 and 2023 was $14.17 and $3.77, respectively. The total intrinsic value of options exercised during the three months ended March 31, 2024 was $1.9 million and de minimis for the three months ended March 31, 2023. The total cash received for options exercised during the three months ended March 31, 2024 was $2.6 million and was de minimis for the three months ended March 31, 2023. The total fair value of shares vested in the three months ended March 31, 2024 and 2023 was approximately $3.9 million and $4.4 million, respectively. As of March 31, 2024, the total unrecognized compensation expense related to unvested stock options, net of related forfeiture estimates, was approximately $34.7 million, which the Company expects to recognize over a weighted-average period of approximately 1.6 years.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20"/>
        <w:ind w:left="0" w:right="0" w:firstLine="720"/>
        <w:jc w:val="left"/>
        <w:rPr/>
      </w:pPr>
      <w:r>
        <w:rPr>
          <w:rFonts w:ascii="Times New Roman;sans-serif" w:hAnsi="Times New Roman;sans-serif"/>
          <w:b w:val="false"/>
          <w:color w:val="000000"/>
          <w:sz w:val="20"/>
        </w:rPr>
        <w:t>Restricted stock units (RSUs) are valued based on the closing price of the Company’s common stock on the date of the grant. The fair value of RSUs is recognized and amortized on a straight-line basis over the requisite service period of the award</w:t>
      </w:r>
      <w:r>
        <w:rPr>
          <w:rFonts w:ascii="Calibri;sans-serif" w:hAnsi="Calibri;sans-serif"/>
          <w:b w:val="false"/>
          <w:color w:val="252525"/>
          <w:sz w:val="20"/>
        </w:rPr>
        <w:t>.</w:t>
      </w:r>
      <w:r>
        <w:rPr>
          <w:color w:val="000000"/>
        </w:rPr>
        <w:t xml:space="preserve"> </w:t>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during the three months ended March 31, 2024:</w:t>
      </w:r>
    </w:p>
    <w:tbl>
      <w:tblPr>
        <w:tblW w:w="6373" w:type="dxa"/>
        <w:jc w:val="left"/>
        <w:tblInd w:w="0" w:type="dxa"/>
        <w:tblLayout w:type="fixed"/>
        <w:tblCellMar>
          <w:top w:w="28" w:type="dxa"/>
          <w:left w:w="28" w:type="dxa"/>
          <w:bottom w:w="28" w:type="dxa"/>
          <w:right w:w="28" w:type="dxa"/>
        </w:tblCellMar>
      </w:tblPr>
      <w:tblGrid>
        <w:gridCol w:w="1010"/>
        <w:gridCol w:w="889"/>
        <w:gridCol w:w="891"/>
        <w:gridCol w:w="487"/>
        <w:gridCol w:w="489"/>
        <w:gridCol w:w="226"/>
        <w:gridCol w:w="109"/>
        <w:gridCol w:w="109"/>
        <w:gridCol w:w="109"/>
        <w:gridCol w:w="494"/>
        <w:gridCol w:w="1198"/>
        <w:gridCol w:w="362"/>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Weighted-Average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Grant Date Fair Value</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905,614 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(370,891)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1,122,110 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there was $10.3 million of total unrecognized compensation cost related to unvested RSUs, which the Company expects to recognize over a remaining weighted-average period of approximately 1.8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9. In-licensing arrangement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Finally, pursuant to the terms of this license agreement, as amended, upon commencement of commercial sales of any products developed from these targets, the Company would be required to pay Synaffix tiered royalties in the low</w:t>
        <w:noBreakHyphen/>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The Company incurred $2.4 million and $1.7 million in expense under this agreement during the three months ended March 31, 2024 and 2023, respectively.</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
        <w:gridCol w:w="261"/>
        <w:gridCol w:w="264"/>
        <w:gridCol w:w="2743"/>
        <w:gridCol w:w="2743"/>
        <w:gridCol w:w="3896"/>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9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tc>
      </w:tr>
    </w:tbl>
    <w:p>
      <w:pPr>
        <w:pStyle w:val="TextBody"/>
        <w:bidi w:val="0"/>
        <w:spacing w:lineRule="auto" w:line="288" w:before="0" w:after="180"/>
        <w:ind w:left="0" w:right="0" w:firstLine="900"/>
        <w:jc w:val="left"/>
        <w:rPr/>
      </w:pPr>
      <w:r>
        <w:rPr>
          <w:rFonts w:ascii="Times New Roman;sans-serif" w:hAnsi="Times New Roman;sans-serif"/>
          <w:b w:val="false"/>
          <w:i/>
          <w:color w:val="000000"/>
          <w:sz w:val="20"/>
        </w:rPr>
        <w:t>The following discussion of our financial condition and results of operations is based upon our unaudited consolidated financial statements included in this Quarterly Report on Form 10-Q, which have been prepared by us in accordance with U.S. generally accepted accounting principles (GAAP), for interim periods and with Regulation S-X promulgated under the Securities Exchange Act of 1934, as amended. This discussion and analysis should be read in conjunction with these unaudited consolidated financial statements and the notes thereto as well as in conjunction with our audited consolidated financial statements and related notes thereto included in our Annual Report on Form 10-K for the year ended December 31, 2023.</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discovering, developing, manufacturing and commercializing innovative antibody-based therapeutics for the treatment of cancer. We have a pipeline of product candidates designed to target either various tumor-associated antigens or immune checkpoint molecules. These candidates are being evaluated in clinical trials sponsored by us or our collaborators or are in preclinical development. Our clinical product candidates include multiple oncology programs which have either been created using our proprietary, antibody-based technology platforms or enabled through our technology licensing arrangements with other companies. We believe our product candidates have the potential, if approved for marketing by regulatory authorities, to have a meaningful effect on treating patients' unmet medical needs as monotherapy or, in some cases, in combination with other therapeutic agents. To date, three products originating from our pipeline of proprietary or partnered product candidates have received U.S. Food and Drug Administration (FDA) approval. In March 2021, we and our commercialization partner commenced U.S. marketing of MARGENZA (margetuximab-cmkb), a human epidermal growth factor receptor 2 (HER2) antagonist indicated, in combination with chemotherapy, for the treatment of adult patients with metastatic HER2-positive breast cancer who have received two or more prior anti-HER2 regimens, at least one of which was for metastatic disease. In November 2022, the FDA approved TZIELD™ (teplizumab-mzwv) to delay the onset of Stage 3 Type 1 Diabetes (T1D) in adult and pediatric patients aged 8 years and older with Stage 2 T1D. Teplizumab was acquired from us by Provention Bio, Inc. (Provention) in 2018, pursuant to an asset purchase agreement (Provention APA). In March 2023, the FDA approved ZYNYZ™ (retifanlimab-dlwr), a humanized monoclonal antibody targeting programmed death receptor-1 (PD-1). Retifanlimab was previously developed by us and licensed to Incyte Corporation (Incyte) pursuant to an exclusive global collaboration and license agreement in October 2017.</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March 31, 2024, combined with anticipated and potential collaboration payments, product revenue, contract manufacturing revenue, and royalties, should enable us to fund our operations into 2026. Our expected funding requirements reflect anticipated expenditures related to the Phase 2 TAMARACK clinical trial of vobramitamab duocarmazine (vobra duo) in metastatic castration-resistant prostate cancer (mCRPC), our Phase 2 LORIKEET study of lorigerlimab in mCRPC as well as our other clinical and preclinical studies currently ongoing.</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Through March 31, 2024, we had an accumulated deficit of $1.2 billion. We expect that over the next several years this deficit will increase as we continue to incur research and development expense in connection with our ongoing activities and several clinical studies.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Macroeconomic Conditions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credit markets and financial markets have and may continue to experience significant volatility as a result of significant worldwide events, including adverse events involving financial institutions or the financial services industry, inflation and rising interest rates and geopolitical upheaval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Collaborations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i/>
          <w:color w:val="000000"/>
          <w:sz w:val="20"/>
        </w:rPr>
        <w:t xml:space="preserve">Incyte. </w:t>
      </w:r>
      <w:r>
        <w:rPr>
          <w:rFonts w:ascii="Times New Roman;sans-serif" w:hAnsi="Times New Roman;sans-serif"/>
          <w:b w:val="false"/>
          <w:color w:val="000000"/>
          <w:sz w:val="20"/>
        </w:rPr>
        <w:t xml:space="preserve">We have an exclusive global collaboration and license agreement with Incyte for retifanlimab, an investigational 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$115.0 million from Incyte through March 31, 2024, including $15.0 million upon the FDA approval of ZYNYZ (retifanlimab-dlwr) in March 2023. We are eligible to receive an additional $320.0 million in development and regulatory milestones and $330.0 million in commercial milestones. We are also eligible to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are to perform development and manufacturing services for Incyte's clinical needs of retifanlimab (Incyte Clinical Supply Agreement) and another agreement under which we are entitled to manufacture a portion of Incyte’s global commercial supply of retifanlimab (Incyte Commercial Supply Agreement). </w:t>
      </w:r>
    </w:p>
    <w:p>
      <w:pPr>
        <w:pStyle w:val="TextBody"/>
        <w:bidi w:val="0"/>
        <w:spacing w:lineRule="auto" w:line="288" w:before="0" w:after="180"/>
        <w:ind w:left="0" w:right="0" w:hanging="360"/>
        <w:jc w:val="left"/>
        <w:rPr/>
      </w:pPr>
      <w:r>
        <w:rPr>
          <w:color w:val="000000"/>
          <w:shd w:fill="FFFFFF" w:val="clear"/>
        </w:rPr>
        <w:t>•</w:t>
      </w:r>
      <w:r>
        <w:rPr>
          <w:rFonts w:ascii="Times New Roman;sans-serif" w:hAnsi="Times New Roman;sans-serif"/>
          <w:b w:val="false"/>
          <w:i/>
          <w:color w:val="000000"/>
          <w:sz w:val="20"/>
        </w:rPr>
        <w:t>Gilead</w:t>
      </w:r>
      <w:r>
        <w:rPr>
          <w:rFonts w:ascii="Times New Roman;sans-serif" w:hAnsi="Times New Roman;sans-serif"/>
          <w:b w:val="false"/>
          <w:color w:val="000000"/>
          <w:sz w:val="20"/>
        </w:rPr>
        <w:t xml:space="preserve">. In 2022, we and Gilead Sciences, Inc. (Gilead) entered into an exclusive option and collaboration agreement (Gilead Agreement) to develop and 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grants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 $60.0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 In 2023, Gilead nominated the first of the two research programs contemplated in the Gilead Agreement (First Research Program) and paid us a $15.7 million nomination fee. We granted Gilead a research license, and the parties agreed on a research plan for the First Research Program under which we will provide research and development services. </w:t>
      </w:r>
      <w:r>
        <w:rPr>
          <w:rFonts w:ascii="Times New Roman;sans-serif" w:hAnsi="Times New Roman;sans-serif"/>
          <w:b w:val="false"/>
          <w:color w:val="000000"/>
          <w:sz w:val="20"/>
          <w:shd w:fill="FFFFFF" w:val="clear"/>
        </w:rPr>
        <w:t>On January 11, 2024, the parties amended the Gilead Agreement to revise certain matters related to intellectual property in the performance of the research plans under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policies which require the most significant judgments and estimates in the preparation of our consolidated financial statements. A summary of our critical accounting estimates is presented in Part II, Item 7, "Management's Discussion and Analysis of Financial Condition and Results of Operations" of our Annual Report on Form 10-K for the year ended December 31, 2023. There have been no material changes with respect to our critical accounting estimates during the three months ended March 31, 2024.</w:t>
      </w:r>
    </w:p>
    <w:p>
      <w:pPr>
        <w:pStyle w:val="TextBody"/>
        <w:bidi w:val="0"/>
        <w:spacing w:before="0" w:after="0"/>
        <w:ind w:left="0" w:right="0" w:firstLine="7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revenue for the three months ended March 31, 2024 and 2023 (dollars in millions):</w:t>
      </w:r>
    </w:p>
    <w:tbl>
      <w:tblPr>
        <w:tblW w:w="8711" w:type="dxa"/>
        <w:jc w:val="left"/>
        <w:tblInd w:w="0" w:type="dxa"/>
        <w:tblLayout w:type="fixed"/>
        <w:tblCellMar>
          <w:top w:w="28" w:type="dxa"/>
          <w:left w:w="28" w:type="dxa"/>
          <w:bottom w:w="28" w:type="dxa"/>
          <w:right w:w="28" w:type="dxa"/>
        </w:tblCellMar>
      </w:tblPr>
      <w:tblGrid>
        <w:gridCol w:w="945"/>
        <w:gridCol w:w="830"/>
        <w:gridCol w:w="835"/>
        <w:gridCol w:w="109"/>
        <w:gridCol w:w="109"/>
        <w:gridCol w:w="181"/>
        <w:gridCol w:w="181"/>
        <w:gridCol w:w="181"/>
        <w:gridCol w:w="181"/>
        <w:gridCol w:w="181"/>
        <w:gridCol w:w="181"/>
        <w:gridCol w:w="181"/>
        <w:gridCol w:w="181"/>
        <w:gridCol w:w="325"/>
        <w:gridCol w:w="624"/>
        <w:gridCol w:w="181"/>
        <w:gridCol w:w="109"/>
        <w:gridCol w:w="109"/>
        <w:gridCol w:w="109"/>
        <w:gridCol w:w="196"/>
        <w:gridCol w:w="466"/>
        <w:gridCol w:w="109"/>
        <w:gridCol w:w="109"/>
        <w:gridCol w:w="109"/>
        <w:gridCol w:w="109"/>
        <w:gridCol w:w="196"/>
        <w:gridCol w:w="541"/>
        <w:gridCol w:w="109"/>
        <w:gridCol w:w="109"/>
        <w:gridCol w:w="109"/>
        <w:gridCol w:w="109"/>
        <w:gridCol w:w="203"/>
        <w:gridCol w:w="203"/>
        <w:gridCol w:w="301"/>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305" w:type="dxa"/>
            <w:gridSpan w:val="18"/>
            <w:tcBorders/>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Collaborative and other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manufacturing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revenue of $15.4 million for the three months ended March 31, 2024 compared to the three months ended March 31, 2023 was primarily due to:</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252525"/>
          <w:sz w:val="20"/>
        </w:rPr>
        <w:t xml:space="preserve">a decrease of $15.0 million due to milestone payments under the </w:t>
      </w:r>
      <w:r>
        <w:rPr>
          <w:rFonts w:ascii="Times New Roman;sans-serif" w:hAnsi="Times New Roman;sans-serif"/>
          <w:b w:val="false"/>
          <w:color w:val="000000"/>
          <w:sz w:val="20"/>
        </w:rPr>
        <w:t>Incyte License Agreement received in the first quarter of 2023;</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decrease of $1.4 million in revenue recognized under the Incyte Manufacturing and Clinical Supply Agreement;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decrease of $1.3 million in revenue recognized under the Incyte Clinical Supply Agreement.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These decreases were partially offset by:</w:t>
      </w:r>
    </w:p>
    <w:p>
      <w:pPr>
        <w:pStyle w:val="TextBody"/>
        <w:bidi w:val="0"/>
        <w:spacing w:lineRule="auto" w:line="288" w:before="0" w:after="120"/>
        <w:ind w:left="0" w:right="0" w:hanging="360"/>
        <w:jc w:val="left"/>
        <w:rPr/>
      </w:pPr>
      <w:r>
        <w:rPr>
          <w:color w:val="252525"/>
        </w:rPr>
        <w:t>•</w:t>
      </w:r>
      <w:r>
        <w:rPr>
          <w:rFonts w:ascii="Times New Roman;sans-serif" w:hAnsi="Times New Roman;sans-serif"/>
          <w:b w:val="false"/>
          <w:color w:val="000000"/>
          <w:sz w:val="20"/>
        </w:rPr>
        <w:t xml:space="preserve">an increase of $1.4 million in MARGENZA net product sales;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increase of $0.6 million in revenue recognized under the Gilead Agreement.</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Product Sales</w:t>
      </w:r>
    </w:p>
    <w:p>
      <w:pPr>
        <w:pStyle w:val="TextBody"/>
        <w:bidi w:val="0"/>
        <w:spacing w:lineRule="auto" w:line="288" w:before="0" w:after="3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 was $0.3 million and $0.1 million for the three months ended March 31, 2024 and 2023, respectively. Cost of product sales consists primarily of product royalties and fill finish costs. Product sold during both periods consisted of drug product that was previously charged to research and development expense prior to FDA approval of MARGENZA, which favorably impacted our gross margin. We expect cost of product sales to continue to be positively impacted as we sell through this drug product.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Manufacturing Services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manufacturing services was $1.8 million and $3.4 million for the three months ended March 31, 2024 and 2023, respectively. Cost of manufacturing services for both periods includes the costs to provide manufacturing services to produce certain Incyte bulk drug substance under the Incyte Manufacturing and Clinical Supply Agreement. We expect cost of manufacturing services to vary from period to period based on the agreed-upon manufacturing schedule.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comparison of our research and development expense for the three months ended March 31, 2024 and 2023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29"/>
        <w:gridCol w:w="1251"/>
        <w:gridCol w:w="1253"/>
        <w:gridCol w:w="109"/>
        <w:gridCol w:w="109"/>
        <w:gridCol w:w="173"/>
        <w:gridCol w:w="173"/>
        <w:gridCol w:w="173"/>
        <w:gridCol w:w="173"/>
        <w:gridCol w:w="173"/>
        <w:gridCol w:w="173"/>
        <w:gridCol w:w="173"/>
        <w:gridCol w:w="173"/>
        <w:gridCol w:w="335"/>
        <w:gridCol w:w="813"/>
        <w:gridCol w:w="173"/>
        <w:gridCol w:w="109"/>
        <w:gridCol w:w="109"/>
        <w:gridCol w:w="109"/>
        <w:gridCol w:w="211"/>
        <w:gridCol w:w="511"/>
        <w:gridCol w:w="109"/>
        <w:gridCol w:w="109"/>
        <w:gridCol w:w="109"/>
        <w:gridCol w:w="109"/>
        <w:gridCol w:w="218"/>
        <w:gridCol w:w="419"/>
        <w:gridCol w:w="114"/>
        <w:gridCol w:w="109"/>
        <w:gridCol w:w="109"/>
        <w:gridCol w:w="109"/>
        <w:gridCol w:w="232"/>
        <w:gridCol w:w="234"/>
        <w:gridCol w:w="320"/>
      </w:tblGrid>
      <w:tr>
        <w:trPr/>
        <w:tc>
          <w:tcPr>
            <w:tcW w:w="142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349" w:type="dxa"/>
            <w:gridSpan w:val="18"/>
            <w:tcBorders/>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Vobramitamab duocarmazine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Lorigerlimab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MGC028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antibody-drug conjugates (ADCs)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MGC026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Margetuximab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MGD024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Next-generation T-cell engagers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Retifanlimab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DART molecules under HIV government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IMGC936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Enoblituzumab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Flotetuzumab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Tebotelimab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programs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research and discovery projects, as well as early preclinical molecules and molecules not advanced to clinical development.</w:t>
      </w:r>
    </w:p>
    <w:p>
      <w:pPr>
        <w:pStyle w:val="TextBody"/>
        <w:bidi w:val="0"/>
        <w:spacing w:lineRule="auto" w:line="288" w:before="18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 for the three months ended March 31, 2024 increased by $0.1 million compared to the three months ended March 31, 2023 primarily due to:</w:t>
      </w:r>
    </w:p>
    <w:p>
      <w:pPr>
        <w:pStyle w:val="TextBody"/>
        <w:bidi w:val="0"/>
        <w:spacing w:lineRule="auto" w:line="288" w:before="180" w:after="120"/>
        <w:ind w:left="0" w:right="0" w:hanging="360"/>
        <w:jc w:val="left"/>
        <w:rPr>
          <w:color w:val="000000"/>
        </w:rPr>
      </w:pPr>
      <w:r>
        <w:rPr>
          <w:color w:val="000000"/>
        </w:rPr>
        <w:t>•    </w:t>
      </w:r>
      <w:r>
        <w:rPr>
          <w:rFonts w:ascii="Times New Roman;sans-serif" w:hAnsi="Times New Roman;sans-serif"/>
          <w:b w:val="false"/>
          <w:color w:val="000000"/>
          <w:sz w:val="20"/>
        </w:rPr>
        <w:t>increased development costs related to MGC028;</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252525"/>
          <w:sz w:val="20"/>
        </w:rPr>
        <w:t>increased clinical trial costs related to lorigerlimab;</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252525"/>
          <w:sz w:val="20"/>
        </w:rPr>
        <w:t>increased development costs for other ADCs; and</w:t>
      </w:r>
    </w:p>
    <w:p>
      <w:pPr>
        <w:pStyle w:val="TextBody"/>
        <w:bidi w:val="0"/>
        <w:spacing w:lineRule="auto" w:line="288" w:before="180" w:after="120"/>
        <w:ind w:left="0" w:right="0" w:hanging="360"/>
        <w:jc w:val="left"/>
        <w:rPr/>
      </w:pPr>
      <w:r>
        <w:rPr>
          <w:color w:val="252525"/>
        </w:rPr>
        <w:t>•</w:t>
      </w:r>
      <w:r>
        <w:rPr>
          <w:rFonts w:ascii="Times New Roman;sans-serif" w:hAnsi="Times New Roman;sans-serif"/>
          <w:b w:val="false"/>
          <w:color w:val="252525"/>
          <w:sz w:val="20"/>
        </w:rPr>
        <w:t>increased development and clinical costs related to MGD024.</w:t>
      </w:r>
    </w:p>
    <w:p>
      <w:pPr>
        <w:pStyle w:val="TextBody"/>
        <w:bidi w:val="0"/>
        <w:spacing w:lineRule="auto" w:line="288" w:before="18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These increases were offset by:</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manufacturing and clinical trial costs related to tebotelimab;</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 xml:space="preserve">decreased development and clinical trial costs related to margetuximab, including expenses under the 2018 Zai Lab Agreement; </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and clinical trial costs related to flotetuzumab due to discontinued development of this molecule;</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clinical trial costs related to enoblituzumab; and</w:t>
      </w:r>
    </w:p>
    <w:p>
      <w:pPr>
        <w:pStyle w:val="TextBody"/>
        <w:bidi w:val="0"/>
        <w:spacing w:lineRule="auto" w:line="288" w:before="180" w:after="120"/>
        <w:ind w:left="0" w:right="0" w:hanging="360"/>
        <w:jc w:val="left"/>
        <w:rPr/>
      </w:pPr>
      <w:r>
        <w:rPr>
          <w:color w:val="000000"/>
        </w:rPr>
        <w:t>•</w:t>
      </w:r>
      <w:r>
        <w:rPr>
          <w:rFonts w:ascii="Times New Roman;sans-serif" w:hAnsi="Times New Roman;sans-serif"/>
          <w:b w:val="false"/>
          <w:color w:val="000000"/>
          <w:sz w:val="20"/>
        </w:rPr>
        <w:t>decreased development costs related to other programs.</w:t>
      </w:r>
    </w:p>
    <w:p>
      <w:pPr>
        <w:pStyle w:val="TextBody"/>
        <w:bidi w:val="0"/>
        <w:spacing w:lineRule="auto" w:line="276"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uncertainties associated with our research and development expenses for future quarters which are impacted by multiple variables, including timing of wind down activities for recently closed studies and current and expected expenditures associated with our ongoing clinical studies.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Selling, general and administrative expenses were $14.7 million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 xml:space="preserve">$13.5 million for the three months ended March 31, 2024 and 2023, respectively. The increase is primarily due to increased stock-based compensation expense and other professional fees.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a summary of our cash flows for the three months ended March 31, 2024 and 2023:</w:t>
      </w:r>
    </w:p>
    <w:tbl>
      <w:tblPr>
        <w:tblW w:w="6222" w:type="dxa"/>
        <w:jc w:val="left"/>
        <w:tblInd w:w="0" w:type="dxa"/>
        <w:tblLayout w:type="fixed"/>
        <w:tblCellMar>
          <w:top w:w="28" w:type="dxa"/>
          <w:left w:w="28" w:type="dxa"/>
          <w:bottom w:w="28" w:type="dxa"/>
          <w:right w:w="28" w:type="dxa"/>
        </w:tblCellMar>
      </w:tblPr>
      <w:tblGrid>
        <w:gridCol w:w="1227"/>
        <w:gridCol w:w="1077"/>
        <w:gridCol w:w="1086"/>
        <w:gridCol w:w="270"/>
        <w:gridCol w:w="750"/>
        <w:gridCol w:w="139"/>
        <w:gridCol w:w="139"/>
        <w:gridCol w:w="139"/>
        <w:gridCol w:w="139"/>
        <w:gridCol w:w="270"/>
        <w:gridCol w:w="789"/>
        <w:gridCol w:w="197"/>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millions)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consists of our net loss adjusted for non-cash items such as depreciation and amortization expense and stock-based compensation and changes in working capital. Net cash used in operating activities for the three months ended March 31, 2023 benefited from $15.0 million in milestones received from Incyte under the Incyte License Agreement and $15.0 million received from Provention Bio, Inc. related to the TZIELD approval milestone. </w:t>
      </w:r>
    </w:p>
    <w:p>
      <w:pPr>
        <w:pStyle w:val="TextBody"/>
        <w:bidi w:val="0"/>
        <w:spacing w:lineRule="auto" w:line="276"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during the three months ended March 31, 2024 and 2023 is primarily due to maturities of marketable securities, partially offset by purchases of marketable securities.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2023 includes net cash proceeds from our Royalty Purchase Agreement with DRI Healthcare Acquisitions LP of $99.7 million.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 to support such research and development. Net losses and negative cash flows have had, and will continue to have, an adverse effect on our stockholders’ equity and working capital, and accordingly, our ability to execute our future operating plans.</w:t>
      </w:r>
    </w:p>
    <w:p>
      <w:pPr>
        <w:pStyle w:val="TextBody"/>
        <w:bidi w:val="0"/>
        <w:spacing w:lineRule="auto" w:line="288" w:before="0" w:after="240"/>
        <w:ind w:left="0" w:right="0" w:firstLine="720"/>
        <w:jc w:val="left"/>
        <w:rPr/>
      </w:pPr>
      <w:r>
        <w:rPr>
          <w:rFonts w:ascii="Times New Roman;sans-serif" w:hAnsi="Times New Roman;sans-serif"/>
          <w:b w:val="false"/>
          <w:color w:val="000000"/>
          <w:sz w:val="20"/>
        </w:rPr>
        <w:t>As a biotechnology company, we have primarily funded our operations with proceeds from the sale of our common stock in equity offerings and revenue from our multiple collaboration agreements.</w:t>
      </w:r>
      <w:r>
        <w:rPr>
          <w:color w:val="000000"/>
        </w:rPr>
        <w:t xml:space="preserve"> </w:t>
      </w:r>
      <w:r>
        <w:rPr>
          <w:rFonts w:ascii="Times New Roman;sans-serif" w:hAnsi="Times New Roman;sans-serif"/>
          <w:b w:val="false"/>
          <w:color w:val="000000"/>
          <w:sz w:val="20"/>
        </w:rPr>
        <w:t>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sans-serif" w:hAnsi="Times New Roman;sans-serif"/>
          <w:b w:val="false"/>
          <w:color w:val="EE2724"/>
          <w:sz w:val="20"/>
        </w:rPr>
        <w:t xml:space="preserve">. </w:t>
      </w:r>
      <w:r>
        <w:rPr>
          <w:rFonts w:ascii="Times New Roman;sans-serif" w:hAnsi="Times New Roman;sans-serif"/>
          <w:b w:val="false"/>
          <w:color w:val="000000"/>
          <w:sz w:val="20"/>
        </w:rPr>
        <w:t xml:space="preserve">Although it is difficult to predict our funding requirements, we anticipate that our cash, cash equivalents and marketable securities as of March 31, 2024 combined with anticipated and potential collaboration payments, product revenue, contract manufacturing revenue, and royalties, should enable us to fund our operations into 2026. Our expected funding requirements reflect anticipated expenditures related to the Phase 2 TAMARACK clinical trial of vobra duo in mCRPC, our Phase 2 study of lorigerlimab in mCRPC as well as our other clinical and preclinical studies currently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252525"/>
          <w:sz w:val="20"/>
        </w:rPr>
      </w:pPr>
      <w:r>
        <w:rPr>
          <w:rFonts w:ascii="Times New Roman;sans-serif" w:hAnsi="Times New Roman;sans-serif"/>
          <w:b/>
          <w:i/>
          <w:color w:val="252525"/>
          <w:sz w:val="20"/>
        </w:rPr>
        <w:t>Material Cash Requirements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there were no significant changes to our material cash requirements, including contractual and other obligations, as presented in Part II, Item 7, "Management’s Discussion and Analysis of Financial Condition and Results of Operations" included in our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33" w:type="dxa"/>
        <w:jc w:val="left"/>
        <w:tblInd w:w="0" w:type="dxa"/>
        <w:tblLayout w:type="fixed"/>
        <w:tblCellMar>
          <w:top w:w="28" w:type="dxa"/>
          <w:left w:w="28" w:type="dxa"/>
          <w:bottom w:w="28" w:type="dxa"/>
          <w:right w:w="28" w:type="dxa"/>
        </w:tblCellMar>
      </w:tblPr>
      <w:tblGrid>
        <w:gridCol w:w="304"/>
        <w:gridCol w:w="266"/>
        <w:gridCol w:w="269"/>
        <w:gridCol w:w="2078"/>
        <w:gridCol w:w="2078"/>
        <w:gridCol w:w="2938"/>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tc>
      </w:tr>
    </w:tbl>
    <w:p>
      <w:pPr>
        <w:pStyle w:val="TextBody"/>
        <w:bidi w:val="0"/>
        <w:spacing w:lineRule="auto" w:line="288" w:before="120" w:after="120"/>
        <w:ind w:left="0" w:right="0" w:firstLine="720"/>
        <w:jc w:val="left"/>
        <w:rPr>
          <w:color w:val="000000"/>
        </w:rPr>
      </w:pPr>
      <w:r>
        <w:rPr>
          <w:color w:val="000000"/>
        </w:rPr>
        <w:t> </w:t>
      </w:r>
      <w:r>
        <w:rPr>
          <w:rFonts w:ascii="Times New Roman;sans-serif" w:hAnsi="Times New Roman;sans-serif"/>
          <w:b w:val="false"/>
          <w:color w:val="000000"/>
          <w:sz w:val="20"/>
        </w:rPr>
        <w:t>As of March 31, 2024, our exposure to market risk has not changed materially since December 31, 2023. For more information on financial market risks related to changes in interest rates, reference is made to Item 7A. "Quantitative and Qualitative Disclosures About Market Risk" contained in Part II of our Annual Report on Form 10-K for the fiscal year ended December 31, 2023, filed with the SEC on March 7, 2024.</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84" w:type="dxa"/>
        <w:jc w:val="left"/>
        <w:tblInd w:w="0" w:type="dxa"/>
        <w:tblLayout w:type="fixed"/>
        <w:tblCellMar>
          <w:top w:w="28" w:type="dxa"/>
          <w:left w:w="28" w:type="dxa"/>
          <w:bottom w:w="28" w:type="dxa"/>
          <w:right w:w="28" w:type="dxa"/>
        </w:tblCellMar>
      </w:tblPr>
      <w:tblGrid>
        <w:gridCol w:w="304"/>
        <w:gridCol w:w="266"/>
        <w:gridCol w:w="269"/>
        <w:gridCol w:w="892"/>
        <w:gridCol w:w="892"/>
        <w:gridCol w:w="1261"/>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CONTROLS AND PROCEDURES</w:t>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has evaluated the effectiveness of our disclosure controls and procedures as of March 31, 2024. Our disclosure controls and procedures are designed to provide reasonable assurance that the information required to be disclosed in our periodic reports filed with the SEC (such as this Quarterly Report on Form 10-Q) has been appropriately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Based on their evaluation of our disclosure controls and procedures as of March 31, 2024, our principal executive officer and principal financial officer have concluded that our disclosure controls and procedures are effective at the reasonable assurance level.</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w:t>
      </w:r>
    </w:p>
    <w:p>
      <w:pPr>
        <w:pStyle w:val="TextBody"/>
        <w:bidi w:val="0"/>
        <w:spacing w:lineRule="auto" w:line="288" w:before="0" w:after="1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three months ended March 31, 2024 that materially affected, or are reasonably likely to materially effect,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currently,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53" w:type="dxa"/>
        <w:jc w:val="left"/>
        <w:tblInd w:w="0" w:type="dxa"/>
        <w:tblLayout w:type="fixed"/>
        <w:tblCellMar>
          <w:top w:w="28" w:type="dxa"/>
          <w:left w:w="28" w:type="dxa"/>
          <w:bottom w:w="28" w:type="dxa"/>
          <w:right w:w="28" w:type="dxa"/>
        </w:tblCellMar>
      </w:tblPr>
      <w:tblGrid>
        <w:gridCol w:w="304"/>
        <w:gridCol w:w="266"/>
        <w:gridCol w:w="269"/>
        <w:gridCol w:w="355"/>
        <w:gridCol w:w="355"/>
        <w:gridCol w:w="504"/>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Risk Factors</w:t>
            </w:r>
          </w:p>
        </w:tc>
      </w:tr>
    </w:tbl>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risks and events that, if they occur, could adversely affect our financial condition and results of operations and trading price of our securities. In addition to the other information set forth in this Quarterly Report on Form 10-Q, you should carefully consider the factors described in Part I, Item 1A. “ Risk Factors” of our Annual Report on Form 10-K for the fiscal year ended December 31, 2023. There have been no material changes in the risk factors described in Item 1A. "Risk Factors” of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18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10b5-1 Trading Plans</w:t>
      </w:r>
    </w:p>
    <w:p>
      <w:pPr>
        <w:pStyle w:val="TextBody"/>
        <w:bidi w:val="0"/>
        <w:spacing w:lineRule="auto" w:line="288" w:before="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following Section 16 officers and directors adopted, modified or terminated a “Rule 10b5-1 trading arrangement” (as defined in Item 408 of Regulation S-K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Thomas Spitznagel, Ph.D., Senior Vice President, Technical Operations, adopted a new trading plan on March 12, 2024 (with the first trade possible under the new plan no sooner than July 2, 2024). The trading plan will be effective until July 2, 2026 and covers the potential sale of up to 398,990 shares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560" w:type="dxa"/>
        <w:jc w:val="left"/>
        <w:tblInd w:w="0" w:type="dxa"/>
        <w:tblLayout w:type="fixed"/>
        <w:tblCellMar>
          <w:top w:w="28" w:type="dxa"/>
          <w:left w:w="28" w:type="dxa"/>
          <w:bottom w:w="28" w:type="dxa"/>
          <w:right w:w="28" w:type="dxa"/>
        </w:tblCellMar>
      </w:tblPr>
      <w:tblGrid>
        <w:gridCol w:w="255"/>
        <w:gridCol w:w="223"/>
        <w:gridCol w:w="226"/>
        <w:gridCol w:w="250"/>
        <w:gridCol w:w="250"/>
        <w:gridCol w:w="35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89"/>
        <w:gridCol w:w="249"/>
        <w:gridCol w:w="251"/>
        <w:gridCol w:w="2756"/>
        <w:gridCol w:w="2756"/>
        <w:gridCol w:w="3904"/>
      </w:tblGrid>
      <w:tr>
        <w:trPr/>
        <w:tc>
          <w:tcPr>
            <w:tcW w:w="28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3904"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gnxexhibit10-1.htm">
              <w:r>
                <w:rPr>
                  <w:rStyle w:val="InternetLink"/>
                  <w:rFonts w:ascii="Times New Roman;sans-serif" w:hAnsi="Times New Roman;sans-serif"/>
                  <w:b w:val="false"/>
                  <w:color w:val="000080"/>
                  <w:sz w:val="20"/>
                  <w:u w:val="single"/>
                </w:rPr>
                <w:t xml:space="preserve">First Amendment to the Collaboration and License Agreement by and between the Company and Gilead Sciences, Inc., dated </w:t>
              </w:r>
            </w:hyperlink>
            <w:hyperlink w:anchor="mgnxexhibit10-1.htm">
              <w:r>
                <w:rPr>
                  <w:rStyle w:val="InternetLink"/>
                  <w:rFonts w:ascii="Times New Roman;sans-serif" w:hAnsi="Times New Roman;sans-serif"/>
                  <w:b w:val="false"/>
                  <w:color w:val="000080"/>
                  <w:sz w:val="20"/>
                  <w:u w:val="single"/>
                </w:rPr>
                <w:t>January 11, 2024</w:t>
              </w:r>
            </w:hyperlink>
            <w:hyperlink w:anchor="mgnxexhibit10-1.htm">
              <w:r>
                <w:rPr>
                  <w:rStyle w:val="InternetLink"/>
                  <w:rFonts w:ascii="Times New Roman;sans-serif" w:hAnsi="Times New Roman;sans-serif"/>
                  <w:b w:val="false"/>
                  <w:color w:val="000080"/>
                  <w:sz w:val="20"/>
                  <w:u w:val="single"/>
                </w:rPr>
                <w:t xml:space="preserve"> </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31.1</w:t>
            </w:r>
            <w:r>
              <w:rPr>
                <w:rFonts w:ascii="Times New Roman;sans-serif" w:hAnsi="Times New Roman;sans-serif"/>
                <w:b w:val="false"/>
                <w:color w:val="000000"/>
                <w:sz w:val="13"/>
              </w:rPr>
              <w:t>*</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024.htm">
              <w:r>
                <w:rPr>
                  <w:rStyle w:val="InternetLink"/>
                  <w:rFonts w:ascii="Times New Roman;sans-serif" w:hAnsi="Times New Roman;sans-serif"/>
                  <w:b w:val="false"/>
                  <w:color w:val="0000FF"/>
                  <w:sz w:val="20"/>
                  <w:u w:val="single"/>
                </w:rPr>
                <w:t>Rule 13a-14(a) Certification of Principal Executive Officer</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31.2</w:t>
            </w:r>
            <w:r>
              <w:rPr>
                <w:rFonts w:ascii="Times New Roman;sans-serif" w:hAnsi="Times New Roman;sans-serif"/>
                <w:b w:val="false"/>
                <w:color w:val="000000"/>
                <w:sz w:val="13"/>
              </w:rPr>
              <w:t>*</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024.htm">
              <w:r>
                <w:rPr>
                  <w:rStyle w:val="InternetLink"/>
                  <w:rFonts w:ascii="Times New Roman;sans-serif" w:hAnsi="Times New Roman;sans-serif"/>
                  <w:b w:val="false"/>
                  <w:color w:val="0000FF"/>
                  <w:sz w:val="20"/>
                  <w:u w:val="single"/>
                </w:rPr>
                <w:t>Rule 13a-14(a) Certification of Principal Financial Officer</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024.htm">
              <w:r>
                <w:rPr>
                  <w:rStyle w:val="InternetLink"/>
                  <w:rFonts w:ascii="Times New Roman;sans-serif" w:hAnsi="Times New Roman;sans-serif"/>
                  <w:b w:val="false"/>
                  <w:color w:val="0000FF"/>
                  <w:sz w:val="20"/>
                  <w:u w:val="single"/>
                </w:rPr>
                <w:t>Section 1350 Certification of Principal Executive Officer</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2024.htm">
              <w:r>
                <w:rPr>
                  <w:rStyle w:val="InternetLink"/>
                  <w:rFonts w:ascii="Times New Roman;sans-serif" w:hAnsi="Times New Roman;sans-serif"/>
                  <w:b w:val="false"/>
                  <w:color w:val="0000FF"/>
                  <w:sz w:val="20"/>
                  <w:u w:val="single"/>
                </w:rPr>
                <w:t>Section 1350 Certification of Principal Financial Officer</w:t>
              </w:r>
            </w:hyperlink>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 filed herewith)</w:t>
            </w:r>
          </w:p>
        </w:tc>
      </w:tr>
      <w:tr>
        <w:trPr/>
        <w:tc>
          <w:tcPr>
            <w:tcW w:w="789" w:type="dxa"/>
            <w:gridSpan w:val="3"/>
            <w:tcBorders/>
            <w:vAlign w:val="center"/>
          </w:tcPr>
          <w:p>
            <w:pPr>
              <w:pStyle w:val="TableContents"/>
              <w:bidi w:val="0"/>
              <w:spacing w:before="0" w:after="283"/>
              <w:jc w:val="left"/>
              <w:rPr>
                <w:sz w:val="4"/>
                <w:szCs w:val="4"/>
              </w:rPr>
            </w:pPr>
            <w:r>
              <w:rPr>
                <w:sz w:val="4"/>
                <w:szCs w:val="4"/>
              </w:rPr>
            </w:r>
          </w:p>
        </w:tc>
        <w:tc>
          <w:tcPr>
            <w:tcW w:w="9416" w:type="dxa"/>
            <w:gridSpan w:val="3"/>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Portions of this document (indicated by “[***]” have been omitted because they are not material and are the type that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MacroGenics, Inc. treats as private and confidential.</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25" w:type="dxa"/>
        <w:jc w:val="left"/>
        <w:tblInd w:w="0" w:type="dxa"/>
        <w:tblLayout w:type="fixed"/>
        <w:tblCellMar>
          <w:top w:w="28" w:type="dxa"/>
          <w:left w:w="28" w:type="dxa"/>
          <w:bottom w:w="28" w:type="dxa"/>
          <w:right w:w="28" w:type="dxa"/>
        </w:tblCellMar>
      </w:tblPr>
      <w:tblGrid>
        <w:gridCol w:w="629"/>
        <w:gridCol w:w="553"/>
        <w:gridCol w:w="558"/>
        <w:gridCol w:w="315"/>
        <w:gridCol w:w="315"/>
        <w:gridCol w:w="315"/>
        <w:gridCol w:w="1210"/>
        <w:gridCol w:w="1210"/>
        <w:gridCol w:w="1720"/>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MACROGENICS,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Koenig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Karrels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2024</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10.1</w:t>
      </w:r>
    </w:p>
    <w:p>
      <w:pPr>
        <w:pStyle w:val="TextBody"/>
        <w:bidi w:val="0"/>
        <w:spacing w:before="0" w:after="0"/>
        <w:jc w:val="right"/>
        <w:rPr/>
      </w:pPr>
      <w:r>
        <w:rPr/>
      </w:r>
    </w:p>
    <w:p>
      <w:pPr>
        <w:pStyle w:val="TextBody"/>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CERTAIN PORTIONS OF THIS EXHIBIT (INDICATED BY [***]) HAVE BEEN EXCLUDED PURSUANT TO ITEM 601(B)(10) OF REGULATION S-K BECAUSE THEY ARE BOTH NOT MATERIAL AND ARE THE TYPE THAT THE COMPANY TREATS AS PRIVATE AND CONFIDENTIAL.</w:t>
      </w:r>
    </w:p>
    <w:p>
      <w:pPr>
        <w:pStyle w:val="TextBody"/>
        <w:bidi w:val="0"/>
        <w:spacing w:before="40" w:after="283"/>
        <w:jc w:val="right"/>
        <w:rPr/>
      </w:pPr>
      <w:r>
        <w:rPr/>
      </w:r>
    </w:p>
    <w:p>
      <w:pPr>
        <w:pStyle w:val="TextBody"/>
        <w:bidi w:val="0"/>
        <w:spacing w:lineRule="auto" w:line="288" w:before="40" w:after="283"/>
        <w:jc w:val="right"/>
        <w:rPr>
          <w:rFonts w:ascii="Calibri;sans-serif" w:hAnsi="Calibri;sans-serif"/>
          <w:b w:val="false"/>
          <w:color w:val="000000"/>
          <w:sz w:val="22"/>
        </w:rPr>
      </w:pPr>
      <w:r>
        <w:rPr>
          <w:rFonts w:ascii="Calibri;sans-serif" w:hAnsi="Calibri;sans-serif"/>
          <w:b w:val="false"/>
          <w:color w:val="000000"/>
          <w:sz w:val="22"/>
        </w:rPr>
        <w:t>EXECUTION VERSION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FIRST AMENDMENT</w:t>
      </w:r>
    </w:p>
    <w:p>
      <w:pPr>
        <w:pStyle w:val="TextBody"/>
        <w:bidi w:val="0"/>
        <w:spacing w:lineRule="auto" w:line="288" w:before="1" w:after="283"/>
        <w:jc w:val="center"/>
        <w:rPr>
          <w:rFonts w:ascii="Times New Roman;sans-serif" w:hAnsi="Times New Roman;sans-serif"/>
          <w:b/>
          <w:color w:val="000000"/>
          <w:sz w:val="22"/>
        </w:rPr>
      </w:pPr>
      <w:r>
        <w:rPr>
          <w:rFonts w:ascii="Times New Roman;sans-serif" w:hAnsi="Times New Roman;sans-serif"/>
          <w:b/>
          <w:color w:val="000000"/>
          <w:sz w:val="22"/>
        </w:rPr>
        <w:t>TO THE COLLABORATION AND LICENSE AGREEMENT</w:t>
      </w:r>
    </w:p>
    <w:p>
      <w:pPr>
        <w:pStyle w:val="TextBody"/>
        <w:bidi w:val="0"/>
        <w:spacing w:lineRule="auto" w:line="288" w:before="252" w:after="283"/>
        <w:ind w:left="0" w:right="0" w:firstLine="720"/>
        <w:jc w:val="both"/>
        <w:rPr/>
      </w:pPr>
      <w:r>
        <w:rPr>
          <w:rFonts w:ascii="Times New Roman;sans-serif" w:hAnsi="Times New Roman;sans-serif"/>
          <w:b w:val="false"/>
          <w:color w:val="000000"/>
          <w:sz w:val="22"/>
        </w:rPr>
        <w:t>This First Amendment to the Collaboration and License Agreement (this “</w:t>
      </w:r>
      <w:r>
        <w:rPr>
          <w:rFonts w:ascii="Times New Roman;sans-serif" w:hAnsi="Times New Roman;sans-serif"/>
          <w:b/>
          <w:color w:val="000000"/>
          <w:sz w:val="22"/>
        </w:rPr>
        <w:t>First Amendment</w:t>
      </w:r>
      <w:r>
        <w:rPr>
          <w:color w:val="000000"/>
        </w:rPr>
        <w:t>”</w:t>
      </w:r>
      <w:r>
        <w:rPr>
          <w:rFonts w:ascii="Times New Roman;sans-serif" w:hAnsi="Times New Roman;sans-serif"/>
          <w:b w:val="false"/>
          <w:color w:val="000000"/>
          <w:sz w:val="22"/>
        </w:rPr>
        <w:t>) is entered into and effective as of January 11, 2024 (the “</w:t>
      </w:r>
      <w:r>
        <w:rPr>
          <w:rFonts w:ascii="Times New Roman;sans-serif" w:hAnsi="Times New Roman;sans-serif"/>
          <w:b/>
          <w:color w:val="000000"/>
          <w:sz w:val="22"/>
        </w:rPr>
        <w:t>First Amendment Effective Date</w:t>
      </w:r>
      <w:r>
        <w:rPr>
          <w:color w:val="000000"/>
        </w:rPr>
        <w:t>”</w:t>
      </w:r>
      <w:r>
        <w:rPr>
          <w:rFonts w:ascii="Times New Roman;sans-serif" w:hAnsi="Times New Roman;sans-serif"/>
          <w:b w:val="false"/>
          <w:color w:val="000000"/>
          <w:sz w:val="22"/>
        </w:rPr>
        <w:t>), by and between MacroGenics, Inc. (“</w:t>
      </w:r>
      <w:r>
        <w:rPr>
          <w:rFonts w:ascii="Times New Roman;sans-serif" w:hAnsi="Times New Roman;sans-serif"/>
          <w:b/>
          <w:color w:val="000000"/>
          <w:sz w:val="22"/>
        </w:rPr>
        <w:t>MacroGenics</w:t>
      </w:r>
      <w:r>
        <w:rPr>
          <w:color w:val="000000"/>
        </w:rPr>
        <w:t>”</w:t>
      </w:r>
      <w:r>
        <w:rPr>
          <w:rFonts w:ascii="Times New Roman;sans-serif" w:hAnsi="Times New Roman;sans-serif"/>
          <w:b w:val="false"/>
          <w:color w:val="000000"/>
          <w:sz w:val="22"/>
        </w:rPr>
        <w:t>), and Gilead Sciences, Inc. (“</w:t>
      </w:r>
      <w:r>
        <w:rPr>
          <w:rFonts w:ascii="Times New Roman;sans-serif" w:hAnsi="Times New Roman;sans-serif"/>
          <w:b/>
          <w:color w:val="000000"/>
          <w:sz w:val="22"/>
        </w:rPr>
        <w:t>Gilead</w:t>
      </w:r>
      <w:r>
        <w:rPr>
          <w:color w:val="000000"/>
        </w:rPr>
        <w:t>”</w:t>
      </w:r>
      <w:r>
        <w:rPr>
          <w:rFonts w:ascii="Times New Roman;sans-serif" w:hAnsi="Times New Roman;sans-serif"/>
          <w:b w:val="false"/>
          <w:color w:val="000000"/>
          <w:sz w:val="22"/>
        </w:rPr>
        <w:t>). Each of MacroGenics and Gilead may be referred to herein as a “</w:t>
      </w:r>
      <w:r>
        <w:rPr>
          <w:rFonts w:ascii="Times New Roman;sans-serif" w:hAnsi="Times New Roman;sans-serif"/>
          <w:b/>
          <w:color w:val="000000"/>
          <w:sz w:val="22"/>
        </w:rPr>
        <w:t>Party</w:t>
      </w:r>
      <w:r>
        <w:rPr>
          <w:color w:val="000000"/>
        </w:rPr>
        <w:t xml:space="preserve">” </w:t>
      </w:r>
      <w:r>
        <w:rPr>
          <w:rFonts w:ascii="Times New Roman;sans-serif" w:hAnsi="Times New Roman;sans-serif"/>
          <w:b w:val="false"/>
          <w:color w:val="000000"/>
          <w:sz w:val="22"/>
        </w:rPr>
        <w:t>or together as the “</w:t>
      </w:r>
      <w:r>
        <w:rPr>
          <w:rFonts w:ascii="Times New Roman;sans-serif" w:hAnsi="Times New Roman;sans-serif"/>
          <w:b/>
          <w:color w:val="000000"/>
          <w:sz w:val="22"/>
        </w:rPr>
        <w:t>Parties</w:t>
      </w:r>
      <w:r>
        <w:rPr>
          <w:rFonts w:ascii="Times New Roman;sans-serif" w:hAnsi="Times New Roman;sans-serif"/>
          <w:b w:val="false"/>
          <w:color w:val="000000"/>
          <w:sz w:val="22"/>
        </w:rPr>
        <w:t>.” Unless otherwise specified or defined herein, any capitalized terms used but not defined in this First Amendment will have the meaning assigned to them in the Collaboration Agreement.</w:t>
      </w:r>
    </w:p>
    <w:p>
      <w:pPr>
        <w:pStyle w:val="TextBody"/>
        <w:bidi w:val="0"/>
        <w:spacing w:before="0" w:after="0"/>
        <w:jc w:val="left"/>
        <w:rPr/>
      </w:pPr>
      <w:r>
        <w:rPr/>
      </w:r>
    </w:p>
    <w:p>
      <w:pPr>
        <w:pStyle w:val="TextBody"/>
        <w:bidi w:val="0"/>
        <w:spacing w:lineRule="auto" w:line="288" w:before="1"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xml:space="preserve">, the Parties are parties to that certain Collaboration and License Agreement, dated as of October 14, 2022 </w:t>
      </w:r>
      <w:r>
        <w:rPr>
          <w:rFonts w:ascii="Times New Roman;sans-serif" w:hAnsi="Times New Roman;sans-serif"/>
          <w:b/>
          <w:color w:val="000000"/>
          <w:sz w:val="16"/>
        </w:rPr>
        <w:t>[***]</w:t>
      </w:r>
      <w:r>
        <w:rPr>
          <w:color w:val="000000"/>
        </w:rPr>
        <w:t xml:space="preserve"> </w:t>
      </w:r>
      <w:r>
        <w:rPr>
          <w:rFonts w:ascii="Times New Roman;sans-serif" w:hAnsi="Times New Roman;sans-serif"/>
          <w:b w:val="false"/>
          <w:color w:val="000000"/>
          <w:sz w:val="22"/>
        </w:rPr>
        <w:t>(collectively, the “</w:t>
      </w:r>
      <w:r>
        <w:rPr>
          <w:rFonts w:ascii="Times New Roman;sans-serif" w:hAnsi="Times New Roman;sans-serif"/>
          <w:b/>
          <w:color w:val="000000"/>
          <w:sz w:val="22"/>
        </w:rPr>
        <w:t>Collaboration Agreement</w:t>
      </w:r>
      <w:r>
        <w:rPr>
          <w:color w:val="000000"/>
        </w:rPr>
        <w:t>”</w:t>
      </w:r>
      <w:r>
        <w:rPr>
          <w:rFonts w:ascii="Times New Roman;sans-serif" w:hAnsi="Times New Roman;sans-serif"/>
          <w:b w:val="false"/>
          <w:color w:val="000000"/>
          <w:sz w:val="22"/>
        </w:rPr>
        <w:t>); and</w:t>
      </w:r>
    </w:p>
    <w:p>
      <w:pPr>
        <w:pStyle w:val="TextBody"/>
        <w:bidi w:val="0"/>
        <w:spacing w:lineRule="auto" w:line="288" w:before="252" w:after="283"/>
        <w:ind w:left="0" w:right="0" w:firstLine="720"/>
        <w:jc w:val="both"/>
        <w:rPr/>
      </w:pPr>
      <w:r>
        <w:rPr>
          <w:rFonts w:ascii="Times New Roman;sans-serif" w:hAnsi="Times New Roman;sans-serif"/>
          <w:b/>
          <w:color w:val="000000"/>
          <w:sz w:val="22"/>
        </w:rPr>
        <w:t>WHEREAS</w:t>
      </w:r>
      <w:r>
        <w:rPr>
          <w:rFonts w:ascii="Times New Roman;sans-serif" w:hAnsi="Times New Roman;sans-serif"/>
          <w:b w:val="false"/>
          <w:color w:val="000000"/>
          <w:sz w:val="22"/>
        </w:rPr>
        <w:t>, the Parties wish to amend the Collaboration Agreement to provide for the provision of certain Materials Controlled by Gilead to MacroGenics for the performance of activities under the CD123 Development Plan or the Research Plans.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2"/>
        </w:rPr>
        <w:t>NOW, THEREFORE</w:t>
      </w:r>
      <w:r>
        <w:rPr>
          <w:rFonts w:ascii="Times New Roman;sans-serif" w:hAnsi="Times New Roman;sans-serif"/>
          <w:b w:val="false"/>
          <w:color w:val="000000"/>
          <w:sz w:val="22"/>
        </w:rPr>
        <w:t>, for good and valuable consideration, the receipt and sufficiency of which is hereby acknowledged, the Parties agree as follows:</w:t>
      </w:r>
    </w:p>
    <w:p>
      <w:pPr>
        <w:pStyle w:val="TextBody"/>
        <w:bidi w:val="0"/>
        <w:spacing w:before="0" w:after="0"/>
        <w:jc w:val="left"/>
        <w:rPr/>
      </w:pPr>
      <w:r>
        <w:rPr/>
      </w:r>
    </w:p>
    <w:p>
      <w:pPr>
        <w:pStyle w:val="TextBody"/>
        <w:bidi w:val="0"/>
        <w:spacing w:lineRule="auto" w:line="288" w:before="1" w:after="283"/>
        <w:ind w:left="0" w:right="0" w:hanging="361"/>
        <w:jc w:val="left"/>
        <w:rPr>
          <w:rFonts w:ascii="Times New Roman;sans-serif" w:hAnsi="Times New Roman;sans-serif"/>
          <w:b w:val="false"/>
          <w:color w:val="000000"/>
          <w:sz w:val="22"/>
        </w:rPr>
      </w:pPr>
      <w:r>
        <w:rPr>
          <w:rFonts w:ascii="Times New Roman;sans-serif" w:hAnsi="Times New Roman;sans-serif"/>
          <w:b w:val="false"/>
          <w:color w:val="000000"/>
          <w:sz w:val="22"/>
        </w:rPr>
        <w:t>1.    The following provision is hereby inserted in the Collaboration Agreement as a new Section 3.1(e) (Gilead Assigned Improvement Know-How License):</w:t>
      </w:r>
    </w:p>
    <w:p>
      <w:pPr>
        <w:pStyle w:val="TextBody"/>
        <w:bidi w:val="0"/>
        <w:spacing w:lineRule="auto" w:line="288" w:before="252" w:after="283"/>
        <w:jc w:val="both"/>
        <w:rPr/>
      </w:pPr>
      <w:r>
        <w:rPr>
          <w:rFonts w:ascii="Times New Roman;sans-serif" w:hAnsi="Times New Roman;sans-serif"/>
          <w:b w:val="false"/>
          <w:color w:val="000000"/>
          <w:sz w:val="22"/>
        </w:rPr>
        <w:t xml:space="preserve">(e) </w:t>
      </w:r>
      <w:r>
        <w:rPr>
          <w:rFonts w:ascii="Times New Roman;sans-serif" w:hAnsi="Times New Roman;sans-serif"/>
          <w:b/>
          <w:color w:val="000000"/>
          <w:sz w:val="22"/>
        </w:rPr>
        <w:t>Gilead Assigned Improvement Know-How License</w:t>
      </w:r>
      <w:r>
        <w:rPr>
          <w:rFonts w:ascii="Times New Roman;sans-serif" w:hAnsi="Times New Roman;sans-serif"/>
          <w:b w:val="false"/>
          <w:color w:val="000000"/>
          <w:sz w:val="22"/>
        </w:rPr>
        <w:t xml:space="preserve">. Subject to the terms and conditions of this Agreement (including Section 3.5 (Retained Rights)), MacroGenics hereby grants to Gilead a royalty-free, perpetual, irrevocable, exclusive license, </w:t>
      </w:r>
      <w:r>
        <w:rPr>
          <w:rFonts w:ascii="Times New Roman;sans-serif" w:hAnsi="Times New Roman;sans-serif"/>
          <w:b/>
          <w:color w:val="000000"/>
          <w:sz w:val="16"/>
        </w:rPr>
        <w:t>[***]</w:t>
      </w:r>
      <w:r>
        <w:rPr>
          <w:rFonts w:ascii="Times New Roman;sans-serif" w:hAnsi="Times New Roman;sans-serif"/>
          <w:b w:val="false"/>
          <w:color w:val="000000"/>
          <w:sz w:val="22"/>
        </w:rPr>
        <w:t>, under (i) any MacroGenics Licensed Patents that include Valid Claims that specifically claim Gilead Assigned Improvement Know-How to Exploit such Gilead Assigned Improvement Know-How for any purpose outside of this Agreement (which, for clarity, shall exclude any Exploitation of Licensed Molecules or Licensed Products, the MacroGenics Platform or any MacroGenics Licensed Technology) and (ii) any Know-How conceived or reduced to practice by MacroGenics or Gilead in the course of conducting activities under this Agreement that constitutes an improvement, modification or enhancement of any Materials provided by Gilead pursuant to Section 3.9 (Materials Transfer) and all Patents that Cover such Know-How solely to Exploit such Materials outside of this Agreement (which, for clarity, shall exclude any Exploitation of Licensed Molecules or Licensed Products, the MacroGenics Platform or any MacroGenics Licensed Technology). Notwithstanding any provision to the contrary in this Agreement, Section 3.3(b) (Sublicensing by Gilead) will not apply to sublicenses of the licenses granted under this Section 3.1(e) (Gilead Assigned Improvement Know-How License).</w:t>
      </w:r>
    </w:p>
    <w:p>
      <w:pPr>
        <w:pStyle w:val="TextBody"/>
        <w:bidi w:val="0"/>
        <w:spacing w:before="0" w:after="0"/>
        <w:jc w:val="left"/>
        <w:rPr/>
      </w:pPr>
      <w:r>
        <w:rPr/>
      </w:r>
    </w:p>
    <w:p>
      <w:pPr>
        <w:pStyle w:val="TextBody"/>
        <w:bidi w:val="0"/>
        <w:spacing w:lineRule="auto" w:line="288" w:before="1" w:after="283"/>
        <w:ind w:left="0" w:right="0" w:hanging="361"/>
        <w:jc w:val="left"/>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Section 3.9</w:t>
      </w:r>
      <w:r>
        <w:rPr>
          <w:color w:val="000000"/>
        </w:rPr>
        <w:t xml:space="preserve"> </w:t>
      </w:r>
      <w:r>
        <w:rPr>
          <w:rFonts w:ascii="Times New Roman;sans-serif" w:hAnsi="Times New Roman;sans-serif"/>
          <w:b w:val="false"/>
          <w:color w:val="000000"/>
          <w:sz w:val="22"/>
        </w:rPr>
        <w:t>(Materials Transfer) of the Collaboration Agreement is hereby deleted and replaced in its entirety as follows: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2"/>
        </w:rPr>
        <w:t>3.9 Materials Transfer</w:t>
      </w:r>
      <w:r>
        <w:rPr>
          <w:rFonts w:ascii="Times New Roman;sans-serif" w:hAnsi="Times New Roman;sans-serif"/>
          <w:b w:val="false"/>
          <w:color w:val="000000"/>
          <w:sz w:val="22"/>
        </w:rPr>
        <w:t>. In order to facilitate the activities under, or to confirm any results of, a Program, either Party may provide to the other Party certain biological materials or chemical compounds Controlled by the supplying Party (collectively, “</w:t>
      </w:r>
      <w:r>
        <w:rPr>
          <w:rFonts w:ascii="Times New Roman;sans-serif" w:hAnsi="Times New Roman;sans-serif"/>
          <w:b/>
          <w:color w:val="000000"/>
          <w:sz w:val="22"/>
        </w:rPr>
        <w:t>Materials</w:t>
      </w:r>
      <w:r>
        <w:rPr>
          <w:color w:val="000000"/>
        </w:rPr>
        <w:t>”</w:t>
      </w:r>
      <w:r>
        <w:rPr>
          <w:rFonts w:ascii="Times New Roman;sans-serif" w:hAnsi="Times New Roman;sans-serif"/>
          <w:b w:val="false"/>
          <w:color w:val="000000"/>
          <w:sz w:val="22"/>
        </w:rPr>
        <w:t>). Except as otherwise expressly set forth under this Agreement, all such Materials delivered to the other Party will remain the sole property of the supplying Party, will be used only in the performance of activities conducted in accordance with the CD123 Development Plan or applicable Research Plan or to confirm any results of a Program, will not be used or delivered to or for the benefit of any Third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both"/>
        <w:rPr/>
      </w:pPr>
      <w:r>
        <w:rPr>
          <w:rFonts w:ascii="Times New Roman;sans-serif" w:hAnsi="Times New Roman;sans-serif"/>
          <w:b w:val="false"/>
          <w:color w:val="000000"/>
          <w:sz w:val="22"/>
        </w:rPr>
        <w:t xml:space="preserve">Party without the prior written consent of the supplying Party (except for Permitted Subcontractors performing any activities under the CD123 Development Plan or a Research Plan), and will be used in compliance with Applicable Law and Regulations (including GLP, cGMP, and cGCP, as applicable). Each Party will use the Materials supplied under this Agreement with prudence and appropriate caution in any experimental work as not all of their characteristics may be known. The supplying Party will provide the other Party the most current material safety data sheet for the Materials upon transfer of any Materials. Prior to the supply of any Materials by or on behalf of the supplying Party, the Parties will, upon the supplying Party’s request, enter into a material transfer agreement with respect to such supply in the form attached as </w:t>
      </w:r>
      <w:r>
        <w:rPr>
          <w:rFonts w:ascii="Times New Roman;sans-serif" w:hAnsi="Times New Roman;sans-serif"/>
          <w:b/>
          <w:color w:val="000000"/>
          <w:sz w:val="22"/>
        </w:rPr>
        <w:t>Exhibit A</w:t>
      </w:r>
      <w:r>
        <w:rPr>
          <w:rFonts w:ascii="Times New Roman;sans-serif" w:hAnsi="Times New Roman;sans-serif"/>
          <w:b w:val="false"/>
          <w:color w:val="000000"/>
          <w:sz w:val="22"/>
        </w:rPr>
        <w:t>. Except as expressly set forth in this Agreement, THE MATERIALS ARE PROVIDED “AS IS” AND WITHOUT ANY REPRESENTATION OR WARRANTY, EXPRESS OR IMPLIED, INCLUDING ANY IMPLIED WARRANTY OF MERCHANTABILITY OR OF FITNESS FOR ANY PARTICULAR PURPOSE OR ANY WARRANTY THAT THE USE OF THE MATERIALS WILL NOT INFRINGE OR VIOLATE ANY PATENT OR OTHER PROPRIETARY RIGHTS OF ANY THIRD PARTY.</w:t>
      </w:r>
    </w:p>
    <w:p>
      <w:pPr>
        <w:pStyle w:val="TextBody"/>
        <w:bidi w:val="0"/>
        <w:spacing w:before="0" w:after="0"/>
        <w:jc w:val="left"/>
        <w:rPr/>
      </w:pPr>
      <w:r>
        <w:rPr/>
      </w:r>
    </w:p>
    <w:p>
      <w:pPr>
        <w:pStyle w:val="TextBody"/>
        <w:bidi w:val="0"/>
        <w:spacing w:lineRule="auto" w:line="288" w:before="0" w:after="0"/>
        <w:ind w:left="0" w:right="0" w:hanging="361"/>
        <w:jc w:val="left"/>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Section 16.1(d)</w:t>
      </w:r>
      <w:r>
        <w:rPr>
          <w:color w:val="000000"/>
        </w:rPr>
        <w:t xml:space="preserve"> </w:t>
      </w:r>
      <w:r>
        <w:rPr>
          <w:rFonts w:ascii="Times New Roman;sans-serif" w:hAnsi="Times New Roman;sans-serif"/>
          <w:b w:val="false"/>
          <w:color w:val="000000"/>
          <w:sz w:val="22"/>
        </w:rPr>
        <w:t>(Gilead Agent Improvement IP) of the Collaboration Agreement is hereby deleted and replaced in its entirety as follows:</w:t>
      </w:r>
    </w:p>
    <w:p>
      <w:pPr>
        <w:pStyle w:val="TextBody"/>
        <w:bidi w:val="0"/>
        <w:spacing w:lineRule="auto" w:line="288" w:before="252" w:after="283"/>
        <w:jc w:val="both"/>
        <w:rPr/>
      </w:pPr>
      <w:r>
        <w:rPr>
          <w:rFonts w:ascii="Times New Roman;sans-serif" w:hAnsi="Times New Roman;sans-serif"/>
          <w:b/>
          <w:color w:val="000000"/>
          <w:sz w:val="22"/>
        </w:rPr>
        <w:t>(d) Gilead Assigned Improvement IP</w:t>
      </w:r>
      <w:r>
        <w:rPr>
          <w:rFonts w:ascii="Times New Roman;sans-serif" w:hAnsi="Times New Roman;sans-serif"/>
          <w:b w:val="false"/>
          <w:color w:val="000000"/>
          <w:sz w:val="22"/>
        </w:rPr>
        <w:t xml:space="preserve">. Gilead shall own all Know-How, whether patentable or not, conceived or reduced to practice by MacroGenics or Gilead in the course of conducting activities under this Agreement, in each case that (i) </w:t>
      </w:r>
      <w:r>
        <w:rPr>
          <w:rFonts w:ascii="Times New Roman;sans-serif" w:hAnsi="Times New Roman;sans-serif"/>
          <w:b/>
          <w:color w:val="000000"/>
          <w:sz w:val="16"/>
        </w:rPr>
        <w:t>[***]</w:t>
      </w:r>
      <w:r>
        <w:rPr>
          <w:rFonts w:ascii="Times New Roman;sans-serif" w:hAnsi="Times New Roman;sans-serif"/>
          <w:b w:val="false"/>
          <w:color w:val="000000"/>
          <w:sz w:val="22"/>
        </w:rPr>
        <w:t xml:space="preserve">, which Know-How arises from </w:t>
      </w:r>
      <w:r>
        <w:rPr>
          <w:rFonts w:ascii="Times New Roman;sans-serif" w:hAnsi="Times New Roman;sans-serif"/>
          <w:b/>
          <w:color w:val="000000"/>
          <w:sz w:val="16"/>
        </w:rPr>
        <w:t xml:space="preserve">[***] </w:t>
      </w:r>
      <w:r>
        <w:rPr>
          <w:rFonts w:ascii="Times New Roman;sans-serif" w:hAnsi="Times New Roman;sans-serif"/>
          <w:b w:val="false"/>
          <w:color w:val="000000"/>
          <w:sz w:val="22"/>
        </w:rPr>
        <w:t xml:space="preserve">under this Agreement or (ii) </w:t>
      </w:r>
      <w:r>
        <w:rPr>
          <w:rFonts w:ascii="Times New Roman;sans-serif" w:hAnsi="Times New Roman;sans-serif"/>
          <w:b/>
          <w:color w:val="000000"/>
          <w:sz w:val="16"/>
        </w:rPr>
        <w:t xml:space="preserve">[***] </w:t>
      </w:r>
      <w:r>
        <w:rPr>
          <w:rFonts w:ascii="Times New Roman;sans-serif" w:hAnsi="Times New Roman;sans-serif"/>
          <w:b w:val="false"/>
          <w:color w:val="000000"/>
          <w:sz w:val="22"/>
        </w:rPr>
        <w:t>under this Agreement (in each case ((i) and (ii)), “</w:t>
      </w:r>
      <w:r>
        <w:rPr>
          <w:rFonts w:ascii="Times New Roman;sans-serif" w:hAnsi="Times New Roman;sans-serif"/>
          <w:b/>
          <w:color w:val="000000"/>
          <w:sz w:val="22"/>
        </w:rPr>
        <w:t>Gilead Assigned Improvement Know-How</w:t>
      </w:r>
      <w:r>
        <w:rPr>
          <w:color w:val="000000"/>
        </w:rPr>
        <w:t>”</w:t>
      </w:r>
      <w:r>
        <w:rPr>
          <w:rFonts w:ascii="Times New Roman;sans-serif" w:hAnsi="Times New Roman;sans-serif"/>
          <w:b w:val="false"/>
          <w:color w:val="000000"/>
          <w:sz w:val="22"/>
        </w:rPr>
        <w:t>), together with all Patents that Cover such Gilead Assigned Improvement Know-How but do not Cover MacroGenics Platform Improvement Know-How or any Licensed Molecule or a Licensed Product (in whole or in part) (“</w:t>
      </w:r>
      <w:r>
        <w:rPr>
          <w:rFonts w:ascii="Times New Roman;sans-serif" w:hAnsi="Times New Roman;sans-serif"/>
          <w:b/>
          <w:color w:val="000000"/>
          <w:sz w:val="22"/>
        </w:rPr>
        <w:t>Gilead Assigned Improvement Patents</w:t>
      </w:r>
      <w:r>
        <w:rPr>
          <w:color w:val="000000"/>
        </w:rPr>
        <w:t>”</w:t>
      </w:r>
      <w:r>
        <w:rPr>
          <w:rFonts w:ascii="Times New Roman;sans-serif" w:hAnsi="Times New Roman;sans-serif"/>
          <w:b w:val="false"/>
          <w:color w:val="000000"/>
          <w:sz w:val="22"/>
        </w:rPr>
        <w:t>). MacroGenics shall, and hereby does (and shall cause its Related Parties and its and their respective Representatives to), assign to Gilead all of its and their right, title and interest in and to Gilead Assigned Improvement IP. Upon Gilead’s written request, MacroGenics shall, and shall cause its Related Parties and its and their respective Representatives to, execute and deliver such instruments and do such acts and things as may be necessary under Applicable Laws and Regulations, or as Gilead may reasonably request, to effectuate and confirm the vesting of all right, title and interest in and to the Gilead Assigned Improvement IP in Gilead.</w:t>
      </w:r>
    </w:p>
    <w:p>
      <w:pPr>
        <w:pStyle w:val="TextBody"/>
        <w:bidi w:val="0"/>
        <w:spacing w:before="0" w:after="0"/>
        <w:jc w:val="left"/>
        <w:rPr/>
      </w:pPr>
      <w:r>
        <w:rPr/>
      </w:r>
    </w:p>
    <w:p>
      <w:pPr>
        <w:pStyle w:val="TextBody"/>
        <w:bidi w:val="0"/>
        <w:spacing w:lineRule="auto" w:line="288" w:before="1" w:after="283"/>
        <w:ind w:left="0" w:right="0" w:hanging="361"/>
        <w:jc w:val="left"/>
        <w:rPr>
          <w:rFonts w:ascii="Times New Roman;sans-serif" w:hAnsi="Times New Roman;sans-serif"/>
          <w:b w:val="false"/>
          <w:color w:val="000000"/>
          <w:sz w:val="22"/>
        </w:rPr>
      </w:pPr>
      <w:r>
        <w:rPr>
          <w:rFonts w:ascii="Times New Roman;sans-serif" w:hAnsi="Times New Roman;sans-serif"/>
          <w:b w:val="false"/>
          <w:color w:val="000000"/>
          <w:sz w:val="22"/>
        </w:rPr>
        <w:t>4.    The following provision is hereby inserted in the Collaboration Agreement as a new Section 16.2(a)(vii) (Prosecution of Patents Disclosing Gilead Assigned Improvement Know-How):</w:t>
      </w:r>
    </w:p>
    <w:p>
      <w:pPr>
        <w:pStyle w:val="TextBody"/>
        <w:bidi w:val="0"/>
        <w:spacing w:before="0" w:after="0"/>
        <w:jc w:val="left"/>
        <w:rPr/>
      </w:pPr>
      <w:r>
        <w:rPr/>
      </w:r>
    </w:p>
    <w:p>
      <w:pPr>
        <w:pStyle w:val="TextBody"/>
        <w:bidi w:val="0"/>
        <w:spacing w:lineRule="auto" w:line="288" w:before="0" w:after="0"/>
        <w:ind w:left="0" w:right="0" w:hanging="433"/>
        <w:jc w:val="both"/>
        <w:rPr>
          <w:rFonts w:ascii="Times New Roman;sans-serif" w:hAnsi="Times New Roman;sans-serif"/>
          <w:b w:val="false"/>
          <w:color w:val="000000"/>
          <w:sz w:val="22"/>
        </w:rPr>
      </w:pPr>
      <w:r>
        <w:rPr>
          <w:rFonts w:ascii="Times New Roman;sans-serif" w:hAnsi="Times New Roman;sans-serif"/>
          <w:b w:val="false"/>
          <w:color w:val="000000"/>
          <w:sz w:val="22"/>
        </w:rPr>
        <w:t>(vii)    Prosecution of Patents Disclosing Gilead Assigned Improvement Know-How.</w:t>
      </w:r>
    </w:p>
    <w:p>
      <w:pPr>
        <w:pStyle w:val="TextBody"/>
        <w:bidi w:val="0"/>
        <w:spacing w:before="0" w:after="0"/>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Notification. Notwithstanding any provision to the contrary in this Agreement, prior to filing any application for any Patent in any jurisdiction that discloses any Gilead Assigned Improvement Know-How, MacroGenics will notify Gilead reasonably in advance of any such anticipated filings, and the Parties will work together to avoid MacroGenics filing any application for any Patent that would constitute prior art that would reasonably be expected to impact Gilead’s ability to file a Patent application disclosing such Gilead Assigned Improvement Know-How. At</w:t>
      </w:r>
    </w:p>
    <w:p>
      <w:pPr>
        <w:pStyle w:val="TextBody"/>
        <w:bidi w:val="0"/>
        <w:spacing w:lineRule="auto" w:line="288" w:before="12" w:after="283"/>
        <w:jc w:val="center"/>
        <w:rPr>
          <w:rFonts w:ascii="Calibri;sans-serif" w:hAnsi="Calibri;sans-serif"/>
          <w:b w:val="false"/>
          <w:color w:val="000000"/>
          <w:sz w:val="22"/>
        </w:rPr>
      </w:pPr>
      <w:r>
        <w:rPr>
          <w:rFonts w:ascii="Calibri;sans-serif" w:hAnsi="Calibri;sans-serif"/>
          <w:b w:val="false"/>
          <w:color w:val="000000"/>
          <w:sz w:val="22"/>
        </w:rPr>
        <w:t>2</w:t>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80" w:after="283"/>
        <w:jc w:val="both"/>
        <w:rPr/>
      </w:pPr>
      <w:r>
        <w:rPr>
          <w:rFonts w:ascii="Times New Roman;sans-serif" w:hAnsi="Times New Roman;sans-serif"/>
          <w:b w:val="false"/>
          <w:color w:val="000000"/>
          <w:sz w:val="22"/>
        </w:rPr>
        <w:t xml:space="preserve">Gilead’s request, MacroGenics will reasonably delay any application for any Patent that discloses any Gilead Assigned Improvement Know-How for </w:t>
      </w:r>
      <w:r>
        <w:rPr>
          <w:rFonts w:ascii="Times New Roman;sans-serif" w:hAnsi="Times New Roman;sans-serif"/>
          <w:b/>
          <w:color w:val="000000"/>
          <w:sz w:val="16"/>
        </w:rPr>
        <w:t xml:space="preserve">[***] </w:t>
      </w:r>
      <w:r>
        <w:rPr>
          <w:rFonts w:ascii="Times New Roman;sans-serif" w:hAnsi="Times New Roman;sans-serif"/>
          <w:b w:val="false"/>
          <w:color w:val="000000"/>
          <w:sz w:val="22"/>
        </w:rPr>
        <w:t>in order to enable Gilead to first seek patent protection of such Gilead Assigned Improvement Know-How.</w:t>
      </w:r>
    </w:p>
    <w:p>
      <w:pPr>
        <w:pStyle w:val="TextBody"/>
        <w:bidi w:val="0"/>
        <w:spacing w:lineRule="auto" w:line="288" w:before="252" w:after="283"/>
        <w:ind w:left="0" w:right="0" w:firstLine="720"/>
        <w:jc w:val="both"/>
        <w:rPr/>
      </w:pPr>
      <w:r>
        <w:rPr>
          <w:rFonts w:ascii="Times New Roman;sans-serif" w:hAnsi="Times New Roman;sans-serif"/>
          <w:b w:val="false"/>
          <w:color w:val="000000"/>
          <w:sz w:val="22"/>
        </w:rPr>
        <w:t xml:space="preserve">(2)    Prosecution. MacroGenics will provide Gilead with a reasonable opportunity, </w:t>
      </w:r>
      <w:r>
        <w:rPr>
          <w:rFonts w:ascii="Times New Roman;sans-serif" w:hAnsi="Times New Roman;sans-serif"/>
          <w:b/>
          <w:color w:val="000000"/>
          <w:sz w:val="16"/>
        </w:rPr>
        <w:t xml:space="preserve">[***] </w:t>
      </w:r>
      <w:r>
        <w:rPr>
          <w:rFonts w:ascii="Times New Roman;sans-serif" w:hAnsi="Times New Roman;sans-serif"/>
          <w:b w:val="false"/>
          <w:color w:val="000000"/>
          <w:sz w:val="22"/>
        </w:rPr>
        <w:t>in advance of any relevant deadline, to review and comment on its efforts to prepare, file, prosecute, and maintain any Patent that disclose any Gilead Assigned Improvement Know-How, including by providing Gilead with a copy of all material communications from any patent authority regarding claims of such Patents that specifically claim Gilead Assigned Improvement Know-How, and by providing drafts of any material filings or responses to be made to such patent authorities in advance of submitting such filings or responses with respect to such claims of such Patents. In addition, at Gilead’s request, the Parties will, and will cause their Affiliates to, cooperate and implement reasonable patent filing and prosecution strategies (including filing divisionals, continuations or otherwise) so that, to the extent reasonably feasible, the Gilead Assigned Improvement Know-How and the MacroGenics Platform Improvement Know-How are pursued in mutually exclusive patent applications.</w:t>
      </w:r>
    </w:p>
    <w:p>
      <w:pPr>
        <w:pStyle w:val="TextBody"/>
        <w:bidi w:val="0"/>
        <w:spacing w:before="1" w:after="283"/>
        <w:jc w:val="left"/>
        <w:rPr/>
      </w:pPr>
      <w:r>
        <w:rPr/>
      </w:r>
    </w:p>
    <w:p>
      <w:pPr>
        <w:pStyle w:val="TextBody"/>
        <w:bidi w:val="0"/>
        <w:spacing w:lineRule="auto" w:line="288" w:before="0" w:after="0"/>
        <w:ind w:left="0" w:right="0" w:hanging="361"/>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Section 18.9(a)(ii)</w:t>
      </w:r>
      <w:r>
        <w:rPr>
          <w:color w:val="000000"/>
        </w:rPr>
        <w:t xml:space="preserve"> </w:t>
      </w:r>
      <w:r>
        <w:rPr>
          <w:rFonts w:ascii="Times New Roman;sans-serif" w:hAnsi="Times New Roman;sans-serif"/>
          <w:b w:val="false"/>
          <w:color w:val="000000"/>
          <w:sz w:val="22"/>
        </w:rPr>
        <w:t>of the Collaboration Agreement is hereby deleted and replaced in its entirety as follows:</w:t>
      </w:r>
    </w:p>
    <w:p>
      <w:pPr>
        <w:pStyle w:val="TextBody"/>
        <w:bidi w:val="0"/>
        <w:spacing w:lineRule="auto" w:line="288" w:before="252" w:after="283"/>
        <w:jc w:val="both"/>
        <w:rPr/>
      </w:pPr>
      <w:r>
        <w:rPr>
          <w:rFonts w:ascii="Times New Roman;sans-serif" w:hAnsi="Times New Roman;sans-serif"/>
          <w:b w:val="false"/>
          <w:color w:val="000000"/>
          <w:sz w:val="22"/>
        </w:rPr>
        <w:t xml:space="preserve">(ii) Except for the license granted by MacroGenics to Gilead under Section 3.1(e) (Gilead Assigned Improvement Know-How License), the licenses and sublicenses granted to each Party under this Agreement (or with respect to the Terminated Programs, as applicable), including pursuant to Section 3.1(a) through Section 3.1(d) (Licenses to Gilead) and Section 3.2 (Licenses to MacroGenics), shall terminate and Gilead will cease any and all Exploitation of the Terminated Products as soon as is reasonably practicable under Applicable Laws and Regulations; </w:t>
      </w:r>
      <w:r>
        <w:rPr>
          <w:rFonts w:ascii="Times New Roman;sans-serif" w:hAnsi="Times New Roman;sans-serif"/>
          <w:b w:val="false"/>
          <w:i/>
          <w:color w:val="000000"/>
          <w:sz w:val="22"/>
        </w:rPr>
        <w:t xml:space="preserve">provided </w:t>
      </w:r>
      <w:r>
        <w:rPr>
          <w:rFonts w:ascii="Times New Roman;sans-serif" w:hAnsi="Times New Roman;sans-serif"/>
          <w:b w:val="false"/>
          <w:color w:val="000000"/>
          <w:sz w:val="22"/>
        </w:rPr>
        <w:t xml:space="preserve">that such licenses will continue as necessary for the Parties to complete the orderly wind-down of their activities under this Agreement in accordance with Applicable Laws and Regulations and as otherwise required in accordance with Section 18.9(a)(iii) (In General) </w:t>
      </w:r>
      <w:r>
        <w:rPr>
          <w:rFonts w:ascii="Times New Roman;sans-serif" w:hAnsi="Times New Roman;sans-serif"/>
          <w:b/>
          <w:color w:val="000000"/>
          <w:sz w:val="16"/>
        </w:rPr>
        <w:t>[***]</w:t>
      </w:r>
      <w:r>
        <w:rPr>
          <w:rFonts w:ascii="Times New Roman;sans-serif" w:hAnsi="Times New Roman;sans-serif"/>
          <w:b w:val="false"/>
          <w:color w:val="000000"/>
          <w:sz w:val="22"/>
        </w:rPr>
        <w:t>;</w:t>
      </w:r>
    </w:p>
    <w:p>
      <w:pPr>
        <w:pStyle w:val="TextBody"/>
        <w:bidi w:val="0"/>
        <w:spacing w:before="1" w:after="283"/>
        <w:jc w:val="left"/>
        <w:rPr/>
      </w:pPr>
      <w:r>
        <w:rPr/>
      </w:r>
    </w:p>
    <w:p>
      <w:pPr>
        <w:pStyle w:val="TextBody"/>
        <w:bidi w:val="0"/>
        <w:spacing w:lineRule="auto" w:line="288" w:before="0" w:after="0"/>
        <w:ind w:left="0" w:right="0" w:hanging="361"/>
        <w:jc w:val="both"/>
        <w:rPr/>
      </w:pPr>
      <w:r>
        <w:rPr>
          <w:rFonts w:ascii="Times New Roman;sans-serif" w:hAnsi="Times New Roman;sans-serif"/>
          <w:b w:val="false"/>
          <w:color w:val="000000"/>
          <w:sz w:val="22"/>
        </w:rPr>
        <w:t>6.    The defined term “</w:t>
      </w:r>
      <w:r>
        <w:rPr>
          <w:rFonts w:ascii="Times New Roman;sans-serif" w:hAnsi="Times New Roman;sans-serif"/>
          <w:b/>
          <w:color w:val="000000"/>
          <w:sz w:val="22"/>
        </w:rPr>
        <w:t xml:space="preserve">Gilead Agent Improvement IP </w:t>
      </w:r>
      <w:r>
        <w:rPr>
          <w:rFonts w:ascii="Times New Roman;sans-serif" w:hAnsi="Times New Roman;sans-serif"/>
          <w:b w:val="false"/>
          <w:color w:val="000000"/>
          <w:sz w:val="22"/>
        </w:rPr>
        <w:t>is hereby deleted and replaced by “</w:t>
      </w:r>
      <w:r>
        <w:rPr>
          <w:rFonts w:ascii="Times New Roman;sans-serif" w:hAnsi="Times New Roman;sans-serif"/>
          <w:b/>
          <w:color w:val="000000"/>
          <w:sz w:val="22"/>
        </w:rPr>
        <w:t>Gilead Assigned Improvement IP</w:t>
      </w:r>
      <w:r>
        <w:rPr>
          <w:color w:val="000000"/>
        </w:rPr>
        <w:t xml:space="preserve">” </w:t>
      </w:r>
      <w:r>
        <w:rPr>
          <w:rFonts w:ascii="Times New Roman;sans-serif" w:hAnsi="Times New Roman;sans-serif"/>
          <w:b w:val="false"/>
          <w:color w:val="000000"/>
          <w:sz w:val="22"/>
        </w:rPr>
        <w:t>in each instance that such term is used in the Collaboration Agreement.</w:t>
      </w:r>
    </w:p>
    <w:p>
      <w:pPr>
        <w:pStyle w:val="TextBody"/>
        <w:bidi w:val="0"/>
        <w:spacing w:before="0" w:after="0"/>
        <w:jc w:val="left"/>
        <w:rPr/>
      </w:pPr>
      <w:r>
        <w:rPr/>
      </w:r>
    </w:p>
    <w:p>
      <w:pPr>
        <w:pStyle w:val="TextBody"/>
        <w:bidi w:val="0"/>
        <w:spacing w:lineRule="auto" w:line="288" w:before="1" w:after="283"/>
        <w:ind w:left="0" w:right="0" w:hanging="361"/>
        <w:jc w:val="both"/>
        <w:rPr/>
      </w:pPr>
      <w:r>
        <w:rPr>
          <w:rFonts w:ascii="Times New Roman;sans-serif" w:hAnsi="Times New Roman;sans-serif"/>
          <w:b w:val="false"/>
          <w:color w:val="000000"/>
          <w:sz w:val="22"/>
        </w:rPr>
        <w:t>7.    The defined term “</w:t>
      </w:r>
      <w:r>
        <w:rPr>
          <w:rFonts w:ascii="Times New Roman;sans-serif" w:hAnsi="Times New Roman;sans-serif"/>
          <w:b/>
          <w:color w:val="000000"/>
          <w:sz w:val="22"/>
        </w:rPr>
        <w:t>Gilead Agent Improvement Know-How</w:t>
      </w:r>
      <w:r>
        <w:rPr>
          <w:color w:val="000000"/>
        </w:rPr>
        <w:t xml:space="preserve">” </w:t>
      </w:r>
      <w:r>
        <w:rPr>
          <w:rFonts w:ascii="Times New Roman;sans-serif" w:hAnsi="Times New Roman;sans-serif"/>
          <w:b w:val="false"/>
          <w:color w:val="000000"/>
          <w:sz w:val="22"/>
        </w:rPr>
        <w:t>is hereby deleted and replaced by “</w:t>
      </w:r>
      <w:r>
        <w:rPr>
          <w:rFonts w:ascii="Times New Roman;sans-serif" w:hAnsi="Times New Roman;sans-serif"/>
          <w:b/>
          <w:color w:val="000000"/>
          <w:sz w:val="22"/>
        </w:rPr>
        <w:t>Gilead Assigned Improvement Know-How</w:t>
      </w:r>
      <w:r>
        <w:rPr>
          <w:color w:val="000000"/>
        </w:rPr>
        <w:t xml:space="preserve">” </w:t>
      </w:r>
      <w:r>
        <w:rPr>
          <w:rFonts w:ascii="Times New Roman;sans-serif" w:hAnsi="Times New Roman;sans-serif"/>
          <w:b w:val="false"/>
          <w:color w:val="000000"/>
          <w:sz w:val="22"/>
        </w:rPr>
        <w:t>in each instance that such term is used in the Collaboration Agreement.</w:t>
      </w:r>
    </w:p>
    <w:p>
      <w:pPr>
        <w:pStyle w:val="TextBody"/>
        <w:bidi w:val="0"/>
        <w:spacing w:lineRule="auto" w:line="288" w:before="252" w:after="283"/>
        <w:ind w:left="0" w:right="0" w:hanging="361"/>
        <w:jc w:val="both"/>
        <w:rPr/>
      </w:pPr>
      <w:r>
        <w:rPr>
          <w:rFonts w:ascii="Times New Roman;sans-serif" w:hAnsi="Times New Roman;sans-serif"/>
          <w:b w:val="false"/>
          <w:color w:val="000000"/>
          <w:sz w:val="22"/>
        </w:rPr>
        <w:t>8.    The defined term “</w:t>
      </w:r>
      <w:r>
        <w:rPr>
          <w:rFonts w:ascii="Times New Roman;sans-serif" w:hAnsi="Times New Roman;sans-serif"/>
          <w:b/>
          <w:color w:val="000000"/>
          <w:sz w:val="22"/>
        </w:rPr>
        <w:t>Gilead Agent Improvement Patents</w:t>
      </w:r>
      <w:r>
        <w:rPr>
          <w:color w:val="000000"/>
        </w:rPr>
        <w:t xml:space="preserve">” </w:t>
      </w:r>
      <w:r>
        <w:rPr>
          <w:rFonts w:ascii="Times New Roman;sans-serif" w:hAnsi="Times New Roman;sans-serif"/>
          <w:b w:val="false"/>
          <w:color w:val="000000"/>
          <w:sz w:val="22"/>
        </w:rPr>
        <w:t>is hereby deleted and replaced by “</w:t>
      </w:r>
      <w:r>
        <w:rPr>
          <w:rFonts w:ascii="Times New Roman;sans-serif" w:hAnsi="Times New Roman;sans-serif"/>
          <w:b/>
          <w:color w:val="000000"/>
          <w:sz w:val="22"/>
        </w:rPr>
        <w:t>Gilead Assigned Improvement Patents</w:t>
      </w:r>
      <w:r>
        <w:rPr>
          <w:color w:val="000000"/>
        </w:rPr>
        <w:t xml:space="preserve">” </w:t>
      </w:r>
      <w:r>
        <w:rPr>
          <w:rFonts w:ascii="Times New Roman;sans-serif" w:hAnsi="Times New Roman;sans-serif"/>
          <w:b w:val="false"/>
          <w:color w:val="000000"/>
          <w:sz w:val="22"/>
        </w:rPr>
        <w:t>in each instance that such term is used in the Collaboration Agreement.</w:t>
      </w:r>
    </w:p>
    <w:p>
      <w:pPr>
        <w:pStyle w:val="TextBody"/>
        <w:bidi w:val="0"/>
        <w:spacing w:before="0" w:after="0"/>
        <w:jc w:val="left"/>
        <w:rPr/>
      </w:pPr>
      <w:r>
        <w:rPr/>
      </w:r>
    </w:p>
    <w:p>
      <w:pPr>
        <w:pStyle w:val="TextBody"/>
        <w:bidi w:val="0"/>
        <w:spacing w:lineRule="auto" w:line="288" w:before="0" w:after="0"/>
        <w:ind w:left="0" w:right="0" w:hanging="361"/>
        <w:jc w:val="both"/>
        <w:rPr/>
      </w:pPr>
      <w:r>
        <w:rPr>
          <w:rFonts w:ascii="Times New Roman;sans-serif" w:hAnsi="Times New Roman;sans-serif"/>
          <w:b w:val="false"/>
          <w:color w:val="000000"/>
          <w:sz w:val="22"/>
        </w:rPr>
        <w:t>9.    </w:t>
      </w:r>
      <w:r>
        <w:rPr>
          <w:rFonts w:ascii="Times New Roman;sans-serif" w:hAnsi="Times New Roman;sans-serif"/>
          <w:b/>
          <w:color w:val="000000"/>
          <w:sz w:val="22"/>
        </w:rPr>
        <w:t>General Provisions</w:t>
      </w:r>
      <w:r>
        <w:rPr>
          <w:rFonts w:ascii="Times New Roman;sans-serif" w:hAnsi="Times New Roman;sans-serif"/>
          <w:b w:val="false"/>
          <w:color w:val="000000"/>
          <w:sz w:val="22"/>
        </w:rPr>
        <w:t xml:space="preserve">. This First Amendment will be deemed to be incorporated into, and made a part of, the Collaboration Agreement, and the Collaboration Agreement and this First Amendment will be read, taken, and construed as one and the same agreement (including with respect to the provisions set forth in Article 19 (Miscellaneous) of the Collaboration Agreement which will, as applicable, be deemed to apply to this First Amendment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and the term “Agreement” in the Collaboration Agreement shall be deemed to refer to the Collaboration Agreement as amended by this First Amendment. In the event of any express conflict or inconsistency between this First Amendment, on one hand, and the Collaboration Agreement on the other hand, the terms and conditions of this First Amendment will control. This First</w:t>
      </w:r>
    </w:p>
    <w:p>
      <w:pPr>
        <w:pStyle w:val="TextBody"/>
        <w:bidi w:val="0"/>
        <w:spacing w:lineRule="auto" w:line="288" w:before="13" w:after="283"/>
        <w:jc w:val="center"/>
        <w:rPr>
          <w:rFonts w:ascii="Calibri;sans-serif" w:hAnsi="Calibri;sans-serif"/>
          <w:b w:val="false"/>
          <w:color w:val="000000"/>
          <w:sz w:val="22"/>
        </w:rPr>
      </w:pPr>
      <w:r>
        <w:rPr>
          <w:rFonts w:ascii="Calibri;sans-serif" w:hAnsi="Calibri;sans-serif"/>
          <w:b w:val="false"/>
          <w:color w:val="000000"/>
          <w:sz w:val="22"/>
        </w:rPr>
        <w:t>3</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 together with the Collaboration Agreement, sets forth the complete, final, and exclusive agreement and all the covenants, promises, agreements, warranties, representations, conditions, and understandings between the Parties hereto with respect to the subject matter hereof and supersedes all prior agreements and understandings between the Parties existing as of the First Amendment Effective Date with respect to the subject matter hereof. Except as expressly set forth in this First Amendment, all terms and conditions of the Collaboration Agreement will remain in full force and effect during the effective period thereof.</w:t>
      </w:r>
    </w:p>
    <w:p>
      <w:pPr>
        <w:pStyle w:val="TextBody"/>
        <w:bidi w:val="0"/>
        <w:spacing w:before="179" w:after="283"/>
        <w:jc w:val="left"/>
        <w:rPr/>
      </w:pPr>
      <w:r>
        <w:rPr/>
      </w:r>
    </w:p>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Follows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7" w:after="283"/>
        <w:jc w:val="left"/>
        <w:rPr/>
      </w:pPr>
      <w:r>
        <w:rPr/>
      </w:r>
    </w:p>
    <w:p>
      <w:pPr>
        <w:pStyle w:val="TextBody"/>
        <w:bidi w:val="0"/>
        <w:spacing w:lineRule="auto" w:line="288" w:before="0" w:after="0"/>
        <w:jc w:val="center"/>
        <w:rPr>
          <w:rFonts w:ascii="Calibri;sans-serif" w:hAnsi="Calibri;sans-serif"/>
          <w:b w:val="false"/>
          <w:color w:val="000000"/>
          <w:sz w:val="22"/>
        </w:rPr>
      </w:pPr>
      <w:r>
        <w:rPr>
          <w:rFonts w:ascii="Calibri;sans-serif" w:hAnsi="Calibri;sans-serif"/>
          <w:b w:val="false"/>
          <w:color w:val="000000"/>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80" w:after="283"/>
        <w:jc w:val="right"/>
        <w:rPr>
          <w:rFonts w:ascii="Times New Roman;sans-serif" w:hAnsi="Times New Roman;sans-serif"/>
          <w:b/>
          <w:color w:val="000000"/>
          <w:sz w:val="22"/>
        </w:rPr>
      </w:pPr>
      <w:r>
        <w:rPr>
          <w:rFonts w:ascii="Times New Roman;sans-serif" w:hAnsi="Times New Roman;sans-serif"/>
          <w:b/>
          <w:color w:val="000000"/>
          <w:sz w:val="22"/>
        </w:rPr>
        <w:t>CONFIDENTIAL</w:t>
      </w:r>
    </w:p>
    <w:p>
      <w:pPr>
        <w:pStyle w:val="TextBody"/>
        <w:bidi w:val="0"/>
        <w:spacing w:before="213" w:after="283"/>
        <w:jc w:val="left"/>
        <w:rPr/>
      </w:pPr>
      <w:r>
        <w:rPr/>
      </w:r>
    </w:p>
    <w:p>
      <w:pPr>
        <w:pStyle w:val="TextBody"/>
        <w:bidi w:val="0"/>
        <w:spacing w:lineRule="auto" w:line="288" w:before="1"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caused this First Amendment to be duly executed and delivered by their respective authorized representatives as of the First Amendment Effective Date.</w:t>
      </w:r>
    </w:p>
    <w:p>
      <w:pPr>
        <w:pStyle w:val="TextBody"/>
        <w:bidi w:val="0"/>
        <w:spacing w:before="0" w:after="0"/>
        <w:jc w:val="left"/>
        <w:rPr/>
      </w:pPr>
      <w:r>
        <w:rPr/>
      </w:r>
    </w:p>
    <w:p>
      <w:pPr>
        <w:pStyle w:val="TextBody"/>
        <w:bidi w:val="0"/>
        <w:spacing w:before="0" w:after="0"/>
        <w:jc w:val="left"/>
        <w:rPr/>
      </w:pPr>
      <w:r>
        <w:rPr/>
      </w:r>
    </w:p>
    <w:tbl>
      <w:tblPr>
        <w:tblW w:w="5546" w:type="dxa"/>
        <w:jc w:val="left"/>
        <w:tblInd w:w="0" w:type="dxa"/>
        <w:tblLayout w:type="fixed"/>
        <w:tblCellMar>
          <w:top w:w="28" w:type="dxa"/>
          <w:left w:w="28" w:type="dxa"/>
          <w:bottom w:w="28" w:type="dxa"/>
          <w:right w:w="28" w:type="dxa"/>
        </w:tblCellMar>
      </w:tblPr>
      <w:tblGrid>
        <w:gridCol w:w="951"/>
        <w:gridCol w:w="836"/>
        <w:gridCol w:w="837"/>
        <w:gridCol w:w="109"/>
        <w:gridCol w:w="109"/>
        <w:gridCol w:w="109"/>
        <w:gridCol w:w="760"/>
        <w:gridCol w:w="760"/>
        <w:gridCol w:w="1075"/>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MACROGENICS,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color w:val="000000"/>
              </w:rPr>
              <w:t>  </w:t>
            </w:r>
            <w:r>
              <w:rPr>
                <w:rFonts w:ascii="Times New Roman;sans-serif" w:hAnsi="Times New Roman;sans-serif"/>
                <w:b/>
                <w:color w:val="000000"/>
                <w:sz w:val="24"/>
              </w:rPr>
              <w:t>G</w:t>
            </w:r>
            <w:r>
              <w:rPr>
                <w:rFonts w:ascii="Times New Roman;sans-serif" w:hAnsi="Times New Roman;sans-serif"/>
                <w:b/>
                <w:color w:val="000000"/>
                <w:sz w:val="18"/>
              </w:rPr>
              <w:t>ILEAD</w:t>
            </w:r>
            <w:r>
              <w:rPr>
                <w:color w:val="000000"/>
              </w:rPr>
              <w:t xml:space="preserve"> </w:t>
            </w:r>
            <w:r>
              <w:rPr>
                <w:rFonts w:ascii="Times New Roman;sans-serif" w:hAnsi="Times New Roman;sans-serif"/>
                <w:b/>
                <w:color w:val="000000"/>
                <w:sz w:val="24"/>
              </w:rPr>
              <w:t>S</w:t>
            </w:r>
            <w:r>
              <w:rPr>
                <w:rFonts w:ascii="Times New Roman;sans-serif" w:hAnsi="Times New Roman;sans-serif"/>
                <w:b/>
                <w:color w:val="000000"/>
                <w:sz w:val="18"/>
              </w:rPr>
              <w:t>CIENCES</w:t>
            </w:r>
            <w:r>
              <w:rPr>
                <w:rFonts w:ascii="Times New Roman;sans-serif" w:hAnsi="Times New Roman;sans-serif"/>
                <w:b/>
                <w:color w:val="000000"/>
                <w:sz w:val="24"/>
              </w:rPr>
              <w:t>, I</w:t>
            </w:r>
            <w:r>
              <w:rPr>
                <w:rFonts w:ascii="Times New Roman;sans-serif" w:hAnsi="Times New Roman;sans-serif"/>
                <w:b/>
                <w:color w:val="000000"/>
                <w:sz w:val="18"/>
              </w:rPr>
              <w:t>NC</w:t>
            </w:r>
            <w:r>
              <w:rPr>
                <w:rFonts w:ascii="Times New Roman;sans-serif" w:hAnsi="Times New Roman;sans-serif"/>
                <w:b/>
                <w:color w:val="000000"/>
                <w:sz w:val="24"/>
              </w:rPr>
              <w:t>.</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484" w:before="0" w:after="0"/>
              <w:jc w:val="left"/>
              <w:rPr/>
            </w:pPr>
            <w:r>
              <w:rPr>
                <w:rFonts w:ascii="Times New Roman;sans-serif" w:hAnsi="Times New Roman;sans-serif"/>
                <w:b w:val="false"/>
                <w:color w:val="000000"/>
                <w:sz w:val="24"/>
              </w:rPr>
              <w:t>By:</w:t>
            </w:r>
            <w:r>
              <w:rPr>
                <w:color w:val="000000"/>
              </w:rPr>
              <w:t xml:space="preserve"> </w:t>
            </w:r>
            <w:r>
              <w:rPr>
                <w:rFonts w:ascii="Times New Roman;sans-serif" w:hAnsi="Times New Roman;sans-serif"/>
                <w:b/>
                <w:color w:val="000000"/>
                <w:sz w:val="16"/>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484" w:before="0" w:after="0"/>
              <w:jc w:val="left"/>
              <w:rPr/>
            </w:pPr>
            <w:r>
              <w:rPr>
                <w:rFonts w:ascii="Times New Roman;sans-serif" w:hAnsi="Times New Roman;sans-serif"/>
                <w:b w:val="false"/>
                <w:color w:val="000000"/>
                <w:sz w:val="24"/>
              </w:rPr>
              <w:t>By:</w:t>
            </w:r>
            <w:r>
              <w:rPr>
                <w:color w:val="000000"/>
              </w:rPr>
              <w:t xml:space="preserve"> </w:t>
            </w:r>
            <w:r>
              <w:rPr>
                <w:rFonts w:ascii="Times New Roman;sans-serif" w:hAnsi="Times New Roman;sans-serif"/>
                <w:b/>
                <w:color w:val="000000"/>
                <w:sz w:val="16"/>
              </w:rPr>
              <w:t>[***]</w:t>
            </w:r>
            <w:r>
              <w:rPr>
                <w:color w:val="000000"/>
              </w:rPr>
              <w:t xml:space="preserve"> </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484" w:before="0" w:after="0"/>
              <w:jc w:val="left"/>
              <w:rPr/>
            </w:pPr>
            <w:r>
              <w:rPr>
                <w:rFonts w:ascii="Times New Roman;sans-serif" w:hAnsi="Times New Roman;sans-serif"/>
                <w:b w:val="false"/>
                <w:color w:val="000000"/>
                <w:sz w:val="24"/>
              </w:rPr>
              <w:t xml:space="preserve">Name: </w:t>
            </w: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484" w:before="0" w:after="0"/>
              <w:jc w:val="left"/>
              <w:rPr/>
            </w:pPr>
            <w:r>
              <w:rPr>
                <w:rFonts w:ascii="Times New Roman;sans-serif" w:hAnsi="Times New Roman;sans-serif"/>
                <w:b w:val="false"/>
                <w:color w:val="000000"/>
                <w:sz w:val="24"/>
              </w:rPr>
              <w:t xml:space="preserve">Name: </w:t>
            </w:r>
            <w:r>
              <w:rPr>
                <w:rFonts w:ascii="Times New Roman;sans-serif" w:hAnsi="Times New Roman;sans-serif"/>
                <w:b/>
                <w:color w:val="000000"/>
                <w:sz w:val="16"/>
              </w:rPr>
              <w:t>[***]</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2"/>
              </w:rPr>
              <w:t xml:space="preserve">Title: </w:t>
            </w: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2"/>
              </w:rPr>
              <w:t xml:space="preserve">Title: </w:t>
            </w:r>
            <w:r>
              <w:rPr>
                <w:rFonts w:ascii="Calibri;sans-serif" w:hAnsi="Calibri;sans-serif"/>
                <w:b/>
                <w:color w:val="000000"/>
                <w:sz w:val="16"/>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before="0" w:after="0"/>
        <w:ind w:left="0" w:right="0" w:firstLine="100"/>
        <w:jc w:val="left"/>
        <w:rPr/>
      </w:pPr>
      <w:r>
        <w:rPr/>
      </w:r>
    </w:p>
    <w:p>
      <w:pPr>
        <w:pStyle w:val="TextBody"/>
        <w:bidi w:val="0"/>
        <w:spacing w:lineRule="auto" w:line="288" w:before="0" w:after="0"/>
        <w:jc w:val="center"/>
        <w:rPr/>
      </w:pPr>
      <w:r>
        <w:rPr>
          <w:rFonts w:ascii="Times New Roman;sans-serif" w:hAnsi="Times New Roman;sans-serif"/>
          <w:b w:val="false"/>
          <w:color w:val="000000"/>
          <w:sz w:val="22"/>
        </w:rPr>
        <w:t>[</w:t>
      </w:r>
      <w:r>
        <w:rPr>
          <w:rFonts w:ascii="Times New Roman;sans-serif" w:hAnsi="Times New Roman;sans-serif"/>
          <w:b w:val="false"/>
          <w:i/>
          <w:color w:val="000000"/>
          <w:sz w:val="22"/>
        </w:rPr>
        <w:t>Signature Page to First Amendment to the Collaboration Agreement</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80" w:after="283"/>
        <w:jc w:val="center"/>
        <w:rPr>
          <w:rFonts w:ascii="Times New Roman;sans-serif" w:hAnsi="Times New Roman;sans-serif"/>
          <w:b/>
          <w:color w:val="000000"/>
          <w:sz w:val="22"/>
        </w:rPr>
      </w:pPr>
      <w:r>
        <w:rPr>
          <w:rFonts w:ascii="Times New Roman;sans-serif" w:hAnsi="Times New Roman;sans-serif"/>
          <w:b/>
          <w:color w:val="000000"/>
          <w:sz w:val="22"/>
        </w:rPr>
        <w:t>Exhibit 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of Material Transfer Agreement</w:t>
      </w:r>
    </w:p>
    <w:p>
      <w:pPr>
        <w:pStyle w:val="TextBody"/>
        <w:bidi w:val="0"/>
        <w:spacing w:lineRule="auto" w:line="288" w:before="239" w:after="283"/>
        <w:ind w:left="0" w:right="0" w:firstLine="720"/>
        <w:jc w:val="both"/>
        <w:rPr>
          <w:rFonts w:ascii="Times New Roman;sans-serif" w:hAnsi="Times New Roman;sans-serif"/>
          <w:b/>
          <w:color w:val="000000"/>
          <w:sz w:val="16"/>
        </w:rPr>
      </w:pPr>
      <w:r>
        <w:rPr>
          <w:rFonts w:ascii="Times New Roman;sans-serif" w:hAnsi="Times New Roman;sans-serif"/>
          <w:b/>
          <w:color w:val="000000"/>
          <w:sz w:val="16"/>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Scott Koenig,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2024 of MacroGenics, Inc.;</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Scott Koenig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Scott Koenig, M.D., Ph.D.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James Karrels, certify that:</w:t>
      </w:r>
    </w:p>
    <w:p>
      <w:pPr>
        <w:pStyle w:val="TextBody"/>
        <w:bidi w:val="0"/>
        <w:spacing w:before="0" w:after="0"/>
        <w:jc w:val="left"/>
        <w:rPr/>
      </w:pPr>
      <w:r>
        <w:rPr/>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2024 of MacroGenics, Inc.;</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9,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 of Principal Executive Officer</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Pursuant to 18 U.S.C. 1350</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(Section 906 of the Sarbanes-Oxley Act of 2002</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Scott Koenig, President and Chief Executive Officer (principal executive officer) of MacroGenics, Inc. (the Registrant), certify, to the best of my knowledge, based upon a review of the Quarterly Report on Form 10-Q for the period ended March 31, 2024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as amended;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ind w:left="0" w:right="0" w:hanging="4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Scott Koenig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Scott Koenig, M.D., Ph.D.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Certification of Principal Financial Officer</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20"/>
        </w:rPr>
        <w:t>Pursuant to 18 U.S.C. 1350</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James Karrels, Senior Vice President and Chief Financial Officer (principal financial officer) of MacroGenics, Inc. (the Registrant), certify, to the best of my knowledge, based upon a review of the Quarterly Report on Form 10-Q for the period ended March 31, 2024 of the Registrant (the Report), that:</w:t>
      </w:r>
    </w:p>
    <w:p>
      <w:pPr>
        <w:pStyle w:val="TextBody"/>
        <w:bidi w:val="0"/>
        <w:spacing w:before="0" w:after="0"/>
        <w:jc w:val="left"/>
        <w:rPr/>
      </w:pPr>
      <w:r>
        <w:rPr/>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of the Securities Exchange Act of 1934, as amended;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Karrels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9, 2024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15004</Words>
  <Characters>85776</Characters>
  <CharactersWithSpaces>100065</CharactersWithSpaces>
  <Paragraphs>1249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