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2" w:lineRule="exact"/>
        <w:rPr>
          <w:sz w:val="24"/>
          <w:szCs w:val="24"/>
          <w:color w:val="auto"/>
        </w:rPr>
      </w:pPr>
    </w:p>
    <w:p>
      <w:pPr>
        <w:ind w:left="660" w:hanging="621"/>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60" w:hanging="621"/>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001-36112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MACROGENICS, INC.</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06-1591613</w:t>
            </w:r>
          </w:p>
        </w:tc>
        <w:tc>
          <w:tcPr>
            <w:tcW w:w="0" w:type="dxa"/>
            <w:vAlign w:val="bottom"/>
          </w:tcPr>
          <w:p>
            <w:pPr>
              <w:spacing w:after="0"/>
              <w:rPr>
                <w:sz w:val="1"/>
                <w:szCs w:val="1"/>
                <w:color w:val="auto"/>
              </w:rPr>
            </w:pPr>
          </w:p>
        </w:tc>
      </w:tr>
      <w:tr>
        <w:trPr>
          <w:trHeight w:val="184"/>
        </w:trPr>
        <w:tc>
          <w:tcPr>
            <w:tcW w:w="4420" w:type="dxa"/>
            <w:vAlign w:val="bottom"/>
            <w:gridSpan w:val="2"/>
          </w:tcPr>
          <w:p>
            <w:pPr>
              <w:jc w:val="center"/>
              <w:ind w:left="1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20" w:type="dxa"/>
            <w:vAlign w:val="bottom"/>
          </w:tcPr>
          <w:p>
            <w:pPr>
              <w:jc w:val="center"/>
              <w:ind w:right="4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(I.R.S. Employer</w:t>
            </w: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9704 Medical Center Drive</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301-251-5172</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324"/>
        </w:trPr>
        <w:tc>
          <w:tcPr>
            <w:tcW w:w="65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MGNX</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2"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56"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080" w:firstLine="648"/>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9, 2025, 63,090,323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78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100" w:type="dxa"/>
            <w:vAlign w:val="bottom"/>
            <w:gridSpan w:val="8"/>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6980" w:type="dxa"/>
            <w:vAlign w:val="bottom"/>
            <w:gridSpan w:val="11"/>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6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March 31, 2025 (unaudited) and December 31, 2024</w:t>
            </w:r>
          </w:p>
        </w:tc>
        <w:tc>
          <w:tcPr>
            <w:tcW w:w="2400" w:type="dxa"/>
            <w:vAlign w:val="bottom"/>
            <w:gridSpan w:val="5"/>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2025 and</w:t>
            </w:r>
          </w:p>
        </w:tc>
      </w:tr>
      <w:tr>
        <w:trPr>
          <w:trHeight w:val="156"/>
        </w:trPr>
        <w:tc>
          <w:tcPr>
            <w:tcW w:w="2740" w:type="dxa"/>
            <w:vAlign w:val="bottom"/>
          </w:tcPr>
          <w:p>
            <w:pPr>
              <w:spacing w:after="0"/>
              <w:rPr>
                <w:sz w:val="13"/>
                <w:szCs w:val="13"/>
                <w:color w:val="auto"/>
              </w:rPr>
            </w:pPr>
          </w:p>
        </w:tc>
        <w:tc>
          <w:tcPr>
            <w:tcW w:w="81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March 31, 2024 (unaudited)</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2025 and March 31, 2024</w:t>
            </w:r>
          </w:p>
        </w:tc>
      </w:tr>
      <w:tr>
        <w:trPr>
          <w:trHeight w:val="156"/>
        </w:trPr>
        <w:tc>
          <w:tcPr>
            <w:tcW w:w="274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(unaudited)</w:t>
            </w:r>
          </w:p>
        </w:tc>
        <w:tc>
          <w:tcPr>
            <w:tcW w:w="7340" w:type="dxa"/>
            <w:vAlign w:val="bottom"/>
            <w:tcBorders>
              <w:top w:val="single" w:sz="8" w:color="0000FF"/>
            </w:tcBorders>
            <w:gridSpan w:val="14"/>
          </w:tcPr>
          <w:p>
            <w:pPr>
              <w:spacing w:after="0"/>
              <w:rPr>
                <w:sz w:val="13"/>
                <w:szCs w:val="13"/>
                <w:color w:val="auto"/>
              </w:rPr>
            </w:pPr>
          </w:p>
        </w:tc>
        <w:tc>
          <w:tcPr>
            <w:tcW w:w="320" w:type="dxa"/>
            <w:vAlign w:val="bottom"/>
          </w:tcPr>
          <w:p>
            <w:pPr>
              <w:spacing w:after="0"/>
              <w:rPr>
                <w:sz w:val="13"/>
                <w:szCs w:val="13"/>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three months ended March 31, 2025 and March 31, 2024 (unaudited)</w:t>
            </w:r>
          </w:p>
        </w:tc>
      </w:tr>
      <w:tr>
        <w:trPr>
          <w:trHeight w:val="480"/>
        </w:trPr>
        <w:tc>
          <w:tcPr>
            <w:tcW w:w="2740" w:type="dxa"/>
            <w:vAlign w:val="bottom"/>
          </w:tcPr>
          <w:p>
            <w:pPr>
              <w:spacing w:after="0"/>
              <w:rPr>
                <w:sz w:val="24"/>
                <w:szCs w:val="24"/>
                <w:color w:val="auto"/>
              </w:rPr>
            </w:pPr>
          </w:p>
        </w:tc>
        <w:tc>
          <w:tcPr>
            <w:tcW w:w="81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360" w:type="dxa"/>
            <w:vAlign w:val="bottom"/>
            <w:gridSpan w:val="3"/>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2060" w:type="dxa"/>
            <w:vAlign w:val="bottom"/>
            <w:gridSpan w:val="4"/>
          </w:tcPr>
          <w:p>
            <w:pPr>
              <w:spacing w:after="0"/>
              <w:rPr>
                <w:sz w:val="24"/>
                <w:szCs w:val="24"/>
                <w:color w:val="auto"/>
              </w:rPr>
            </w:pP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20" w:type="dxa"/>
            <w:vAlign w:val="bottom"/>
            <w:gridSpan w:val="10"/>
          </w:tcPr>
          <w:p>
            <w:pPr>
              <w:spacing w:after="0"/>
              <w:rPr>
                <w:sz w:val="24"/>
                <w:szCs w:val="24"/>
                <w:color w:val="auto"/>
              </w:rPr>
            </w:pPr>
          </w:p>
        </w:tc>
      </w:tr>
      <w:tr>
        <w:trPr>
          <w:trHeight w:val="479"/>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80" w:type="dxa"/>
            <w:vAlign w:val="bottom"/>
            <w:gridSpan w:val="9"/>
          </w:tcPr>
          <w:p>
            <w:pPr>
              <w:spacing w:after="0"/>
              <w:rPr>
                <w:sz w:val="24"/>
                <w:szCs w:val="24"/>
                <w:color w:val="auto"/>
              </w:rPr>
            </w:pPr>
          </w:p>
        </w:tc>
      </w:tr>
      <w:tr>
        <w:trPr>
          <w:trHeight w:val="466"/>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4"/>
                <w:szCs w:val="24"/>
                <w:color w:val="auto"/>
              </w:rPr>
            </w:pPr>
          </w:p>
        </w:tc>
        <w:tc>
          <w:tcPr>
            <w:tcW w:w="7160" w:type="dxa"/>
            <w:vAlign w:val="bottom"/>
            <w:gridSpan w:val="12"/>
          </w:tcPr>
          <w:p>
            <w:pPr>
              <w:spacing w:after="0"/>
              <w:rPr>
                <w:sz w:val="24"/>
                <w:szCs w:val="24"/>
                <w:color w:val="auto"/>
              </w:rPr>
            </w:pPr>
          </w:p>
        </w:tc>
      </w:tr>
      <w:tr>
        <w:trPr>
          <w:trHeight w:val="642"/>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180" w:type="dxa"/>
            <w:vAlign w:val="bottom"/>
            <w:gridSpan w:val="13"/>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gridSpan w:val="16"/>
          </w:tcPr>
          <w:p>
            <w:pPr>
              <w:spacing w:after="0" w:line="20" w:lineRule="exact"/>
              <w:rPr>
                <w:sz w:val="1"/>
                <w:szCs w:val="1"/>
                <w:color w:val="auto"/>
              </w:rPr>
            </w:pPr>
          </w:p>
        </w:tc>
      </w:tr>
      <w:tr>
        <w:trPr>
          <w:trHeight w:val="480"/>
        </w:trPr>
        <w:tc>
          <w:tcPr>
            <w:tcW w:w="2740" w:type="dxa"/>
            <w:vAlign w:val="bottom"/>
          </w:tcPr>
          <w:p>
            <w:pPr>
              <w:spacing w:after="0"/>
              <w:rPr>
                <w:sz w:val="24"/>
                <w:szCs w:val="24"/>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r>
      <w:tr>
        <w:trPr>
          <w:trHeight w:val="1445"/>
        </w:trPr>
        <w:tc>
          <w:tcPr>
            <w:tcW w:w="27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fiscal year ended December 31, 2024 and "Part II, Item 1A. Risk Factors" of this Quarterly Report on Form 10-Q), could affect future performance and cause actual results to differ materially from those matters expressed in or implied by forward-looking statements:</w:t>
      </w:r>
    </w:p>
    <w:p>
      <w:pPr>
        <w:spacing w:after="0" w:line="79" w:lineRule="exact"/>
        <w:rPr>
          <w:sz w:val="20"/>
          <w:szCs w:val="20"/>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520" w:right="7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our ongoing and planned clinical trials and the timing of those outcomes, including when clinical trials will be initiated or completed, enrollment of trials, and when data will be reported or regulatory filings will be made;</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and the labeling for any approved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63"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product candidates currently being developed by our collaborators;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receipt of sales milestone payments in connection with the sale of MARGENZA to TerSera Therapeutics, LLC, or TerSera;</w:t>
      </w:r>
    </w:p>
    <w:p>
      <w:pPr>
        <w:spacing w:after="0" w:line="63"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of our or our third parties’ information technology systems and resultant costs, disruptions in our operations or related impact on our reputation;</w:t>
      </w:r>
    </w:p>
    <w:p>
      <w:pPr>
        <w:spacing w:after="0" w:line="1" w:lineRule="exact"/>
        <w:rPr>
          <w:rFonts w:ascii="Times New Roman" w:cs="Times New Roman" w:eastAsia="Times New Roman" w:hAnsi="Times New Roman"/>
          <w:sz w:val="18"/>
          <w:szCs w:val="18"/>
          <w:color w:val="auto"/>
        </w:rPr>
      </w:pPr>
    </w:p>
    <w:p>
      <w:pPr>
        <w:ind w:left="520" w:right="34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 or to identify additional products or product candidates with significant commercial potential that are consistent with our commercial objectives;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future operation of our existing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investment in our manufacturing capabilities;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our industry;</w:t>
      </w:r>
    </w:p>
    <w:p>
      <w:pPr>
        <w:spacing w:after="0" w:line="63" w:lineRule="exact"/>
        <w:rPr>
          <w:rFonts w:ascii="Times New Roman" w:cs="Times New Roman" w:eastAsia="Times New Roman" w:hAnsi="Times New Roman"/>
          <w:sz w:val="18"/>
          <w:szCs w:val="18"/>
          <w:color w:val="auto"/>
        </w:rPr>
      </w:pPr>
    </w:p>
    <w:p>
      <w:pPr>
        <w:ind w:left="520" w:right="42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 and the failure to successfully defend lawsuits and other claims against us and our expectations regarding the outcome of any regulatory or legal proceedings;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risks associated with our international operations;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research funding and achieve anticipated milestones under our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patents and other intellectual property;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and our failure to comply with new and existing governmental regulations including, but not limited to, tax regulations;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retirement of key members of management;</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growth strategy, including any delays in our planned future growth;</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 and</w:t>
      </w:r>
    </w:p>
    <w:p>
      <w:pPr>
        <w:spacing w:after="0" w:line="63" w:lineRule="exact"/>
        <w:rPr>
          <w:rFonts w:ascii="Times New Roman" w:cs="Times New Roman" w:eastAsia="Times New Roman" w:hAnsi="Times New Roman"/>
          <w:sz w:val="18"/>
          <w:szCs w:val="18"/>
          <w:color w:val="auto"/>
        </w:rPr>
      </w:pPr>
    </w:p>
    <w:p>
      <w:pPr>
        <w:ind w:left="520" w:right="26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and regulatory developments, public health crises, geopolitical tensions or other macroeconomic factors on our business, operations, clinical programs, manufacturing, financial results and other aspects of our business.</w:t>
      </w:r>
    </w:p>
    <w:p>
      <w:pPr>
        <w:spacing w:after="0" w:line="5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Consequently, forward-looking statements speak only as of the date that they are made and should be regarded solely as our current plans, estimates and beliefs. You should not place undue reliance on forward-looking statements.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50" w:right="599" w:bottom="1440" w:gutter="0" w:footer="0" w:header="0"/>
        </w:sectPr>
      </w:pPr>
    </w:p>
    <w:bookmarkStart w:id="4" w:name="page5"/>
    <w:bookmarkEnd w:id="4"/>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182,840</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261,655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55,530</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175"/>
        </w:trPr>
        <w:tc>
          <w:tcPr>
            <w:tcW w:w="6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-- 125,000,000 shares authorized, 63,090,323 and</w:t>
            </w: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62,819,857 shares outstanding at March 31, 2025 and December 31, 2024, respectively</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1,285,143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(1,169,718)</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116,057</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Collaborative and other agreements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30"/>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29"/>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manufacturing</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30"/>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agreements</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w:t>
            </w:r>
          </w:p>
        </w:tc>
      </w:tr>
      <w:tr>
        <w:trPr>
          <w:trHeight w:val="20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manufacturing services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30"/>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46,029</w:t>
            </w:r>
          </w:p>
        </w:tc>
      </w:tr>
      <w:tr>
        <w:trPr>
          <w:trHeight w:val="22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62,854</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(53,750)</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(52,190)</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34"/>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62,965,415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62,290,538</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927" w:right="8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34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6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62,819,857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116,057</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63,090,323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79,119</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3"/>
                <w:szCs w:val="3"/>
                <w:color w:val="auto"/>
              </w:rPr>
            </w:pPr>
          </w:p>
        </w:tc>
        <w:tc>
          <w:tcPr>
            <w:tcW w:w="12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3"/>
                <w:szCs w:val="3"/>
                <w:color w:val="auto"/>
              </w:rPr>
            </w:pPr>
          </w:p>
        </w:tc>
        <w:tc>
          <w:tcPr>
            <w:tcW w:w="1160" w:type="dxa"/>
            <w:vAlign w:val="bottom"/>
            <w:vMerge w:val="restart"/>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3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0"/>
                <w:szCs w:val="10"/>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0"/>
                <w:szCs w:val="10"/>
                <w:color w:val="auto"/>
              </w:rPr>
            </w:pPr>
          </w:p>
        </w:tc>
        <w:tc>
          <w:tcPr>
            <w:tcW w:w="11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1"/>
        </w:trPr>
        <w:tc>
          <w:tcPr>
            <w:tcW w:w="3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62,070,627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62,560,502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1,260,505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(1,154,942)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72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5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 current assets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(45,643)</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(50,497)</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and maturities of marketable securities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24,794</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10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(20,601)</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182,840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100,956</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145,570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included in accounts payable or accruals</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7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MacroGenics, Inc. (the Company) is incorporated in the state of Delaware. The Company is a clinical-stage biopharmaceutical company focused on discovering, developing, manufacturing and commercializing innovative antibody-based therapeutics for the treatment of cancer. The Company generates its pipeline of product candidates from its proprietary suite of antibody technology platforms. The Company is currently developing therapeutics utilizing multiple modalities, including antibody-drug conjugates (ADCs) and multi-specific antibodies (which is referred to as DART and TRIDENT molecules). The combination of the Company’s technology platforms and antibody engineering expertise has allowed the Company to generate promising product candidates – three of which have received marketing approval by the U.S. Food and Drug Administration (FDA) – and to enter into several strategic collaborations with global biopharmaceutical companies. These collaborations have provided the Company with over $1.4 billion of non-dilutive funding since its inception in 2000, and have enabled the Company to leverage the additional expertise of its collaborators to advance the development of multiple partnered product candidates. In addition, the Company operates a 5 × 2,000 liter commercial-scale cGMP antibody manufacturing facility in its Maryland headquarters to support its clinical programs. The Company also provides outsourced contract development and manufacturing services to its collaborators and other third parties for commercial and clinical products to offset a portion of the operating costs of this facility.</w:t>
      </w:r>
    </w:p>
    <w:p>
      <w:pPr>
        <w:spacing w:after="0" w:line="13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The Company is also actively developing multiple preclinical-stage ADC and next generation T-cell engager programs.</w:t>
      </w:r>
    </w:p>
    <w:p>
      <w:pPr>
        <w:spacing w:after="0" w:line="207" w:lineRule="exact"/>
        <w:rPr>
          <w:sz w:val="20"/>
          <w:szCs w:val="20"/>
          <w:color w:val="auto"/>
        </w:rPr>
      </w:pPr>
    </w:p>
    <w:p>
      <w:pPr>
        <w:ind w:right="180" w:firstLine="648"/>
        <w:spacing w:after="0" w:line="232" w:lineRule="auto"/>
        <w:rPr>
          <w:sz w:val="20"/>
          <w:szCs w:val="20"/>
          <w:color w:val="auto"/>
        </w:rPr>
      </w:pPr>
      <w:r>
        <w:rPr>
          <w:rFonts w:ascii="Times New Roman" w:cs="Times New Roman" w:eastAsia="Times New Roman" w:hAnsi="Times New Roman"/>
          <w:sz w:val="18"/>
          <w:szCs w:val="18"/>
          <w:color w:val="auto"/>
        </w:rPr>
        <w:t>The Company and its partners are developing or commercializing product candidates for which the Company retains certain economic rights. These include three products approved by the FDA: MARGENZA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(margetuximab-cmkb), an anti-HER2 monoclonal antibody (mAb) that the Company sold to a partner,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(retifanlimab-dlwr), an anti-PD-1 mAb that the Company out-licensed; and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an anti-CD3 mAb that the Company sold to a partner. The Company is also collaborating with Gilead Sciences, Inc. (Gilead) on the development of MGD024, a bispecific DART antibody targeting CD123 and CD3 that utilizes its next-generation T-cell engager technology, as well as two additional undisclosed pre-clinical DART development programs.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 biotechnology company, the Company has primarily funded its operations with proceeds from the sale of its common stock in equity</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offerings and revenue from its multiple collaboration agreements. 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inflation, fluctuating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12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Annual Report on Form 10-K for the fiscal year ended December 31, 2024, filed with the Securities and Exchange Commission (SEC) on March 20,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to the significant accounting policies previously disclosed in the Company’s Annual Report on Form 10-K for the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252525"/>
        </w:rPr>
        <w:t>In November 2024, the Financial Accounting Standards Board (FASB) issued Accounting Standards Update (ASU) No. 2024-03, Disaggregation of Income Statement Expense. The standard requires further disaggregation of relevant expense captions in a separate note to the financial statements. The standard is effective for fiscal years beginning after December 15, 2026 and interim periods within fiscal years beginning after December 15, 2027. Early adoption is permitted. The Company is currently assessing the impact of adopting this guidance on its consolidated financial statements.</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252525"/>
        </w:rPr>
        <w:t>In December 2023, the FASB issued ASU No. 2023-09, Income Taxes (Topic 740). The standard requires disaggregation of the effective rate reconciliation into standard categories, enhances disclosure of income taxes paid, and modifies other income tax-related disclosures. The standard is effective for fiscal years beginning after December 15, 2024. The Company is currently assessing the impact of adopting this guidance on its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Times New Roman" w:cs="Times New Roman" w:eastAsia="Times New Roman" w:hAnsi="Times New Roman"/>
          <w:sz w:val="18"/>
          <w:szCs w:val="18"/>
          <w:color w:val="000000"/>
        </w:rPr>
        <w:t>The Company accounts for recurring and non-recurring fair value measurements in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accordance with FASB Accounting Standards Codification (ASC) Topic 820, </w:t>
      </w:r>
      <w:r>
        <w:rPr>
          <w:rFonts w:ascii="Times New Roman" w:cs="Times New Roman" w:eastAsia="Times New Roman" w:hAnsi="Times New Roman"/>
          <w:sz w:val="18"/>
          <w:szCs w:val="18"/>
          <w:i w:val="1"/>
          <w:iCs w:val="1"/>
          <w:color w:val="000000"/>
        </w:rPr>
        <w:t>Fair Value Measurements and Disclosures</w:t>
      </w:r>
      <w:r>
        <w:rPr>
          <w:rFonts w:ascii="Times New Roman" w:cs="Times New Roman" w:eastAsia="Times New Roman" w:hAnsi="Times New Roman"/>
          <w:sz w:val="18"/>
          <w:szCs w:val="18"/>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3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is determined by using unadjusted quoted prices that are available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7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 w:cs="Times New Roman" w:eastAsia="Times New Roman" w:hAnsi="Times New Roman"/>
          <w:sz w:val="17"/>
          <w:szCs w:val="17"/>
          <w:color w:val="252525"/>
        </w:rPr>
        <w:t>There were no transfers between levels during the periods presented.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March 31, 2025</w:t>
            </w:r>
          </w:p>
        </w:tc>
        <w:tc>
          <w:tcPr>
            <w:tcW w:w="132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60" w:type="dxa"/>
            <w:vAlign w:val="bottom"/>
          </w:tcPr>
          <w:p>
            <w:pPr>
              <w:spacing w:after="0"/>
              <w:rPr>
                <w:sz w:val="19"/>
                <w:szCs w:val="19"/>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2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20,546</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103,505</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31,521</w:t>
            </w:r>
          </w:p>
        </w:tc>
      </w:tr>
      <w:tr>
        <w:trPr>
          <w:trHeight w:val="20"/>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2024</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(b)</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102,428</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w:t>
            </w:r>
          </w:p>
        </w:tc>
      </w:tr>
      <w:tr>
        <w:trPr>
          <w:trHeight w:val="20"/>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60" w:right="240" w:hanging="252"/>
        <w:spacing w:after="0" w:line="282"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March 31, 2025 includes approximately $94.9 million reported in cash and cash equivalents on the consolidated balance sheet.</w:t>
      </w:r>
    </w:p>
    <w:p>
      <w:pPr>
        <w:spacing w:after="0" w:line="161" w:lineRule="exact"/>
        <w:rPr>
          <w:rFonts w:ascii="Times New Roman" w:cs="Times New Roman" w:eastAsia="Times New Roman" w:hAnsi="Times New Roman"/>
          <w:sz w:val="18"/>
          <w:szCs w:val="18"/>
          <w:color w:val="auto"/>
        </w:rPr>
      </w:pPr>
    </w:p>
    <w:p>
      <w:pPr>
        <w:ind w:left="260" w:right="920" w:hanging="252"/>
        <w:spacing w:after="0" w:line="282" w:lineRule="auto"/>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December 31, 2024 includes approximately $83.6 million reported in cash and cash equivalents on the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5"/>
                <w:szCs w:val="15"/>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19"/>
                <w:szCs w:val="19"/>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4"/>
                <w:szCs w:val="14"/>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1"/>
                <w:szCs w:val="21"/>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All of the Company's available-for-sale securities held as of March 31, 2025 and December 31, 2024 had contractual maturities of less than one year. All of the Company's available-for-sale securities in an unrealized loss position as of March 31, 2025 were in a loss position for less than twelve months. Unrealized losses on available-for-sale debt securities as of March 31, 2025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The Company does not intend to sell its investments and it is not more likely than not that the Company will be required to sell its investments before recovery of their amortized cost bases, which may be at maturity.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 Net</w:t>
      </w:r>
    </w:p>
    <w:p>
      <w:pPr>
        <w:spacing w:after="0" w:line="175" w:lineRule="exact"/>
        <w:rPr>
          <w:sz w:val="20"/>
          <w:szCs w:val="20"/>
          <w:color w:val="auto"/>
        </w:rPr>
      </w:pPr>
    </w:p>
    <w:p>
      <w:pPr>
        <w:ind w:right="280" w:firstLine="567"/>
        <w:spacing w:after="0" w:line="282" w:lineRule="auto"/>
        <w:rPr>
          <w:sz w:val="20"/>
          <w:szCs w:val="20"/>
          <w:color w:val="auto"/>
        </w:rPr>
      </w:pPr>
      <w:r>
        <w:rPr>
          <w:rFonts w:ascii="Times New Roman" w:cs="Times New Roman" w:eastAsia="Times New Roman" w:hAnsi="Times New Roman"/>
          <w:sz w:val="18"/>
          <w:szCs w:val="18"/>
          <w:color w:val="auto"/>
        </w:rPr>
        <w:t>Inventory at March 31, 2025 consists of $9.4 million in materials and supplies procured for the purpose of manufacturing drug substance for the Company's contract manufacturing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and Other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License Agreement</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2017, the Company entered into an exclusive global collaboration and license agreement with Incyte, which was amended in March 2018, April 2022, July 2022 and July 2024,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manufactures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squamous cell carcinoma of the anal canal, MSI-high endometrial cancer and non-small cell lung cancer. Incyte is also pursuing development of retifanlimab in combination with multiple product candidates from its pipeline.</w:t>
      </w:r>
    </w:p>
    <w:p>
      <w:pPr>
        <w:spacing w:after="0" w:line="13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Incyte License Agreement, as amended, Incyte will lead global development of retifanlimab. From the inception of the Incyte License Agreement through </w:t>
      </w:r>
      <w:r>
        <w:rPr>
          <w:rFonts w:ascii="Times New Roman" w:cs="Times New Roman" w:eastAsia="Times New Roman" w:hAnsi="Times New Roman"/>
          <w:sz w:val="18"/>
          <w:szCs w:val="18"/>
          <w:color w:val="252525"/>
        </w:rPr>
        <w:t>March 31, 2025</w:t>
      </w:r>
      <w:r>
        <w:rPr>
          <w:rFonts w:ascii="Times New Roman" w:cs="Times New Roman" w:eastAsia="Times New Roman" w:hAnsi="Times New Roman"/>
          <w:sz w:val="18"/>
          <w:szCs w:val="18"/>
          <w:color w:val="auto"/>
        </w:rPr>
        <w:t>, the Company has recognized $215.0 million for certain development and regulatory milestones under the Incyte License Agreement, including $100.0 million received in August 2024 upon entering into an amendment to the Incyte License Agreement pursuant to which certain development milestones were deemed to have been met. Assuming successful development and commercialization by Incyte in multiple indications, the Company is eligible to receive up to an additional $210.0 million in development and regulatory milestones and up to $330.0 million in commercial milestones. The Company is also eligible to receive tiered royalties of 15% to 24% on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 evaluated the Incyte License Agreement under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w:t>
      </w:r>
    </w:p>
    <w:p>
      <w:pPr>
        <w:spacing w:after="0" w:line="29" w:lineRule="exact"/>
        <w:rPr>
          <w:sz w:val="20"/>
          <w:szCs w:val="20"/>
          <w:color w:val="auto"/>
        </w:rPr>
      </w:pPr>
    </w:p>
    <w:p>
      <w:pPr>
        <w:ind w:firstLine="8"/>
        <w:spacing w:after="0" w:line="251"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t xml:space="preserve">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In July 2024, the Company and Incyte executed Amendment No. 4 to the Incyte License Agreement pursuant to which certain development milestones were deemed to have been met. The Company evaluated the amendment as a contract modification under the provisions of ASC 606 which resulted in $100.0 million of revenue being recognized in 2024. From 2018 through </w:t>
      </w:r>
      <w:r>
        <w:rPr>
          <w:rFonts w:ascii="Times New Roman" w:cs="Times New Roman" w:eastAsia="Times New Roman" w:hAnsi="Times New Roman"/>
          <w:sz w:val="18"/>
          <w:szCs w:val="18"/>
          <w:color w:val="252525"/>
        </w:rPr>
        <w:t>March 31, 2025</w:t>
      </w:r>
      <w:r>
        <w:rPr>
          <w:rFonts w:ascii="Times New Roman" w:cs="Times New Roman" w:eastAsia="Times New Roman" w:hAnsi="Times New Roman"/>
          <w:sz w:val="18"/>
          <w:szCs w:val="18"/>
          <w:color w:val="000000"/>
        </w:rPr>
        <w:t>, it became probable that a significant reversal of cumulative revenue would not occur for development milestones totaling $215.0 million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related to </w:t>
      </w:r>
      <w:r>
        <w:rPr>
          <w:rFonts w:ascii="Times New Roman" w:cs="Times New Roman" w:eastAsia="Times New Roman" w:hAnsi="Times New Roman"/>
          <w:sz w:val="18"/>
          <w:szCs w:val="18"/>
          <w:color w:val="252525"/>
        </w:rPr>
        <w:t>clinical and regulatory activities related to the further advancement of retifanlimab</w:t>
      </w:r>
      <w:r>
        <w:rPr>
          <w:rFonts w:ascii="Times New Roman" w:cs="Times New Roman" w:eastAsia="Times New Roman" w:hAnsi="Times New Roman"/>
          <w:sz w:val="18"/>
          <w:szCs w:val="18"/>
          <w:color w:val="000000"/>
        </w:rPr>
        <w:t>. Therefore, the associated consideration was added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transaction price and was recognized as revenue</w:t>
      </w:r>
      <w:r>
        <w:rPr>
          <w:rFonts w:ascii="Times New Roman" w:cs="Times New Roman" w:eastAsia="Times New Roman" w:hAnsi="Times New Roman"/>
          <w:sz w:val="21"/>
          <w:szCs w:val="21"/>
          <w:color w:val="252525"/>
        </w:rPr>
        <w:t>.</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$0.4 million and $0.2 million in revenue under the Incyte License Agreement during the three months ended March 31, 2025 and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Commercial Supply Agreement</w:t>
      </w:r>
    </w:p>
    <w:p>
      <w:pPr>
        <w:spacing w:after="0" w:line="173"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7"/>
          <w:szCs w:val="17"/>
          <w:color w:val="auto"/>
        </w:rPr>
        <w:t>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The Company recognized revenue of $0.4 million for each of the three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 periods ended March 31, 2025 and 2024, for services performed under the Incyte Commercial Supply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according to a development plan, during which Gilead will have the right to exercise an option granted to Gilead to obtain an exclusive license under the Company’s intellectual property to develop and commercialize MGD024 and other bispecific antibodies of MacroGenics that bind CD123 and CD3 (CD123 Option). The agreement also granted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Gilead will pay the Company to conduct certain research and which extends the period for Gilead to select its second research target combination.</w:t>
      </w:r>
    </w:p>
    <w:p>
      <w:pPr>
        <w:spacing w:after="0" w:line="13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Gilead Agreement, as amended, in October 2022 Gilead paid the Company an upfront payment of $60.0 million. 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 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3" w:name="page14"/>
    <w:bookmarkEnd w:id="13"/>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Gilead Agreement under the provisions of ASC 606 and identified the following material promises under the agreement: (i) a license to perform any activities allocated to Gilead under the MGD024 development plan; (ii) development activities regarding MGD024, including manufacturing, research and early clinical development activities, necessary to deliver an informational package of development and clinical data, information and materials specified in the Gilead Agreement during the period in which Gilead can exercise the CD123 Option; (iii) the CD123 Option and (iv) the Research Program Option.</w:t>
      </w:r>
    </w:p>
    <w:p>
      <w:pPr>
        <w:spacing w:after="0" w:line="1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concluded that the license under the MGD024 development plan 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 The Company reassesses the amount of variable consideration included in the transaction price</w:t>
      </w:r>
    </w:p>
    <w:p>
      <w:pPr>
        <w:spacing w:after="0" w:line="1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7"/>
          <w:szCs w:val="17"/>
          <w:color w:val="auto"/>
        </w:rPr>
        <w:t>every reporting period. 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for the pre-option development timeline. For the standalone selling price of the CD123 Option, the Company</w:t>
      </w:r>
    </w:p>
    <w:p>
      <w:pPr>
        <w:spacing w:after="0" w:line="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utilized an income-based approach which included the following key assumptions: post-option development timeline and costs, forecasted revenues, discount rates and probabilities of technical and regulatory success.</w:t>
      </w:r>
    </w:p>
    <w:p>
      <w:pPr>
        <w:spacing w:after="0" w:line="10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spacing w:after="0" w:line="1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No revenue was recognized during the three months ended March 31, 2025. The Company recognized $0.3 million in revenue under the Gilead Agreement during the three months ended March 31, 2024. As of March 31, 2025, $57.1 million in revenue was deferred under this agreement,</w:t>
      </w:r>
    </w:p>
    <w:p>
      <w:pPr>
        <w:ind w:right="40"/>
        <w:spacing w:after="0" w:line="260" w:lineRule="auto"/>
        <w:rPr>
          <w:sz w:val="20"/>
          <w:szCs w:val="20"/>
          <w:color w:val="auto"/>
        </w:rPr>
      </w:pPr>
      <w:r>
        <w:rPr>
          <w:rFonts w:ascii="Times New Roman" w:cs="Times New Roman" w:eastAsia="Times New Roman" w:hAnsi="Times New Roman"/>
          <w:sz w:val="18"/>
          <w:szCs w:val="18"/>
          <w:color w:val="auto"/>
        </w:rPr>
        <w:t>$1.2 million of which was current and $55.9 million of which was non-current. As of December 31, 2024, $56.8 million in revenue was deferred under this agreement, $1.3 million of which was current and $55.5 million of which was non-current.</w:t>
      </w:r>
    </w:p>
    <w:p>
      <w:pPr>
        <w:spacing w:after="0" w:line="1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September 2023, the Company and Gilead executed a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spacing w:after="0" w:line="14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for the First Research Program agreement was</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consideration was added to the transaction price and allocated to the performance obligation to determine the amount of related revenue to be recognized. A proportional amount was recognized based on the input cost to cost measurement of work completed to date.</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and 2024, the Company recorded revenue of $5.4 million and $0.7 million, respectively, related to the First Research Program. As of March 31, 2025, $5.6 million in revenue was deferred under this agreement, all of which was current. As of December 31, 2024, $11.0 million </w:t>
      </w:r>
      <w:r>
        <w:rPr>
          <w:rFonts w:ascii="Times New Roman" w:cs="Times New Roman" w:eastAsia="Times New Roman" w:hAnsi="Times New Roman"/>
          <w:sz w:val="18"/>
          <w:szCs w:val="18"/>
          <w:color w:val="252525"/>
        </w:rPr>
        <w:t>in revenue was deferred under this agreement, all of which was current</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Services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January 2022, the Company entered into a Manufacturing and Clinical Supply Agreement with Incyte (Incyte Manufacturing and Clinical Supply Agreement) to provide manufacturing services to produce certain Incyte bulk drug substance over a three-year period. Under the terms of the Incyte Manufacturing and Clinical Supply Agreement, the Company received an upfront payment of $10.0 million and was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In December 2024 and March 2025, the Company and Incyte entered into letter agreements whereby Incyte reserved additional manufacturing services with a total fixed cost of $13.5 million (Letter Agreements).</w:t>
      </w:r>
    </w:p>
    <w:p>
      <w:pPr>
        <w:spacing w:after="0" w:line="8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evaluated the Incyte Manufacturing and Clinical Supply Agreement, the July 2022 Incyte Amendment and the Letter Agreements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 $10.0 million, the annual fixed payments and the payments per batch under the Letter Agreements totaling $41.7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inventory and will be capitalized and expensed as the materials are used to provide the manufacturing services.</w:t>
      </w:r>
    </w:p>
    <w:p>
      <w:pPr>
        <w:spacing w:after="0" w:line="8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revenue of $5.0 million and $2.1 million, respectively, under the Incyte Manufacturing and Clinical Supply Agreement. As of March 31, 2025, $1.8 million in revenue was deferred under this agreement, all of which was current. As of December 31, 2024, $3.4 million in revenue was deferred under this agreement, all of which was current.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No shares of common stock were purchased under the 2016 ESPP during the three months ended March 31, 2025 or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Plans</w:t>
      </w:r>
    </w:p>
    <w:p>
      <w:pPr>
        <w:spacing w:after="0" w:line="17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October 2013, the Company implemented the 2013 Equity Incentive Plan (2013 Plan). In May 2023, the 2013 Plan was terminated, and no further awards may be issued under the plan. If an option granted under the 2013 Plan expires or terminates for any reason without having been fully exercised, if any shares of restricted stock are forfeited, or if any award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680"/>
        <w:spacing w:after="0" w:line="282" w:lineRule="auto"/>
        <w:rPr>
          <w:sz w:val="20"/>
          <w:szCs w:val="20"/>
          <w:color w:val="auto"/>
        </w:rPr>
      </w:pPr>
      <w:r>
        <w:rPr>
          <w:rFonts w:ascii="Times New Roman" w:cs="Times New Roman" w:eastAsia="Times New Roman" w:hAnsi="Times New Roman"/>
          <w:sz w:val="18"/>
          <w:szCs w:val="18"/>
          <w:color w:val="auto"/>
        </w:rPr>
        <w:t>terminates, expires or is settled without all or a portion of the shares of common stock covered by the award being issued, such shares will become available for issuance under the 2023 Equity Incentive Plan (2023 Plan).</w:t>
      </w:r>
    </w:p>
    <w:p>
      <w:pPr>
        <w:spacing w:after="0" w:line="10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2023 Plan was effective as of stockholder approval in May 2023. The 2023 Plan provides for grants of stock options and other stock-based awards, as well as cash-based performance awards. The 2023 Plan originally authorized the issuance of up to an aggregate of 4,850,000 shares of common stock. In May 2024, the board and stockholders of the Company approved an amendment to the 2023 Plan to increase the number of shares of common stock available to 6,850,000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175"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32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110.7% -115.6%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- 95.5%</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 - 4.5%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5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6.11 years</w:t>
            </w:r>
          </w:p>
        </w:tc>
        <w:tc>
          <w:tcPr>
            <w:tcW w:w="24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6.06 years</w:t>
            </w: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9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380" w:type="dxa"/>
            <w:vAlign w:val="bottom"/>
          </w:tcPr>
          <w:p>
            <w:pPr>
              <w:jc w:val="center"/>
              <w:ind w:left="4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12,939,517</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1,760,870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(203,736)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March 31, 2025</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14,468,007</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 of March 31, 2025:</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9,730,401</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14,081,415</w:t>
            </w:r>
          </w:p>
        </w:tc>
        <w:tc>
          <w:tcPr>
            <w:tcW w:w="150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 total unrecognized compensation expense related to unvested stock options, net of related forfeiture estimates, was approximately $23.2 million, which the Company expects to recognize over a weighted-average period of approximately 1.4 years. The following table summarizes additional information on stock options (in thousands, except per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share amounts):</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stock options granted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39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received for stock options exercised</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grant date fair value of stock options vested</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320" w:firstLine="648"/>
        <w:spacing w:after="0" w:line="285" w:lineRule="auto"/>
        <w:rPr>
          <w:sz w:val="20"/>
          <w:szCs w:val="20"/>
          <w:color w:val="auto"/>
        </w:rPr>
      </w:pPr>
      <w:r>
        <w:rPr>
          <w:rFonts w:ascii="Times New Roman" w:cs="Times New Roman" w:eastAsia="Times New Roman" w:hAnsi="Times New Roman"/>
          <w:sz w:val="18"/>
          <w:szCs w:val="18"/>
          <w:color w:val="auto"/>
        </w:rPr>
        <w:t>Restricted stock units (RSUs) are valued based on the closing price of the Company’s common stock on the date of the grant. The fair value of RSUs is recognized and amortized on a straight-line basis over the requisite service period of the award</w:t>
      </w:r>
      <w:r>
        <w:rPr>
          <w:rFonts w:ascii="Arial" w:cs="Arial" w:eastAsia="Arial" w:hAnsi="Arial"/>
          <w:sz w:val="18"/>
          <w:szCs w:val="18"/>
          <w:color w:val="252525"/>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three months ended March 31, 2025:</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180" w:type="dxa"/>
            <w:vAlign w:val="bottom"/>
          </w:tcPr>
          <w:p>
            <w:pPr>
              <w:spacing w:after="0"/>
              <w:rPr>
                <w:sz w:val="24"/>
                <w:szCs w:val="24"/>
                <w:color w:val="auto"/>
              </w:rPr>
            </w:pPr>
          </w:p>
        </w:tc>
        <w:tc>
          <w:tcPr>
            <w:tcW w:w="16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1,068,994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30"/>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(379,817)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30"/>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2025</w:t>
            </w:r>
          </w:p>
        </w:tc>
        <w:tc>
          <w:tcPr>
            <w:tcW w:w="16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955,649</w:t>
            </w:r>
          </w:p>
        </w:tc>
        <w:tc>
          <w:tcPr>
            <w:tcW w:w="4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At March 31, 2025, there was $6.9 million of total unrecognized compensation cost related to unvested RSUs, which the Company expects to recognize over a remaining weighted-average period of approximately 1.4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In-licensing Arrangement</w:t>
      </w:r>
    </w:p>
    <w:p>
      <w:pPr>
        <w:spacing w:after="0" w:line="175"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During the three months ended March 31, 2025 and 2024, the Company recorded expense of $1.3 million and $2.4 million, respectively, under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7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has certain material contractual commitments under manufacturing-related supplier arrangements as of March 31, 2025 totaling $5.2 million that expire through December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identifies its reportable segments based on information reviewed by the Company’s Chief Operating Decision Maker (CODM). The Company operates as one operating and reportable segment, which is discovering, developing, manufacturing and commercializing innovative antibody-based therapeutics for the treatment of cancer. The Company has determined its reportable operating segment based on the management approach, which considers the internal organization and reporting used by the Company’s CODM to make decisions about allocating resources and assessing the Company’s performance. The determination of a single business segment is consistent with the consolidated financial information regularly reviewed by the CODM for purposes of assessing performance and allocating resources.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7" w:name="page18"/>
    <w:bookmarkEnd w:id="17"/>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CODM uses consolidated net loss, consistent with the amounts reported in the Company’s consolidated statements of operations to evaluate performance, forecast future period financial results and allocate resources. Please refer to the consolidated balance sheets and the accompanying notes to the consolidated financial statements for segment asset information.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significant expenses regularly reviewed by the CODM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(a)</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manufacturing services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Lorigerlimab</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Vobramitamab duocarmazine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MGC026</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MGC028</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MGC030</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Next-generation T-cell engagers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MGD024</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Preclinical antibody-drug conjugates (ADCs)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Margetuximab</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programs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14,709</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income, net (b)</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(41,036)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(52,190)</w:t>
            </w: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includes collaborative and other agreements, product sales, net, contract manufacturing, and government agreements.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income, net includes interest and other income and other expense.</w:t>
      </w:r>
    </w:p>
    <w:p>
      <w:pPr>
        <w:spacing w:after="0" w:line="220"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Company operates in the United States and all material long-lived assets of the Company reside in the United States. For information about the Company’s revenues, see Note 6, Revenue.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00" w:firstLine="81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fiscal year ended December 31,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discovering, developing, manufacturing and commercializing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$1.4 billion of non-dilutive funding since our inception in 2000, and have enabled us to leverage the additional expertise of our collaborators to advance the development of multiple partnered product candidates. In addition, we operate a 5 × 2,000 liter commercial-scale cGMP antibody manufacturing facility in our Maryland headquarters to support our clinical programs. We also provide outsourced contract development and manufacturing services to our collaborators and other third parties for commercial and clinical products to offset a portion of the operating costs of this facility.</w:t>
      </w:r>
    </w:p>
    <w:p>
      <w:pPr>
        <w:spacing w:after="0" w:line="14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We are also actively developing multiple preclinical-stage ADC and next generation T-cell engager programs.</w:t>
      </w:r>
    </w:p>
    <w:p>
      <w:pPr>
        <w:spacing w:after="0" w:line="207"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8"/>
          <w:szCs w:val="18"/>
          <w:color w:val="auto"/>
        </w:rPr>
        <w:t>We and our partners are developing or commercializing product candidates for which we retain certain economic rights. These include three products approved by the FDA: MARGENZA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(margetuximab-cmkb), an anti-HER2 monoclonal antibody (mAb) that we sold to a partner,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(retifanlimab-dlwr), an anti-PD-1 mAb that we out-licensed; and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an anti-CD3 mAb that we sold to a partner. We are also collaborating with Gilead Sciences, Inc. (Gilead) on the development of MGD024, a bispecific DART antibody targeting CD123 and CD3 that utilizes our next-generation T-cell engager technology, as well as two additional undisclosed pre-clinical DART development programs.</w:t>
      </w:r>
    </w:p>
    <w:p>
      <w:pPr>
        <w:spacing w:after="0" w:line="22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March 31, 2025, combined with projected and anticipated future payments from our partners, supports our cash runway into the second half of 2026. Our expected funding needs reflect planned investments in ongoing clinical and preclinical programs. We have implemented, and will continue to evaluate and execute, various cost-saving measures that are designed to extend our financial runway while continuing to progress our pipeline.</w:t>
      </w:r>
    </w:p>
    <w:p>
      <w:pPr>
        <w:spacing w:after="0" w:line="13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2025, we had an accumulated deficit of $1.2 billion. We expect that over the next several years this deficit will increase as we continue to incur research and development expense in connection with our ongoing activities and several clinical trials.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7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global economy, credit markets and financial markets have and may continue to experience significant volatility as a result of significant worldwide events, including, fluctuating interest rates, geopolitical upheaval and tariffs or other restrictions imposed by the United States government or governments of other nations (collectively, the Macroeconomic Conditions). These Macroeconomic Conditions have and may continue to create supply chain disruptions, inventory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19" w:name="page20"/>
    <w:bookmarkEnd w:id="19"/>
    <w:p>
      <w:pPr>
        <w:ind w:right="160"/>
        <w:spacing w:after="0" w:line="261" w:lineRule="auto"/>
        <w:rPr>
          <w:sz w:val="20"/>
          <w:szCs w:val="20"/>
          <w:color w:val="auto"/>
        </w:rPr>
      </w:pPr>
      <w:r>
        <w:rPr>
          <w:rFonts w:ascii="Times New Roman" w:cs="Times New Roman" w:eastAsia="Times New Roman" w:hAnsi="Times New Roman"/>
          <w:sz w:val="18"/>
          <w:szCs w:val="18"/>
          <w:color w:val="auto"/>
        </w:rPr>
        <w:t>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37" w:lineRule="exact"/>
        <w:rPr>
          <w:sz w:val="20"/>
          <w:szCs w:val="20"/>
          <w:color w:val="auto"/>
        </w:rPr>
      </w:pPr>
    </w:p>
    <w:p>
      <w:pPr>
        <w:ind w:left="980" w:right="120" w:hanging="324"/>
        <w:spacing w:after="0" w:line="267" w:lineRule="auto"/>
        <w:tabs>
          <w:tab w:leader="none" w:pos="941" w:val="left"/>
        </w:tabs>
        <w:numPr>
          <w:ilvl w:val="0"/>
          <w:numId w:val="8"/>
        </w:numPr>
        <w:rPr>
          <w:rFonts w:ascii="Arial" w:cs="Arial" w:eastAsia="Arial" w:hAnsi="Arial"/>
          <w:sz w:val="19"/>
          <w:szCs w:val="19"/>
          <w:b w:val="1"/>
          <w:bCs w:val="1"/>
          <w:i w:val="1"/>
          <w:iCs w:val="1"/>
          <w:color w:val="252525"/>
        </w:rPr>
      </w:pPr>
      <w:r>
        <w:rPr>
          <w:rFonts w:ascii="Times New Roman" w:cs="Times New Roman" w:eastAsia="Times New Roman" w:hAnsi="Times New Roman"/>
          <w:sz w:val="17"/>
          <w:szCs w:val="17"/>
          <w:i w:val="1"/>
          <w:iCs w:val="1"/>
          <w:color w:val="auto"/>
        </w:rPr>
        <w:t xml:space="preserve">Incyte Corporation (Incyte). </w:t>
      </w:r>
      <w:r>
        <w:rPr>
          <w:rFonts w:ascii="Times New Roman" w:cs="Times New Roman" w:eastAsia="Times New Roman" w:hAnsi="Times New Roman"/>
          <w:sz w:val="17"/>
          <w:szCs w:val="17"/>
          <w:color w:val="auto"/>
        </w:rPr>
        <w:t>We have an exclusive global collaboration and license agreement with Incyte for retifanlimab, an investigational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$215.0</w:t>
      </w:r>
    </w:p>
    <w:p>
      <w:pPr>
        <w:spacing w:after="0" w:line="2" w:lineRule="exact"/>
        <w:rPr>
          <w:sz w:val="20"/>
          <w:szCs w:val="20"/>
          <w:color w:val="auto"/>
        </w:rPr>
      </w:pPr>
    </w:p>
    <w:p>
      <w:pPr>
        <w:ind w:left="980" w:right="40"/>
        <w:spacing w:after="0" w:line="252" w:lineRule="auto"/>
        <w:rPr>
          <w:sz w:val="20"/>
          <w:szCs w:val="20"/>
          <w:color w:val="auto"/>
        </w:rPr>
      </w:pPr>
      <w:r>
        <w:rPr>
          <w:rFonts w:ascii="Times New Roman" w:cs="Times New Roman" w:eastAsia="Times New Roman" w:hAnsi="Times New Roman"/>
          <w:sz w:val="18"/>
          <w:szCs w:val="18"/>
          <w:color w:val="auto"/>
        </w:rPr>
        <w:t>million from Incyte through March 31, 2025, including $100.0 million received in August 2024</w:t>
      </w:r>
      <w:r>
        <w:rPr>
          <w:rFonts w:ascii="Arial" w:cs="Arial" w:eastAsia="Arial" w:hAnsi="Arial"/>
          <w:sz w:val="21"/>
          <w:szCs w:val="21"/>
          <w:color w:val="008080"/>
        </w:rPr>
        <w:t>.</w:t>
      </w:r>
      <w:r>
        <w:rPr>
          <w:rFonts w:ascii="Times New Roman" w:cs="Times New Roman" w:eastAsia="Times New Roman" w:hAnsi="Times New Roman"/>
          <w:sz w:val="18"/>
          <w:szCs w:val="18"/>
          <w:color w:val="auto"/>
        </w:rPr>
        <w:t xml:space="preserve"> We are eligible to receive up to an additional $210.0 million in development and regulatory milestones and $330.0 million in commercial milestones. We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performed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149" w:lineRule="exact"/>
        <w:rPr>
          <w:sz w:val="20"/>
          <w:szCs w:val="20"/>
          <w:color w:val="auto"/>
        </w:rPr>
      </w:pPr>
    </w:p>
    <w:p>
      <w:pPr>
        <w:ind w:left="980" w:hanging="324"/>
        <w:spacing w:after="0" w:line="250" w:lineRule="auto"/>
        <w:tabs>
          <w:tab w:leader="none" w:pos="941"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Gilead</w:t>
      </w:r>
      <w:r>
        <w:rPr>
          <w:rFonts w:ascii="Times New Roman" w:cs="Times New Roman" w:eastAsia="Times New Roman" w:hAnsi="Times New Roman"/>
          <w:sz w:val="18"/>
          <w:szCs w:val="18"/>
          <w:color w:val="auto"/>
        </w:rPr>
        <w:t>. In October 2022, we and Gilead entered into an exclusive option and collaboration agreement (Gilead Agreement)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granted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w:t>
      </w:r>
    </w:p>
    <w:p>
      <w:pPr>
        <w:spacing w:after="0" w:line="23" w:lineRule="exact"/>
        <w:rPr>
          <w:rFonts w:ascii="Arial" w:cs="Arial" w:eastAsia="Arial" w:hAnsi="Arial"/>
          <w:sz w:val="20"/>
          <w:szCs w:val="20"/>
          <w:color w:val="auto"/>
        </w:rPr>
      </w:pPr>
    </w:p>
    <w:p>
      <w:pPr>
        <w:ind w:left="980" w:right="60"/>
        <w:spacing w:after="0" w:line="257" w:lineRule="auto"/>
        <w:rPr>
          <w:rFonts w:ascii="Arial" w:cs="Arial" w:eastAsia="Arial" w:hAnsi="Arial"/>
          <w:sz w:val="20"/>
          <w:szCs w:val="20"/>
          <w:color w:val="auto"/>
        </w:rPr>
      </w:pPr>
      <w:r>
        <w:rPr>
          <w:rFonts w:ascii="Times New Roman" w:cs="Times New Roman" w:eastAsia="Times New Roman" w:hAnsi="Times New Roman"/>
          <w:sz w:val="18"/>
          <w:szCs w:val="18"/>
          <w:color w:val="auto"/>
        </w:rPr>
        <w:t>Research Program Option, a flat royalty on worldwide net sales of any products resulting from the two research programs. In 2023, Gilead nominated the first of the two research programs contemplated in the Gilead Agreement (First Research Program) and paid us a $15.7 million nomination fee. We granted Gilead a 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 June 2024, Gilead paid us variable consideration totaling $3.3 million upon achievement of a research plan milestone. On August 30, 2024, the parties entered into a second letter agreement under which Gilead will pay us to conduct certain research and which extends the period for Gilead to select its second research target combination.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fiscal year ended December 31, 2024. There have been no material changes with respect to our critical accounting estimates during the three months ended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comparison of our revenue for the three months ended March 31, 2025 and 2024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660" w:type="dxa"/>
            <w:vAlign w:val="bottom"/>
            <w:tcBorders>
              <w:bottom w:val="single" w:sz="8" w:color="auto"/>
            </w:tcBorders>
          </w:tcPr>
          <w:p>
            <w:pPr>
              <w:spacing w:after="0"/>
              <w:rPr>
                <w:sz w:val="18"/>
                <w:szCs w:val="18"/>
                <w:color w:val="auto"/>
              </w:rPr>
            </w:pPr>
          </w:p>
        </w:tc>
      </w:tr>
      <w:tr>
        <w:trPr>
          <w:trHeight w:val="211"/>
        </w:trPr>
        <w:tc>
          <w:tcPr>
            <w:tcW w:w="5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r>
      <w:tr>
        <w:trPr>
          <w:trHeight w:val="21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Collaborative and other agreements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338 %</w:t>
            </w: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sales, net</w:t>
            </w:r>
          </w:p>
        </w:tc>
        <w:tc>
          <w:tcPr>
            <w:tcW w:w="9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agreements</w:t>
            </w:r>
          </w:p>
        </w:tc>
        <w:tc>
          <w:tcPr>
            <w:tcW w:w="9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5"/>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increase in revenue of $4.1 million for the three months ended March 31, 2025 compared to the three months ended March 31, 2024 was primarily due to:</w:t>
      </w:r>
    </w:p>
    <w:p>
      <w:pPr>
        <w:spacing w:after="0" w:line="54"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 increase of $4.1 million in revenue recognized under the Gilead Agreement</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$2.8 million in revenue recognized under the Incyte Manufacturing and Clinical Supply Agreement; and</w:t>
      </w:r>
    </w:p>
    <w:p>
      <w:pPr>
        <w:spacing w:after="0" w:line="117"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in revenue recognized under our manufacturing services agreements with Emergent Product Development Gaithersburg Inc. (Emergent Manufacturing Agreements).</w:t>
      </w:r>
    </w:p>
    <w:p>
      <w:pPr>
        <w:spacing w:after="0" w:line="5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a decrease of $4.9 million in MARGENZA net product sales due to the fact that we sold the global rights to MARGENZA to TerSera Therapeutics, LLC (TerSera) in November 2024.</w:t>
      </w:r>
    </w:p>
    <w:p>
      <w:pPr>
        <w:spacing w:after="0" w:line="54" w:lineRule="exact"/>
        <w:rPr>
          <w:sz w:val="20"/>
          <w:szCs w:val="20"/>
          <w:color w:val="auto"/>
        </w:rPr>
      </w:pPr>
    </w:p>
    <w:p>
      <w:pPr>
        <w:jc w:val="both"/>
        <w:ind w:right="780" w:firstLine="648"/>
        <w:spacing w:after="0" w:line="266" w:lineRule="auto"/>
        <w:rPr>
          <w:sz w:val="20"/>
          <w:szCs w:val="20"/>
          <w:color w:val="auto"/>
        </w:rPr>
      </w:pPr>
      <w:r>
        <w:rPr>
          <w:rFonts w:ascii="Times New Roman" w:cs="Times New Roman" w:eastAsia="Times New Roman" w:hAnsi="Times New Roman"/>
          <w:sz w:val="18"/>
          <w:szCs w:val="18"/>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No cost of product sales was recorded for the three months ended March 31, 2025, due to the sale of MARGENZA to TerSera. Cost of product sales was $0.3 million for the three months ended March 31, 2024. Cost of product sales consists primarily of product royalties and fill finish costs. Product sold during the period consisted of drug product that was previously charged to research and development expense prior to FDA approval of MARGENZA, which favorably impacted our gross margin.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Manufacturing Services</w:t>
      </w:r>
    </w:p>
    <w:p>
      <w:pPr>
        <w:spacing w:after="0" w:line="17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Cost of manufacturing services was $5.4 million and $1.8 million for the three months ended March 31, 2025 and 2024, respectively. Cost of manufacturing services includes process development costs and costs to produce bulk drug substance for our contract development and manufacturing customers. We expect cost of manufacturing services to vary from period to period based on the agreed-upon manufacturing schedule.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75"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8"/>
          <w:szCs w:val="18"/>
          <w:color w:val="auto"/>
        </w:rPr>
        <w:t>The following represents a comparison of our research and development expense for the three months ended March 31, 2025 and 2024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296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18"/>
                <w:szCs w:val="18"/>
                <w:color w:val="auto"/>
              </w:rPr>
            </w:pPr>
          </w:p>
        </w:tc>
        <w:tc>
          <w:tcPr>
            <w:tcW w:w="18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660" w:type="dxa"/>
            <w:vAlign w:val="bottom"/>
          </w:tcPr>
          <w:p>
            <w:pPr>
              <w:spacing w:after="0"/>
              <w:rPr>
                <w:sz w:val="18"/>
                <w:szCs w:val="18"/>
                <w:color w:val="auto"/>
              </w:rPr>
            </w:pPr>
          </w:p>
        </w:tc>
      </w:tr>
      <w:tr>
        <w:trPr>
          <w:trHeight w:val="226"/>
        </w:trPr>
        <w:tc>
          <w:tcPr>
            <w:tcW w:w="526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660" w:type="dxa"/>
            <w:vAlign w:val="bottom"/>
            <w:tcBorders>
              <w:top w:val="single" w:sz="8" w:color="auto"/>
              <w:bottom w:val="single" w:sz="8" w:color="CCEEFF"/>
            </w:tcBorders>
          </w:tcPr>
          <w:p>
            <w:pPr>
              <w:spacing w:after="0"/>
              <w:rPr>
                <w:sz w:val="19"/>
                <w:szCs w:val="19"/>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Lorigerlimab</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Vobramitamab duocarmazine</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MGC026</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MGC028</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MGC030</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Next-generation T-cell engagers (a)</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MGD024</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Preclinical antibody-drug conjugates (ADCs)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Margetuximab</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programs (a)</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4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discontinued projects.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 for the three months ended March 31, 2025 decreased by $6.3 million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primarily due to:</w:t>
      </w:r>
    </w:p>
    <w:p>
      <w:pPr>
        <w:spacing w:after="0" w:line="153" w:lineRule="exact"/>
        <w:rPr>
          <w:sz w:val="20"/>
          <w:szCs w:val="20"/>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and clinical trial costs related to margetuximab; and</w:t>
      </w:r>
    </w:p>
    <w:p>
      <w:pPr>
        <w:spacing w:after="0" w:line="171" w:lineRule="exact"/>
        <w:rPr>
          <w:rFonts w:ascii="Times New Roman" w:cs="Times New Roman" w:eastAsia="Times New Roman" w:hAnsi="Times New Roman"/>
          <w:sz w:val="18"/>
          <w:szCs w:val="18"/>
          <w:color w:val="auto"/>
        </w:rPr>
      </w:pPr>
    </w:p>
    <w:p>
      <w:pPr>
        <w:ind w:left="660" w:right="4200" w:hanging="4"/>
        <w:spacing w:after="0" w:line="464" w:lineRule="auto"/>
        <w:tabs>
          <w:tab w:leader="none" w:pos="97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development, manufacturing and IND-enabling costs related to MGC028. These decreases were offset by increased development costs related to MGC026.</w:t>
      </w: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1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selling, general and administrative expenses were $10.7 million and $14.7 million, respectively. The decrease was primarily due to lower stock-based compensation expense and reduced professional fees. The reduction in professional fees was largely driven by the cessation of commercialization activities for MARGENZA.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 summary of our cash flows for the three months ended March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r>
      <w:tr>
        <w:trPr>
          <w:trHeight w:val="223"/>
        </w:trPr>
        <w:tc>
          <w:tcPr>
            <w:tcW w:w="7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r>
      <w:tr>
        <w:trPr>
          <w:trHeight w:val="263"/>
        </w:trPr>
        <w:tc>
          <w:tcPr>
            <w:tcW w:w="7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1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(dollars in millions)</w:t>
            </w:r>
          </w:p>
        </w:tc>
        <w:tc>
          <w:tcPr>
            <w:tcW w:w="580" w:type="dxa"/>
            <w:vAlign w:val="bottom"/>
          </w:tcPr>
          <w:p>
            <w:pPr>
              <w:spacing w:after="0"/>
              <w:rPr>
                <w:sz w:val="22"/>
                <w:szCs w:val="2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of our net loss adjusted for non-cash items such as depreciation and amortization expense and stock-based compensation and changes in working capital.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2025 and 2024 is primarily due to maturities of marketable securities, partially offset by purchases of marketable securities.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includes taxes paid related to net share settlement of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w:t>
      </w:r>
    </w:p>
    <w:p>
      <w:pPr>
        <w:spacing w:after="0" w:line="15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biotechnology company, we have primarily funded our operations with proceeds from the sale of our common stock in equity offerings and</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from our multiple collaboration agreements.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Although it is difficult to predict our funding requirements, we anticipate that our cash, cash equivalents and marketable securities as of March 31, 2025, combined with projected and anticipated future payments from our partners, supports our cash runway into the second half of 2026. Our expected funding needs reflect planned investments in ongoing clinical and preclinical programs. We have implemented, and will continue to evaluate and execute, various cost-saving measures that are designed to extend our financial runway while continuing to progress our pipeline.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Material Cash Requirements</w:t>
      </w:r>
    </w:p>
    <w:p>
      <w:pPr>
        <w:spacing w:after="0" w:line="17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significant changes to our material cash requirements, including contractual and other obligations, as presented in Part II, Item 7, "Management’s Discussion and Analysis 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Financial Condition and Results of Operations" included in our Annual Report on Form 10-K for the fiscal year ended December 31, 2024.</w:t>
      </w:r>
    </w:p>
    <w:p>
      <w:pPr>
        <w:spacing w:after="0" w:line="20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160" w:firstLine="683"/>
        <w:spacing w:after="0" w:line="266" w:lineRule="auto"/>
        <w:rPr>
          <w:sz w:val="20"/>
          <w:szCs w:val="20"/>
          <w:color w:val="auto"/>
        </w:rPr>
      </w:pPr>
      <w:r>
        <w:rPr>
          <w:rFonts w:ascii="Times New Roman" w:cs="Times New Roman" w:eastAsia="Times New Roman" w:hAnsi="Times New Roman"/>
          <w:sz w:val="18"/>
          <w:szCs w:val="18"/>
          <w:color w:val="auto"/>
        </w:rPr>
        <w:t>As of March 31, 2025, our exposure to market risk has not changed materially since December 31, 2024. For more information on financial market risks related to changes in interest rates, reference is made to Item 7A. "Quantitative and Qualitative Disclosures About Market Risk" contained in Part II of our Annual Report on Form 10-K for the fiscal year ended December 31, 2024, filed with the SEC on March 20, 2025.</w:t>
      </w:r>
    </w:p>
    <w:p>
      <w:pPr>
        <w:spacing w:after="0" w:line="15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evaluated the effectiveness of our disclosure controls and procedures (as defined in Exchange Act Rule 13a-15(e) and 15d-15(e)) as of March 31, 2025.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March 31, 2025, our principal executive officer and principal financial officer have concluded that our disclosure controls and procedures are effective at the reasonable assurance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31, 2025 that materially affected, or are reasonably likely to materially effect,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2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66"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“Risk Factors” of our Annual Report on Form 10-K for the fiscal year ended December 31, 2024. Except as described below, there have been no material changes in the risk factors described in Item 1A. "Risk Factors” of our Annual Report on Form 10-K for the fiscal year ended December 31, 2024.</w:t>
      </w:r>
    </w:p>
    <w:p>
      <w:pPr>
        <w:spacing w:after="0" w:line="1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the Company’s business, financial condition, results of operations and prospects.</w:t>
      </w:r>
    </w:p>
    <w:p>
      <w:pPr>
        <w:spacing w:after="0" w:line="10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operates in a global economy, which includes utilizing third-party suppliers in several countries outside the United States. There is inherent risk, based on the complex relationships among the U.S. and the countries in which the Company conducts its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the Company’s business, results of operations, financial condition and prospects.</w:t>
      </w:r>
    </w:p>
    <w:p>
      <w:pPr>
        <w:spacing w:after="0" w:line="13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currently relies, and expects to continue to rely, on third parties for a portion of the manufacture of the Company’s product candidates for clinical testing, as well as for manufacture of certain products that the Company may commercialize, if approved. Currently, several of the Company’s suppliers are located outside of the United States. The Company also relies on specialized laboratory equipment, supplies, materials, and precursor compounds, all or part of which the Company believes may be ultimately sourced from multiple countries outside the United States, to advance its research and development efforts.</w:t>
      </w:r>
    </w:p>
    <w:p>
      <w:pPr>
        <w:spacing w:after="0" w:line="1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including with respect to increased costs associated with APIs, raw materials, laboratory equipment and research materials and components. In addition, such tariffs will increase the Company’s supply chain complexity and could also potentially disrupt its existing supply chain. Trade restrictions affecting the import of materials necessary for clinical trials could result in delays to the Company’s development timelines. Increased development costs and extended development timelines could place the Company at a competitive disadvantage compared to companies operating in regions with more favorable trade relationships and could reduce investor confidence, negatively impacting the Company’s ability to secure additional financing on favorable terms or at all. In addition, as the Company advances toward commercialization in the future, tariffs and trade restrictions could hinder the Company’s ability to establish cost-effective production capabilities, negatively impacting its growth prospects.</w:t>
      </w:r>
    </w:p>
    <w:p>
      <w:pPr>
        <w:spacing w:after="0" w:line="13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the Company or its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the Company’s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the Company from doing business directly or indirectly in or with certain countries or parties and may impose additional costs and complexity to the Company’s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5" w:name="page26"/>
    <w:bookmarkEnd w:id="25"/>
    <w:p>
      <w:pPr>
        <w:ind w:firstLine="648"/>
        <w:spacing w:after="0" w:line="255"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the Company’s business, financial condition, and prospects. While the Company actively monitors these risks, any prolonged economic downturn, escalation in trade tensions, or deterioration in international perception of U.S.-based companies could materially and adversely affect the Company’s business, ability to access the capital markets or other financing sources, results of operations, financial condition and prospects. In addition, tariffs and other trade developments have and may continue to heighten the risks related to the other risk factors.</w:t>
      </w:r>
    </w:p>
    <w:p>
      <w:pPr>
        <w:spacing w:after="0" w:line="171"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10b5-1 Trading Plans</w:t>
      </w:r>
    </w:p>
    <w:p>
      <w:pPr>
        <w:spacing w:after="0" w:line="17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the Company's directors or officers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tbl>
      <w:tblPr>
        <w:tblLayout w:type="fixed"/>
        <w:tblInd w:w="12"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Principal Executive Officer</w:t>
            </w:r>
          </w:p>
        </w:tc>
      </w:tr>
      <w:tr>
        <w:trPr>
          <w:trHeight w:val="4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Principal Financial Officer</w:t>
            </w:r>
          </w:p>
        </w:tc>
        <w:tc>
          <w:tcPr>
            <w:tcW w:w="4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Executive Officer</w:t>
            </w: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Financial Officer</w:t>
            </w:r>
          </w:p>
        </w:tc>
        <w:tc>
          <w:tcPr>
            <w:tcW w:w="40" w:type="dxa"/>
            <w:vAlign w:val="bottom"/>
            <w:tcBorders>
              <w:top w:val="single" w:sz="8" w:color="0000FF"/>
            </w:tcBorders>
          </w:tcPr>
          <w:p>
            <w:pPr>
              <w:spacing w:after="0"/>
              <w:rPr>
                <w:sz w:val="24"/>
                <w:szCs w:val="24"/>
                <w:color w:val="auto"/>
              </w:rPr>
            </w:pPr>
          </w:p>
        </w:tc>
        <w:tc>
          <w:tcPr>
            <w:tcW w:w="3140" w:type="dxa"/>
            <w:vAlign w:val="bottom"/>
            <w:gridSpan w:val="3"/>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4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(formatted as Inline XBRL and contained in Exhibit 101 filed herewith)</w:t>
            </w:r>
          </w:p>
        </w:tc>
      </w:tr>
    </w:tbl>
    <w:p>
      <w:pPr>
        <w:spacing w:after="0" w:line="306" w:lineRule="exact"/>
        <w:rPr>
          <w:sz w:val="20"/>
          <w:szCs w:val="20"/>
          <w:color w:val="auto"/>
        </w:rPr>
      </w:pPr>
    </w:p>
    <w:p>
      <w:pPr>
        <w:ind w:left="312" w:hanging="312"/>
        <w:spacing w:after="0"/>
        <w:tabs>
          <w:tab w:leader="none" w:pos="3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12" w:hanging="412"/>
        <w:spacing w:after="0"/>
        <w:tabs>
          <w:tab w:leader="none" w:pos="4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987425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968" w:right="1440" w:bottom="1440" w:gutter="0" w:footer="0" w:header="0"/>
        </w:sectPr>
      </w:pPr>
    </w:p>
    <w:bookmarkStart w:id="27" w:name="page28"/>
    <w:bookmarkEnd w:id="27"/>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MACROGENICS, INC.</w:t>
      </w:r>
    </w:p>
    <w:p>
      <w:pPr>
        <w:spacing w:after="0" w:line="293"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Scott Koenig, M.D., Ph.D.</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James Karrels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13, 2025</w:t>
      </w:r>
    </w:p>
    <w:p>
      <w:pPr>
        <w:sectPr>
          <w:pgSz w:w="11900" w:h="16838" w:orient="portrait"/>
          <w:cols w:equalWidth="0" w:num="1">
            <w:col w:w="10920"/>
          </w:cols>
          <w:pgMar w:left="320" w:top="927" w:right="659" w:bottom="1440" w:gutter="0" w:footer="0" w:header="0"/>
        </w:sectPr>
      </w:pPr>
    </w:p>
    <w:bookmarkStart w:id="28" w:name="page29"/>
    <w:bookmarkEnd w:id="28"/>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Koenig, certify that:</w:t>
      </w:r>
    </w:p>
    <w:p>
      <w:pPr>
        <w:spacing w:after="0" w:line="234"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Scott Koenig</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Scott Koenig, M.D., Ph.D.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Karrels, certify that:</w:t>
      </w:r>
    </w:p>
    <w:p>
      <w:pPr>
        <w:spacing w:after="0" w:line="234"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I, Scott Koenig, President and Chief Executive Officer (principal executive officer) of MacroGenics, Inc. (the Registrant), certify, to the best of my knowledge, based upon a review of the Quarterly Report on Form 10-Q for the period ended March 31, 2025 of the Registrant (the Report), that:</w:t>
      </w:r>
    </w:p>
    <w:p>
      <w:pPr>
        <w:spacing w:after="0" w:line="16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Scott Koenig</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Scott Koenig, M.D., Ph.D.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May 13, 2025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James Karrels, Senior Vice President and Chief Financial Officer (principal financial officer) of MacroGenics, Inc. (the Registrant), certify, to the best of my knowledge, based upon a review of the Quarterly Report on Form 10-Q for the period ended March 31, 2025 of the Registrant (the Report), that:</w:t>
      </w:r>
    </w:p>
    <w:p>
      <w:pPr>
        <w:spacing w:after="0" w:line="18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May 13, 2025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decimal"/>
      <w:start w:val="606"/>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2025-05-13T15:11:30Z</dcterms:created>
  <dcterms:modified xsi:type="dcterms:W3CDTF">2025-05-13T15:11:30Z</dcterms:modified>
</cp:coreProperties>
</file>