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64339.xml.htm"/>
      <w:bookmarkStart w:id="1" w:name="kswkform4_17872643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 Jeffrey Stuart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9704 MEDICAL CENTER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MACROGENICS INC</w:t>
              </w:r>
            </w:hyperlink>
            <w:r>
              <w:rPr/>
              <w:t xml:space="preserve"> [ </w:t>
            </w:r>
            <w:r>
              <w:rPr>
                <w:rFonts w:ascii="Times;serif" w:hAnsi="Times;serif"/>
                <w:color w:val="0000FF"/>
                <w:sz w:val="24"/>
                <w:shd w:fill="FFFFFF" w:val="clear"/>
              </w:rPr>
              <w:t>MGNX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GC,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31,105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May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$4.12 to $4.24. The reporting person undertakes to provide to MacroGenics, Inc., any security holder of MacroGenics, Inc.,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A.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6903" TargetMode="External"/><Relationship Id="rId5" Type="http://schemas.openxmlformats.org/officeDocument/2006/relationships/hyperlink" Target="http://www.sec.gov/cgi-bin/browse-edgar?action=getcompany&amp;CIK=00011253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3506</Characters>
  <CharactersWithSpaces>4085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